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上海信联信息发展股份有限公司</w:t>
      </w:r>
    </w:p>
    <w:p>
      <w:pPr>
        <w:pStyle w:val="Style4"/>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866" w:right="1107" w:bottom="2866" w:left="1102"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公司负责人张曙华、主管会计工作负责人赵艳及会计机构负责人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赵艳声明：保证本年度报告中财务报告的真实、准确、完整。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after="140"/>
        <w:ind w:left="0" w:right="0"/>
        <w:jc w:val="both"/>
      </w:pPr>
      <w:r>
        <w:rPr>
          <w:color w:val="000000"/>
          <w:spacing w:val="0"/>
          <w:w w:val="100"/>
          <w:position w:val="0"/>
        </w:rPr>
        <w:t>总体来看，公司</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年度营收较</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 xml:space="preserve">年有所下降，归母净利润仍然为负， 这主要与政府客户在公司当前主要业务线中占比仍然较大高度相关。受各地疫 情与防疫政策影响，政府为确保民生安全，用于抗疫相关的人力资源与资金预 算较大挤占了其他行业空间，导致我司订单量出现阶段性地下滑，项目的交付 验收以及应收收款的回收均不同程度的有所延迟，对公司的利润实现产生不利 影响。公司以智慧档案、智慧食安、智慧司法为主的存量业务，致力于推动数 据赋能相关行业产业链协同转型，仍然是我国加快数字化发展，建设数字中国 的重要组成部分，也是十四五发展规划的重点鼓励方向，相关产品与服务仍然 是上述行业的刚性需求，且市场渗透率仍然比较低，发展空间仍然很大。在疫 情期间的特殊背景下，公司积极推进战略转型，并于本报告期内与交信集团达 成战略合作，并通过投资、新设等方式重点布局基于北斗的智慧交通与车联网 业务，未来将成为公司新的增长引擎；公司不断推进存量业务战略转型，实现 业务和产品结构的持续优化，应用软件与产品在公司营收中的占比连年上升， </w:t>
      </w:r>
      <w:r>
        <w:rPr>
          <w:color w:val="000000"/>
          <w:spacing w:val="0"/>
          <w:w w:val="100"/>
          <w:position w:val="0"/>
        </w:rPr>
        <w:t>综合毛利率实现稳步提升；同时公司优化人员结构，优化项目交付效率和人效， 资金周转率得到持续改善。</w:t>
      </w:r>
    </w:p>
    <w:p>
      <w:pPr>
        <w:pStyle w:val="Style12"/>
        <w:keepNext w:val="0"/>
        <w:keepLines w:val="0"/>
        <w:widowControl w:val="0"/>
        <w:shd w:val="clear" w:color="auto" w:fill="auto"/>
        <w:bidi w:val="0"/>
        <w:spacing w:before="0" w:after="0" w:line="610" w:lineRule="exact"/>
        <w:ind w:left="0" w:right="0" w:firstLine="0"/>
        <w:jc w:val="center"/>
        <w:sectPr>
          <w:footnotePr>
            <w:pos w:val="pageBottom"/>
            <w:numFmt w:val="decimal"/>
            <w:numRestart w:val="continuous"/>
          </w:footnotePr>
          <w:pgSz w:w="11900" w:h="16840"/>
          <w:pgMar w:top="1287" w:right="1138" w:bottom="1949" w:left="1071"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00" w:after="166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pos="1040" w:val="left"/>
          <w:tab w:leader="dot" w:pos="9617" w:val="right"/>
        </w:tabs>
        <w:bidi w:val="0"/>
        <w:spacing w:before="0" w:line="240" w:lineRule="auto"/>
        <w:ind w:left="0" w:right="0" w:firstLine="0"/>
        <w:jc w:val="left"/>
        <w:rPr>
          <w:sz w:val="28"/>
          <w:szCs w:val="28"/>
        </w:rPr>
      </w:pPr>
      <w:r>
        <w:fldChar w:fldCharType="begin"/>
        <w:instrText xml:space="preserve"> TOC \o "1-5" \h \z </w:instrText>
        <w:fldChar w:fldCharType="separate"/>
      </w:r>
      <w:hyperlink w:anchor="bookmark1" w:tooltip="Current Document">
        <w:r>
          <w:rPr>
            <w:color w:val="000000"/>
            <w:spacing w:val="0"/>
            <w:w w:val="100"/>
            <w:position w:val="0"/>
            <w:sz w:val="26"/>
            <w:szCs w:val="26"/>
          </w:rPr>
          <w:t>第一节</w:t>
          <w:tab/>
          <w:t>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w:t>
        </w:r>
      </w:hyperlink>
    </w:p>
    <w:p>
      <w:pPr>
        <w:pStyle w:val="Style15"/>
        <w:keepNext w:val="0"/>
        <w:keepLines w:val="0"/>
        <w:widowControl w:val="0"/>
        <w:shd w:val="clear" w:color="auto" w:fill="auto"/>
        <w:tabs>
          <w:tab w:pos="1040" w:val="left"/>
          <w:tab w:leader="dot" w:pos="9617" w:val="right"/>
        </w:tabs>
        <w:bidi w:val="0"/>
        <w:spacing w:before="0" w:line="240" w:lineRule="auto"/>
        <w:ind w:left="0" w:right="0" w:firstLine="0"/>
        <w:jc w:val="left"/>
        <w:rPr>
          <w:sz w:val="28"/>
          <w:szCs w:val="28"/>
        </w:rPr>
      </w:pPr>
      <w:hyperlink w:anchor="bookmark5" w:tooltip="Current Document">
        <w:r>
          <w:rPr>
            <w:color w:val="000000"/>
            <w:spacing w:val="0"/>
            <w:w w:val="100"/>
            <w:position w:val="0"/>
            <w:sz w:val="26"/>
            <w:szCs w:val="26"/>
          </w:rPr>
          <w:t>第二节</w:t>
          <w:tab/>
          <w:t>公司简介和主要财务指标</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8</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rPr>
          <w:sz w:val="28"/>
          <w:szCs w:val="28"/>
        </w:rPr>
      </w:pPr>
      <w:hyperlink w:anchor="bookmark48" w:tooltip="Current Document">
        <w:r>
          <w:rPr>
            <w:color w:val="000000"/>
            <w:spacing w:val="0"/>
            <w:w w:val="100"/>
            <w:position w:val="0"/>
            <w:sz w:val="26"/>
            <w:szCs w:val="26"/>
          </w:rPr>
          <w:t>第三节管理层讨论与分析</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12</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rPr>
          <w:sz w:val="28"/>
          <w:szCs w:val="28"/>
        </w:rPr>
      </w:pPr>
      <w:hyperlink w:anchor="bookmark252" w:tooltip="Current Document">
        <w:r>
          <w:rPr>
            <w:color w:val="000000"/>
            <w:spacing w:val="0"/>
            <w:w w:val="100"/>
            <w:position w:val="0"/>
            <w:sz w:val="26"/>
            <w:szCs w:val="26"/>
          </w:rPr>
          <w:t>第四节公司治理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37</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rPr>
          <w:sz w:val="28"/>
          <w:szCs w:val="28"/>
        </w:rPr>
      </w:pPr>
      <w:hyperlink w:anchor="bookmark412" w:tooltip="Current Document">
        <w:r>
          <w:rPr>
            <w:color w:val="000000"/>
            <w:spacing w:val="0"/>
            <w:w w:val="100"/>
            <w:position w:val="0"/>
            <w:sz w:val="26"/>
            <w:szCs w:val="26"/>
          </w:rPr>
          <w:t>第五节环境和社会责任</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61</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rPr>
          <w:sz w:val="28"/>
          <w:szCs w:val="28"/>
        </w:rPr>
      </w:pPr>
      <w:hyperlink w:anchor="bookmark427" w:tooltip="Current Document">
        <w:r>
          <w:rPr>
            <w:color w:val="000000"/>
            <w:spacing w:val="0"/>
            <w:w w:val="100"/>
            <w:position w:val="0"/>
            <w:sz w:val="26"/>
            <w:szCs w:val="26"/>
          </w:rPr>
          <w:t>第六节重要事项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62</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rPr>
          <w:sz w:val="28"/>
          <w:szCs w:val="28"/>
        </w:rPr>
      </w:pPr>
      <w:hyperlink w:anchor="bookmark571" w:tooltip="Current Document">
        <w:r>
          <w:rPr>
            <w:color w:val="000000"/>
            <w:spacing w:val="0"/>
            <w:w w:val="100"/>
            <w:position w:val="0"/>
            <w:sz w:val="26"/>
            <w:szCs w:val="26"/>
          </w:rPr>
          <w:t>第七节股份变动及股东情况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96</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rPr>
          <w:sz w:val="28"/>
          <w:szCs w:val="28"/>
        </w:rPr>
      </w:pPr>
      <w:hyperlink w:anchor="bookmark637" w:tooltip="Current Document">
        <w:r>
          <w:rPr>
            <w:color w:val="000000"/>
            <w:spacing w:val="0"/>
            <w:w w:val="100"/>
            <w:position w:val="0"/>
            <w:sz w:val="26"/>
            <w:szCs w:val="26"/>
          </w:rPr>
          <w:t>第八节优先股相关情况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104</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rPr>
          <w:sz w:val="28"/>
          <w:szCs w:val="28"/>
        </w:rPr>
      </w:pPr>
      <w:hyperlink w:anchor="bookmark641" w:tooltip="Current Document">
        <w:r>
          <w:rPr>
            <w:color w:val="000000"/>
            <w:spacing w:val="0"/>
            <w:w w:val="100"/>
            <w:position w:val="0"/>
            <w:sz w:val="26"/>
            <w:szCs w:val="26"/>
          </w:rPr>
          <w:t>第九节债券相关情况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105</w:t>
        </w:r>
      </w:hyperlink>
    </w:p>
    <w:p>
      <w:pPr>
        <w:pStyle w:val="Style15"/>
        <w:keepNext w:val="0"/>
        <w:keepLines w:val="0"/>
        <w:widowControl w:val="0"/>
        <w:shd w:val="clear" w:color="auto" w:fill="auto"/>
        <w:tabs>
          <w:tab w:leader="dot" w:pos="9617" w:val="right"/>
        </w:tabs>
        <w:bidi w:val="0"/>
        <w:spacing w:before="0" w:line="240" w:lineRule="auto"/>
        <w:ind w:left="0" w:right="0" w:firstLine="0"/>
        <w:jc w:val="left"/>
        <w:rPr>
          <w:sz w:val="28"/>
          <w:szCs w:val="28"/>
        </w:rPr>
      </w:pPr>
      <w:hyperlink w:anchor="bookmark645" w:tooltip="Current Document">
        <w:r>
          <w:rPr>
            <w:color w:val="000000"/>
            <w:spacing w:val="0"/>
            <w:w w:val="100"/>
            <w:position w:val="0"/>
            <w:sz w:val="26"/>
            <w:szCs w:val="26"/>
          </w:rPr>
          <w:t>第十节财务报告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106</w:t>
        </w:r>
      </w:hyperlink>
      <w:r>
        <w:br w:type="page"/>
      </w:r>
      <w:r>
        <w:fldChar w:fldCharType="end"/>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证监会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公司、本公司、信息发展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上海信联信息发展股份有限公司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上海信联信息发展股份有限公司章程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上海信联信息发展股份有限公司股东大会</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上海信联信息发展股份有限公司董事会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上海信联信息发展股份有限公司监事会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人民币万元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报告期、本报告期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sz w:val="17"/>
                <w:szCs w:val="17"/>
              </w:rPr>
              <w:t>月</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期末、本期末、报告期末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交通通信集团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交通运输通信信息集团有限公司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交信北斗投资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交信北斗（嘉兴）股权投资有限公司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中信电子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上海中信电子发展有限公司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光典信息发展有限公司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光典北京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光典（北京）信息科技有限公司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信联智谷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上海信联智谷科技有限公司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追溯云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追溯云信息发展股份有限公司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追溯云信用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追溯云（上海）信用科技有限公司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智秾信息发展股份有限公司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信发资产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信发资产管理有限责任</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上海追索信息科技有限公司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交信北斗浙江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交信北斗（浙江）科技有限公司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交信北斗海南</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交信北斗（海南）科技有限公司</w:t>
            </w:r>
          </w:p>
        </w:tc>
      </w:tr>
      <w:tr>
        <w:trPr>
          <w:trHeight w:val="9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区块链</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利用块链式数据结构来验证与存储数据、利用分布式节点共识算法 来生成和更新数据、利用密码学的方式保证数据传输和访问的安全、 利用由自动化脚本代码组成的智能合约来编程和操作数据的一种全</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新的分布式基础架构与计算方式。</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由数量巨大、结构复杂、类型众多的数据构成的数据集合，是需要新 处理模式才能具有更强的决策力、洞察发现力和流程优化能力的海 量、高增长率和多样化的信息资产。</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软件即服务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Software as a Service</w:t>
            </w:r>
            <w:r>
              <w:rPr>
                <w:color w:val="000000"/>
                <w:spacing w:val="0"/>
                <w:w w:val="100"/>
                <w:position w:val="0"/>
                <w:sz w:val="17"/>
                <w:szCs w:val="17"/>
              </w:rPr>
              <w:t>)</w:t>
            </w:r>
            <w:r>
              <w:rPr>
                <w:color w:val="000000"/>
                <w:spacing w:val="0"/>
                <w:w w:val="100"/>
                <w:position w:val="0"/>
                <w:sz w:val="17"/>
                <w:szCs w:val="17"/>
              </w:rPr>
              <w:t>的英文缩写，是云计算模式 下 的应用软件服务模式。</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追溯</w:t>
            </w:r>
            <w:r>
              <w:rPr>
                <w:rFonts w:ascii="Times New Roman" w:eastAsia="Times New Roman" w:hAnsi="Times New Roman" w:cs="Times New Roman"/>
                <w:color w:val="000000"/>
                <w:spacing w:val="0"/>
                <w:w w:val="100"/>
                <w:position w:val="0"/>
              </w:rPr>
              <w:t>Inside</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追溯云公司提供的一种信息服务，是将追溯服务植入食品生产、加工、 流通、消费等食品安全追溯链条各环节中，实现可追溯食品的正向追 踪和反向溯源。</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安心检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追溯云公司提供的一种食品安全快检服务，通过在社区设立专业快 检实验中心，对蔬菜、生猪等消费量大、保质期短、食品安全风险相 对较高的食品和食用农产品开展集中式检测，对零售环节食品安全 进行管控，为居民提供食品安全保障。</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长三角联盟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长三角重要产品(区块链)追溯联盟的简称。是为贯彻党中央、国务 院关于长三角地区一体化发展的重要指示精神，在商务部、三省一 市商务主管部门指导下成立的非营利性社会组织。联盟旨在以国家 产业政策为指导，以市场为主导，以企业为主体，搭建江、浙、沪、 皖三省一市重要产品追溯的互联、互通、互认、互查平台，提 升长 三角区域重要产品追溯标准化、信息化、集约化和品牌化水平。</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安全可控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公司致力于研发和推广具有自主知识产权的信息系统，推出基于国 产自主、安全、可控的档案管理系统和监狱管理系统等，并与业内 众多国产芯片、服务器、操作系统、中间件、数据库等软硬厂商技 术合作，系统研发过程中充分与合作伙伴共同进行技术消化、吸收 再创新，构建广泛兼容、自主可控、安全可信、性能稳定、高效可 用的信息系统，目前已经逐步应用于相应的各级政府机关的信息系 统当中。</w:t>
            </w:r>
          </w:p>
        </w:tc>
      </w:tr>
      <w:tr>
        <w:trPr>
          <w:trHeight w:val="32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人工智能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人工智能(</w:t>
            </w:r>
            <w:r>
              <w:rPr>
                <w:rFonts w:ascii="Times New Roman" w:eastAsia="Times New Roman" w:hAnsi="Times New Roman" w:cs="Times New Roman"/>
                <w:color w:val="000000"/>
                <w:spacing w:val="0"/>
                <w:w w:val="100"/>
                <w:position w:val="0"/>
                <w:sz w:val="18"/>
                <w:szCs w:val="18"/>
              </w:rPr>
              <w:t>Artificiallntelligence</w:t>
            </w:r>
            <w:r>
              <w:rPr>
                <w:color w:val="000000"/>
                <w:spacing w:val="0"/>
                <w:w w:val="100"/>
                <w:position w:val="0"/>
                <w:sz w:val="17"/>
                <w:szCs w:val="17"/>
              </w:rPr>
              <w:t>)，英文缩写为</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w:t>
            </w:r>
            <w:r>
              <w:rPr>
                <w:color w:val="000000"/>
                <w:spacing w:val="0"/>
                <w:w w:val="100"/>
                <w:position w:val="0"/>
                <w:sz w:val="17"/>
                <w:szCs w:val="17"/>
              </w:rPr>
              <w:t>它是研究、开发用 于模拟、延伸和扩展人的智能的理论、方法、技术及应用系统的一门 新的技术科学。人工智能是计算机科学的一个分支，它企图了解智能 的实质，并生产出一种新的能以人类智能相似的方式做出反应的智能 机器，该领域的研究包括机器人、语言识别、图像识别、自然语言处 理和专家系统等。人工智能从诞生以来，理论和技术日益成熟，应用 领域也不断扩大，可以设想，未来人工智能带来的科技产品，将会是 人类智慧的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容器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。人工智能可以对人的意识、思维的信息过程进行 模拟。人工智能不是人的智能，但能像人那样思考、也可能超过人的 智能。</w:t>
            </w:r>
          </w:p>
        </w:tc>
      </w:tr>
      <w:tr>
        <w:trPr>
          <w:trHeight w:val="193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物联网</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物联网(英语：</w:t>
            </w:r>
            <w:r>
              <w:rPr>
                <w:rFonts w:ascii="Times New Roman" w:eastAsia="Times New Roman" w:hAnsi="Times New Roman" w:cs="Times New Roman"/>
                <w:color w:val="000000"/>
                <w:spacing w:val="0"/>
                <w:w w:val="100"/>
                <w:position w:val="0"/>
                <w:sz w:val="18"/>
                <w:szCs w:val="18"/>
              </w:rPr>
              <w:t>InternetofThings</w:t>
            </w:r>
            <w:r>
              <w:rPr>
                <w:color w:val="000000"/>
                <w:spacing w:val="0"/>
                <w:w w:val="100"/>
                <w:position w:val="0"/>
                <w:sz w:val="17"/>
                <w:szCs w:val="17"/>
              </w:rPr>
              <w:t>，</w:t>
            </w:r>
            <w:r>
              <w:rPr>
                <w:color w:val="000000"/>
                <w:spacing w:val="0"/>
                <w:w w:val="100"/>
                <w:position w:val="0"/>
                <w:sz w:val="17"/>
                <w:szCs w:val="17"/>
              </w:rPr>
              <w:t>缩写</w:t>
            </w:r>
            <w:r>
              <w:rPr>
                <w:rFonts w:ascii="Times New Roman" w:eastAsia="Times New Roman" w:hAnsi="Times New Roman" w:cs="Times New Roman"/>
                <w:color w:val="000000"/>
                <w:spacing w:val="0"/>
                <w:w w:val="100"/>
                <w:position w:val="0"/>
                <w:sz w:val="18"/>
                <w:szCs w:val="18"/>
              </w:rPr>
              <w:t>IoT</w:t>
            </w:r>
            <w:r>
              <w:rPr>
                <w:color w:val="000000"/>
                <w:spacing w:val="0"/>
                <w:w w:val="100"/>
                <w:position w:val="0"/>
                <w:sz w:val="17"/>
                <w:szCs w:val="17"/>
              </w:rPr>
              <w:t>)是互联网、传统电信网 等信息承载体，让所有能行使独立功能的普通物体实现互联互通的网 络。物联网一般为无线网，而由于每个人周围的设备可以达到一千至 五千个，所以物联网可能要包含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兆至一千兆个物体。在物联网上， 每个人都可以应用电子标签将真实的物体上网联结，在物联网上都可 以查出它们的具体位置。通过物联网可以用中心计算机对机器、设备、</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人员进行集中管理、控制，也可以对家庭设备、汽车进行遥控，以及 搜索位置、防止物品被盗等，类似自动化操控系统，同时透过收集这 些小事的数据，最后可以聚集成大数据，包含重新设计道路以减少车 祸、都市更新、灾害预测与犯罪防治、流行病控制等等社会的重大改 变，实现物和物相联。</w:t>
            </w:r>
          </w:p>
        </w:tc>
      </w:tr>
      <w:tr>
        <w:trPr>
          <w:trHeight w:val="197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是分布式计算的一种，指的是通过网络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将巨大的数据计算处理程 序分解成无数个小程序，然后，通过多部服务器组成的系统进行处理 和分析这些小程序得到结果并返回给用户。云计算早期，简单地说， 就是简单的分布式计算，解决任务分发，并进行计算结果的合并。因 而，云计算又称为网格计算。通过这项技术，可以在很短的时间内（几 秒钟）完成对数以万计的数据的处理，从而达到强大的网络服务。</w:t>
            </w:r>
          </w:p>
        </w:tc>
      </w:tr>
    </w:tbl>
    <w:p>
      <w:pPr>
        <w:sectPr>
          <w:footnotePr>
            <w:pos w:val="pageBottom"/>
            <w:numFmt w:val="decimal"/>
            <w:numRestart w:val="continuous"/>
          </w:footnotePr>
          <w:pgSz w:w="11900" w:h="16840"/>
          <w:pgMar w:top="1441" w:right="1133" w:bottom="1551" w:left="1085" w:header="0" w:footer="3" w:gutter="0"/>
          <w:cols w:space="720"/>
          <w:noEndnote/>
          <w:rtlGutter w:val="0"/>
          <w:docGrid w:linePitch="360"/>
        </w:sectPr>
      </w:pPr>
    </w:p>
    <w:p>
      <w:pPr>
        <w:pStyle w:val="Style10"/>
        <w:keepNext/>
        <w:keepLines/>
        <w:widowControl w:val="0"/>
        <w:shd w:val="clear" w:color="auto" w:fill="auto"/>
        <w:bidi w:val="0"/>
        <w:spacing w:before="48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2"/>
        <w:keepNext/>
        <w:keepLines/>
        <w:widowControl w:val="0"/>
        <w:shd w:val="clear" w:color="auto" w:fill="auto"/>
        <w:bidi w:val="0"/>
        <w:spacing w:before="0" w:after="32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rPr>
        <w:t>、公司信息</w:t>
      </w:r>
      <w:bookmarkEnd w:id="10"/>
      <w:bookmarkEnd w:id="8"/>
      <w:bookmarkEnd w:id="9"/>
      <w:bookmarkEnd w:id="7"/>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947" w:val="left"/>
                <w:tab w:pos="5107" w:val="left"/>
              </w:tabs>
              <w:bidi w:val="0"/>
              <w:spacing w:before="0" w:after="0" w:line="240" w:lineRule="auto"/>
              <w:ind w:left="0" w:right="0" w:firstLine="0"/>
              <w:jc w:val="left"/>
            </w:pPr>
            <w:r>
              <w:rPr>
                <w:color w:val="000000"/>
                <w:spacing w:val="0"/>
                <w:w w:val="100"/>
                <w:position w:val="0"/>
                <w:sz w:val="17"/>
                <w:szCs w:val="17"/>
              </w:rPr>
              <w:t>信息发展</w:t>
              <w:tab/>
              <w:t>股票代码</w:t>
              <w:tab/>
            </w:r>
            <w:r>
              <w:rPr>
                <w:rFonts w:ascii="Times New Roman" w:eastAsia="Times New Roman" w:hAnsi="Times New Roman" w:cs="Times New Roman"/>
                <w:color w:val="000000"/>
                <w:spacing w:val="0"/>
                <w:w w:val="100"/>
                <w:position w:val="0"/>
              </w:rPr>
              <w:t>300469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上海信联信息发展股份有限公司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信息发展</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TRUST ALLIANCE INFORMATION DEVELOPMENT INC.LTD.SHANGHAI</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CES</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上海市静安区江场三路</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201620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上海市静安区昌平路</w:t>
            </w:r>
            <w:r>
              <w:rPr>
                <w:rFonts w:ascii="Times New Roman" w:eastAsia="Times New Roman" w:hAnsi="Times New Roman" w:cs="Times New Roman"/>
                <w:color w:val="000000"/>
                <w:spacing w:val="0"/>
                <w:w w:val="100"/>
                <w:position w:val="0"/>
                <w:sz w:val="18"/>
                <w:szCs w:val="18"/>
              </w:rPr>
              <w:t>710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302</w:t>
            </w:r>
            <w:r>
              <w:rPr>
                <w:color w:val="000000"/>
                <w:spacing w:val="0"/>
                <w:w w:val="100"/>
                <w:position w:val="0"/>
                <w:sz w:val="17"/>
                <w:szCs w:val="17"/>
              </w:rPr>
              <w:t>室</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上海市中江路</w:t>
            </w:r>
            <w:r>
              <w:rPr>
                <w:rFonts w:ascii="Times New Roman" w:eastAsia="Times New Roman" w:hAnsi="Times New Roman" w:cs="Times New Roman"/>
                <w:color w:val="000000"/>
                <w:spacing w:val="0"/>
                <w:w w:val="100"/>
                <w:position w:val="0"/>
                <w:sz w:val="18"/>
                <w:szCs w:val="18"/>
              </w:rPr>
              <w:t>879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号楼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200333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cesgroup.com.cn</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"mailto:ir@cesgroup.com" </w:instrText>
            </w:r>
            <w:r>
              <w:fldChar w:fldCharType="separate"/>
            </w:r>
            <w:r>
              <w:rPr>
                <w:rFonts w:ascii="Times New Roman" w:eastAsia="Times New Roman" w:hAnsi="Times New Roman" w:cs="Times New Roman"/>
                <w:color w:val="000000"/>
                <w:spacing w:val="0"/>
                <w:w w:val="100"/>
                <w:position w:val="0"/>
              </w:rPr>
              <w:t>ir@cesgroup.com</w:t>
            </w:r>
            <w:r>
              <w:fldChar w:fldCharType="end"/>
            </w:r>
            <w:r>
              <w:rPr>
                <w:rFonts w:ascii="Times New Roman" w:eastAsia="Times New Roman" w:hAnsi="Times New Roman" w:cs="Times New Roman"/>
                <w:color w:val="000000"/>
                <w:spacing w:val="0"/>
                <w:w w:val="100"/>
                <w:position w:val="0"/>
              </w:rPr>
              <w:t>. cn</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徐云蔚</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上海市中江路</w:t>
            </w:r>
            <w:r>
              <w:rPr>
                <w:rFonts w:ascii="Times New Roman" w:eastAsia="Times New Roman" w:hAnsi="Times New Roman" w:cs="Times New Roman"/>
                <w:color w:val="000000"/>
                <w:spacing w:val="0"/>
                <w:w w:val="100"/>
                <w:position w:val="0"/>
                <w:sz w:val="18"/>
                <w:szCs w:val="18"/>
              </w:rPr>
              <w:t>879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号楼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021-51202125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021-51208285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"mailto:ir@cesgroup.com" </w:instrText>
            </w:r>
            <w:r>
              <w:fldChar w:fldCharType="separate"/>
            </w:r>
            <w:r>
              <w:rPr>
                <w:rFonts w:ascii="Times New Roman" w:eastAsia="Times New Roman" w:hAnsi="Times New Roman" w:cs="Times New Roman"/>
                <w:color w:val="000000"/>
                <w:spacing w:val="0"/>
                <w:w w:val="100"/>
                <w:position w:val="0"/>
              </w:rPr>
              <w:t>ir@cesgroup.com</w:t>
            </w:r>
            <w:r>
              <w:fldChar w:fldCharType="end"/>
            </w:r>
            <w:r>
              <w:rPr>
                <w:rFonts w:ascii="Times New Roman" w:eastAsia="Times New Roman" w:hAnsi="Times New Roman" w:cs="Times New Roman"/>
                <w:color w:val="000000"/>
                <w:spacing w:val="0"/>
                <w:w w:val="100"/>
                <w:position w:val="0"/>
              </w:rPr>
              <w:t>. cn</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巨潮资讯网、《证券时报》、《中国证券报》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董事会办公室</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、其他有关资料</w:t>
      </w:r>
      <w:bookmarkEnd w:id="19"/>
      <w:bookmarkEnd w:id="20"/>
      <w:bookmarkEnd w:id="22"/>
    </w:p>
    <w:p>
      <w:pPr>
        <w:pStyle w:val="Style24"/>
        <w:keepNext w:val="0"/>
        <w:keepLines w:val="0"/>
        <w:widowControl w:val="0"/>
        <w:shd w:val="clear" w:color="auto" w:fill="auto"/>
        <w:bidi w:val="0"/>
        <w:spacing w:before="0" w:after="320" w:line="240" w:lineRule="auto"/>
        <w:ind w:left="0" w:right="0" w:firstLine="0"/>
        <w:jc w:val="left"/>
        <w:rPr>
          <w:sz w:val="17"/>
          <w:szCs w:val="17"/>
        </w:rPr>
      </w:pPr>
      <w:r>
        <w:rPr>
          <w:color w:val="000000"/>
          <w:spacing w:val="0"/>
          <w:w w:val="100"/>
          <w:position w:val="0"/>
          <w:sz w:val="17"/>
          <w:szCs w:val="17"/>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立信会计事务所（特殊普通合伙）</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任家虎、吴海燕</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公司聘请的报告期内履行持续督导职责的保荐机构</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公司聘请的报告期内履行持续督导职责的财务顾问</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、主要会计数据和财务指标</w:t>
      </w:r>
      <w:bookmarkEnd w:id="23"/>
      <w:bookmarkEnd w:id="24"/>
      <w:bookmarkEnd w:id="26"/>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公司是否需追溯调整或重述以前年度会计数据</w:t>
      </w:r>
    </w:p>
    <w:p>
      <w:pPr>
        <w:pStyle w:val="Style24"/>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tbl>
      <w:tblPr>
        <w:tblOverlap w:val="never"/>
        <w:jc w:val="center"/>
        <w:tblLayout w:type="fixed"/>
      </w:tblPr>
      <w:tblGrid>
        <w:gridCol w:w="2621"/>
        <w:gridCol w:w="1742"/>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421,887,031.72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571,998,524.56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640,198,270.89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-80,519,784.68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-63,858,650.62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-150,581,542.58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-126,081,753.81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-77,894,145.25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-61.86%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-172,588,079.58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38,760,520.99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24,459,598.36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-25,630,675.04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977,891,265.89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1,033,380,890.06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1,311,478,196.75</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152,816,962.66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235,237,473.58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305,814,708.30</w:t>
            </w:r>
          </w:p>
        </w:tc>
      </w:tr>
    </w:tbl>
    <w:p>
      <w:pPr>
        <w:pStyle w:val="Style24"/>
        <w:keepNext w:val="0"/>
        <w:keepLines w:val="0"/>
        <w:widowControl w:val="0"/>
        <w:shd w:val="clear" w:color="auto" w:fill="auto"/>
        <w:bidi w:val="0"/>
        <w:spacing w:before="0" w:after="140" w:line="317" w:lineRule="exact"/>
        <w:ind w:left="0" w:right="0" w:firstLine="0"/>
        <w:jc w:val="left"/>
        <w:rPr>
          <w:sz w:val="17"/>
          <w:szCs w:val="17"/>
        </w:rPr>
      </w:pPr>
      <w:r>
        <w:rPr>
          <w:color w:val="000000"/>
          <w:spacing w:val="0"/>
          <w:w w:val="100"/>
          <w:position w:val="0"/>
          <w:sz w:val="17"/>
          <w:szCs w:val="17"/>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4"/>
        <w:keepNext w:val="0"/>
        <w:keepLines w:val="0"/>
        <w:widowControl w:val="0"/>
        <w:shd w:val="clear" w:color="auto" w:fill="auto"/>
        <w:bidi w:val="0"/>
        <w:spacing w:before="0" w:after="140" w:line="317" w:lineRule="exact"/>
        <w:ind w:left="0" w:right="0" w:firstLine="0"/>
        <w:jc w:val="left"/>
        <w:rPr>
          <w:sz w:val="17"/>
          <w:szCs w:val="17"/>
        </w:rPr>
      </w:pPr>
      <w:r>
        <w:rPr>
          <w:color w:val="000000"/>
          <w:spacing w:val="0"/>
          <w:w w:val="100"/>
          <w:position w:val="0"/>
          <w:sz w:val="17"/>
          <w:szCs w:val="17"/>
        </w:rPr>
        <w:t>扣除非经常损益前后的净利润孰低者为负值</w:t>
      </w:r>
    </w:p>
    <w:p>
      <w:pPr>
        <w:pStyle w:val="Style24"/>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421,887,031.72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571,998,524.56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421,887,031.72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571,998,524.56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r>
    </w:tbl>
    <w:p>
      <w:pPr>
        <w:spacing w:lineRule="exact" w:line="1"/>
        <w:rPr>
          <w:sz w:val="2"/>
          <w:szCs w:val="2"/>
        </w:rPr>
      </w:pPr>
      <w:r>
        <w:br w:type="page"/>
      </w:r>
    </w:p>
    <w:p>
      <w:pPr>
        <w:pStyle w:val="Style22"/>
        <w:keepNext/>
        <w:keepLines/>
        <w:widowControl w:val="0"/>
        <w:shd w:val="clear" w:color="auto" w:fill="auto"/>
        <w:bidi w:val="0"/>
        <w:spacing w:before="0" w:after="38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、分季度主要财务指标</w:t>
      </w:r>
      <w:bookmarkEnd w:id="27"/>
      <w:bookmarkEnd w:id="28"/>
      <w:bookmarkEnd w:id="30"/>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74,044,956.45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93,912,842.69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143,062,932.65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110,866,299.93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-24,091,523.02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14,959,383.63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-7,667,152.67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-63,720,492.62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-25,592,385.91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-17,410,973.25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-13,386,606.27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-69,691,788.38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-69,162,182.30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10,920,302.28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-21,215,752.77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118,218,153.78</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8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2"/>
        <w:keepNext/>
        <w:keepLines/>
        <w:widowControl w:val="0"/>
        <w:shd w:val="clear" w:color="auto" w:fill="auto"/>
        <w:tabs>
          <w:tab w:pos="522" w:val="left"/>
        </w:tabs>
        <w:bidi w:val="0"/>
        <w:spacing w:before="0" w:after="38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28"/>
        <w:keepNext/>
        <w:keepLines/>
        <w:widowControl w:val="0"/>
        <w:shd w:val="clear" w:color="auto" w:fill="auto"/>
        <w:tabs>
          <w:tab w:pos="395" w:val="left"/>
        </w:tabs>
        <w:bidi w:val="0"/>
        <w:spacing w:before="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4"/>
        <w:keepNext w:val="0"/>
        <w:keepLines w:val="0"/>
        <w:widowControl w:val="0"/>
        <w:shd w:val="clear" w:color="auto" w:fill="auto"/>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公司报告期不存在按照国际会计准则与按照中国会计准则披露的财务报告中净利润和净资产差异情况。</w:t>
      </w:r>
    </w:p>
    <w:p>
      <w:pPr>
        <w:pStyle w:val="Style28"/>
        <w:keepNext/>
        <w:keepLines/>
        <w:widowControl w:val="0"/>
        <w:shd w:val="clear" w:color="auto" w:fill="auto"/>
        <w:tabs>
          <w:tab w:pos="395"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4"/>
        <w:keepNext w:val="0"/>
        <w:keepLines w:val="0"/>
        <w:widowControl w:val="0"/>
        <w:shd w:val="clear" w:color="auto" w:fill="auto"/>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38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非经常性损益项目及金额</w:t>
      </w:r>
      <w:bookmarkEnd w:id="43"/>
      <w:bookmarkEnd w:id="44"/>
      <w:bookmarkEnd w:id="46"/>
    </w:p>
    <w:p>
      <w:pPr>
        <w:pStyle w:val="Style24"/>
        <w:keepNext w:val="0"/>
        <w:keepLines w:val="0"/>
        <w:widowControl w:val="0"/>
        <w:shd w:val="clear" w:color="auto" w:fill="auto"/>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不适用</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44,160.85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111,689.43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8,679,209.61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49,830,187.03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10,654,524.53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18,006,762.08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4,721,062.87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226,405.13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-1,224,855.53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-1,241,159.26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-777,507.16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2,867,820.29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2,185,967.83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9,245,259.19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1,953,427.64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3,796,849.25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2,816,084.32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443,163.13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331,483.41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45,561,969.13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14,035,494.63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22,006,537.00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140" w:line="322" w:lineRule="exact"/>
        <w:ind w:left="0" w:right="0" w:firstLine="0"/>
        <w:jc w:val="both"/>
        <w:rPr>
          <w:sz w:val="17"/>
          <w:szCs w:val="17"/>
        </w:rPr>
      </w:pPr>
      <w:r>
        <w:rPr>
          <w:color w:val="000000"/>
          <w:spacing w:val="0"/>
          <w:w w:val="100"/>
          <w:position w:val="0"/>
          <w:sz w:val="17"/>
          <w:szCs w:val="17"/>
        </w:rPr>
        <w:t>其他符合非经常性损益定义的损益项目的具体情况：</w:t>
      </w:r>
    </w:p>
    <w:p>
      <w:pPr>
        <w:pStyle w:val="Style24"/>
        <w:keepNext w:val="0"/>
        <w:keepLines w:val="0"/>
        <w:widowControl w:val="0"/>
        <w:shd w:val="clear" w:color="auto" w:fill="auto"/>
        <w:bidi w:val="0"/>
        <w:spacing w:before="0" w:after="0" w:line="374"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公司不存在其他符合非经常性损益定义的损益项目的具体情况。</w:t>
      </w:r>
    </w:p>
    <w:p>
      <w:pPr>
        <w:pStyle w:val="Style24"/>
        <w:keepNext w:val="0"/>
        <w:keepLines w:val="0"/>
        <w:widowControl w:val="0"/>
        <w:shd w:val="clear" w:color="auto" w:fill="auto"/>
        <w:bidi w:val="0"/>
        <w:spacing w:before="0" w:after="140" w:line="322" w:lineRule="exact"/>
        <w:ind w:left="0" w:right="0" w:firstLine="0"/>
        <w:jc w:val="both"/>
        <w:rPr>
          <w:sz w:val="17"/>
          <w:szCs w:val="17"/>
        </w:rPr>
      </w:pPr>
      <w:r>
        <w:rPr>
          <w:color w:val="000000"/>
          <w:spacing w:val="0"/>
          <w:w w:val="100"/>
          <w:position w:val="0"/>
          <w:sz w:val="17"/>
          <w:szCs w:val="17"/>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号一非经常性损益》中列举的非经常性损益项目界定为经常性损益项目 的情况说明</w:t>
      </w:r>
    </w:p>
    <w:p>
      <w:pPr>
        <w:pStyle w:val="Style24"/>
        <w:keepNext w:val="0"/>
        <w:keepLines w:val="0"/>
        <w:widowControl w:val="0"/>
        <w:shd w:val="clear" w:color="auto" w:fill="auto"/>
        <w:bidi w:val="0"/>
        <w:spacing w:before="0" w:after="0" w:line="374"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317" w:lineRule="exact"/>
        <w:ind w:left="0" w:right="0" w:firstLine="0"/>
        <w:jc w:val="both"/>
        <w:rPr>
          <w:sz w:val="17"/>
          <w:szCs w:val="17"/>
        </w:rPr>
        <w:sectPr>
          <w:footnotePr>
            <w:pos w:val="pageBottom"/>
            <w:numFmt w:val="decimal"/>
            <w:numRestart w:val="continuous"/>
          </w:footnotePr>
          <w:pgSz w:w="11900" w:h="16840"/>
          <w:pgMar w:top="1441" w:right="1124" w:bottom="1494" w:left="1090" w:header="0" w:footer="3" w:gutter="0"/>
          <w:cols w:space="720"/>
          <w:noEndnote/>
          <w:rtlGutter w:val="0"/>
          <w:docGrid w:linePitch="360"/>
        </w:sectPr>
      </w:pPr>
      <w:r>
        <w:rPr>
          <w:color w:val="000000"/>
          <w:spacing w:val="0"/>
          <w:w w:val="100"/>
          <w:position w:val="0"/>
          <w:sz w:val="17"/>
          <w:szCs w:val="17"/>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r>
        <w:rPr>
          <w:color w:val="000000"/>
          <w:spacing w:val="0"/>
          <w:w w:val="100"/>
          <w:position w:val="0"/>
          <w:sz w:val="18"/>
          <w:szCs w:val="18"/>
        </w:rPr>
        <w:t>一一</w:t>
      </w:r>
      <w:r>
        <w:rPr>
          <w:color w:val="000000"/>
          <w:spacing w:val="0"/>
          <w:w w:val="100"/>
          <w:position w:val="0"/>
          <w:sz w:val="17"/>
          <w:szCs w:val="17"/>
        </w:rPr>
        <w:t>非经常性损益》中列举的非经常性损益项目界定 为经常性损益的项目的情形。</w:t>
      </w:r>
    </w:p>
    <w:p>
      <w:pPr>
        <w:pStyle w:val="Style10"/>
        <w:keepNext/>
        <w:keepLines/>
        <w:widowControl w:val="0"/>
        <w:shd w:val="clear" w:color="auto" w:fill="auto"/>
        <w:bidi w:val="0"/>
        <w:spacing w:line="240" w:lineRule="auto"/>
        <w:ind w:left="0" w:right="0" w:firstLine="0"/>
        <w:jc w:val="center"/>
      </w:pPr>
      <w:bookmarkStart w:id="47" w:name="bookmark47"/>
      <w:bookmarkStart w:id="48" w:name="bookmark48"/>
      <w:bookmarkStart w:id="49" w:name="bookmark49"/>
      <w:r>
        <w:rPr>
          <w:color w:val="000000"/>
          <w:spacing w:val="0"/>
          <w:w w:val="100"/>
          <w:position w:val="0"/>
        </w:rPr>
        <w:t>第三节管理层讨论与分析</w:t>
      </w:r>
      <w:bookmarkEnd w:id="47"/>
      <w:bookmarkEnd w:id="48"/>
      <w:bookmarkEnd w:id="49"/>
    </w:p>
    <w:p>
      <w:pPr>
        <w:pStyle w:val="Style22"/>
        <w:keepNext/>
        <w:keepLines/>
        <w:widowControl w:val="0"/>
        <w:shd w:val="clear" w:color="auto" w:fill="auto"/>
        <w:tabs>
          <w:tab w:pos="480" w:val="left"/>
        </w:tabs>
        <w:bidi w:val="0"/>
        <w:spacing w:before="0" w:after="280" w:line="240" w:lineRule="auto"/>
        <w:ind w:left="0" w:right="0" w:firstLine="0"/>
        <w:jc w:val="left"/>
      </w:pPr>
      <w:bookmarkStart w:id="50" w:name="bookmark50"/>
      <w:bookmarkStart w:id="51" w:name="bookmark51"/>
      <w:bookmarkStart w:id="52" w:name="bookmark52"/>
      <w:bookmarkStart w:id="53" w:name="bookmark53"/>
      <w:bookmarkStart w:id="54" w:name="bookmark54"/>
      <w:r>
        <w:rPr>
          <w:color w:val="000000"/>
          <w:spacing w:val="0"/>
          <w:w w:val="100"/>
          <w:position w:val="0"/>
        </w:rPr>
        <w:t>一</w:t>
      </w:r>
      <w:bookmarkEnd w:id="53"/>
      <w:r>
        <w:rPr>
          <w:color w:val="000000"/>
          <w:spacing w:val="0"/>
          <w:w w:val="100"/>
          <w:position w:val="0"/>
        </w:rPr>
        <w:t>、</w:t>
        <w:tab/>
        <w:t>报告期内公司所处行业情况</w:t>
      </w:r>
      <w:bookmarkEnd w:id="51"/>
      <w:bookmarkEnd w:id="52"/>
      <w:bookmarkEnd w:id="54"/>
      <w:bookmarkEnd w:id="50"/>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 xml:space="preserve">的披露要求 </w:t>
      </w:r>
      <w:r>
        <w:rPr>
          <w:spacing w:val="0"/>
          <w:w w:val="100"/>
          <w:position w:val="0"/>
        </w:rPr>
        <w:t>根据《国民经济行业分类》，公司属于软件和信息技术服务业。</w:t>
      </w:r>
      <w:r>
        <w:rPr>
          <w:rFonts w:ascii="Times New Roman" w:eastAsia="Times New Roman" w:hAnsi="Times New Roman" w:cs="Times New Roman"/>
          <w:spacing w:val="0"/>
          <w:w w:val="100"/>
          <w:position w:val="0"/>
          <w:sz w:val="19"/>
          <w:szCs w:val="19"/>
        </w:rPr>
        <w:t>2021</w:t>
      </w:r>
      <w:r>
        <w:rPr>
          <w:spacing w:val="0"/>
          <w:w w:val="100"/>
          <w:position w:val="0"/>
        </w:rPr>
        <w:t>年，中国共产党在接续奋斗中迎来百年华诞，</w:t>
      </w:r>
      <w:r>
        <w:rPr>
          <w:rFonts w:ascii="Times New Roman" w:eastAsia="Times New Roman" w:hAnsi="Times New Roman" w:cs="Times New Roman"/>
          <w:spacing w:val="0"/>
          <w:w w:val="100"/>
          <w:position w:val="0"/>
          <w:sz w:val="19"/>
          <w:szCs w:val="19"/>
        </w:rPr>
        <w:t>“</w:t>
      </w:r>
      <w:r>
        <w:rPr>
          <w:spacing w:val="0"/>
          <w:w w:val="100"/>
          <w:position w:val="0"/>
        </w:rPr>
        <w:t>两 个一百年</w:t>
      </w:r>
      <w:r>
        <w:rPr>
          <w:rFonts w:ascii="Times New Roman" w:eastAsia="Times New Roman" w:hAnsi="Times New Roman" w:cs="Times New Roman"/>
          <w:spacing w:val="0"/>
          <w:w w:val="100"/>
          <w:position w:val="0"/>
          <w:sz w:val="19"/>
          <w:szCs w:val="19"/>
        </w:rPr>
        <w:t>”</w:t>
      </w:r>
      <w:r>
        <w:rPr>
          <w:spacing w:val="0"/>
          <w:w w:val="100"/>
          <w:position w:val="0"/>
        </w:rPr>
        <w:t>在此交汇；这一年，是</w:t>
      </w:r>
      <w:r>
        <w:rPr>
          <w:rFonts w:ascii="Times New Roman" w:eastAsia="Times New Roman" w:hAnsi="Times New Roman" w:cs="Times New Roman"/>
          <w:spacing w:val="0"/>
          <w:w w:val="100"/>
          <w:position w:val="0"/>
          <w:sz w:val="19"/>
          <w:szCs w:val="19"/>
        </w:rPr>
        <w:t>“</w:t>
      </w:r>
      <w:r>
        <w:rPr>
          <w:spacing w:val="0"/>
          <w:w w:val="100"/>
          <w:position w:val="0"/>
        </w:rPr>
        <w:t>十四五</w:t>
      </w:r>
      <w:r>
        <w:rPr>
          <w:rFonts w:ascii="Times New Roman" w:eastAsia="Times New Roman" w:hAnsi="Times New Roman" w:cs="Times New Roman"/>
          <w:spacing w:val="0"/>
          <w:w w:val="100"/>
          <w:position w:val="0"/>
          <w:sz w:val="19"/>
          <w:szCs w:val="19"/>
        </w:rPr>
        <w:t>”</w:t>
      </w:r>
      <w:r>
        <w:rPr>
          <w:spacing w:val="0"/>
          <w:w w:val="100"/>
          <w:position w:val="0"/>
        </w:rPr>
        <w:t>规划开局之年，也是奔向</w:t>
      </w:r>
      <w:r>
        <w:rPr>
          <w:rFonts w:ascii="Times New Roman" w:eastAsia="Times New Roman" w:hAnsi="Times New Roman" w:cs="Times New Roman"/>
          <w:spacing w:val="0"/>
          <w:w w:val="100"/>
          <w:position w:val="0"/>
          <w:sz w:val="19"/>
          <w:szCs w:val="19"/>
        </w:rPr>
        <w:t>2035</w:t>
      </w:r>
      <w:r>
        <w:rPr>
          <w:spacing w:val="0"/>
          <w:w w:val="100"/>
          <w:position w:val="0"/>
        </w:rPr>
        <w:t>年远景目标的新起点。本年</w:t>
      </w:r>
      <w:r>
        <w:rPr>
          <w:rFonts w:ascii="Times New Roman" w:eastAsia="Times New Roman" w:hAnsi="Times New Roman" w:cs="Times New Roman"/>
          <w:spacing w:val="0"/>
          <w:w w:val="100"/>
          <w:position w:val="0"/>
          <w:sz w:val="19"/>
          <w:szCs w:val="19"/>
        </w:rPr>
        <w:t>3</w:t>
      </w:r>
      <w:r>
        <w:rPr>
          <w:spacing w:val="0"/>
          <w:w w:val="100"/>
          <w:position w:val="0"/>
        </w:rPr>
        <w:t>月第十三届全国 人民代表大会第四次会议审查了国务院提出的《中华人民共和国国民经济和社会发展第十四个五年规划和</w:t>
      </w:r>
      <w:r>
        <w:rPr>
          <w:rFonts w:ascii="Times New Roman" w:eastAsia="Times New Roman" w:hAnsi="Times New Roman" w:cs="Times New Roman"/>
          <w:spacing w:val="0"/>
          <w:w w:val="100"/>
          <w:position w:val="0"/>
          <w:sz w:val="19"/>
          <w:szCs w:val="19"/>
        </w:rPr>
        <w:t>2035</w:t>
      </w:r>
      <w:r>
        <w:rPr>
          <w:spacing w:val="0"/>
          <w:w w:val="100"/>
          <w:position w:val="0"/>
        </w:rPr>
        <w:t>年远景 目标纲要（草案）》，会议同意全国人民代表大会财政经济委员会的审查结果报告，决定批准这个规划纲要，纲要第 五篇提出：加快数字化发展建设数字中国。迎接数字时代，激活数据要素潜能，推进网络强国建设，加快建设数字 经济、数字社会、数字政府，以数字化转型整体驱动生产方式、生活方式和治理方式变革。实施</w:t>
      </w:r>
      <w:r>
        <w:rPr>
          <w:rFonts w:ascii="Times New Roman" w:eastAsia="Times New Roman" w:hAnsi="Times New Roman" w:cs="Times New Roman"/>
          <w:spacing w:val="0"/>
          <w:w w:val="100"/>
          <w:position w:val="0"/>
          <w:sz w:val="19"/>
          <w:szCs w:val="19"/>
        </w:rPr>
        <w:t>“</w:t>
      </w:r>
      <w:r>
        <w:rPr>
          <w:spacing w:val="0"/>
          <w:w w:val="100"/>
          <w:position w:val="0"/>
        </w:rPr>
        <w:t>上云用数赋智</w:t>
      </w:r>
      <w:r>
        <w:rPr>
          <w:rFonts w:ascii="Times New Roman" w:eastAsia="Times New Roman" w:hAnsi="Times New Roman" w:cs="Times New Roman"/>
          <w:spacing w:val="0"/>
          <w:w w:val="100"/>
          <w:position w:val="0"/>
          <w:sz w:val="19"/>
          <w:szCs w:val="19"/>
        </w:rPr>
        <w:t>”</w:t>
      </w:r>
      <w:r>
        <w:rPr>
          <w:spacing w:val="0"/>
          <w:w w:val="100"/>
          <w:position w:val="0"/>
        </w:rPr>
        <w:t>行动， 推动数据赋能全产业链协同转型。</w:t>
      </w:r>
    </w:p>
    <w:p>
      <w:pPr>
        <w:pStyle w:val="Style24"/>
        <w:keepNext w:val="0"/>
        <w:keepLines w:val="0"/>
        <w:widowControl w:val="0"/>
        <w:shd w:val="clear" w:color="auto" w:fill="auto"/>
        <w:bidi w:val="0"/>
        <w:spacing w:before="0" w:after="0" w:line="315" w:lineRule="exact"/>
        <w:ind w:left="0" w:right="0" w:firstLine="0"/>
        <w:jc w:val="left"/>
      </w:pPr>
      <w:r>
        <w:rPr>
          <w:spacing w:val="0"/>
          <w:w w:val="100"/>
          <w:position w:val="0"/>
        </w:rPr>
        <w:t>依照以上纲要，工信部先后发布《</w:t>
      </w:r>
      <w:r>
        <w:rPr>
          <w:rFonts w:ascii="Times New Roman" w:eastAsia="Times New Roman" w:hAnsi="Times New Roman" w:cs="Times New Roman"/>
          <w:spacing w:val="0"/>
          <w:w w:val="100"/>
          <w:position w:val="0"/>
          <w:sz w:val="19"/>
          <w:szCs w:val="19"/>
        </w:rPr>
        <w:t>“</w:t>
      </w:r>
      <w:r>
        <w:rPr>
          <w:spacing w:val="0"/>
          <w:w w:val="100"/>
          <w:position w:val="0"/>
        </w:rPr>
        <w:t>十四五</w:t>
      </w:r>
      <w:r>
        <w:rPr>
          <w:rFonts w:ascii="Times New Roman" w:eastAsia="Times New Roman" w:hAnsi="Times New Roman" w:cs="Times New Roman"/>
          <w:spacing w:val="0"/>
          <w:w w:val="100"/>
          <w:position w:val="0"/>
          <w:sz w:val="19"/>
          <w:szCs w:val="19"/>
        </w:rPr>
        <w:t>”</w:t>
      </w:r>
      <w:r>
        <w:rPr>
          <w:spacing w:val="0"/>
          <w:w w:val="100"/>
          <w:position w:val="0"/>
        </w:rPr>
        <w:t>大数据产业发展规划》、《</w:t>
      </w:r>
      <w:r>
        <w:rPr>
          <w:rFonts w:ascii="Times New Roman" w:eastAsia="Times New Roman" w:hAnsi="Times New Roman" w:cs="Times New Roman"/>
          <w:spacing w:val="0"/>
          <w:w w:val="100"/>
          <w:position w:val="0"/>
          <w:sz w:val="19"/>
          <w:szCs w:val="19"/>
        </w:rPr>
        <w:t>“</w:t>
      </w:r>
      <w:r>
        <w:rPr>
          <w:spacing w:val="0"/>
          <w:w w:val="100"/>
          <w:position w:val="0"/>
        </w:rPr>
        <w:t>十四五</w:t>
      </w:r>
      <w:r>
        <w:rPr>
          <w:rFonts w:ascii="Times New Roman" w:eastAsia="Times New Roman" w:hAnsi="Times New Roman" w:cs="Times New Roman"/>
          <w:spacing w:val="0"/>
          <w:w w:val="100"/>
          <w:position w:val="0"/>
          <w:sz w:val="19"/>
          <w:szCs w:val="19"/>
        </w:rPr>
        <w:t>”</w:t>
      </w:r>
      <w:r>
        <w:rPr>
          <w:spacing w:val="0"/>
          <w:w w:val="100"/>
          <w:position w:val="0"/>
        </w:rPr>
        <w:t>软件和信息技术服务业发展规划》。</w:t>
      </w:r>
    </w:p>
    <w:p>
      <w:pPr>
        <w:pStyle w:val="Style24"/>
        <w:keepNext w:val="0"/>
        <w:keepLines w:val="0"/>
        <w:widowControl w:val="0"/>
        <w:shd w:val="clear" w:color="auto" w:fill="auto"/>
        <w:bidi w:val="0"/>
        <w:spacing w:before="0" w:after="0" w:line="315" w:lineRule="exact"/>
        <w:ind w:left="0" w:right="0" w:firstLine="0"/>
        <w:jc w:val="left"/>
      </w:pPr>
      <w:r>
        <w:rPr>
          <w:spacing w:val="0"/>
          <w:w w:val="100"/>
          <w:position w:val="0"/>
        </w:rPr>
        <w:t>《</w:t>
      </w:r>
      <w:r>
        <w:rPr>
          <w:rFonts w:ascii="Times New Roman" w:eastAsia="Times New Roman" w:hAnsi="Times New Roman" w:cs="Times New Roman"/>
          <w:spacing w:val="0"/>
          <w:w w:val="100"/>
          <w:position w:val="0"/>
          <w:sz w:val="19"/>
          <w:szCs w:val="19"/>
        </w:rPr>
        <w:t>“</w:t>
      </w:r>
      <w:r>
        <w:rPr>
          <w:spacing w:val="0"/>
          <w:w w:val="100"/>
          <w:position w:val="0"/>
        </w:rPr>
        <w:t>十四五</w:t>
      </w:r>
      <w:r>
        <w:rPr>
          <w:rFonts w:ascii="Times New Roman" w:eastAsia="Times New Roman" w:hAnsi="Times New Roman" w:cs="Times New Roman"/>
          <w:spacing w:val="0"/>
          <w:w w:val="100"/>
          <w:position w:val="0"/>
          <w:sz w:val="19"/>
          <w:szCs w:val="19"/>
        </w:rPr>
        <w:t>”</w:t>
      </w:r>
      <w:r>
        <w:rPr>
          <w:spacing w:val="0"/>
          <w:w w:val="100"/>
          <w:position w:val="0"/>
        </w:rPr>
        <w:t>大数据产业发展规划》中指出到</w:t>
      </w:r>
      <w:r>
        <w:rPr>
          <w:rFonts w:ascii="Times New Roman" w:eastAsia="Times New Roman" w:hAnsi="Times New Roman" w:cs="Times New Roman"/>
          <w:spacing w:val="0"/>
          <w:w w:val="100"/>
          <w:position w:val="0"/>
          <w:sz w:val="19"/>
          <w:szCs w:val="19"/>
        </w:rPr>
        <w:t>2025</w:t>
      </w:r>
      <w:r>
        <w:rPr>
          <w:spacing w:val="0"/>
          <w:w w:val="100"/>
          <w:position w:val="0"/>
        </w:rPr>
        <w:t>年，大数据产业测算规模突破</w:t>
      </w:r>
      <w:r>
        <w:rPr>
          <w:rFonts w:ascii="Times New Roman" w:eastAsia="Times New Roman" w:hAnsi="Times New Roman" w:cs="Times New Roman"/>
          <w:spacing w:val="0"/>
          <w:w w:val="100"/>
          <w:position w:val="0"/>
          <w:sz w:val="19"/>
          <w:szCs w:val="19"/>
        </w:rPr>
        <w:t>3</w:t>
      </w:r>
      <w:r>
        <w:rPr>
          <w:spacing w:val="0"/>
          <w:w w:val="100"/>
          <w:position w:val="0"/>
        </w:rPr>
        <w:t>万亿元，年均复合增长率保持在</w:t>
      </w:r>
      <w:r>
        <w:rPr>
          <w:rFonts w:ascii="Times New Roman" w:eastAsia="Times New Roman" w:hAnsi="Times New Roman" w:cs="Times New Roman"/>
          <w:spacing w:val="0"/>
          <w:w w:val="100"/>
          <w:position w:val="0"/>
          <w:sz w:val="19"/>
          <w:szCs w:val="19"/>
        </w:rPr>
        <w:t xml:space="preserve">25% </w:t>
      </w:r>
      <w:r>
        <w:rPr>
          <w:spacing w:val="0"/>
          <w:w w:val="100"/>
          <w:position w:val="0"/>
        </w:rPr>
        <w:t>左右，创新力强、附加值高、自主可控的现代化大数据产业体系基本形成；《</w:t>
      </w:r>
      <w:r>
        <w:rPr>
          <w:rFonts w:ascii="Times New Roman" w:eastAsia="Times New Roman" w:hAnsi="Times New Roman" w:cs="Times New Roman"/>
          <w:spacing w:val="0"/>
          <w:w w:val="100"/>
          <w:position w:val="0"/>
          <w:sz w:val="19"/>
          <w:szCs w:val="19"/>
        </w:rPr>
        <w:t>“</w:t>
      </w:r>
      <w:r>
        <w:rPr>
          <w:spacing w:val="0"/>
          <w:w w:val="100"/>
          <w:position w:val="0"/>
        </w:rPr>
        <w:t>十四五</w:t>
      </w:r>
      <w:r>
        <w:rPr>
          <w:rFonts w:ascii="Times New Roman" w:eastAsia="Times New Roman" w:hAnsi="Times New Roman" w:cs="Times New Roman"/>
          <w:spacing w:val="0"/>
          <w:w w:val="100"/>
          <w:position w:val="0"/>
          <w:sz w:val="19"/>
          <w:szCs w:val="19"/>
        </w:rPr>
        <w:t>”</w:t>
      </w:r>
      <w:r>
        <w:rPr>
          <w:spacing w:val="0"/>
          <w:w w:val="100"/>
          <w:position w:val="0"/>
        </w:rPr>
        <w:t>软件和信息技术服务业发展 规划》中指出到</w:t>
      </w:r>
      <w:r>
        <w:rPr>
          <w:rFonts w:ascii="Times New Roman" w:eastAsia="Times New Roman" w:hAnsi="Times New Roman" w:cs="Times New Roman"/>
          <w:spacing w:val="0"/>
          <w:w w:val="100"/>
          <w:position w:val="0"/>
          <w:sz w:val="19"/>
          <w:szCs w:val="19"/>
        </w:rPr>
        <w:t>2025</w:t>
      </w:r>
      <w:r>
        <w:rPr>
          <w:spacing w:val="0"/>
          <w:w w:val="100"/>
          <w:position w:val="0"/>
        </w:rPr>
        <w:t>年，规模以上企业软件业务收入突破</w:t>
      </w:r>
      <w:r>
        <w:rPr>
          <w:rFonts w:ascii="Times New Roman" w:eastAsia="Times New Roman" w:hAnsi="Times New Roman" w:cs="Times New Roman"/>
          <w:spacing w:val="0"/>
          <w:w w:val="100"/>
          <w:position w:val="0"/>
          <w:sz w:val="19"/>
          <w:szCs w:val="19"/>
        </w:rPr>
        <w:t>14</w:t>
      </w:r>
      <w:r>
        <w:rPr>
          <w:spacing w:val="0"/>
          <w:w w:val="100"/>
          <w:position w:val="0"/>
        </w:rPr>
        <w:t>万亿元，年均增长</w:t>
      </w:r>
      <w:r>
        <w:rPr>
          <w:rFonts w:ascii="Times New Roman" w:eastAsia="Times New Roman" w:hAnsi="Times New Roman" w:cs="Times New Roman"/>
          <w:spacing w:val="0"/>
          <w:w w:val="100"/>
          <w:position w:val="0"/>
          <w:sz w:val="19"/>
          <w:szCs w:val="19"/>
        </w:rPr>
        <w:t>12%</w:t>
      </w:r>
      <w:r>
        <w:rPr>
          <w:spacing w:val="0"/>
          <w:w w:val="100"/>
          <w:position w:val="0"/>
        </w:rPr>
        <w:t>以上。产业结构更加优化， 基础软件、工业软件、嵌入式软件等产品收入占比明显提升，新兴平台软件、行业应用软件保持较快增长，产业综 合实力迈上新台阶。工信部《</w:t>
      </w:r>
      <w:r>
        <w:rPr>
          <w:rFonts w:ascii="Times New Roman" w:eastAsia="Times New Roman" w:hAnsi="Times New Roman" w:cs="Times New Roman"/>
          <w:spacing w:val="0"/>
          <w:w w:val="100"/>
          <w:position w:val="0"/>
          <w:sz w:val="19"/>
          <w:szCs w:val="19"/>
        </w:rPr>
        <w:t>2021</w:t>
      </w:r>
      <w:r>
        <w:rPr>
          <w:spacing w:val="0"/>
          <w:w w:val="100"/>
          <w:position w:val="0"/>
        </w:rPr>
        <w:t>年软件和信息技术服务业统计公报》中指出</w:t>
      </w:r>
      <w:r>
        <w:rPr>
          <w:rFonts w:ascii="Times New Roman" w:eastAsia="Times New Roman" w:hAnsi="Times New Roman" w:cs="Times New Roman"/>
          <w:spacing w:val="0"/>
          <w:w w:val="100"/>
          <w:position w:val="0"/>
          <w:sz w:val="19"/>
          <w:szCs w:val="19"/>
        </w:rPr>
        <w:t>2021</w:t>
      </w:r>
      <w:r>
        <w:rPr>
          <w:spacing w:val="0"/>
          <w:w w:val="100"/>
          <w:position w:val="0"/>
        </w:rPr>
        <w:t>年，我国软件和信息技术服务业（下 称</w:t>
      </w:r>
      <w:r>
        <w:rPr>
          <w:rFonts w:ascii="Times New Roman" w:eastAsia="Times New Roman" w:hAnsi="Times New Roman" w:cs="Times New Roman"/>
          <w:spacing w:val="0"/>
          <w:w w:val="100"/>
          <w:position w:val="0"/>
          <w:sz w:val="19"/>
          <w:szCs w:val="19"/>
        </w:rPr>
        <w:t>“</w:t>
      </w:r>
      <w:r>
        <w:rPr>
          <w:spacing w:val="0"/>
          <w:w w:val="100"/>
          <w:position w:val="0"/>
        </w:rPr>
        <w:t>软件业</w:t>
      </w:r>
      <w:r>
        <w:rPr>
          <w:rFonts w:ascii="Times New Roman" w:eastAsia="Times New Roman" w:hAnsi="Times New Roman" w:cs="Times New Roman"/>
          <w:spacing w:val="0"/>
          <w:w w:val="100"/>
          <w:position w:val="0"/>
          <w:sz w:val="19"/>
          <w:szCs w:val="19"/>
        </w:rPr>
        <w:t>”</w:t>
      </w:r>
      <w:r>
        <w:rPr>
          <w:spacing w:val="0"/>
          <w:w w:val="100"/>
          <w:position w:val="0"/>
        </w:rPr>
        <w:t>）运行态势良好，软件业务收入保持较快增长，盈利能力稳步提升，软件业务出口保持增长，从业人员规 模不断扩大，</w:t>
      </w:r>
      <w:r>
        <w:rPr>
          <w:rFonts w:ascii="Times New Roman" w:eastAsia="Times New Roman" w:hAnsi="Times New Roman" w:cs="Times New Roman"/>
          <w:spacing w:val="0"/>
          <w:w w:val="100"/>
          <w:position w:val="0"/>
          <w:sz w:val="19"/>
          <w:szCs w:val="19"/>
        </w:rPr>
        <w:t>“</w:t>
      </w:r>
      <w:r>
        <w:rPr>
          <w:spacing w:val="0"/>
          <w:w w:val="100"/>
          <w:position w:val="0"/>
        </w:rPr>
        <w:t>十四五</w:t>
      </w:r>
      <w:r>
        <w:rPr>
          <w:rFonts w:ascii="Times New Roman" w:eastAsia="Times New Roman" w:hAnsi="Times New Roman" w:cs="Times New Roman"/>
          <w:spacing w:val="0"/>
          <w:w w:val="100"/>
          <w:position w:val="0"/>
          <w:sz w:val="19"/>
          <w:szCs w:val="19"/>
        </w:rPr>
        <w:t>”</w:t>
      </w:r>
      <w:r>
        <w:rPr>
          <w:spacing w:val="0"/>
          <w:w w:val="100"/>
          <w:position w:val="0"/>
        </w:rPr>
        <w:t>实现良好开局。</w:t>
      </w:r>
    </w:p>
    <w:p>
      <w:pPr>
        <w:pStyle w:val="Style24"/>
        <w:keepNext w:val="0"/>
        <w:keepLines w:val="0"/>
        <w:widowControl w:val="0"/>
        <w:shd w:val="clear" w:color="auto" w:fill="auto"/>
        <w:bidi w:val="0"/>
        <w:spacing w:before="0" w:after="360" w:line="315" w:lineRule="exact"/>
        <w:ind w:left="0" w:right="0" w:firstLine="0"/>
        <w:jc w:val="left"/>
      </w:pPr>
      <w:r>
        <w:rPr>
          <w:spacing w:val="0"/>
          <w:w w:val="100"/>
          <w:position w:val="0"/>
        </w:rPr>
        <w:t>公司有着有</w:t>
      </w:r>
      <w:r>
        <w:rPr>
          <w:rFonts w:ascii="Times New Roman" w:eastAsia="Times New Roman" w:hAnsi="Times New Roman" w:cs="Times New Roman"/>
          <w:spacing w:val="0"/>
          <w:w w:val="100"/>
          <w:position w:val="0"/>
          <w:sz w:val="19"/>
          <w:szCs w:val="19"/>
        </w:rPr>
        <w:t>20</w:t>
      </w:r>
      <w:r>
        <w:rPr>
          <w:spacing w:val="0"/>
          <w:w w:val="100"/>
          <w:position w:val="0"/>
        </w:rPr>
        <w:t>年为客户提供应用和服务的经验能力，在相关行业积累了充分的行业经验及众多的标杆案例，公司将 采取积极措施，充分发挥公司已有的竞争优势，公司将全面推动产品化发展策略，从客户角度出发，提供高客户价 值、高用户体验产品，加强生态融合，实现产品的易交付化，提高财务收益，公司将积极引进符合公司发展战略要求 的行业领军人才，通过科学的、人性化的管理机制，加速推进干部队伍和基层人才年轻化发展，激发已有人才的潜 力、创造力，公司将结合资本市场、投资等金融力量，加强战略并购与投资，快速抢占企业服务产业版图，促进公 司战略产业发展。</w:t>
      </w:r>
    </w:p>
    <w:p>
      <w:pPr>
        <w:pStyle w:val="Style22"/>
        <w:keepNext/>
        <w:keepLines/>
        <w:widowControl w:val="0"/>
        <w:shd w:val="clear" w:color="auto" w:fill="auto"/>
        <w:tabs>
          <w:tab w:pos="480" w:val="left"/>
        </w:tabs>
        <w:bidi w:val="0"/>
        <w:spacing w:before="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二</w:t>
      </w:r>
      <w:bookmarkEnd w:id="57"/>
      <w:r>
        <w:rPr>
          <w:color w:val="000000"/>
          <w:spacing w:val="0"/>
          <w:w w:val="100"/>
          <w:position w:val="0"/>
        </w:rPr>
        <w:t>、</w:t>
        <w:tab/>
        <w:t>报告期内公司从事的主要业务</w:t>
      </w:r>
      <w:bookmarkEnd w:id="55"/>
      <w:bookmarkEnd w:id="56"/>
      <w:bookmarkEnd w:id="58"/>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主营业务概要</w:t>
      </w:r>
    </w:p>
    <w:p>
      <w:pPr>
        <w:pStyle w:val="Style24"/>
        <w:keepNext w:val="0"/>
        <w:keepLines w:val="0"/>
        <w:widowControl w:val="0"/>
        <w:shd w:val="clear" w:color="auto" w:fill="auto"/>
        <w:bidi w:val="0"/>
        <w:spacing w:before="0" w:after="0" w:line="312" w:lineRule="exact"/>
        <w:ind w:left="0" w:right="0" w:firstLine="0"/>
        <w:jc w:val="left"/>
      </w:pPr>
      <w:r>
        <w:rPr>
          <w:spacing w:val="0"/>
          <w:w w:val="100"/>
          <w:position w:val="0"/>
        </w:rPr>
        <w:t>信息发展是一家运用区块链和大数据等技术，面向智慧食安、智慧档案、智慧司法等政府和企业，为数字中国提供行 业专有云综合解决方案的服务运营商。信息发展</w:t>
      </w:r>
      <w:r>
        <w:rPr>
          <w:rFonts w:ascii="Times New Roman" w:eastAsia="Times New Roman" w:hAnsi="Times New Roman" w:cs="Times New Roman"/>
          <w:spacing w:val="0"/>
          <w:w w:val="100"/>
          <w:position w:val="0"/>
          <w:sz w:val="19"/>
          <w:szCs w:val="19"/>
        </w:rPr>
        <w:t>2.0</w:t>
      </w:r>
      <w:r>
        <w:rPr>
          <w:spacing w:val="0"/>
          <w:w w:val="100"/>
          <w:position w:val="0"/>
        </w:rPr>
        <w:t>战略可以概括为</w:t>
      </w:r>
      <w:r>
        <w:rPr>
          <w:rFonts w:ascii="Times New Roman" w:eastAsia="Times New Roman" w:hAnsi="Times New Roman" w:cs="Times New Roman"/>
          <w:spacing w:val="0"/>
          <w:w w:val="100"/>
          <w:position w:val="0"/>
          <w:sz w:val="19"/>
          <w:szCs w:val="19"/>
        </w:rPr>
        <w:t>“</w:t>
      </w:r>
      <w:r>
        <w:rPr>
          <w:spacing w:val="0"/>
          <w:w w:val="100"/>
          <w:position w:val="0"/>
        </w:rPr>
        <w:t>一体两翼、数链驱动</w:t>
      </w:r>
      <w:r>
        <w:rPr>
          <w:rFonts w:ascii="Times New Roman" w:eastAsia="Times New Roman" w:hAnsi="Times New Roman" w:cs="Times New Roman"/>
          <w:spacing w:val="0"/>
          <w:w w:val="100"/>
          <w:position w:val="0"/>
          <w:sz w:val="19"/>
          <w:szCs w:val="19"/>
        </w:rPr>
        <w:t>”</w:t>
      </w:r>
      <w:r>
        <w:rPr>
          <w:spacing w:val="0"/>
          <w:w w:val="100"/>
          <w:position w:val="0"/>
        </w:rPr>
        <w:t>：即以智慧食安为</w:t>
      </w:r>
      <w:r>
        <w:rPr>
          <w:rFonts w:ascii="Times New Roman" w:eastAsia="Times New Roman" w:hAnsi="Times New Roman" w:cs="Times New Roman"/>
          <w:spacing w:val="0"/>
          <w:w w:val="100"/>
          <w:position w:val="0"/>
          <w:sz w:val="19"/>
          <w:szCs w:val="19"/>
        </w:rPr>
        <w:t>“</w:t>
      </w:r>
      <w:r>
        <w:rPr>
          <w:spacing w:val="0"/>
          <w:w w:val="100"/>
          <w:position w:val="0"/>
        </w:rPr>
        <w:t>一体</w:t>
      </w:r>
      <w:r>
        <w:rPr>
          <w:rFonts w:ascii="Times New Roman" w:eastAsia="Times New Roman" w:hAnsi="Times New Roman" w:cs="Times New Roman"/>
          <w:spacing w:val="0"/>
          <w:w w:val="100"/>
          <w:position w:val="0"/>
          <w:sz w:val="19"/>
          <w:szCs w:val="19"/>
        </w:rPr>
        <w:t>”</w:t>
      </w:r>
      <w:r>
        <w:rPr>
          <w:spacing w:val="0"/>
          <w:w w:val="100"/>
          <w:position w:val="0"/>
        </w:rPr>
        <w:t>， 以智慧档案、智慧司法为</w:t>
      </w:r>
      <w:r>
        <w:rPr>
          <w:rFonts w:ascii="Times New Roman" w:eastAsia="Times New Roman" w:hAnsi="Times New Roman" w:cs="Times New Roman"/>
          <w:spacing w:val="0"/>
          <w:w w:val="100"/>
          <w:position w:val="0"/>
          <w:sz w:val="19"/>
          <w:szCs w:val="19"/>
        </w:rPr>
        <w:t>“</w:t>
      </w:r>
      <w:r>
        <w:rPr>
          <w:spacing w:val="0"/>
          <w:w w:val="100"/>
          <w:position w:val="0"/>
        </w:rPr>
        <w:t>两翼</w:t>
      </w:r>
      <w:r>
        <w:rPr>
          <w:rFonts w:ascii="Times New Roman" w:eastAsia="Times New Roman" w:hAnsi="Times New Roman" w:cs="Times New Roman"/>
          <w:spacing w:val="0"/>
          <w:w w:val="100"/>
          <w:position w:val="0"/>
          <w:sz w:val="19"/>
          <w:szCs w:val="19"/>
        </w:rPr>
        <w:t>”</w:t>
      </w:r>
      <w:r>
        <w:rPr>
          <w:spacing w:val="0"/>
          <w:w w:val="100"/>
          <w:position w:val="0"/>
        </w:rPr>
        <w:t>，以区块链创新中心和大数据智能创新中心为</w:t>
      </w:r>
      <w:r>
        <w:rPr>
          <w:rFonts w:ascii="Times New Roman" w:eastAsia="Times New Roman" w:hAnsi="Times New Roman" w:cs="Times New Roman"/>
          <w:spacing w:val="0"/>
          <w:w w:val="100"/>
          <w:position w:val="0"/>
          <w:sz w:val="19"/>
          <w:szCs w:val="19"/>
        </w:rPr>
        <w:t>“</w:t>
      </w:r>
      <w:r>
        <w:rPr>
          <w:spacing w:val="0"/>
          <w:w w:val="100"/>
          <w:position w:val="0"/>
        </w:rPr>
        <w:t>技术引擎</w:t>
      </w:r>
      <w:r>
        <w:rPr>
          <w:rFonts w:ascii="Times New Roman" w:eastAsia="Times New Roman" w:hAnsi="Times New Roman" w:cs="Times New Roman"/>
          <w:spacing w:val="0"/>
          <w:w w:val="100"/>
          <w:position w:val="0"/>
          <w:sz w:val="19"/>
          <w:szCs w:val="19"/>
        </w:rPr>
        <w:t>”</w:t>
      </w:r>
      <w:r>
        <w:rPr>
          <w:spacing w:val="0"/>
          <w:w w:val="100"/>
          <w:position w:val="0"/>
        </w:rPr>
        <w:t>，赋能公司三大行业。</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（一）</w:t>
      </w:r>
      <w:r>
        <w:rPr>
          <w:b/>
          <w:bCs/>
          <w:color w:val="000000"/>
          <w:spacing w:val="0"/>
          <w:w w:val="100"/>
          <w:position w:val="0"/>
        </w:rPr>
        <w:t>智慧档案</w:t>
      </w:r>
    </w:p>
    <w:p>
      <w:pPr>
        <w:pStyle w:val="Style24"/>
        <w:keepNext w:val="0"/>
        <w:keepLines w:val="0"/>
        <w:widowControl w:val="0"/>
        <w:shd w:val="clear" w:color="auto" w:fill="auto"/>
        <w:bidi w:val="0"/>
        <w:spacing w:before="0" w:after="140" w:line="314" w:lineRule="exact"/>
        <w:ind w:left="0" w:right="0" w:firstLine="0"/>
        <w:jc w:val="left"/>
      </w:pPr>
      <w:r>
        <w:rPr>
          <w:rFonts w:ascii="Times New Roman" w:eastAsia="Times New Roman" w:hAnsi="Times New Roman" w:cs="Times New Roman"/>
          <w:spacing w:val="0"/>
          <w:w w:val="100"/>
          <w:position w:val="0"/>
          <w:sz w:val="19"/>
          <w:szCs w:val="19"/>
        </w:rPr>
        <w:t>2021</w:t>
      </w:r>
      <w:r>
        <w:rPr>
          <w:spacing w:val="0"/>
          <w:w w:val="100"/>
          <w:position w:val="0"/>
        </w:rPr>
        <w:t>年作为十四五开局之年，《</w:t>
      </w:r>
      <w:r>
        <w:rPr>
          <w:rFonts w:ascii="Times New Roman" w:eastAsia="Times New Roman" w:hAnsi="Times New Roman" w:cs="Times New Roman"/>
          <w:spacing w:val="0"/>
          <w:w w:val="100"/>
          <w:position w:val="0"/>
          <w:sz w:val="19"/>
          <w:szCs w:val="19"/>
        </w:rPr>
        <w:t>“</w:t>
      </w:r>
      <w:r>
        <w:rPr>
          <w:spacing w:val="0"/>
          <w:w w:val="100"/>
          <w:position w:val="0"/>
        </w:rPr>
        <w:t>十四五</w:t>
      </w:r>
      <w:r>
        <w:rPr>
          <w:rFonts w:ascii="Times New Roman" w:eastAsia="Times New Roman" w:hAnsi="Times New Roman" w:cs="Times New Roman"/>
          <w:spacing w:val="0"/>
          <w:w w:val="100"/>
          <w:position w:val="0"/>
          <w:sz w:val="19"/>
          <w:szCs w:val="19"/>
        </w:rPr>
        <w:t>”</w:t>
      </w:r>
      <w:r>
        <w:rPr>
          <w:spacing w:val="0"/>
          <w:w w:val="100"/>
          <w:position w:val="0"/>
        </w:rPr>
        <w:t xml:space="preserve">全国档案事业发展规划》及各省档案十四五规划陆续出台，档案事业迎来新 的时代机遇。在档案信息化建设方面，要加强档案信息化基础设施、专用局域网络建设；要加强电子文件归档和电子 档案移交接收，电子文件应归尽归，电子档案应收尽收；加强跨区域档案信息资源共享平台建设力度；加大大数据、 </w:t>
      </w:r>
      <w:r>
        <w:rPr>
          <w:rFonts w:ascii="Times New Roman" w:eastAsia="Times New Roman" w:hAnsi="Times New Roman" w:cs="Times New Roman"/>
          <w:spacing w:val="0"/>
          <w:w w:val="100"/>
          <w:position w:val="0"/>
          <w:sz w:val="19"/>
          <w:szCs w:val="19"/>
        </w:rPr>
        <w:t>AI</w:t>
      </w:r>
      <w:r>
        <w:rPr>
          <w:spacing w:val="0"/>
          <w:w w:val="100"/>
          <w:position w:val="0"/>
        </w:rPr>
        <w:t>等新技术的应用；建设一批高水平的数字档案馆（室）及企业数字档案馆（室）。在档案科技创新方面，重点开展 新一代信息技术在档案管理中的应用、大数据环境中电子文件与电子档案一体化管理等课题的研究；加大在电子档案 凭证价值保障、结构化数据归档、档案内容信息深度开发等技术方面的攻关。政策的支持加上技术的不断迭代创新， 让档案事业迎来数字化时代的蓬勃发展。</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发展状况</w:t>
      </w:r>
    </w:p>
    <w:p>
      <w:pPr>
        <w:pStyle w:val="Style24"/>
        <w:keepNext w:val="0"/>
        <w:keepLines w:val="0"/>
        <w:widowControl w:val="0"/>
        <w:shd w:val="clear" w:color="auto" w:fill="auto"/>
        <w:bidi w:val="0"/>
        <w:spacing w:before="0" w:after="160" w:line="314" w:lineRule="exact"/>
        <w:ind w:left="0" w:right="0" w:firstLine="0"/>
        <w:jc w:val="left"/>
      </w:pPr>
      <w:r>
        <w:rPr>
          <w:spacing w:val="0"/>
          <w:w w:val="100"/>
          <w:position w:val="0"/>
        </w:rPr>
        <w:t>自</w:t>
      </w:r>
      <w:r>
        <w:rPr>
          <w:rFonts w:ascii="Times New Roman" w:eastAsia="Times New Roman" w:hAnsi="Times New Roman" w:cs="Times New Roman"/>
          <w:spacing w:val="0"/>
          <w:w w:val="100"/>
          <w:position w:val="0"/>
          <w:sz w:val="19"/>
          <w:szCs w:val="19"/>
        </w:rPr>
        <w:t>2002</w:t>
      </w:r>
      <w:r>
        <w:rPr>
          <w:spacing w:val="0"/>
          <w:w w:val="100"/>
          <w:position w:val="0"/>
        </w:rPr>
        <w:t>年以来，公司在档案信息化建设领域不断精耕，以技术和产品为驱动，为各级综合档案馆、专门专业档案馆、 政府单位及公共部门、金融行业、其他企事业单位、企业集团等各级、各类档案部门提供咨询规划与体系建设、数字 档案馆（室）建设、智慧档案馆建设、数据治理与数据服务、智慧档案云管理平台、档案寄存托管等在内的全产业链 档案信息化服务。同时，积极利用区块链、云计算、大数据、人工智能等先进技术，不断迭代创新档案数字化转型 和数据化服务相关产品及解决方案，为客户提供全行业智慧档案管理服务，构建互联网</w:t>
      </w:r>
      <w:r>
        <w:rPr>
          <w:rFonts w:ascii="Times New Roman" w:eastAsia="Times New Roman" w:hAnsi="Times New Roman" w:cs="Times New Roman"/>
          <w:spacing w:val="0"/>
          <w:w w:val="100"/>
          <w:position w:val="0"/>
          <w:sz w:val="19"/>
          <w:szCs w:val="19"/>
        </w:rPr>
        <w:t>+</w:t>
      </w:r>
      <w:r>
        <w:rPr>
          <w:spacing w:val="0"/>
          <w:w w:val="100"/>
          <w:position w:val="0"/>
        </w:rPr>
        <w:t>时代的智慧档案产业生态圈。</w:t>
      </w:r>
    </w:p>
    <w:p>
      <w:pPr>
        <w:widowControl w:val="0"/>
        <w:jc w:val="center"/>
        <w:rPr>
          <w:sz w:val="2"/>
          <w:szCs w:val="2"/>
        </w:rPr>
      </w:pPr>
      <w:r>
        <w:drawing>
          <wp:inline>
            <wp:extent cx="2054225" cy="18351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054225" cy="1835150"/>
                    </a:xfrm>
                    <a:prstGeom prst="rect"/>
                  </pic:spPr>
                </pic:pic>
              </a:graphicData>
            </a:graphic>
          </wp:inline>
        </w:drawing>
      </w:r>
    </w:p>
    <w:p>
      <w:pPr>
        <w:widowControl w:val="0"/>
        <w:spacing w:after="399" w:line="1" w:lineRule="exact"/>
      </w:pPr>
    </w:p>
    <w:p>
      <w:pPr>
        <w:pStyle w:val="Style33"/>
        <w:keepNext w:val="0"/>
        <w:keepLines w:val="0"/>
        <w:widowControl w:val="0"/>
        <w:shd w:val="clear" w:color="auto" w:fill="auto"/>
        <w:bidi w:val="0"/>
        <w:spacing w:before="0" w:after="0" w:line="313" w:lineRule="exact"/>
        <w:ind w:left="0" w:right="0" w:firstLine="0"/>
        <w:jc w:val="left"/>
      </w:pPr>
      <w:bookmarkStart w:id="59" w:name="bookmark59"/>
      <w:r>
        <w:rPr>
          <w:rFonts w:ascii="Times New Roman" w:eastAsia="Times New Roman" w:hAnsi="Times New Roman" w:cs="Times New Roman"/>
          <w:color w:val="000000"/>
          <w:spacing w:val="0"/>
          <w:w w:val="100"/>
          <w:position w:val="0"/>
        </w:rPr>
        <w:t>1</w:t>
      </w:r>
      <w:bookmarkEnd w:id="59"/>
      <w:r>
        <w:rPr>
          <w:color w:val="000000"/>
          <w:spacing w:val="0"/>
          <w:w w:val="100"/>
          <w:position w:val="0"/>
        </w:rPr>
        <w:t>、档案产品</w:t>
      </w:r>
    </w:p>
    <w:p>
      <w:pPr>
        <w:pStyle w:val="Style24"/>
        <w:keepNext w:val="0"/>
        <w:keepLines w:val="0"/>
        <w:widowControl w:val="0"/>
        <w:shd w:val="clear" w:color="auto" w:fill="auto"/>
        <w:tabs>
          <w:tab w:pos="405" w:val="left"/>
        </w:tabs>
        <w:bidi w:val="0"/>
        <w:spacing w:before="0" w:after="0" w:line="313" w:lineRule="exact"/>
        <w:ind w:left="0" w:right="0" w:firstLine="0"/>
        <w:jc w:val="left"/>
      </w:pPr>
      <w:bookmarkStart w:id="60" w:name="bookmark60"/>
      <w:r>
        <w:rPr>
          <w:spacing w:val="0"/>
          <w:w w:val="100"/>
          <w:position w:val="0"/>
        </w:rPr>
        <w:t>（</w:t>
      </w:r>
      <w:bookmarkEnd w:id="60"/>
      <w:r>
        <w:rPr>
          <w:rFonts w:ascii="Times New Roman" w:eastAsia="Times New Roman" w:hAnsi="Times New Roman" w:cs="Times New Roman"/>
          <w:spacing w:val="0"/>
          <w:w w:val="100"/>
          <w:position w:val="0"/>
          <w:sz w:val="19"/>
          <w:szCs w:val="19"/>
        </w:rPr>
        <w:t>1</w:t>
      </w:r>
      <w:r>
        <w:rPr>
          <w:spacing w:val="0"/>
          <w:w w:val="100"/>
          <w:position w:val="0"/>
        </w:rPr>
        <w:t>）</w:t>
        <w:tab/>
        <w:t>光典智慧档案云管理平台</w:t>
      </w:r>
    </w:p>
    <w:p>
      <w:pPr>
        <w:pStyle w:val="Style24"/>
        <w:keepNext w:val="0"/>
        <w:keepLines w:val="0"/>
        <w:widowControl w:val="0"/>
        <w:shd w:val="clear" w:color="auto" w:fill="auto"/>
        <w:bidi w:val="0"/>
        <w:spacing w:before="0" w:after="0" w:line="313" w:lineRule="exact"/>
        <w:ind w:left="0" w:right="0" w:firstLine="0"/>
        <w:jc w:val="left"/>
      </w:pPr>
      <w:r>
        <w:rPr>
          <w:spacing w:val="0"/>
          <w:w w:val="100"/>
          <w:position w:val="0"/>
        </w:rPr>
        <w:t>基于微服务架构、支持云化部署、多租户模式的光典智慧档案云管理平台，是一款融合大数据、人工智能、区块链等 前沿技术的档案知识管理应用系统。可针对政府单位、企事业单位、大型集团、中型企业、小微企业等不同规模、不 同业务需求的用户，实现电子档案数据的一体化收集、可视化管理、可靠保存、可信利用，提供智慧、安全、专业的 档案一体化服务。</w:t>
      </w:r>
    </w:p>
    <w:p>
      <w:pPr>
        <w:pStyle w:val="Style24"/>
        <w:keepNext w:val="0"/>
        <w:keepLines w:val="0"/>
        <w:widowControl w:val="0"/>
        <w:shd w:val="clear" w:color="auto" w:fill="auto"/>
        <w:tabs>
          <w:tab w:pos="405" w:val="left"/>
        </w:tabs>
        <w:bidi w:val="0"/>
        <w:spacing w:before="0" w:after="0" w:line="313" w:lineRule="exact"/>
        <w:ind w:left="0" w:right="0" w:firstLine="0"/>
        <w:jc w:val="left"/>
      </w:pPr>
      <w:bookmarkStart w:id="61" w:name="bookmark61"/>
      <w:r>
        <w:rPr>
          <w:spacing w:val="0"/>
          <w:w w:val="100"/>
          <w:position w:val="0"/>
        </w:rPr>
        <w:t>（</w:t>
      </w:r>
      <w:bookmarkEnd w:id="61"/>
      <w:r>
        <w:rPr>
          <w:rFonts w:ascii="Times New Roman" w:eastAsia="Times New Roman" w:hAnsi="Times New Roman" w:cs="Times New Roman"/>
          <w:spacing w:val="0"/>
          <w:w w:val="100"/>
          <w:position w:val="0"/>
          <w:sz w:val="19"/>
          <w:szCs w:val="19"/>
        </w:rPr>
        <w:t>2</w:t>
      </w:r>
      <w:r>
        <w:rPr>
          <w:spacing w:val="0"/>
          <w:w w:val="100"/>
          <w:position w:val="0"/>
        </w:rPr>
        <w:t>）</w:t>
        <w:tab/>
        <w:t>光典档案信息资源管理软件（网络版）</w:t>
      </w:r>
    </w:p>
    <w:p>
      <w:pPr>
        <w:pStyle w:val="Style24"/>
        <w:keepNext w:val="0"/>
        <w:keepLines w:val="0"/>
        <w:widowControl w:val="0"/>
        <w:shd w:val="clear" w:color="auto" w:fill="auto"/>
        <w:bidi w:val="0"/>
        <w:spacing w:before="0" w:after="0" w:line="313" w:lineRule="exact"/>
        <w:ind w:left="0" w:right="0" w:firstLine="0"/>
        <w:jc w:val="left"/>
      </w:pPr>
      <w:r>
        <w:rPr>
          <w:spacing w:val="0"/>
          <w:w w:val="100"/>
          <w:position w:val="0"/>
        </w:rPr>
        <w:t>光典档案信息资源管理软件（网络版）秉承</w:t>
      </w:r>
      <w:r>
        <w:rPr>
          <w:rFonts w:ascii="Times New Roman" w:eastAsia="Times New Roman" w:hAnsi="Times New Roman" w:cs="Times New Roman"/>
          <w:spacing w:val="0"/>
          <w:w w:val="100"/>
          <w:position w:val="0"/>
          <w:sz w:val="19"/>
          <w:szCs w:val="19"/>
        </w:rPr>
        <w:t>“</w:t>
      </w:r>
      <w:r>
        <w:rPr>
          <w:spacing w:val="0"/>
          <w:w w:val="100"/>
          <w:position w:val="0"/>
        </w:rPr>
        <w:t>顶层设计</w:t>
      </w:r>
      <w:r>
        <w:rPr>
          <w:rFonts w:ascii="Times New Roman" w:eastAsia="Times New Roman" w:hAnsi="Times New Roman" w:cs="Times New Roman"/>
          <w:spacing w:val="0"/>
          <w:w w:val="100"/>
          <w:position w:val="0"/>
          <w:sz w:val="19"/>
          <w:szCs w:val="19"/>
        </w:rPr>
        <w:t>”</w:t>
      </w:r>
      <w:r>
        <w:rPr>
          <w:spacing w:val="0"/>
          <w:w w:val="100"/>
          <w:position w:val="0"/>
        </w:rPr>
        <w:t>与</w:t>
      </w:r>
      <w:r>
        <w:rPr>
          <w:rFonts w:ascii="Times New Roman" w:eastAsia="Times New Roman" w:hAnsi="Times New Roman" w:cs="Times New Roman"/>
          <w:spacing w:val="0"/>
          <w:w w:val="100"/>
          <w:position w:val="0"/>
          <w:sz w:val="19"/>
          <w:szCs w:val="19"/>
        </w:rPr>
        <w:t>“</w:t>
      </w:r>
      <w:r>
        <w:rPr>
          <w:spacing w:val="0"/>
          <w:w w:val="100"/>
          <w:position w:val="0"/>
        </w:rPr>
        <w:t>泛档案观</w:t>
      </w:r>
      <w:r>
        <w:rPr>
          <w:rFonts w:ascii="Times New Roman" w:eastAsia="Times New Roman" w:hAnsi="Times New Roman" w:cs="Times New Roman"/>
          <w:spacing w:val="0"/>
          <w:w w:val="100"/>
          <w:position w:val="0"/>
          <w:sz w:val="19"/>
          <w:szCs w:val="19"/>
        </w:rPr>
        <w:t>”</w:t>
      </w:r>
      <w:r>
        <w:rPr>
          <w:spacing w:val="0"/>
          <w:w w:val="100"/>
          <w:position w:val="0"/>
        </w:rPr>
        <w:t>理念，为政府机关、大型企事业单位</w:t>
      </w:r>
      <w:r>
        <w:rPr>
          <w:spacing w:val="0"/>
          <w:w w:val="100"/>
          <w:position w:val="0"/>
          <w:sz w:val="19"/>
          <w:szCs w:val="19"/>
        </w:rPr>
        <w:t>，</w:t>
      </w:r>
      <w:r>
        <w:rPr>
          <w:spacing w:val="0"/>
          <w:w w:val="100"/>
          <w:position w:val="0"/>
        </w:rPr>
        <w:t>提供档案现 代化管理完整解决方案的档案信息化支撑平台。作为一套平台化档案管理软件，该软件可满足档案工作的收集、管理、 存储、利用等功能需求，达到各门类档案的电子化全过程管理，实现各门类档案信息资源的系统管理和对各门类档案 的全流程监督，同时，遵循合规要求，帮助用户单位实现电子档案单套制管理，真正做到与用户共生共长，满足其不 同阶段，不同维度的档案管理新要求。</w:t>
      </w:r>
    </w:p>
    <w:p>
      <w:pPr>
        <w:pStyle w:val="Style24"/>
        <w:keepNext w:val="0"/>
        <w:keepLines w:val="0"/>
        <w:widowControl w:val="0"/>
        <w:shd w:val="clear" w:color="auto" w:fill="auto"/>
        <w:tabs>
          <w:tab w:pos="405" w:val="left"/>
        </w:tabs>
        <w:bidi w:val="0"/>
        <w:spacing w:before="0" w:after="0" w:line="313" w:lineRule="exact"/>
        <w:ind w:left="0" w:right="0" w:firstLine="0"/>
        <w:jc w:val="left"/>
      </w:pPr>
      <w:bookmarkStart w:id="62" w:name="bookmark62"/>
      <w:r>
        <w:rPr>
          <w:spacing w:val="0"/>
          <w:w w:val="100"/>
          <w:position w:val="0"/>
        </w:rPr>
        <w:t>（</w:t>
      </w:r>
      <w:bookmarkEnd w:id="62"/>
      <w:r>
        <w:rPr>
          <w:rFonts w:ascii="Times New Roman" w:eastAsia="Times New Roman" w:hAnsi="Times New Roman" w:cs="Times New Roman"/>
          <w:spacing w:val="0"/>
          <w:w w:val="100"/>
          <w:position w:val="0"/>
          <w:sz w:val="19"/>
          <w:szCs w:val="19"/>
        </w:rPr>
        <w:t>3</w:t>
      </w:r>
      <w:r>
        <w:rPr>
          <w:spacing w:val="0"/>
          <w:w w:val="100"/>
          <w:position w:val="0"/>
        </w:rPr>
        <w:t>）</w:t>
        <w:tab/>
        <w:t>光典档案信息资源管理软件</w:t>
      </w:r>
      <w:r>
        <w:rPr>
          <w:spacing w:val="0"/>
          <w:w w:val="100"/>
          <w:position w:val="0"/>
        </w:rPr>
        <w:t>（</w:t>
      </w:r>
      <w:r>
        <w:rPr>
          <w:rFonts w:ascii="Times New Roman" w:eastAsia="Times New Roman" w:hAnsi="Times New Roman" w:cs="Times New Roman"/>
          <w:spacing w:val="0"/>
          <w:w w:val="100"/>
          <w:position w:val="0"/>
          <w:sz w:val="19"/>
          <w:szCs w:val="19"/>
        </w:rPr>
        <w:t>A1</w:t>
      </w:r>
      <w:r>
        <w:rPr>
          <w:spacing w:val="0"/>
          <w:w w:val="100"/>
          <w:position w:val="0"/>
        </w:rPr>
        <w:t>版）</w:t>
      </w:r>
    </w:p>
    <w:p>
      <w:pPr>
        <w:pStyle w:val="Style24"/>
        <w:keepNext w:val="0"/>
        <w:keepLines w:val="0"/>
        <w:widowControl w:val="0"/>
        <w:shd w:val="clear" w:color="auto" w:fill="auto"/>
        <w:bidi w:val="0"/>
        <w:spacing w:before="0" w:after="0" w:line="313" w:lineRule="exact"/>
        <w:ind w:left="0" w:right="0" w:firstLine="0"/>
        <w:jc w:val="left"/>
      </w:pPr>
      <w:r>
        <w:rPr>
          <w:spacing w:val="0"/>
          <w:w w:val="100"/>
          <w:position w:val="0"/>
        </w:rPr>
        <w:t>光典档案信息资源管理软件</w:t>
      </w:r>
      <w:r>
        <w:rPr>
          <w:spacing w:val="0"/>
          <w:w w:val="100"/>
          <w:position w:val="0"/>
        </w:rPr>
        <w:t>（</w:t>
      </w:r>
      <w:r>
        <w:rPr>
          <w:rFonts w:ascii="Times New Roman" w:eastAsia="Times New Roman" w:hAnsi="Times New Roman" w:cs="Times New Roman"/>
          <w:spacing w:val="0"/>
          <w:w w:val="100"/>
          <w:position w:val="0"/>
          <w:sz w:val="19"/>
          <w:szCs w:val="19"/>
        </w:rPr>
        <w:t>A1</w:t>
      </w:r>
      <w:r>
        <w:rPr>
          <w:spacing w:val="0"/>
          <w:w w:val="100"/>
          <w:position w:val="0"/>
        </w:rPr>
        <w:t>版）主要面向档案室工作的八大环节，重点实现档案收集、整理、检索和利用，提高 系统性能与易用性。该产品采用模块化、构件化和平台化的设计思想，提高系统的扩展性，提供多种形式的便捷整理 工作，拥有严格的权限控制，能根据角色提供多种检索方式，满足各项档案工作的开展，并且满足电子文件</w:t>
      </w:r>
      <w:r>
        <w:rPr>
          <w:rFonts w:ascii="Times New Roman" w:eastAsia="Times New Roman" w:hAnsi="Times New Roman" w:cs="Times New Roman"/>
          <w:spacing w:val="0"/>
          <w:w w:val="100"/>
          <w:position w:val="0"/>
          <w:sz w:val="19"/>
          <w:szCs w:val="19"/>
        </w:rPr>
        <w:t>“</w:t>
      </w:r>
      <w:r>
        <w:rPr>
          <w:spacing w:val="0"/>
          <w:w w:val="100"/>
          <w:position w:val="0"/>
        </w:rPr>
        <w:t>单套制</w:t>
      </w:r>
      <w:r>
        <w:rPr>
          <w:rFonts w:ascii="Times New Roman" w:eastAsia="Times New Roman" w:hAnsi="Times New Roman" w:cs="Times New Roman"/>
          <w:spacing w:val="0"/>
          <w:w w:val="100"/>
          <w:position w:val="0"/>
          <w:sz w:val="19"/>
          <w:szCs w:val="19"/>
        </w:rPr>
        <w:t xml:space="preserve">” </w:t>
      </w:r>
      <w:r>
        <w:rPr>
          <w:spacing w:val="0"/>
          <w:w w:val="100"/>
          <w:position w:val="0"/>
        </w:rPr>
        <w:t>和</w:t>
      </w:r>
      <w:r>
        <w:rPr>
          <w:rFonts w:ascii="Times New Roman" w:eastAsia="Times New Roman" w:hAnsi="Times New Roman" w:cs="Times New Roman"/>
          <w:spacing w:val="0"/>
          <w:w w:val="100"/>
          <w:position w:val="0"/>
          <w:sz w:val="19"/>
          <w:szCs w:val="19"/>
        </w:rPr>
        <w:t>“</w:t>
      </w:r>
      <w:r>
        <w:rPr>
          <w:spacing w:val="0"/>
          <w:w w:val="100"/>
          <w:position w:val="0"/>
        </w:rPr>
        <w:t>双套制</w:t>
      </w:r>
      <w:r>
        <w:rPr>
          <w:rFonts w:ascii="Times New Roman" w:eastAsia="Times New Roman" w:hAnsi="Times New Roman" w:cs="Times New Roman"/>
          <w:spacing w:val="0"/>
          <w:w w:val="100"/>
          <w:position w:val="0"/>
          <w:sz w:val="19"/>
          <w:szCs w:val="19"/>
        </w:rPr>
        <w:t>”</w:t>
      </w:r>
      <w:r>
        <w:rPr>
          <w:spacing w:val="0"/>
          <w:w w:val="100"/>
          <w:position w:val="0"/>
        </w:rPr>
        <w:t>管理要求。</w:t>
      </w:r>
    </w:p>
    <w:p>
      <w:pPr>
        <w:pStyle w:val="Style24"/>
        <w:keepNext w:val="0"/>
        <w:keepLines w:val="0"/>
        <w:widowControl w:val="0"/>
        <w:shd w:val="clear" w:color="auto" w:fill="auto"/>
        <w:tabs>
          <w:tab w:pos="405" w:val="left"/>
        </w:tabs>
        <w:bidi w:val="0"/>
        <w:spacing w:before="0" w:after="0" w:line="313" w:lineRule="exact"/>
        <w:ind w:left="0" w:right="0" w:firstLine="0"/>
        <w:jc w:val="left"/>
      </w:pPr>
      <w:bookmarkStart w:id="63" w:name="bookmark63"/>
      <w:r>
        <w:rPr>
          <w:spacing w:val="0"/>
          <w:w w:val="100"/>
          <w:position w:val="0"/>
        </w:rPr>
        <w:t>（</w:t>
      </w:r>
      <w:bookmarkEnd w:id="63"/>
      <w:r>
        <w:rPr>
          <w:rFonts w:ascii="Times New Roman" w:eastAsia="Times New Roman" w:hAnsi="Times New Roman" w:cs="Times New Roman"/>
          <w:spacing w:val="0"/>
          <w:w w:val="100"/>
          <w:position w:val="0"/>
          <w:sz w:val="19"/>
          <w:szCs w:val="19"/>
        </w:rPr>
        <w:t>4</w:t>
      </w:r>
      <w:r>
        <w:rPr>
          <w:spacing w:val="0"/>
          <w:w w:val="100"/>
          <w:position w:val="0"/>
        </w:rPr>
        <w:t>）</w:t>
        <w:tab/>
      </w:r>
      <w:r>
        <w:rPr>
          <w:rFonts w:ascii="Times New Roman" w:eastAsia="Times New Roman" w:hAnsi="Times New Roman" w:cs="Times New Roman"/>
          <w:spacing w:val="0"/>
          <w:w w:val="100"/>
          <w:position w:val="0"/>
          <w:sz w:val="19"/>
          <w:szCs w:val="19"/>
        </w:rPr>
        <w:t>“</w:t>
      </w:r>
      <w:r>
        <w:rPr>
          <w:spacing w:val="0"/>
          <w:w w:val="100"/>
          <w:position w:val="0"/>
        </w:rPr>
        <w:t>一网通办</w:t>
      </w:r>
      <w:r>
        <w:rPr>
          <w:rFonts w:ascii="Times New Roman" w:eastAsia="Times New Roman" w:hAnsi="Times New Roman" w:cs="Times New Roman"/>
          <w:spacing w:val="0"/>
          <w:w w:val="100"/>
          <w:position w:val="0"/>
          <w:sz w:val="19"/>
          <w:szCs w:val="19"/>
        </w:rPr>
        <w:t>”</w:t>
      </w:r>
      <w:r>
        <w:rPr>
          <w:spacing w:val="0"/>
          <w:w w:val="100"/>
          <w:position w:val="0"/>
        </w:rPr>
        <w:t>电子文件归档管理系统</w:t>
      </w:r>
    </w:p>
    <w:p>
      <w:pPr>
        <w:pStyle w:val="Style24"/>
        <w:keepNext w:val="0"/>
        <w:keepLines w:val="0"/>
        <w:widowControl w:val="0"/>
        <w:shd w:val="clear" w:color="auto" w:fill="auto"/>
        <w:bidi w:val="0"/>
        <w:spacing w:before="0" w:after="160" w:line="313" w:lineRule="exact"/>
        <w:ind w:left="0" w:right="0" w:firstLine="0"/>
        <w:jc w:val="left"/>
      </w:pPr>
      <w:r>
        <w:rPr>
          <w:rFonts w:ascii="Times New Roman" w:eastAsia="Times New Roman" w:hAnsi="Times New Roman" w:cs="Times New Roman"/>
          <w:spacing w:val="0"/>
          <w:w w:val="100"/>
          <w:position w:val="0"/>
          <w:sz w:val="19"/>
          <w:szCs w:val="19"/>
        </w:rPr>
        <w:t>“</w:t>
      </w:r>
      <w:r>
        <w:rPr>
          <w:spacing w:val="0"/>
          <w:w w:val="100"/>
          <w:position w:val="0"/>
        </w:rPr>
        <w:t>一网通办</w:t>
      </w:r>
      <w:r>
        <w:rPr>
          <w:rFonts w:ascii="Times New Roman" w:eastAsia="Times New Roman" w:hAnsi="Times New Roman" w:cs="Times New Roman"/>
          <w:spacing w:val="0"/>
          <w:w w:val="100"/>
          <w:position w:val="0"/>
          <w:sz w:val="19"/>
          <w:szCs w:val="19"/>
        </w:rPr>
        <w:t>”</w:t>
      </w:r>
      <w:r>
        <w:rPr>
          <w:spacing w:val="0"/>
          <w:w w:val="100"/>
          <w:position w:val="0"/>
        </w:rPr>
        <w:t>电子文件归档管理系统，可有效解决</w:t>
      </w:r>
      <w:r>
        <w:rPr>
          <w:rFonts w:ascii="Times New Roman" w:eastAsia="Times New Roman" w:hAnsi="Times New Roman" w:cs="Times New Roman"/>
          <w:spacing w:val="0"/>
          <w:w w:val="100"/>
          <w:position w:val="0"/>
          <w:sz w:val="19"/>
          <w:szCs w:val="19"/>
        </w:rPr>
        <w:t>“</w:t>
      </w:r>
      <w:r>
        <w:rPr>
          <w:spacing w:val="0"/>
          <w:w w:val="100"/>
          <w:position w:val="0"/>
        </w:rPr>
        <w:t>一网通办</w:t>
      </w:r>
      <w:r>
        <w:rPr>
          <w:rFonts w:ascii="Times New Roman" w:eastAsia="Times New Roman" w:hAnsi="Times New Roman" w:cs="Times New Roman"/>
          <w:spacing w:val="0"/>
          <w:w w:val="100"/>
          <w:position w:val="0"/>
          <w:sz w:val="19"/>
          <w:szCs w:val="19"/>
        </w:rPr>
        <w:t>”</w:t>
      </w:r>
      <w:r>
        <w:rPr>
          <w:spacing w:val="0"/>
          <w:w w:val="100"/>
          <w:position w:val="0"/>
        </w:rPr>
        <w:t>中办结的电子文件的归档问题，使电子文件根据政务服务 事项归档范围要求，做到即时归档，定期导入相应的电子档案管理系统。同时，为确保最后归档的电子档案的真实、 完整、可用和安全，在归档和接收环节，均会对电子文件进行四性检测。</w:t>
      </w:r>
    </w:p>
    <w:p>
      <w:pPr>
        <w:widowControl w:val="0"/>
        <w:jc w:val="center"/>
        <w:rPr>
          <w:sz w:val="2"/>
          <w:szCs w:val="2"/>
        </w:rPr>
      </w:pPr>
      <w:r>
        <w:drawing>
          <wp:inline>
            <wp:extent cx="3773170" cy="167640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773170" cy="1676400"/>
                    </a:xfrm>
                    <a:prstGeom prst="rect"/>
                  </pic:spPr>
                </pic:pic>
              </a:graphicData>
            </a:graphic>
          </wp:inline>
        </w:drawing>
      </w:r>
    </w:p>
    <w:p>
      <w:pPr>
        <w:pStyle w:val="Style24"/>
        <w:keepNext w:val="0"/>
        <w:keepLines w:val="0"/>
        <w:widowControl w:val="0"/>
        <w:shd w:val="clear" w:color="auto" w:fill="auto"/>
        <w:tabs>
          <w:tab w:pos="418" w:val="left"/>
        </w:tabs>
        <w:bidi w:val="0"/>
        <w:spacing w:before="0" w:after="0" w:line="313" w:lineRule="exact"/>
        <w:ind w:left="0" w:right="0" w:firstLine="0"/>
        <w:jc w:val="left"/>
      </w:pPr>
      <w:bookmarkStart w:id="64" w:name="bookmark64"/>
      <w:r>
        <w:rPr>
          <w:spacing w:val="0"/>
          <w:w w:val="100"/>
          <w:position w:val="0"/>
        </w:rPr>
        <w:t>（</w:t>
      </w:r>
      <w:bookmarkEnd w:id="64"/>
      <w:r>
        <w:rPr>
          <w:rFonts w:ascii="Times New Roman" w:eastAsia="Times New Roman" w:hAnsi="Times New Roman" w:cs="Times New Roman"/>
          <w:spacing w:val="0"/>
          <w:w w:val="100"/>
          <w:position w:val="0"/>
          <w:sz w:val="19"/>
          <w:szCs w:val="19"/>
        </w:rPr>
        <w:t>5</w:t>
      </w:r>
      <w:r>
        <w:rPr>
          <w:spacing w:val="0"/>
          <w:w w:val="100"/>
          <w:position w:val="0"/>
        </w:rPr>
        <w:t>）</w:t>
        <w:tab/>
        <w:t>光典档案馆一体化智能管理平台</w:t>
      </w:r>
    </w:p>
    <w:p>
      <w:pPr>
        <w:pStyle w:val="Style24"/>
        <w:keepNext w:val="0"/>
        <w:keepLines w:val="0"/>
        <w:widowControl w:val="0"/>
        <w:shd w:val="clear" w:color="auto" w:fill="auto"/>
        <w:bidi w:val="0"/>
        <w:spacing w:before="0" w:after="0" w:line="313" w:lineRule="exact"/>
        <w:ind w:left="0" w:right="0" w:firstLine="0"/>
        <w:jc w:val="left"/>
      </w:pPr>
      <w:r>
        <w:rPr>
          <w:spacing w:val="0"/>
          <w:w w:val="100"/>
          <w:position w:val="0"/>
        </w:rPr>
        <w:t>光典档案馆一体化智能管理平台依据《数字档案馆系统测试办法》量身打造，围绕档案工作的八大业务环节，提供涵 盖档案信息资源的采集、接收、整理、保管、鉴定、统计、编研和利用等全流程的规范化管理，确保档案信息资源在 保存、管理、调阅过程中的真实、完整、安全、可用，最终实现档案收集自动化、档案管理科学化、档案利用网络化、 档案存储安全化，从而推动档案管理的可持续发展。</w:t>
      </w:r>
    </w:p>
    <w:p>
      <w:pPr>
        <w:pStyle w:val="Style24"/>
        <w:keepNext w:val="0"/>
        <w:keepLines w:val="0"/>
        <w:widowControl w:val="0"/>
        <w:shd w:val="clear" w:color="auto" w:fill="auto"/>
        <w:bidi w:val="0"/>
        <w:spacing w:before="0" w:after="0" w:line="313" w:lineRule="exact"/>
        <w:ind w:left="0" w:right="0" w:firstLine="0"/>
        <w:jc w:val="left"/>
      </w:pPr>
      <w:r>
        <w:rPr>
          <w:spacing w:val="0"/>
          <w:w w:val="100"/>
          <w:position w:val="0"/>
        </w:rPr>
        <w:t>光典档案馆一体化智能管理平台包含光典馆藏资源管理系统、光典多媒体资源管理系统、光典库房管理系统及光典智 能查档服务系统。各系统既可发挥组合拳优势，又可单独部署实施。</w:t>
      </w:r>
    </w:p>
    <w:p>
      <w:pPr>
        <w:pStyle w:val="Style24"/>
        <w:keepNext w:val="0"/>
        <w:keepLines w:val="0"/>
        <w:widowControl w:val="0"/>
        <w:shd w:val="clear" w:color="auto" w:fill="auto"/>
        <w:tabs>
          <w:tab w:pos="418" w:val="left"/>
        </w:tabs>
        <w:bidi w:val="0"/>
        <w:spacing w:before="0" w:after="0" w:line="313" w:lineRule="exact"/>
        <w:ind w:left="0" w:right="0" w:firstLine="0"/>
        <w:jc w:val="left"/>
      </w:pPr>
      <w:bookmarkStart w:id="65" w:name="bookmark65"/>
      <w:r>
        <w:rPr>
          <w:spacing w:val="0"/>
          <w:w w:val="100"/>
          <w:position w:val="0"/>
        </w:rPr>
        <w:t>（</w:t>
      </w:r>
      <w:bookmarkEnd w:id="65"/>
      <w:r>
        <w:rPr>
          <w:rFonts w:ascii="Times New Roman" w:eastAsia="Times New Roman" w:hAnsi="Times New Roman" w:cs="Times New Roman"/>
          <w:spacing w:val="0"/>
          <w:w w:val="100"/>
          <w:position w:val="0"/>
          <w:sz w:val="19"/>
          <w:szCs w:val="19"/>
        </w:rPr>
        <w:t>6</w:t>
      </w:r>
      <w:r>
        <w:rPr>
          <w:spacing w:val="0"/>
          <w:w w:val="100"/>
          <w:position w:val="0"/>
        </w:rPr>
        <w:t>）</w:t>
        <w:tab/>
        <w:t>光典馆室一体化智能管理平台</w:t>
      </w:r>
    </w:p>
    <w:p>
      <w:pPr>
        <w:pStyle w:val="Style24"/>
        <w:keepNext w:val="0"/>
        <w:keepLines w:val="0"/>
        <w:widowControl w:val="0"/>
        <w:shd w:val="clear" w:color="auto" w:fill="auto"/>
        <w:bidi w:val="0"/>
        <w:spacing w:before="0" w:after="0" w:line="313" w:lineRule="exact"/>
        <w:ind w:left="0" w:right="0" w:firstLine="0"/>
        <w:jc w:val="left"/>
      </w:pPr>
      <w:r>
        <w:rPr>
          <w:spacing w:val="0"/>
          <w:w w:val="100"/>
          <w:position w:val="0"/>
        </w:rPr>
        <w:t>光典馆室一体化智能管理平台依据《数字档案馆建设指南》《数字档案室建设指南》《数字档案馆系统测试办法》《数 字档案室建设评价办法》等规范性文件，进行独立研发，该产品可满足立档单位对各类电子文件的收集、归档和对各 类档案的收集、管理、保存、利用要求，建立本单位的数字档案室，同时规范进馆档案的移交和接收流程，实现馆室 联动。</w:t>
      </w:r>
    </w:p>
    <w:p>
      <w:pPr>
        <w:pStyle w:val="Style24"/>
        <w:keepNext w:val="0"/>
        <w:keepLines w:val="0"/>
        <w:widowControl w:val="0"/>
        <w:shd w:val="clear" w:color="auto" w:fill="auto"/>
        <w:bidi w:val="0"/>
        <w:spacing w:before="0" w:after="0" w:line="313" w:lineRule="exact"/>
        <w:ind w:left="0" w:right="0" w:firstLine="0"/>
        <w:jc w:val="left"/>
      </w:pPr>
      <w:r>
        <w:rPr>
          <w:spacing w:val="0"/>
          <w:w w:val="100"/>
          <w:position w:val="0"/>
        </w:rPr>
        <w:t>光典馆室一体化智能管理平台包含光典电子文件归档处理系统、光典集中式档案室管理系统及光典档案移交接收系统。 各系统既可发挥平台化优势，又可单独部署实施。</w:t>
      </w:r>
    </w:p>
    <w:p>
      <w:pPr>
        <w:pStyle w:val="Style24"/>
        <w:keepNext w:val="0"/>
        <w:keepLines w:val="0"/>
        <w:widowControl w:val="0"/>
        <w:shd w:val="clear" w:color="auto" w:fill="auto"/>
        <w:tabs>
          <w:tab w:pos="418" w:val="left"/>
        </w:tabs>
        <w:bidi w:val="0"/>
        <w:spacing w:before="0" w:after="0" w:line="313" w:lineRule="exact"/>
        <w:ind w:left="0" w:right="0" w:firstLine="0"/>
        <w:jc w:val="left"/>
      </w:pPr>
      <w:bookmarkStart w:id="66" w:name="bookmark66"/>
      <w:r>
        <w:rPr>
          <w:spacing w:val="0"/>
          <w:w w:val="100"/>
          <w:position w:val="0"/>
        </w:rPr>
        <w:t>（</w:t>
      </w:r>
      <w:bookmarkEnd w:id="66"/>
      <w:r>
        <w:rPr>
          <w:rFonts w:ascii="Times New Roman" w:eastAsia="Times New Roman" w:hAnsi="Times New Roman" w:cs="Times New Roman"/>
          <w:spacing w:val="0"/>
          <w:w w:val="100"/>
          <w:position w:val="0"/>
          <w:sz w:val="19"/>
          <w:szCs w:val="19"/>
        </w:rPr>
        <w:t>7</w:t>
      </w:r>
      <w:r>
        <w:rPr>
          <w:spacing w:val="0"/>
          <w:w w:val="100"/>
          <w:position w:val="0"/>
        </w:rPr>
        <w:t>）</w:t>
        <w:tab/>
        <w:t>光典档案智慧检索平台</w:t>
      </w:r>
    </w:p>
    <w:p>
      <w:pPr>
        <w:pStyle w:val="Style24"/>
        <w:keepNext w:val="0"/>
        <w:keepLines w:val="0"/>
        <w:widowControl w:val="0"/>
        <w:shd w:val="clear" w:color="auto" w:fill="auto"/>
        <w:bidi w:val="0"/>
        <w:spacing w:before="0" w:after="180" w:line="313" w:lineRule="exact"/>
        <w:ind w:left="0" w:right="0" w:firstLine="0"/>
        <w:jc w:val="left"/>
      </w:pPr>
      <w:r>
        <w:rPr>
          <w:spacing w:val="0"/>
          <w:w w:val="100"/>
          <w:position w:val="0"/>
        </w:rPr>
        <w:t>针对海量的档案信息资源，光典档案智慧检索平台通过集成当前先进的自然语言处理、智能检索、智能推荐等技术， 通过对档案全文内容分析、关键词提取，实现对档案内容的深度挖掘。通过建立档案数据检索模型，基于智能联想、 智能推荐的理念，有效帮助用户快速发现感兴趣和高质量的信息，提升用户体验。</w:t>
      </w:r>
    </w:p>
    <w:p>
      <w:pPr>
        <w:widowControl w:val="0"/>
        <w:jc w:val="center"/>
        <w:rPr>
          <w:sz w:val="2"/>
          <w:szCs w:val="2"/>
        </w:rPr>
      </w:pPr>
      <w:r>
        <w:drawing>
          <wp:inline>
            <wp:extent cx="3084830" cy="199326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3084830" cy="1993265"/>
                    </a:xfrm>
                    <a:prstGeom prst="rect"/>
                  </pic:spPr>
                </pic:pic>
              </a:graphicData>
            </a:graphic>
          </wp:inline>
        </w:drawing>
      </w:r>
    </w:p>
    <w:p>
      <w:pPr>
        <w:widowControl w:val="0"/>
        <w:spacing w:after="119" w:line="1" w:lineRule="exact"/>
      </w:pPr>
    </w:p>
    <w:p>
      <w:pPr>
        <w:pStyle w:val="Style24"/>
        <w:keepNext w:val="0"/>
        <w:keepLines w:val="0"/>
        <w:widowControl w:val="0"/>
        <w:shd w:val="clear" w:color="auto" w:fill="auto"/>
        <w:bidi w:val="0"/>
        <w:spacing w:before="0" w:after="0" w:line="312" w:lineRule="exact"/>
        <w:ind w:left="0" w:right="0" w:firstLine="220"/>
        <w:jc w:val="left"/>
      </w:pPr>
      <w:r>
        <w:rPr>
          <w:rFonts w:ascii="Times New Roman" w:eastAsia="Times New Roman" w:hAnsi="Times New Roman" w:cs="Times New Roman"/>
          <w:spacing w:val="0"/>
          <w:w w:val="100"/>
          <w:position w:val="0"/>
          <w:sz w:val="19"/>
          <w:szCs w:val="19"/>
        </w:rPr>
        <w:t>8</w:t>
      </w:r>
      <w:r>
        <w:rPr>
          <w:spacing w:val="0"/>
          <w:w w:val="100"/>
          <w:position w:val="0"/>
        </w:rPr>
        <w:t>）光典档案馆际共享平台</w:t>
      </w:r>
    </w:p>
    <w:p>
      <w:pPr>
        <w:pStyle w:val="Style24"/>
        <w:keepNext w:val="0"/>
        <w:keepLines w:val="0"/>
        <w:widowControl w:val="0"/>
        <w:shd w:val="clear" w:color="auto" w:fill="auto"/>
        <w:bidi w:val="0"/>
        <w:spacing w:before="0" w:after="60" w:line="312" w:lineRule="exact"/>
        <w:ind w:left="0" w:right="0" w:firstLine="0"/>
        <w:jc w:val="left"/>
      </w:pPr>
      <w:r>
        <w:rPr>
          <w:spacing w:val="0"/>
          <w:w w:val="100"/>
          <w:position w:val="0"/>
        </w:rPr>
        <w:t>光典档案馆际共享平台以实现民生档案的跨馆服务为目标，利用分布式整合技术整合区域内档案馆的民生档案目录资 源，通过查档登记、档案分布式检索、利用申请、利用审批、档案出证等功能，实现民生档案</w:t>
      </w:r>
      <w:r>
        <w:rPr>
          <w:rFonts w:ascii="Times New Roman" w:eastAsia="Times New Roman" w:hAnsi="Times New Roman" w:cs="Times New Roman"/>
          <w:spacing w:val="0"/>
          <w:w w:val="100"/>
          <w:position w:val="0"/>
          <w:sz w:val="19"/>
          <w:szCs w:val="19"/>
        </w:rPr>
        <w:t>“</w:t>
      </w:r>
      <w:r>
        <w:rPr>
          <w:spacing w:val="0"/>
          <w:w w:val="100"/>
          <w:position w:val="0"/>
        </w:rPr>
        <w:t>就近查档、跨馆出证</w:t>
      </w:r>
      <w:r>
        <w:rPr>
          <w:rFonts w:ascii="Times New Roman" w:eastAsia="Times New Roman" w:hAnsi="Times New Roman" w:cs="Times New Roman"/>
          <w:spacing w:val="0"/>
          <w:w w:val="100"/>
          <w:position w:val="0"/>
          <w:sz w:val="19"/>
          <w:szCs w:val="19"/>
        </w:rPr>
        <w:t>”</w:t>
      </w:r>
      <w:r>
        <w:rPr>
          <w:spacing w:val="0"/>
          <w:w w:val="100"/>
          <w:position w:val="0"/>
        </w:rPr>
        <w:t>， 提高档案服务便民化。</w:t>
      </w:r>
      <w:r>
        <w:br w:type="page"/>
      </w:r>
    </w:p>
    <w:p>
      <w:pPr>
        <w:widowControl w:val="0"/>
        <w:jc w:val="center"/>
        <w:rPr>
          <w:sz w:val="2"/>
          <w:szCs w:val="2"/>
        </w:rPr>
      </w:pPr>
      <w:r>
        <w:drawing>
          <wp:inline>
            <wp:extent cx="2456815" cy="188341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2456815" cy="1883410"/>
                    </a:xfrm>
                    <a:prstGeom prst="rect"/>
                  </pic:spPr>
                </pic:pic>
              </a:graphicData>
            </a:graphic>
          </wp:inline>
        </w:drawing>
      </w:r>
    </w:p>
    <w:p>
      <w:pPr>
        <w:widowControl w:val="0"/>
        <w:spacing w:after="39" w:line="1" w:lineRule="exact"/>
      </w:pPr>
    </w:p>
    <w:p>
      <w:pPr>
        <w:pStyle w:val="Style24"/>
        <w:keepNext w:val="0"/>
        <w:keepLines w:val="0"/>
        <w:widowControl w:val="0"/>
        <w:shd w:val="clear" w:color="auto" w:fill="auto"/>
        <w:bidi w:val="0"/>
        <w:spacing w:before="0" w:after="0" w:line="312" w:lineRule="exact"/>
        <w:ind w:left="0" w:right="0" w:firstLine="0"/>
        <w:jc w:val="both"/>
      </w:pPr>
      <w:bookmarkStart w:id="67" w:name="bookmark67"/>
      <w:r>
        <w:rPr>
          <w:spacing w:val="0"/>
          <w:w w:val="100"/>
          <w:position w:val="0"/>
        </w:rPr>
        <w:t>（</w:t>
      </w:r>
      <w:bookmarkEnd w:id="67"/>
      <w:r>
        <w:rPr>
          <w:rFonts w:ascii="Times New Roman" w:eastAsia="Times New Roman" w:hAnsi="Times New Roman" w:cs="Times New Roman"/>
          <w:spacing w:val="0"/>
          <w:w w:val="100"/>
          <w:position w:val="0"/>
          <w:sz w:val="19"/>
          <w:szCs w:val="19"/>
        </w:rPr>
        <w:t>9</w:t>
      </w:r>
      <w:r>
        <w:rPr>
          <w:spacing w:val="0"/>
          <w:w w:val="100"/>
          <w:position w:val="0"/>
        </w:rPr>
        <w:t>）光典网页采集系统</w:t>
      </w:r>
    </w:p>
    <w:p>
      <w:pPr>
        <w:pStyle w:val="Style24"/>
        <w:keepNext w:val="0"/>
        <w:keepLines w:val="0"/>
        <w:widowControl w:val="0"/>
        <w:shd w:val="clear" w:color="auto" w:fill="auto"/>
        <w:bidi w:val="0"/>
        <w:spacing w:before="0" w:after="40" w:line="312" w:lineRule="exact"/>
        <w:ind w:left="0" w:right="0" w:firstLine="0"/>
        <w:jc w:val="both"/>
      </w:pPr>
      <w:r>
        <w:rPr>
          <w:spacing w:val="0"/>
          <w:w w:val="100"/>
          <w:position w:val="0"/>
        </w:rPr>
        <w:t>光典网页采集系统依托于互联网，采用网络爬虫技术，对政府网站网页、数字报、微信公众号、微博、抖音等资源进 行采集，定频道、定关键字、定时间地自动搜索，对采集的信息进行整理和导出，从而满足政府网站不同类型网页信 息采集归档的需求。</w:t>
      </w:r>
    </w:p>
    <w:p>
      <w:pPr>
        <w:widowControl w:val="0"/>
        <w:jc w:val="center"/>
        <w:rPr>
          <w:sz w:val="2"/>
          <w:szCs w:val="2"/>
        </w:rPr>
      </w:pPr>
      <w:r>
        <w:drawing>
          <wp:inline>
            <wp:extent cx="2858770" cy="197485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2858770" cy="1974850"/>
                    </a:xfrm>
                    <a:prstGeom prst="rect"/>
                  </pic:spPr>
                </pic:pic>
              </a:graphicData>
            </a:graphic>
          </wp:inline>
        </w:drawing>
      </w:r>
    </w:p>
    <w:p>
      <w:pPr>
        <w:pStyle w:val="Style24"/>
        <w:keepNext w:val="0"/>
        <w:keepLines w:val="0"/>
        <w:widowControl w:val="0"/>
        <w:shd w:val="clear" w:color="auto" w:fill="auto"/>
        <w:bidi w:val="0"/>
        <w:spacing w:before="0" w:after="0" w:line="314" w:lineRule="exact"/>
        <w:ind w:left="0" w:right="0" w:firstLine="0"/>
        <w:jc w:val="both"/>
      </w:pPr>
      <w:bookmarkStart w:id="68" w:name="bookmark68"/>
      <w:r>
        <w:rPr>
          <w:spacing w:val="0"/>
          <w:w w:val="100"/>
          <w:position w:val="0"/>
        </w:rPr>
        <w:t>（</w:t>
      </w:r>
      <w:bookmarkEnd w:id="68"/>
      <w:r>
        <w:rPr>
          <w:rFonts w:ascii="Times New Roman" w:eastAsia="Times New Roman" w:hAnsi="Times New Roman" w:cs="Times New Roman"/>
          <w:spacing w:val="0"/>
          <w:w w:val="100"/>
          <w:position w:val="0"/>
          <w:sz w:val="19"/>
          <w:szCs w:val="19"/>
        </w:rPr>
        <w:t>10</w:t>
      </w:r>
      <w:r>
        <w:rPr>
          <w:spacing w:val="0"/>
          <w:w w:val="100"/>
          <w:position w:val="0"/>
        </w:rPr>
        <w:t>）光典智能查档服务系统</w:t>
      </w:r>
    </w:p>
    <w:p>
      <w:pPr>
        <w:pStyle w:val="Style24"/>
        <w:keepNext w:val="0"/>
        <w:keepLines w:val="0"/>
        <w:widowControl w:val="0"/>
        <w:shd w:val="clear" w:color="auto" w:fill="auto"/>
        <w:bidi w:val="0"/>
        <w:spacing w:before="0" w:after="380" w:line="314" w:lineRule="exact"/>
        <w:ind w:left="0" w:right="0" w:firstLine="0"/>
        <w:jc w:val="both"/>
      </w:pPr>
      <w:r>
        <w:rPr>
          <w:spacing w:val="0"/>
          <w:w w:val="100"/>
          <w:position w:val="0"/>
        </w:rPr>
        <w:t>光典智能查档服务系统部署在档案馆接待利用大厅，通过对接待利用流程的梳理和优化，充分借助触摸屏、查阅终端 等自助设备、实现接待登记、档案查询、档案浏览、档案出证等全过程的信息化管理，满足人民群众、机关工作人员 等对开放档案、民生档案的查阅需求，提高服务质量、提升服务形象。</w:t>
      </w:r>
    </w:p>
    <w:p>
      <w:pPr>
        <w:widowControl w:val="0"/>
        <w:jc w:val="center"/>
        <w:rPr>
          <w:sz w:val="2"/>
          <w:szCs w:val="2"/>
        </w:rPr>
      </w:pPr>
      <w:r>
        <w:drawing>
          <wp:inline>
            <wp:extent cx="2834640" cy="215201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2834640" cy="2152015"/>
                    </a:xfrm>
                    <a:prstGeom prst="rect"/>
                  </pic:spPr>
                </pic:pic>
              </a:graphicData>
            </a:graphic>
          </wp:inline>
        </w:drawing>
      </w:r>
    </w:p>
    <w:p>
      <w:pPr>
        <w:pStyle w:val="Style24"/>
        <w:keepNext w:val="0"/>
        <w:keepLines w:val="0"/>
        <w:widowControl w:val="0"/>
        <w:shd w:val="clear" w:color="auto" w:fill="auto"/>
        <w:bidi w:val="0"/>
        <w:spacing w:before="0" w:after="0" w:line="310" w:lineRule="exact"/>
        <w:ind w:left="0" w:right="0" w:firstLine="0"/>
        <w:jc w:val="both"/>
      </w:pPr>
      <w:bookmarkStart w:id="69" w:name="bookmark69"/>
      <w:r>
        <w:rPr>
          <w:spacing w:val="0"/>
          <w:w w:val="100"/>
          <w:position w:val="0"/>
        </w:rPr>
        <w:t>（</w:t>
      </w:r>
      <w:bookmarkEnd w:id="69"/>
      <w:r>
        <w:rPr>
          <w:rFonts w:ascii="Times New Roman" w:eastAsia="Times New Roman" w:hAnsi="Times New Roman" w:cs="Times New Roman"/>
          <w:spacing w:val="0"/>
          <w:w w:val="100"/>
          <w:position w:val="0"/>
          <w:sz w:val="19"/>
          <w:szCs w:val="19"/>
        </w:rPr>
        <w:t>11</w:t>
      </w:r>
      <w:r>
        <w:rPr>
          <w:spacing w:val="0"/>
          <w:w w:val="100"/>
          <w:position w:val="0"/>
        </w:rPr>
        <w:t>）海量电子档案安全保存一体机</w:t>
      </w:r>
    </w:p>
    <w:p>
      <w:pPr>
        <w:pStyle w:val="Style24"/>
        <w:keepNext w:val="0"/>
        <w:keepLines w:val="0"/>
        <w:widowControl w:val="0"/>
        <w:shd w:val="clear" w:color="auto" w:fill="auto"/>
        <w:bidi w:val="0"/>
        <w:spacing w:before="0" w:after="200" w:line="310" w:lineRule="exact"/>
        <w:ind w:left="0" w:right="0" w:firstLine="0"/>
        <w:jc w:val="both"/>
      </w:pPr>
      <w:r>
        <w:rPr>
          <w:spacing w:val="0"/>
          <w:w w:val="100"/>
          <w:position w:val="0"/>
        </w:rPr>
        <w:t>针对客户对于档案保存管理的不同需求，海量电子档案安全保存一体机提供多种档案存储组合方式，创新地综合运用 磁盘、磁带和光盘等多种存储介质，采用</w:t>
      </w:r>
      <w:r>
        <w:rPr>
          <w:rFonts w:ascii="Times New Roman" w:eastAsia="Times New Roman" w:hAnsi="Times New Roman" w:cs="Times New Roman"/>
          <w:spacing w:val="0"/>
          <w:w w:val="100"/>
          <w:position w:val="0"/>
          <w:sz w:val="19"/>
          <w:szCs w:val="19"/>
        </w:rPr>
        <w:t>3-2</w:t>
      </w:r>
      <w:r>
        <w:rPr>
          <w:rFonts w:ascii="Times New Roman" w:eastAsia="Times New Roman" w:hAnsi="Times New Roman" w:cs="Times New Roman"/>
          <w:spacing w:val="0"/>
          <w:w w:val="100"/>
          <w:position w:val="0"/>
          <w:sz w:val="19"/>
          <w:szCs w:val="19"/>
        </w:rPr>
        <w:t>-1</w:t>
      </w:r>
      <w:r>
        <w:rPr>
          <w:spacing w:val="0"/>
          <w:w w:val="100"/>
          <w:position w:val="0"/>
        </w:rPr>
        <w:t>存储备份机制，磁、光、电融合存储方案，集智能监控、多级存储设备 管理于一体，为用户提供自动备份、定期检测、智能恢复、问题追踪及处理等功能。</w:t>
      </w:r>
    </w:p>
    <w:p>
      <w:pPr>
        <w:widowControl w:val="0"/>
        <w:jc w:val="center"/>
        <w:rPr>
          <w:sz w:val="2"/>
          <w:szCs w:val="2"/>
        </w:rPr>
      </w:pPr>
      <w:r>
        <w:drawing>
          <wp:inline>
            <wp:extent cx="2956560" cy="221869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2956560" cy="2218690"/>
                    </a:xfrm>
                    <a:prstGeom prst="rect"/>
                  </pic:spPr>
                </pic:pic>
              </a:graphicData>
            </a:graphic>
          </wp:inline>
        </w:drawing>
      </w:r>
    </w:p>
    <w:p>
      <w:pPr>
        <w:widowControl w:val="0"/>
        <w:spacing w:after="79" w:line="1" w:lineRule="exact"/>
      </w:pPr>
    </w:p>
    <w:p>
      <w:pPr>
        <w:pStyle w:val="Style33"/>
        <w:keepNext w:val="0"/>
        <w:keepLines w:val="0"/>
        <w:widowControl w:val="0"/>
        <w:shd w:val="clear" w:color="auto" w:fill="auto"/>
        <w:bidi w:val="0"/>
        <w:spacing w:before="0" w:after="0" w:line="312" w:lineRule="exact"/>
        <w:ind w:left="0" w:right="0" w:firstLine="0"/>
        <w:jc w:val="both"/>
      </w:pPr>
      <w:bookmarkStart w:id="70" w:name="bookmark70"/>
      <w:r>
        <w:rPr>
          <w:rFonts w:ascii="Times New Roman" w:eastAsia="Times New Roman" w:hAnsi="Times New Roman" w:cs="Times New Roman"/>
          <w:color w:val="000000"/>
          <w:spacing w:val="0"/>
          <w:w w:val="100"/>
          <w:position w:val="0"/>
        </w:rPr>
        <w:t>2</w:t>
      </w:r>
      <w:bookmarkEnd w:id="70"/>
      <w:r>
        <w:rPr>
          <w:color w:val="000000"/>
          <w:spacing w:val="0"/>
          <w:w w:val="100"/>
          <w:position w:val="0"/>
        </w:rPr>
        <w:t>、整体解决方案</w:t>
      </w:r>
    </w:p>
    <w:p>
      <w:pPr>
        <w:pStyle w:val="Style24"/>
        <w:keepNext w:val="0"/>
        <w:keepLines w:val="0"/>
        <w:widowControl w:val="0"/>
        <w:shd w:val="clear" w:color="auto" w:fill="auto"/>
        <w:tabs>
          <w:tab w:pos="401" w:val="left"/>
        </w:tabs>
        <w:bidi w:val="0"/>
        <w:spacing w:before="0" w:after="0" w:line="312" w:lineRule="exact"/>
        <w:ind w:left="0" w:right="0" w:firstLine="0"/>
        <w:jc w:val="both"/>
      </w:pPr>
      <w:bookmarkStart w:id="71" w:name="bookmark71"/>
      <w:r>
        <w:rPr>
          <w:spacing w:val="0"/>
          <w:w w:val="100"/>
          <w:position w:val="0"/>
        </w:rPr>
        <w:t>（</w:t>
      </w:r>
      <w:bookmarkEnd w:id="71"/>
      <w:r>
        <w:rPr>
          <w:rFonts w:ascii="Times New Roman" w:eastAsia="Times New Roman" w:hAnsi="Times New Roman" w:cs="Times New Roman"/>
          <w:spacing w:val="0"/>
          <w:w w:val="100"/>
          <w:position w:val="0"/>
          <w:sz w:val="19"/>
          <w:szCs w:val="19"/>
        </w:rPr>
        <w:t>1</w:t>
      </w:r>
      <w:r>
        <w:rPr>
          <w:spacing w:val="0"/>
          <w:w w:val="100"/>
          <w:position w:val="0"/>
        </w:rPr>
        <w:t>）</w:t>
        <w:tab/>
        <w:t>数字档案馆整体解决方案</w:t>
      </w:r>
    </w:p>
    <w:p>
      <w:pPr>
        <w:pStyle w:val="Style24"/>
        <w:keepNext w:val="0"/>
        <w:keepLines w:val="0"/>
        <w:widowControl w:val="0"/>
        <w:shd w:val="clear" w:color="auto" w:fill="auto"/>
        <w:bidi w:val="0"/>
        <w:spacing w:before="0" w:after="0" w:line="312" w:lineRule="exact"/>
        <w:ind w:left="0" w:right="0" w:firstLine="0"/>
        <w:jc w:val="both"/>
      </w:pPr>
      <w:r>
        <w:rPr>
          <w:spacing w:val="0"/>
          <w:w w:val="100"/>
          <w:position w:val="0"/>
        </w:rPr>
        <w:t>数字档案馆整体解决方案按照国家《数字档案馆建设指南》、《数字档案馆系统测试办法》等政策文</w:t>
      </w:r>
      <w:r>
        <w:rPr>
          <w:color w:val="000000"/>
          <w:spacing w:val="0"/>
          <w:w w:val="100"/>
          <w:position w:val="0"/>
          <w:sz w:val="20"/>
          <w:szCs w:val="20"/>
        </w:rPr>
        <w:t>件要求，</w:t>
      </w:r>
      <w:r>
        <w:rPr>
          <w:spacing w:val="0"/>
          <w:w w:val="100"/>
          <w:position w:val="0"/>
        </w:rPr>
        <w:t>参考 开放档案信息系统（</w:t>
      </w:r>
      <w:r>
        <w:rPr>
          <w:rFonts w:ascii="Times New Roman" w:eastAsia="Times New Roman" w:hAnsi="Times New Roman" w:cs="Times New Roman"/>
          <w:spacing w:val="0"/>
          <w:w w:val="100"/>
          <w:position w:val="0"/>
          <w:sz w:val="19"/>
          <w:szCs w:val="19"/>
        </w:rPr>
        <w:t>OAIS</w:t>
      </w:r>
      <w:r>
        <w:rPr>
          <w:spacing w:val="0"/>
          <w:w w:val="100"/>
          <w:position w:val="0"/>
        </w:rPr>
        <w:t>）</w:t>
      </w:r>
      <w:r>
        <w:rPr>
          <w:spacing w:val="0"/>
          <w:w w:val="100"/>
          <w:position w:val="0"/>
        </w:rPr>
        <w:t>模型，围绕档案馆信息化建设需求，基于局域网、政务网、互联网等网络平台开展基础 设施建设、档案系统建设、档案资源建设，依托先进的信息技术实现档案信息资源收集、管理、保存、利用全过程的 规范化管理，面向档案馆、立档单位、社会公众提供跨区域、跨部门、多渠道档案共享服务，最终实现档案资源数字 化、信息传输网络化、服务利用便捷化、信息资源共享化的目标。</w:t>
      </w:r>
    </w:p>
    <w:p>
      <w:pPr>
        <w:pStyle w:val="Style24"/>
        <w:keepNext w:val="0"/>
        <w:keepLines w:val="0"/>
        <w:widowControl w:val="0"/>
        <w:shd w:val="clear" w:color="auto" w:fill="auto"/>
        <w:tabs>
          <w:tab w:pos="401" w:val="left"/>
        </w:tabs>
        <w:bidi w:val="0"/>
        <w:spacing w:before="0" w:after="0" w:line="312" w:lineRule="exact"/>
        <w:ind w:left="0" w:right="0" w:firstLine="0"/>
        <w:jc w:val="both"/>
      </w:pPr>
      <w:bookmarkStart w:id="72" w:name="bookmark72"/>
      <w:r>
        <w:rPr>
          <w:spacing w:val="0"/>
          <w:w w:val="100"/>
          <w:position w:val="0"/>
        </w:rPr>
        <w:t>（</w:t>
      </w:r>
      <w:bookmarkEnd w:id="72"/>
      <w:r>
        <w:rPr>
          <w:rFonts w:ascii="Times New Roman" w:eastAsia="Times New Roman" w:hAnsi="Times New Roman" w:cs="Times New Roman"/>
          <w:spacing w:val="0"/>
          <w:w w:val="100"/>
          <w:position w:val="0"/>
          <w:sz w:val="19"/>
          <w:szCs w:val="19"/>
        </w:rPr>
        <w:t>2</w:t>
      </w:r>
      <w:r>
        <w:rPr>
          <w:spacing w:val="0"/>
          <w:w w:val="100"/>
          <w:position w:val="0"/>
        </w:rPr>
        <w:t>）</w:t>
        <w:tab/>
        <w:t>数字档案室整体解决方案</w:t>
      </w:r>
    </w:p>
    <w:p>
      <w:pPr>
        <w:pStyle w:val="Style24"/>
        <w:keepNext w:val="0"/>
        <w:keepLines w:val="0"/>
        <w:widowControl w:val="0"/>
        <w:shd w:val="clear" w:color="auto" w:fill="auto"/>
        <w:bidi w:val="0"/>
        <w:spacing w:before="0" w:after="0" w:line="312" w:lineRule="exact"/>
        <w:ind w:left="0" w:right="0" w:firstLine="0"/>
        <w:jc w:val="both"/>
      </w:pPr>
      <w:r>
        <w:rPr>
          <w:spacing w:val="0"/>
          <w:w w:val="100"/>
          <w:position w:val="0"/>
        </w:rPr>
        <w:t>数字档案室整体解决方案以《数字档案室建设指南》、《数字档案室建设评价办法》等相关文件指引，以我司丰富的 国家、省级数字档案室测评经验为支撑，以档案工作顶层设计模型与档案信息化成熟度模型为导向，覆盖基础设施、 档案资源、电子档案管理系统、数字档案资源、制度规范体系、安全保密体系六个维度，实现档案收管存用全生命周 期管理，最终实现档案资源数字化、档案管理信息化、档案服务知识化。</w:t>
      </w:r>
    </w:p>
    <w:p>
      <w:pPr>
        <w:pStyle w:val="Style24"/>
        <w:keepNext w:val="0"/>
        <w:keepLines w:val="0"/>
        <w:widowControl w:val="0"/>
        <w:shd w:val="clear" w:color="auto" w:fill="auto"/>
        <w:tabs>
          <w:tab w:pos="401" w:val="left"/>
        </w:tabs>
        <w:bidi w:val="0"/>
        <w:spacing w:before="0" w:after="0" w:line="312" w:lineRule="exact"/>
        <w:ind w:left="0" w:right="0" w:firstLine="0"/>
        <w:jc w:val="both"/>
      </w:pPr>
      <w:bookmarkStart w:id="73" w:name="bookmark73"/>
      <w:r>
        <w:rPr>
          <w:spacing w:val="0"/>
          <w:w w:val="100"/>
          <w:position w:val="0"/>
        </w:rPr>
        <w:t>（</w:t>
      </w:r>
      <w:bookmarkEnd w:id="73"/>
      <w:r>
        <w:rPr>
          <w:rFonts w:ascii="Times New Roman" w:eastAsia="Times New Roman" w:hAnsi="Times New Roman" w:cs="Times New Roman"/>
          <w:spacing w:val="0"/>
          <w:w w:val="100"/>
          <w:position w:val="0"/>
          <w:sz w:val="19"/>
          <w:szCs w:val="19"/>
        </w:rPr>
        <w:t>3</w:t>
      </w:r>
      <w:r>
        <w:rPr>
          <w:spacing w:val="0"/>
          <w:w w:val="100"/>
          <w:position w:val="0"/>
        </w:rPr>
        <w:t>）</w:t>
        <w:tab/>
        <w:t>智慧档案馆整体解决方案</w:t>
      </w:r>
    </w:p>
    <w:p>
      <w:pPr>
        <w:pStyle w:val="Style24"/>
        <w:keepNext w:val="0"/>
        <w:keepLines w:val="0"/>
        <w:widowControl w:val="0"/>
        <w:shd w:val="clear" w:color="auto" w:fill="auto"/>
        <w:bidi w:val="0"/>
        <w:spacing w:before="0" w:after="0" w:line="312" w:lineRule="exact"/>
        <w:ind w:left="0" w:right="0" w:firstLine="0"/>
        <w:jc w:val="both"/>
      </w:pPr>
      <w:r>
        <w:rPr>
          <w:spacing w:val="0"/>
          <w:w w:val="100"/>
          <w:position w:val="0"/>
        </w:rPr>
        <w:t>智慧档案馆是以新一代信息技术为支撑，综合大数据、人工智能、云计算、物联网等理念，在数字档案馆建设的基础 上，通过各种平台对数字档案信息资源进行异构采集、智能管理和安全保存，构建资源多元、全面感知、深度挖掘、 泛在服务的新一代档案馆。我司通过模式创新、技术创新、理念创新，将</w:t>
      </w:r>
      <w:r>
        <w:rPr>
          <w:rFonts w:ascii="Times New Roman" w:eastAsia="Times New Roman" w:hAnsi="Times New Roman" w:cs="Times New Roman"/>
          <w:spacing w:val="0"/>
          <w:w w:val="100"/>
          <w:position w:val="0"/>
          <w:sz w:val="19"/>
          <w:szCs w:val="19"/>
        </w:rPr>
        <w:t>“</w:t>
      </w:r>
      <w:r>
        <w:rPr>
          <w:spacing w:val="0"/>
          <w:w w:val="100"/>
          <w:position w:val="0"/>
        </w:rPr>
        <w:t>智慧</w:t>
      </w:r>
      <w:r>
        <w:rPr>
          <w:rFonts w:ascii="Times New Roman" w:eastAsia="Times New Roman" w:hAnsi="Times New Roman" w:cs="Times New Roman"/>
          <w:spacing w:val="0"/>
          <w:w w:val="100"/>
          <w:position w:val="0"/>
          <w:sz w:val="19"/>
          <w:szCs w:val="19"/>
        </w:rPr>
        <w:t>”</w:t>
      </w:r>
      <w:r>
        <w:rPr>
          <w:spacing w:val="0"/>
          <w:w w:val="100"/>
          <w:position w:val="0"/>
        </w:rPr>
        <w:t>贯穿于档案收集、管理、保存、利用 等全部业务流程中，对传统数字档案馆进行继承、延展和提升，实现各类信息资源的有序整合、智慧管理、深度挖掘 和高效利用，创造更加安全的传输和保管环境。</w:t>
      </w:r>
    </w:p>
    <w:p>
      <w:pPr>
        <w:pStyle w:val="Style24"/>
        <w:keepNext w:val="0"/>
        <w:keepLines w:val="0"/>
        <w:widowControl w:val="0"/>
        <w:shd w:val="clear" w:color="auto" w:fill="auto"/>
        <w:tabs>
          <w:tab w:pos="401" w:val="left"/>
        </w:tabs>
        <w:bidi w:val="0"/>
        <w:spacing w:before="0" w:after="0" w:line="312" w:lineRule="exact"/>
        <w:ind w:left="0" w:right="0" w:firstLine="0"/>
        <w:jc w:val="both"/>
      </w:pPr>
      <w:bookmarkStart w:id="74" w:name="bookmark74"/>
      <w:r>
        <w:rPr>
          <w:spacing w:val="0"/>
          <w:w w:val="100"/>
          <w:position w:val="0"/>
        </w:rPr>
        <w:t>（</w:t>
      </w:r>
      <w:bookmarkEnd w:id="74"/>
      <w:r>
        <w:rPr>
          <w:rFonts w:ascii="Times New Roman" w:eastAsia="Times New Roman" w:hAnsi="Times New Roman" w:cs="Times New Roman"/>
          <w:spacing w:val="0"/>
          <w:w w:val="100"/>
          <w:position w:val="0"/>
          <w:sz w:val="19"/>
          <w:szCs w:val="19"/>
        </w:rPr>
        <w:t>4</w:t>
      </w:r>
      <w:r>
        <w:rPr>
          <w:spacing w:val="0"/>
          <w:w w:val="100"/>
          <w:position w:val="0"/>
        </w:rPr>
        <w:t>）</w:t>
        <w:tab/>
        <w:t>档案资源共建共享整体解决方案</w:t>
      </w:r>
    </w:p>
    <w:p>
      <w:pPr>
        <w:pStyle w:val="Style24"/>
        <w:keepNext w:val="0"/>
        <w:keepLines w:val="0"/>
        <w:widowControl w:val="0"/>
        <w:shd w:val="clear" w:color="auto" w:fill="auto"/>
        <w:bidi w:val="0"/>
        <w:spacing w:before="0" w:after="0" w:line="312" w:lineRule="exact"/>
        <w:ind w:left="0" w:right="0" w:firstLine="0"/>
        <w:jc w:val="both"/>
      </w:pPr>
      <w:r>
        <w:rPr>
          <w:spacing w:val="0"/>
          <w:w w:val="100"/>
          <w:position w:val="0"/>
        </w:rPr>
        <w:t xml:space="preserve">推进区域内跨层级、跨部门档案资源远程查阅利用，促进档案利用更加便捷，仍是今后一段时期档案工作的重点。针 对档案远程查阅利用需求，结合我司深耕档案信息化行业二十多年所积累的经验，我司提出了 </w:t>
      </w:r>
      <w:r>
        <w:rPr>
          <w:rFonts w:ascii="Times New Roman" w:eastAsia="Times New Roman" w:hAnsi="Times New Roman" w:cs="Times New Roman"/>
          <w:spacing w:val="0"/>
          <w:w w:val="100"/>
          <w:position w:val="0"/>
          <w:sz w:val="19"/>
          <w:szCs w:val="19"/>
        </w:rPr>
        <w:t>3</w:t>
      </w:r>
      <w:r>
        <w:rPr>
          <w:spacing w:val="0"/>
          <w:w w:val="100"/>
          <w:position w:val="0"/>
        </w:rPr>
        <w:t>种档案资源共建共享 模式，各档案馆可结合本区域信息化现状和档案资源特点，建立区域内民生档案</w:t>
      </w:r>
      <w:r>
        <w:rPr>
          <w:rFonts w:ascii="Times New Roman" w:eastAsia="Times New Roman" w:hAnsi="Times New Roman" w:cs="Times New Roman"/>
          <w:spacing w:val="0"/>
          <w:w w:val="100"/>
          <w:position w:val="0"/>
          <w:sz w:val="19"/>
          <w:szCs w:val="19"/>
        </w:rPr>
        <w:t>“</w:t>
      </w:r>
      <w:r>
        <w:rPr>
          <w:spacing w:val="0"/>
          <w:w w:val="100"/>
          <w:position w:val="0"/>
        </w:rPr>
        <w:t>一站式</w:t>
      </w:r>
      <w:r>
        <w:rPr>
          <w:rFonts w:ascii="Times New Roman" w:eastAsia="Times New Roman" w:hAnsi="Times New Roman" w:cs="Times New Roman"/>
          <w:spacing w:val="0"/>
          <w:w w:val="100"/>
          <w:position w:val="0"/>
          <w:sz w:val="19"/>
          <w:szCs w:val="19"/>
        </w:rPr>
        <w:t>”</w:t>
      </w:r>
      <w:r>
        <w:rPr>
          <w:spacing w:val="0"/>
          <w:w w:val="100"/>
          <w:position w:val="0"/>
        </w:rPr>
        <w:t>服务平台，推进民生档案信 息资源整合和共享，实现跨区域民生档案</w:t>
      </w:r>
      <w:r>
        <w:rPr>
          <w:rFonts w:ascii="Times New Roman" w:eastAsia="Times New Roman" w:hAnsi="Times New Roman" w:cs="Times New Roman"/>
          <w:spacing w:val="0"/>
          <w:w w:val="100"/>
          <w:position w:val="0"/>
          <w:sz w:val="19"/>
          <w:szCs w:val="19"/>
        </w:rPr>
        <w:t>“</w:t>
      </w:r>
      <w:r>
        <w:rPr>
          <w:spacing w:val="0"/>
          <w:w w:val="100"/>
          <w:position w:val="0"/>
        </w:rPr>
        <w:t>就近查档、跨馆取证、可信可靠</w:t>
      </w:r>
      <w:r>
        <w:rPr>
          <w:rFonts w:ascii="Times New Roman" w:eastAsia="Times New Roman" w:hAnsi="Times New Roman" w:cs="Times New Roman"/>
          <w:spacing w:val="0"/>
          <w:w w:val="100"/>
          <w:position w:val="0"/>
          <w:sz w:val="19"/>
          <w:szCs w:val="19"/>
        </w:rPr>
        <w:t>”</w:t>
      </w:r>
      <w:r>
        <w:rPr>
          <w:spacing w:val="0"/>
          <w:w w:val="100"/>
          <w:position w:val="0"/>
        </w:rPr>
        <w:t>等便捷化服务，提升区域内档案数字资源 利用水平。</w:t>
      </w:r>
    </w:p>
    <w:p>
      <w:pPr>
        <w:pStyle w:val="Style24"/>
        <w:keepNext w:val="0"/>
        <w:keepLines w:val="0"/>
        <w:widowControl w:val="0"/>
        <w:shd w:val="clear" w:color="auto" w:fill="auto"/>
        <w:tabs>
          <w:tab w:pos="401" w:val="left"/>
        </w:tabs>
        <w:bidi w:val="0"/>
        <w:spacing w:before="0" w:after="0" w:line="312" w:lineRule="exact"/>
        <w:ind w:left="0" w:right="0" w:firstLine="0"/>
        <w:jc w:val="both"/>
      </w:pPr>
      <w:bookmarkStart w:id="75" w:name="bookmark75"/>
      <w:r>
        <w:rPr>
          <w:spacing w:val="0"/>
          <w:w w:val="100"/>
          <w:position w:val="0"/>
        </w:rPr>
        <w:t>（</w:t>
      </w:r>
      <w:bookmarkEnd w:id="75"/>
      <w:r>
        <w:rPr>
          <w:rFonts w:ascii="Times New Roman" w:eastAsia="Times New Roman" w:hAnsi="Times New Roman" w:cs="Times New Roman"/>
          <w:spacing w:val="0"/>
          <w:w w:val="100"/>
          <w:position w:val="0"/>
          <w:sz w:val="19"/>
          <w:szCs w:val="19"/>
        </w:rPr>
        <w:t>5</w:t>
      </w:r>
      <w:r>
        <w:rPr>
          <w:spacing w:val="0"/>
          <w:w w:val="100"/>
          <w:position w:val="0"/>
        </w:rPr>
        <w:t>）</w:t>
        <w:tab/>
        <w:t>档案应用创新技术替代解决方案</w:t>
      </w:r>
    </w:p>
    <w:p>
      <w:pPr>
        <w:pStyle w:val="Style24"/>
        <w:keepNext w:val="0"/>
        <w:keepLines w:val="0"/>
        <w:widowControl w:val="0"/>
        <w:shd w:val="clear" w:color="auto" w:fill="auto"/>
        <w:bidi w:val="0"/>
        <w:spacing w:before="0" w:after="0" w:line="312" w:lineRule="exact"/>
        <w:ind w:left="0" w:right="0" w:firstLine="0"/>
        <w:jc w:val="both"/>
      </w:pPr>
      <w:r>
        <w:rPr>
          <w:spacing w:val="0"/>
          <w:w w:val="100"/>
          <w:position w:val="0"/>
        </w:rPr>
        <w:t>档案应用创新技术替代解决方案紧跟国家安全战略的步伐，通过安全性软硬件的对比分析，提供一套完善的针对档案 应用的</w:t>
      </w:r>
      <w:r>
        <w:rPr>
          <w:rFonts w:ascii="Times New Roman" w:eastAsia="Times New Roman" w:hAnsi="Times New Roman" w:cs="Times New Roman"/>
          <w:spacing w:val="0"/>
          <w:w w:val="100"/>
          <w:position w:val="0"/>
          <w:sz w:val="19"/>
          <w:szCs w:val="19"/>
        </w:rPr>
        <w:t>CPU</w:t>
      </w:r>
      <w:r>
        <w:rPr>
          <w:spacing w:val="0"/>
          <w:w w:val="100"/>
          <w:position w:val="0"/>
        </w:rPr>
        <w:t>、</w:t>
      </w:r>
      <w:r>
        <w:rPr>
          <w:spacing w:val="0"/>
          <w:w w:val="100"/>
          <w:position w:val="0"/>
        </w:rPr>
        <w:t>操作系统、数据库、中间件等重要核心基础设施的创新技术替代方案，开展特定环境下档案系统软、硬 件的适配性研究。通过浏览器适配测试、操作系统适配测试、中间件适配测试、数据库适配测试、工具软件适配测试、 外设适配测试等一系列改造和测试，确保档案系统在安全环境下平稳运行。</w:t>
      </w:r>
    </w:p>
    <w:p>
      <w:pPr>
        <w:pStyle w:val="Style24"/>
        <w:keepNext w:val="0"/>
        <w:keepLines w:val="0"/>
        <w:widowControl w:val="0"/>
        <w:shd w:val="clear" w:color="auto" w:fill="auto"/>
        <w:tabs>
          <w:tab w:pos="401" w:val="left"/>
        </w:tabs>
        <w:bidi w:val="0"/>
        <w:spacing w:before="0" w:after="0" w:line="312" w:lineRule="exact"/>
        <w:ind w:left="0" w:right="0" w:firstLine="0"/>
        <w:jc w:val="both"/>
      </w:pPr>
      <w:bookmarkStart w:id="76" w:name="bookmark76"/>
      <w:r>
        <w:rPr>
          <w:spacing w:val="0"/>
          <w:w w:val="100"/>
          <w:position w:val="0"/>
        </w:rPr>
        <w:t>（</w:t>
      </w:r>
      <w:bookmarkEnd w:id="76"/>
      <w:r>
        <w:rPr>
          <w:rFonts w:ascii="Times New Roman" w:eastAsia="Times New Roman" w:hAnsi="Times New Roman" w:cs="Times New Roman"/>
          <w:spacing w:val="0"/>
          <w:w w:val="100"/>
          <w:position w:val="0"/>
          <w:sz w:val="19"/>
          <w:szCs w:val="19"/>
        </w:rPr>
        <w:t>6</w:t>
      </w:r>
      <w:r>
        <w:rPr>
          <w:spacing w:val="0"/>
          <w:w w:val="100"/>
          <w:position w:val="0"/>
        </w:rPr>
        <w:t>）</w:t>
        <w:tab/>
        <w:t>金融行业智慧档案管理解决方案</w:t>
      </w:r>
    </w:p>
    <w:p>
      <w:pPr>
        <w:pStyle w:val="Style24"/>
        <w:keepNext w:val="0"/>
        <w:keepLines w:val="0"/>
        <w:widowControl w:val="0"/>
        <w:shd w:val="clear" w:color="auto" w:fill="auto"/>
        <w:bidi w:val="0"/>
        <w:spacing w:before="0" w:after="0" w:line="312" w:lineRule="exact"/>
        <w:ind w:left="0" w:right="0" w:firstLine="0"/>
        <w:jc w:val="both"/>
      </w:pPr>
      <w:r>
        <w:rPr>
          <w:spacing w:val="0"/>
          <w:w w:val="100"/>
          <w:position w:val="0"/>
        </w:rPr>
        <w:t>金融行业智慧档案管理解决方案基于最新《档案法》，参照《企业数字档案馆（室）建设指南》、《电子文件归档与 电子档案管理规范》、《企业电子文件归档和电子档案管理指南》等相关行业政策规范，引入区块链、人工智能、</w:t>
      </w:r>
      <w:r>
        <w:rPr>
          <w:rFonts w:ascii="Times New Roman" w:eastAsia="Times New Roman" w:hAnsi="Times New Roman" w:cs="Times New Roman"/>
          <w:spacing w:val="0"/>
          <w:w w:val="100"/>
          <w:position w:val="0"/>
          <w:sz w:val="19"/>
          <w:szCs w:val="19"/>
        </w:rPr>
        <w:t xml:space="preserve">AI+ </w:t>
      </w:r>
      <w:r>
        <w:rPr>
          <w:spacing w:val="0"/>
          <w:w w:val="100"/>
          <w:position w:val="0"/>
        </w:rPr>
        <w:t xml:space="preserve">大数据、物联网等技术，对档案信息化建设进行顶层设计，包括基础设施建设、档案体系建设、组织人才建设、数字 资源建设、应用系统建设与安全保密建设，同时探索核心业务与档案管理的深度融合，实现电子文件归档与电子档案 </w:t>
      </w:r>
      <w:r>
        <w:rPr>
          <w:rFonts w:ascii="Times New Roman" w:eastAsia="Times New Roman" w:hAnsi="Times New Roman" w:cs="Times New Roman"/>
          <w:spacing w:val="0"/>
          <w:w w:val="100"/>
          <w:position w:val="0"/>
          <w:sz w:val="19"/>
          <w:szCs w:val="19"/>
        </w:rPr>
        <w:t>“</w:t>
      </w:r>
      <w:r>
        <w:rPr>
          <w:spacing w:val="0"/>
          <w:w w:val="100"/>
          <w:position w:val="0"/>
        </w:rPr>
        <w:t>单套制</w:t>
      </w:r>
      <w:r>
        <w:rPr>
          <w:rFonts w:ascii="Times New Roman" w:eastAsia="Times New Roman" w:hAnsi="Times New Roman" w:cs="Times New Roman"/>
          <w:spacing w:val="0"/>
          <w:w w:val="100"/>
          <w:position w:val="0"/>
          <w:sz w:val="19"/>
          <w:szCs w:val="19"/>
        </w:rPr>
        <w:t>”</w:t>
      </w:r>
      <w:r>
        <w:rPr>
          <w:spacing w:val="0"/>
          <w:w w:val="100"/>
          <w:position w:val="0"/>
        </w:rPr>
        <w:t>管理新模式，为金融行业数字化转型提供数据支撑。</w:t>
      </w:r>
    </w:p>
    <w:p>
      <w:pPr>
        <w:pStyle w:val="Style24"/>
        <w:keepNext w:val="0"/>
        <w:keepLines w:val="0"/>
        <w:widowControl w:val="0"/>
        <w:shd w:val="clear" w:color="auto" w:fill="auto"/>
        <w:tabs>
          <w:tab w:pos="399" w:val="left"/>
        </w:tabs>
        <w:bidi w:val="0"/>
        <w:spacing w:before="0" w:after="0" w:line="313" w:lineRule="exact"/>
        <w:ind w:left="0" w:right="0" w:firstLine="0"/>
        <w:jc w:val="both"/>
      </w:pPr>
      <w:bookmarkStart w:id="77" w:name="bookmark77"/>
      <w:r>
        <w:rPr>
          <w:spacing w:val="0"/>
          <w:w w:val="100"/>
          <w:position w:val="0"/>
        </w:rPr>
        <w:t>（</w:t>
      </w:r>
      <w:bookmarkEnd w:id="77"/>
      <w:r>
        <w:rPr>
          <w:rFonts w:ascii="Times New Roman" w:eastAsia="Times New Roman" w:hAnsi="Times New Roman" w:cs="Times New Roman"/>
          <w:spacing w:val="0"/>
          <w:w w:val="100"/>
          <w:position w:val="0"/>
          <w:sz w:val="19"/>
          <w:szCs w:val="19"/>
        </w:rPr>
        <w:t>7</w:t>
      </w:r>
      <w:r>
        <w:rPr>
          <w:spacing w:val="0"/>
          <w:w w:val="100"/>
          <w:position w:val="0"/>
        </w:rPr>
        <w:t>）</w:t>
        <w:tab/>
        <w:t>档案业务咨询规划解决方案</w:t>
      </w:r>
    </w:p>
    <w:p>
      <w:pPr>
        <w:pStyle w:val="Style24"/>
        <w:keepNext w:val="0"/>
        <w:keepLines w:val="0"/>
        <w:widowControl w:val="0"/>
        <w:shd w:val="clear" w:color="auto" w:fill="auto"/>
        <w:bidi w:val="0"/>
        <w:spacing w:before="0" w:after="0" w:line="313" w:lineRule="exact"/>
        <w:ind w:left="0" w:right="0" w:firstLine="0"/>
        <w:jc w:val="both"/>
      </w:pPr>
      <w:r>
        <w:rPr>
          <w:spacing w:val="0"/>
          <w:w w:val="100"/>
          <w:position w:val="0"/>
        </w:rPr>
        <w:t>公司搭建专业的咨询专家团队</w:t>
      </w:r>
      <w:r>
        <w:rPr>
          <w:spacing w:val="0"/>
          <w:w w:val="100"/>
          <w:position w:val="0"/>
          <w:sz w:val="19"/>
          <w:szCs w:val="19"/>
        </w:rPr>
        <w:t>，</w:t>
      </w:r>
      <w:r>
        <w:rPr>
          <w:spacing w:val="0"/>
          <w:w w:val="100"/>
          <w:position w:val="0"/>
        </w:rPr>
        <w:t>通过研究和整合国内外档案信息化标准规范、技术成果等资源，结合实践经验，为用 户提供全面、专业的档案信息化咨询服务，主要内容包括：档案工作制度体系建设、电子文件归档与电子档案管理相 关标准规范制定、数字档案馆室测评、档案课题研究等。通过咨询服务，帮助用户建立档案工作组织体系，完善电子 文件归档和电子档案管理体制机制，有效解决目前档案管理工作中普遍存在的组织管理不足、电子档案收集不全、档 案利用不便、数据安全性差等问题，实现档案工作的标准化、规范化和信息化。</w:t>
      </w:r>
    </w:p>
    <w:p>
      <w:pPr>
        <w:pStyle w:val="Style24"/>
        <w:keepNext w:val="0"/>
        <w:keepLines w:val="0"/>
        <w:widowControl w:val="0"/>
        <w:shd w:val="clear" w:color="auto" w:fill="auto"/>
        <w:tabs>
          <w:tab w:pos="399" w:val="left"/>
        </w:tabs>
        <w:bidi w:val="0"/>
        <w:spacing w:before="0" w:after="0" w:line="313" w:lineRule="exact"/>
        <w:ind w:left="0" w:right="0" w:firstLine="0"/>
        <w:jc w:val="both"/>
      </w:pPr>
      <w:bookmarkStart w:id="78" w:name="bookmark78"/>
      <w:r>
        <w:rPr>
          <w:spacing w:val="0"/>
          <w:w w:val="100"/>
          <w:position w:val="0"/>
        </w:rPr>
        <w:t>（</w:t>
      </w:r>
      <w:bookmarkEnd w:id="78"/>
      <w:r>
        <w:rPr>
          <w:rFonts w:ascii="Times New Roman" w:eastAsia="Times New Roman" w:hAnsi="Times New Roman" w:cs="Times New Roman"/>
          <w:spacing w:val="0"/>
          <w:w w:val="100"/>
          <w:position w:val="0"/>
          <w:sz w:val="19"/>
          <w:szCs w:val="19"/>
        </w:rPr>
        <w:t>8</w:t>
      </w:r>
      <w:r>
        <w:rPr>
          <w:spacing w:val="0"/>
          <w:w w:val="100"/>
          <w:position w:val="0"/>
        </w:rPr>
        <w:t>）</w:t>
        <w:tab/>
        <w:t>电子档案单套制管理解决方案</w:t>
      </w:r>
    </w:p>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spacing w:val="0"/>
          <w:w w:val="100"/>
          <w:position w:val="0"/>
          <w:sz w:val="19"/>
          <w:szCs w:val="19"/>
        </w:rPr>
        <w:t>2020</w:t>
      </w:r>
      <w:r>
        <w:rPr>
          <w:spacing w:val="0"/>
          <w:w w:val="100"/>
          <w:position w:val="0"/>
        </w:rPr>
        <w:t>年新修订《档案法》中明确规定，电子档案与传统载体档案具有同等效力，掀起新一轮电子档案单套制管理的热 潮。电子档案单套制管理解决方案聚焦原生电子文件归档、电子档案移交、电子档案长期保存等在内的电子档案全过 程管理。该方案旨在通过模式、技术、制度等多种维度的创新，推动电子档案管理的规范化，建立健全电子档案管理 的可信体系，从而推进</w:t>
      </w:r>
      <w:r>
        <w:rPr>
          <w:rFonts w:ascii="Times New Roman" w:eastAsia="Times New Roman" w:hAnsi="Times New Roman" w:cs="Times New Roman"/>
          <w:spacing w:val="0"/>
          <w:w w:val="100"/>
          <w:position w:val="0"/>
          <w:sz w:val="19"/>
          <w:szCs w:val="19"/>
        </w:rPr>
        <w:t>“</w:t>
      </w:r>
      <w:r>
        <w:rPr>
          <w:spacing w:val="0"/>
          <w:w w:val="100"/>
          <w:position w:val="0"/>
        </w:rPr>
        <w:t>无纸化办公</w:t>
      </w:r>
      <w:r>
        <w:rPr>
          <w:rFonts w:ascii="Times New Roman" w:eastAsia="Times New Roman" w:hAnsi="Times New Roman" w:cs="Times New Roman"/>
          <w:spacing w:val="0"/>
          <w:w w:val="100"/>
          <w:position w:val="0"/>
          <w:sz w:val="19"/>
          <w:szCs w:val="19"/>
        </w:rPr>
        <w:t>”</w:t>
      </w:r>
      <w:r>
        <w:rPr>
          <w:spacing w:val="0"/>
          <w:w w:val="100"/>
          <w:position w:val="0"/>
        </w:rPr>
        <w:t>乃至</w:t>
      </w:r>
      <w:r>
        <w:rPr>
          <w:rFonts w:ascii="Times New Roman" w:eastAsia="Times New Roman" w:hAnsi="Times New Roman" w:cs="Times New Roman"/>
          <w:spacing w:val="0"/>
          <w:w w:val="100"/>
          <w:position w:val="0"/>
          <w:sz w:val="19"/>
          <w:szCs w:val="19"/>
        </w:rPr>
        <w:t>“</w:t>
      </w:r>
      <w:r>
        <w:rPr>
          <w:spacing w:val="0"/>
          <w:w w:val="100"/>
          <w:position w:val="0"/>
        </w:rPr>
        <w:t>超越无纸</w:t>
      </w:r>
      <w:r>
        <w:rPr>
          <w:rFonts w:ascii="Times New Roman" w:eastAsia="Times New Roman" w:hAnsi="Times New Roman" w:cs="Times New Roman"/>
          <w:spacing w:val="0"/>
          <w:w w:val="100"/>
          <w:position w:val="0"/>
          <w:sz w:val="19"/>
          <w:szCs w:val="19"/>
        </w:rPr>
        <w:t>”</w:t>
      </w:r>
      <w:r>
        <w:rPr>
          <w:spacing w:val="0"/>
          <w:w w:val="100"/>
          <w:position w:val="0"/>
        </w:rPr>
        <w:t>，促进国内电子档案管理的数字转型。</w:t>
      </w:r>
    </w:p>
    <w:p>
      <w:pPr>
        <w:pStyle w:val="Style24"/>
        <w:keepNext w:val="0"/>
        <w:keepLines w:val="0"/>
        <w:widowControl w:val="0"/>
        <w:shd w:val="clear" w:color="auto" w:fill="auto"/>
        <w:tabs>
          <w:tab w:pos="399" w:val="left"/>
        </w:tabs>
        <w:bidi w:val="0"/>
        <w:spacing w:before="0" w:after="0" w:line="313" w:lineRule="exact"/>
        <w:ind w:left="0" w:right="0" w:firstLine="0"/>
        <w:jc w:val="both"/>
      </w:pPr>
      <w:bookmarkStart w:id="79" w:name="bookmark79"/>
      <w:r>
        <w:rPr>
          <w:spacing w:val="0"/>
          <w:w w:val="100"/>
          <w:position w:val="0"/>
        </w:rPr>
        <w:t>（</w:t>
      </w:r>
      <w:bookmarkEnd w:id="79"/>
      <w:r>
        <w:rPr>
          <w:rFonts w:ascii="Times New Roman" w:eastAsia="Times New Roman" w:hAnsi="Times New Roman" w:cs="Times New Roman"/>
          <w:spacing w:val="0"/>
          <w:w w:val="100"/>
          <w:position w:val="0"/>
          <w:sz w:val="19"/>
          <w:szCs w:val="19"/>
        </w:rPr>
        <w:t>9</w:t>
      </w:r>
      <w:r>
        <w:rPr>
          <w:spacing w:val="0"/>
          <w:w w:val="100"/>
          <w:position w:val="0"/>
        </w:rPr>
        <w:t>）</w:t>
        <w:tab/>
        <w:t>大数据</w:t>
      </w:r>
      <w:r>
        <w:rPr>
          <w:rFonts w:ascii="Times New Roman" w:eastAsia="Times New Roman" w:hAnsi="Times New Roman" w:cs="Times New Roman"/>
          <w:spacing w:val="0"/>
          <w:w w:val="100"/>
          <w:position w:val="0"/>
          <w:sz w:val="19"/>
          <w:szCs w:val="19"/>
        </w:rPr>
        <w:t>+</w:t>
      </w:r>
      <w:r>
        <w:rPr>
          <w:spacing w:val="0"/>
          <w:w w:val="100"/>
          <w:position w:val="0"/>
        </w:rPr>
        <w:t>档案解决方案</w:t>
      </w:r>
    </w:p>
    <w:p>
      <w:pPr>
        <w:pStyle w:val="Style24"/>
        <w:keepNext w:val="0"/>
        <w:keepLines w:val="0"/>
        <w:widowControl w:val="0"/>
        <w:shd w:val="clear" w:color="auto" w:fill="auto"/>
        <w:bidi w:val="0"/>
        <w:spacing w:before="0" w:after="220" w:line="312" w:lineRule="exact"/>
        <w:ind w:left="0" w:right="0" w:firstLine="0"/>
        <w:jc w:val="both"/>
      </w:pPr>
      <w:r>
        <w:rPr>
          <w:spacing w:val="0"/>
          <w:w w:val="100"/>
          <w:position w:val="0"/>
        </w:rPr>
        <w:t>通过大数据基础平台保障档案数据的高效安全采集、处理和存储，并通过数据质量监管平台检测数据质量，保障数据 的完整性、实时性和精确性。同时，利用基于大数据的文本挖掘、数据挖掘技术，深入分析与整合数据，得到一个完 整的档案网络。通过构建各类数据统计模型和决策模型，为档案馆领导及各部室管理人员提供</w:t>
      </w:r>
      <w:r>
        <w:rPr>
          <w:rFonts w:ascii="Times New Roman" w:eastAsia="Times New Roman" w:hAnsi="Times New Roman" w:cs="Times New Roman"/>
          <w:spacing w:val="0"/>
          <w:w w:val="100"/>
          <w:position w:val="0"/>
          <w:sz w:val="19"/>
          <w:szCs w:val="19"/>
        </w:rPr>
        <w:t>“</w:t>
      </w:r>
      <w:r>
        <w:rPr>
          <w:spacing w:val="0"/>
          <w:w w:val="100"/>
          <w:position w:val="0"/>
        </w:rPr>
        <w:t>一站式</w:t>
      </w:r>
      <w:r>
        <w:rPr>
          <w:rFonts w:ascii="Times New Roman" w:eastAsia="Times New Roman" w:hAnsi="Times New Roman" w:cs="Times New Roman"/>
          <w:spacing w:val="0"/>
          <w:w w:val="100"/>
          <w:position w:val="0"/>
          <w:sz w:val="19"/>
          <w:szCs w:val="19"/>
        </w:rPr>
        <w:t>”</w:t>
      </w:r>
      <w:r>
        <w:rPr>
          <w:spacing w:val="0"/>
          <w:w w:val="100"/>
          <w:position w:val="0"/>
        </w:rPr>
        <w:t>决策支持管 理中心，达成档案资源与用户需求双向控制最优化。</w:t>
      </w:r>
    </w:p>
    <w:p>
      <w:pPr>
        <w:widowControl w:val="0"/>
        <w:jc w:val="center"/>
        <w:rPr>
          <w:sz w:val="2"/>
          <w:szCs w:val="2"/>
        </w:rPr>
      </w:pPr>
      <w:r>
        <w:drawing>
          <wp:inline>
            <wp:extent cx="3931920" cy="160337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pic:blipFill>
                  <pic:spPr>
                    <a:xfrm>
                      <a:ext cx="3931920" cy="1603375"/>
                    </a:xfrm>
                    <a:prstGeom prst="rect"/>
                  </pic:spPr>
                </pic:pic>
              </a:graphicData>
            </a:graphic>
          </wp:inline>
        </w:drawing>
      </w:r>
    </w:p>
    <w:p>
      <w:pPr>
        <w:widowControl w:val="0"/>
        <w:spacing w:after="139" w:line="1" w:lineRule="exact"/>
      </w:pPr>
    </w:p>
    <w:p>
      <w:pPr>
        <w:pStyle w:val="Style24"/>
        <w:keepNext w:val="0"/>
        <w:keepLines w:val="0"/>
        <w:widowControl w:val="0"/>
        <w:shd w:val="clear" w:color="auto" w:fill="auto"/>
        <w:bidi w:val="0"/>
        <w:spacing w:before="0" w:after="0" w:line="312" w:lineRule="exact"/>
        <w:ind w:left="0" w:right="0" w:firstLine="0"/>
        <w:jc w:val="both"/>
      </w:pPr>
      <w:bookmarkStart w:id="80" w:name="bookmark80"/>
      <w:r>
        <w:rPr>
          <w:spacing w:val="0"/>
          <w:w w:val="100"/>
          <w:position w:val="0"/>
        </w:rPr>
        <w:t>（</w:t>
      </w:r>
      <w:bookmarkEnd w:id="80"/>
      <w:r>
        <w:rPr>
          <w:rFonts w:ascii="Times New Roman" w:eastAsia="Times New Roman" w:hAnsi="Times New Roman" w:cs="Times New Roman"/>
          <w:spacing w:val="0"/>
          <w:w w:val="100"/>
          <w:position w:val="0"/>
          <w:sz w:val="19"/>
          <w:szCs w:val="19"/>
        </w:rPr>
        <w:t>10</w:t>
      </w:r>
      <w:r>
        <w:rPr>
          <w:spacing w:val="0"/>
          <w:w w:val="100"/>
          <w:position w:val="0"/>
        </w:rPr>
        <w:t>）区块链</w:t>
      </w:r>
      <w:r>
        <w:rPr>
          <w:rFonts w:ascii="Times New Roman" w:eastAsia="Times New Roman" w:hAnsi="Times New Roman" w:cs="Times New Roman"/>
          <w:spacing w:val="0"/>
          <w:w w:val="100"/>
          <w:position w:val="0"/>
          <w:sz w:val="19"/>
          <w:szCs w:val="19"/>
        </w:rPr>
        <w:t>+</w:t>
      </w:r>
      <w:r>
        <w:rPr>
          <w:spacing w:val="0"/>
          <w:w w:val="100"/>
          <w:position w:val="0"/>
        </w:rPr>
        <w:t>档案解决方案</w:t>
      </w:r>
    </w:p>
    <w:p>
      <w:pPr>
        <w:pStyle w:val="Style24"/>
        <w:keepNext w:val="0"/>
        <w:keepLines w:val="0"/>
        <w:widowControl w:val="0"/>
        <w:shd w:val="clear" w:color="auto" w:fill="auto"/>
        <w:bidi w:val="0"/>
        <w:spacing w:before="0" w:after="280" w:line="312" w:lineRule="exact"/>
        <w:ind w:left="0" w:right="0" w:firstLine="0"/>
        <w:jc w:val="both"/>
      </w:pPr>
      <w:r>
        <w:rPr>
          <w:spacing w:val="0"/>
          <w:w w:val="100"/>
          <w:position w:val="0"/>
        </w:rPr>
        <w:t>基于区块链技术的特点，结合我司深耕档案信息化行业二十多年所积累的经验，通过对档案应用场景的深入分析，基 于我司自主研发的</w:t>
      </w:r>
      <w:r>
        <w:rPr>
          <w:rFonts w:ascii="Times New Roman" w:eastAsia="Times New Roman" w:hAnsi="Times New Roman" w:cs="Times New Roman"/>
          <w:spacing w:val="0"/>
          <w:w w:val="100"/>
          <w:position w:val="0"/>
          <w:sz w:val="19"/>
          <w:szCs w:val="19"/>
        </w:rPr>
        <w:t>“</w:t>
      </w:r>
      <w:r>
        <w:rPr>
          <w:spacing w:val="0"/>
          <w:w w:val="100"/>
          <w:position w:val="0"/>
        </w:rPr>
        <w:t>信发链</w:t>
      </w:r>
      <w:r>
        <w:rPr>
          <w:rFonts w:ascii="Times New Roman" w:eastAsia="Times New Roman" w:hAnsi="Times New Roman" w:cs="Times New Roman"/>
          <w:spacing w:val="0"/>
          <w:w w:val="100"/>
          <w:position w:val="0"/>
          <w:sz w:val="19"/>
          <w:szCs w:val="19"/>
        </w:rPr>
        <w:t>”</w:t>
      </w:r>
      <w:r>
        <w:rPr>
          <w:spacing w:val="0"/>
          <w:w w:val="100"/>
          <w:position w:val="0"/>
        </w:rPr>
        <w:t>产品，推出了</w:t>
      </w:r>
      <w:r>
        <w:rPr>
          <w:rFonts w:ascii="Times New Roman" w:eastAsia="Times New Roman" w:hAnsi="Times New Roman" w:cs="Times New Roman"/>
          <w:spacing w:val="0"/>
          <w:w w:val="100"/>
          <w:position w:val="0"/>
          <w:sz w:val="19"/>
          <w:szCs w:val="19"/>
        </w:rPr>
        <w:t>“</w:t>
      </w:r>
      <w:r>
        <w:rPr>
          <w:spacing w:val="0"/>
          <w:w w:val="100"/>
          <w:position w:val="0"/>
        </w:rPr>
        <w:t>区块链</w:t>
      </w:r>
      <w:r>
        <w:rPr>
          <w:rFonts w:ascii="Times New Roman" w:eastAsia="Times New Roman" w:hAnsi="Times New Roman" w:cs="Times New Roman"/>
          <w:spacing w:val="0"/>
          <w:w w:val="100"/>
          <w:position w:val="0"/>
          <w:sz w:val="19"/>
          <w:szCs w:val="19"/>
        </w:rPr>
        <w:t>+</w:t>
      </w:r>
      <w:r>
        <w:rPr>
          <w:spacing w:val="0"/>
          <w:w w:val="100"/>
          <w:position w:val="0"/>
        </w:rPr>
        <w:t>档案</w:t>
      </w:r>
      <w:r>
        <w:rPr>
          <w:rFonts w:ascii="Times New Roman" w:eastAsia="Times New Roman" w:hAnsi="Times New Roman" w:cs="Times New Roman"/>
          <w:spacing w:val="0"/>
          <w:w w:val="100"/>
          <w:position w:val="0"/>
          <w:sz w:val="19"/>
          <w:szCs w:val="19"/>
        </w:rPr>
        <w:t>”</w:t>
      </w:r>
      <w:r>
        <w:rPr>
          <w:spacing w:val="0"/>
          <w:w w:val="100"/>
          <w:position w:val="0"/>
        </w:rPr>
        <w:t>解决方案，包括</w:t>
      </w:r>
      <w:r>
        <w:rPr>
          <w:rFonts w:ascii="Times New Roman" w:eastAsia="Times New Roman" w:hAnsi="Times New Roman" w:cs="Times New Roman"/>
          <w:spacing w:val="0"/>
          <w:w w:val="100"/>
          <w:position w:val="0"/>
          <w:sz w:val="19"/>
          <w:szCs w:val="19"/>
        </w:rPr>
        <w:t>“</w:t>
      </w:r>
      <w:r>
        <w:rPr>
          <w:spacing w:val="0"/>
          <w:w w:val="100"/>
          <w:position w:val="0"/>
        </w:rPr>
        <w:t>区块链</w:t>
      </w:r>
      <w:r>
        <w:rPr>
          <w:rFonts w:ascii="Times New Roman" w:eastAsia="Times New Roman" w:hAnsi="Times New Roman" w:cs="Times New Roman"/>
          <w:spacing w:val="0"/>
          <w:w w:val="100"/>
          <w:position w:val="0"/>
          <w:sz w:val="19"/>
          <w:szCs w:val="19"/>
        </w:rPr>
        <w:t>+</w:t>
      </w:r>
      <w:r>
        <w:rPr>
          <w:spacing w:val="0"/>
          <w:w w:val="100"/>
          <w:position w:val="0"/>
        </w:rPr>
        <w:t>民生档案跨馆出证</w:t>
      </w:r>
      <w:r>
        <w:rPr>
          <w:rFonts w:ascii="Times New Roman" w:eastAsia="Times New Roman" w:hAnsi="Times New Roman" w:cs="Times New Roman"/>
          <w:spacing w:val="0"/>
          <w:w w:val="100"/>
          <w:position w:val="0"/>
          <w:sz w:val="19"/>
          <w:szCs w:val="19"/>
        </w:rPr>
        <w:t>”</w:t>
      </w:r>
      <w:r>
        <w:rPr>
          <w:spacing w:val="0"/>
          <w:w w:val="100"/>
          <w:position w:val="0"/>
        </w:rPr>
        <w:t>、</w:t>
      </w:r>
      <w:r>
        <w:rPr>
          <w:rFonts w:ascii="Times New Roman" w:eastAsia="Times New Roman" w:hAnsi="Times New Roman" w:cs="Times New Roman"/>
          <w:spacing w:val="0"/>
          <w:w w:val="100"/>
          <w:position w:val="0"/>
          <w:sz w:val="19"/>
          <w:szCs w:val="19"/>
        </w:rPr>
        <w:t>“</w:t>
      </w:r>
      <w:r>
        <w:rPr>
          <w:spacing w:val="0"/>
          <w:w w:val="100"/>
          <w:position w:val="0"/>
        </w:rPr>
        <w:t>区块链</w:t>
      </w:r>
      <w:r>
        <w:rPr>
          <w:rFonts w:ascii="Times New Roman" w:eastAsia="Times New Roman" w:hAnsi="Times New Roman" w:cs="Times New Roman"/>
          <w:spacing w:val="0"/>
          <w:w w:val="100"/>
          <w:position w:val="0"/>
          <w:sz w:val="19"/>
          <w:szCs w:val="19"/>
        </w:rPr>
        <w:t>+</w:t>
      </w:r>
      <w:r>
        <w:rPr>
          <w:spacing w:val="0"/>
          <w:w w:val="100"/>
          <w:position w:val="0"/>
        </w:rPr>
        <w:t>电子 文件可信管理</w:t>
      </w:r>
      <w:r>
        <w:rPr>
          <w:rFonts w:ascii="Times New Roman" w:eastAsia="Times New Roman" w:hAnsi="Times New Roman" w:cs="Times New Roman"/>
          <w:spacing w:val="0"/>
          <w:w w:val="100"/>
          <w:position w:val="0"/>
          <w:sz w:val="19"/>
          <w:szCs w:val="19"/>
        </w:rPr>
        <w:t>”</w:t>
      </w:r>
      <w:r>
        <w:rPr>
          <w:spacing w:val="0"/>
          <w:w w:val="100"/>
          <w:position w:val="0"/>
        </w:rPr>
        <w:t>、</w:t>
      </w:r>
      <w:r>
        <w:rPr>
          <w:rFonts w:ascii="Times New Roman" w:eastAsia="Times New Roman" w:hAnsi="Times New Roman" w:cs="Times New Roman"/>
          <w:spacing w:val="0"/>
          <w:w w:val="100"/>
          <w:position w:val="0"/>
          <w:sz w:val="19"/>
          <w:szCs w:val="19"/>
        </w:rPr>
        <w:t>“</w:t>
      </w:r>
      <w:r>
        <w:rPr>
          <w:spacing w:val="0"/>
          <w:w w:val="100"/>
          <w:position w:val="0"/>
        </w:rPr>
        <w:t>区块链</w:t>
      </w:r>
      <w:r>
        <w:rPr>
          <w:rFonts w:ascii="Times New Roman" w:eastAsia="Times New Roman" w:hAnsi="Times New Roman" w:cs="Times New Roman"/>
          <w:spacing w:val="0"/>
          <w:w w:val="100"/>
          <w:position w:val="0"/>
          <w:sz w:val="19"/>
          <w:szCs w:val="19"/>
        </w:rPr>
        <w:t>+</w:t>
      </w:r>
      <w:r>
        <w:rPr>
          <w:spacing w:val="0"/>
          <w:w w:val="100"/>
          <w:position w:val="0"/>
        </w:rPr>
        <w:t>电子档案身份证</w:t>
      </w:r>
      <w:r>
        <w:rPr>
          <w:rFonts w:ascii="Times New Roman" w:eastAsia="Times New Roman" w:hAnsi="Times New Roman" w:cs="Times New Roman"/>
          <w:spacing w:val="0"/>
          <w:w w:val="100"/>
          <w:position w:val="0"/>
          <w:sz w:val="19"/>
          <w:szCs w:val="19"/>
        </w:rPr>
        <w:t>”</w:t>
      </w:r>
      <w:r>
        <w:rPr>
          <w:spacing w:val="0"/>
          <w:w w:val="100"/>
          <w:position w:val="0"/>
        </w:rPr>
        <w:t>、</w:t>
      </w:r>
      <w:r>
        <w:rPr>
          <w:rFonts w:ascii="Times New Roman" w:eastAsia="Times New Roman" w:hAnsi="Times New Roman" w:cs="Times New Roman"/>
          <w:spacing w:val="0"/>
          <w:w w:val="100"/>
          <w:position w:val="0"/>
          <w:sz w:val="19"/>
          <w:szCs w:val="19"/>
        </w:rPr>
        <w:t>“</w:t>
      </w:r>
      <w:r>
        <w:rPr>
          <w:spacing w:val="0"/>
          <w:w w:val="100"/>
          <w:position w:val="0"/>
        </w:rPr>
        <w:t>区块链</w:t>
      </w:r>
      <w:r>
        <w:rPr>
          <w:rFonts w:ascii="Times New Roman" w:eastAsia="Times New Roman" w:hAnsi="Times New Roman" w:cs="Times New Roman"/>
          <w:spacing w:val="0"/>
          <w:w w:val="100"/>
          <w:position w:val="0"/>
          <w:sz w:val="19"/>
          <w:szCs w:val="19"/>
        </w:rPr>
        <w:t>+</w:t>
      </w:r>
      <w:r>
        <w:rPr>
          <w:spacing w:val="0"/>
          <w:w w:val="100"/>
          <w:position w:val="0"/>
        </w:rPr>
        <w:t>业务档案存证溯源</w:t>
      </w:r>
      <w:r>
        <w:rPr>
          <w:rFonts w:ascii="Times New Roman" w:eastAsia="Times New Roman" w:hAnsi="Times New Roman" w:cs="Times New Roman"/>
          <w:spacing w:val="0"/>
          <w:w w:val="100"/>
          <w:position w:val="0"/>
          <w:sz w:val="19"/>
          <w:szCs w:val="19"/>
        </w:rPr>
        <w:t>”</w:t>
      </w:r>
      <w:r>
        <w:rPr>
          <w:spacing w:val="0"/>
          <w:w w:val="100"/>
          <w:position w:val="0"/>
        </w:rPr>
        <w:t>、</w:t>
      </w:r>
      <w:r>
        <w:rPr>
          <w:rFonts w:ascii="Times New Roman" w:eastAsia="Times New Roman" w:hAnsi="Times New Roman" w:cs="Times New Roman"/>
          <w:spacing w:val="0"/>
          <w:w w:val="100"/>
          <w:position w:val="0"/>
          <w:sz w:val="19"/>
          <w:szCs w:val="19"/>
        </w:rPr>
        <w:t>“</w:t>
      </w:r>
      <w:r>
        <w:rPr>
          <w:spacing w:val="0"/>
          <w:w w:val="100"/>
          <w:position w:val="0"/>
        </w:rPr>
        <w:t>区块链</w:t>
      </w:r>
      <w:r>
        <w:rPr>
          <w:rFonts w:ascii="Times New Roman" w:eastAsia="Times New Roman" w:hAnsi="Times New Roman" w:cs="Times New Roman"/>
          <w:spacing w:val="0"/>
          <w:w w:val="100"/>
          <w:position w:val="0"/>
          <w:sz w:val="19"/>
          <w:szCs w:val="19"/>
        </w:rPr>
        <w:t>+</w:t>
      </w:r>
      <w:r>
        <w:rPr>
          <w:spacing w:val="0"/>
          <w:w w:val="100"/>
          <w:position w:val="0"/>
        </w:rPr>
        <w:t>档案资源长期保存</w:t>
      </w:r>
      <w:r>
        <w:rPr>
          <w:rFonts w:ascii="Times New Roman" w:eastAsia="Times New Roman" w:hAnsi="Times New Roman" w:cs="Times New Roman"/>
          <w:spacing w:val="0"/>
          <w:w w:val="100"/>
          <w:position w:val="0"/>
          <w:sz w:val="19"/>
          <w:szCs w:val="19"/>
        </w:rPr>
        <w:t>”</w:t>
      </w:r>
      <w:r>
        <w:rPr>
          <w:spacing w:val="0"/>
          <w:w w:val="100"/>
          <w:position w:val="0"/>
        </w:rPr>
        <w:t>、</w:t>
      </w:r>
      <w:r>
        <w:rPr>
          <w:rFonts w:ascii="Times New Roman" w:eastAsia="Times New Roman" w:hAnsi="Times New Roman" w:cs="Times New Roman"/>
          <w:spacing w:val="0"/>
          <w:w w:val="100"/>
          <w:position w:val="0"/>
          <w:sz w:val="19"/>
          <w:szCs w:val="19"/>
        </w:rPr>
        <w:t>“</w:t>
      </w:r>
      <w:r>
        <w:rPr>
          <w:spacing w:val="0"/>
          <w:w w:val="100"/>
          <w:position w:val="0"/>
        </w:rPr>
        <w:t>区块链</w:t>
      </w:r>
      <w:r>
        <w:rPr>
          <w:rFonts w:ascii="Times New Roman" w:eastAsia="Times New Roman" w:hAnsi="Times New Roman" w:cs="Times New Roman"/>
          <w:spacing w:val="0"/>
          <w:w w:val="100"/>
          <w:position w:val="0"/>
          <w:sz w:val="19"/>
          <w:szCs w:val="19"/>
        </w:rPr>
        <w:t xml:space="preserve">+ </w:t>
      </w:r>
      <w:r>
        <w:rPr>
          <w:spacing w:val="0"/>
          <w:w w:val="100"/>
          <w:position w:val="0"/>
        </w:rPr>
        <w:t>档案存证平台</w:t>
      </w:r>
      <w:r>
        <w:rPr>
          <w:rFonts w:ascii="Times New Roman" w:eastAsia="Times New Roman" w:hAnsi="Times New Roman" w:cs="Times New Roman"/>
          <w:spacing w:val="0"/>
          <w:w w:val="100"/>
          <w:position w:val="0"/>
          <w:sz w:val="19"/>
          <w:szCs w:val="19"/>
        </w:rPr>
        <w:t>”6</w:t>
      </w:r>
      <w:r>
        <w:rPr>
          <w:spacing w:val="0"/>
          <w:w w:val="100"/>
          <w:position w:val="0"/>
        </w:rPr>
        <w:t>个应用场景，为各类档案机构结合自身业务特点和需求应用区块链技术提升档案管理水平提供了多样 化的选择。</w:t>
      </w:r>
    </w:p>
    <w:p>
      <w:pPr>
        <w:pStyle w:val="Style41"/>
        <w:keepNext w:val="0"/>
        <w:keepLines w:val="0"/>
        <w:widowControl w:val="0"/>
        <w:shd w:val="clear" w:color="auto" w:fill="auto"/>
        <w:bidi w:val="0"/>
        <w:spacing w:before="0" w:after="0" w:line="240" w:lineRule="auto"/>
        <w:ind w:left="1752" w:right="0" w:firstLine="0"/>
        <w:jc w:val="left"/>
        <w:rPr>
          <w:sz w:val="15"/>
          <w:szCs w:val="15"/>
        </w:rPr>
      </w:pPr>
      <w:r>
        <w:rPr>
          <w:rFonts w:ascii="SimHei" w:eastAsia="SimHei" w:hAnsi="SimHei" w:cs="SimHei"/>
          <w:color w:val="1E1E1E"/>
          <w:spacing w:val="0"/>
          <w:w w:val="100"/>
          <w:position w:val="0"/>
          <w:sz w:val="15"/>
          <w:szCs w:val="15"/>
        </w:rPr>
        <w:t>区块链+档案行业解决方案</w:t>
      </w:r>
    </w:p>
    <w:tbl>
      <w:tblPr>
        <w:tblOverlap w:val="never"/>
        <w:jc w:val="center"/>
        <w:tblLayout w:type="fixed"/>
      </w:tblPr>
      <w:tblGrid>
        <w:gridCol w:w="1061"/>
        <w:gridCol w:w="1080"/>
        <w:gridCol w:w="1080"/>
        <w:gridCol w:w="1075"/>
        <w:gridCol w:w="1066"/>
      </w:tblGrid>
      <w:tr>
        <w:trPr>
          <w:trHeight w:val="346" w:hRule="exact"/>
        </w:trPr>
        <w:tc>
          <w:tcPr>
            <w:tcBorders/>
            <w:shd w:val="clear" w:color="auto" w:fill="BF0001"/>
            <w:vAlign w:val="top"/>
          </w:tcPr>
          <w:p>
            <w:pPr>
              <w:pStyle w:val="Style18"/>
              <w:keepNext w:val="0"/>
              <w:keepLines w:val="0"/>
              <w:widowControl w:val="0"/>
              <w:pBdr>
                <w:top w:val="single" w:sz="0" w:space="0" w:color="BF0001"/>
                <w:left w:val="single" w:sz="0" w:space="0" w:color="BF0001"/>
                <w:bottom w:val="single" w:sz="0" w:space="0" w:color="BF0001"/>
                <w:right w:val="single" w:sz="0" w:space="0" w:color="BF0001"/>
              </w:pBdr>
              <w:shd w:val="clear" w:color="auto" w:fill="BF0001"/>
              <w:bidi w:val="0"/>
              <w:spacing w:before="0" w:after="0" w:line="240" w:lineRule="auto"/>
              <w:ind w:left="0" w:right="0" w:firstLine="0"/>
              <w:jc w:val="left"/>
              <w:rPr>
                <w:sz w:val="13"/>
                <w:szCs w:val="13"/>
              </w:rPr>
            </w:pPr>
            <w:r>
              <w:rPr>
                <w:rFonts w:ascii="SimHei" w:eastAsia="SimHei" w:hAnsi="SimHei" w:cs="SimHei"/>
                <w:color w:val="FFFFFF"/>
                <w:spacing w:val="0"/>
                <w:w w:val="100"/>
                <w:position w:val="0"/>
                <w:sz w:val="13"/>
                <w:szCs w:val="13"/>
              </w:rPr>
              <w:t>民生档</w:t>
            </w:r>
          </w:p>
          <w:p>
            <w:pPr>
              <w:pStyle w:val="Style18"/>
              <w:keepNext w:val="0"/>
              <w:keepLines w:val="0"/>
              <w:widowControl w:val="0"/>
              <w:pBdr>
                <w:top w:val="single" w:sz="0" w:space="0" w:color="BF0001"/>
                <w:left w:val="single" w:sz="0" w:space="0" w:color="BF0001"/>
                <w:bottom w:val="single" w:sz="0" w:space="0" w:color="BF0001"/>
                <w:right w:val="single" w:sz="0" w:space="0" w:color="BF0001"/>
              </w:pBdr>
              <w:shd w:val="clear" w:color="auto" w:fill="BF0001"/>
              <w:bidi w:val="0"/>
              <w:spacing w:before="0" w:after="0" w:line="240" w:lineRule="auto"/>
              <w:ind w:left="0" w:right="0" w:firstLine="360"/>
              <w:jc w:val="left"/>
              <w:rPr>
                <w:sz w:val="13"/>
                <w:szCs w:val="13"/>
              </w:rPr>
            </w:pPr>
            <w:r>
              <w:rPr>
                <w:rFonts w:ascii="SimHei" w:eastAsia="SimHei" w:hAnsi="SimHei" w:cs="SimHei"/>
                <w:color w:val="FFFFFF"/>
                <w:spacing w:val="0"/>
                <w:w w:val="100"/>
                <w:position w:val="0"/>
                <w:sz w:val="13"/>
                <w:szCs w:val="13"/>
              </w:rPr>
              <w:t>出证</w:t>
            </w:r>
          </w:p>
        </w:tc>
        <w:tc>
          <w:tcPr>
            <w:tcBorders/>
            <w:shd w:val="clear" w:color="auto" w:fill="BF0001"/>
            <w:vAlign w:val="top"/>
          </w:tcPr>
          <w:p>
            <w:pPr>
              <w:pStyle w:val="Style18"/>
              <w:keepNext w:val="0"/>
              <w:keepLines w:val="0"/>
              <w:widowControl w:val="0"/>
              <w:pBdr>
                <w:top w:val="single" w:sz="0" w:space="0" w:color="BF0101"/>
                <w:left w:val="single" w:sz="0" w:space="0" w:color="BF0101"/>
                <w:bottom w:val="single" w:sz="0" w:space="0" w:color="BF0101"/>
                <w:right w:val="single" w:sz="0" w:space="0" w:color="BF0101"/>
              </w:pBdr>
              <w:shd w:val="clear" w:color="auto" w:fill="BF0101"/>
              <w:bidi w:val="0"/>
              <w:spacing w:before="0" w:after="0" w:line="173" w:lineRule="exact"/>
              <w:ind w:left="300" w:right="0" w:hanging="300"/>
              <w:jc w:val="left"/>
              <w:rPr>
                <w:sz w:val="13"/>
                <w:szCs w:val="13"/>
              </w:rPr>
            </w:pPr>
            <w:r>
              <w:rPr>
                <w:rFonts w:ascii="SimHei" w:eastAsia="SimHei" w:hAnsi="SimHei" w:cs="SimHei"/>
                <w:color w:val="F6E2DE"/>
                <w:spacing w:val="0"/>
                <w:w w:val="100"/>
                <w:position w:val="0"/>
                <w:sz w:val="13"/>
                <w:szCs w:val="13"/>
              </w:rPr>
              <w:t>电子档案瀚</w:t>
            </w:r>
            <w:r>
              <w:rPr>
                <w:rFonts w:ascii="Arial" w:eastAsia="Arial" w:hAnsi="Arial" w:cs="Arial"/>
                <w:color w:val="F6E2DE"/>
                <w:spacing w:val="0"/>
                <w:w w:val="100"/>
                <w:position w:val="0"/>
                <w:sz w:val="26"/>
                <w:szCs w:val="26"/>
              </w:rPr>
              <w:t xml:space="preserve">1 </w:t>
            </w:r>
            <w:r>
              <w:rPr>
                <w:rFonts w:ascii="SimHei" w:eastAsia="SimHei" w:hAnsi="SimHei" w:cs="SimHei"/>
                <w:color w:val="F6E2DE"/>
                <w:spacing w:val="0"/>
                <w:w w:val="100"/>
                <w:position w:val="0"/>
                <w:sz w:val="13"/>
                <w:szCs w:val="13"/>
              </w:rPr>
              <w:t>证平台</w:t>
            </w:r>
          </w:p>
        </w:tc>
        <w:tc>
          <w:tcPr>
            <w:tcBorders/>
            <w:shd w:val="clear" w:color="auto" w:fill="BF0001"/>
            <w:vAlign w:val="top"/>
          </w:tcPr>
          <w:p>
            <w:pPr>
              <w:pStyle w:val="Style18"/>
              <w:keepNext w:val="0"/>
              <w:keepLines w:val="0"/>
              <w:widowControl w:val="0"/>
              <w:pBdr>
                <w:top w:val="single" w:sz="0" w:space="0" w:color="BF0000"/>
                <w:left w:val="single" w:sz="0" w:space="0" w:color="BF0000"/>
                <w:bottom w:val="single" w:sz="0" w:space="0" w:color="BF0000"/>
                <w:right w:val="single" w:sz="0" w:space="0" w:color="BF0000"/>
              </w:pBdr>
              <w:shd w:val="clear" w:color="auto" w:fill="BF0000"/>
              <w:bidi w:val="0"/>
              <w:spacing w:before="0" w:after="0" w:line="240" w:lineRule="auto"/>
              <w:ind w:left="0" w:right="0" w:firstLine="0"/>
              <w:jc w:val="center"/>
              <w:rPr>
                <w:sz w:val="13"/>
                <w:szCs w:val="13"/>
              </w:rPr>
            </w:pPr>
            <w:r>
              <w:rPr>
                <w:rFonts w:ascii="SimHei" w:eastAsia="SimHei" w:hAnsi="SimHei" w:cs="SimHei"/>
                <w:color w:val="FFFFFF"/>
                <w:spacing w:val="0"/>
                <w:w w:val="100"/>
                <w:position w:val="0"/>
                <w:sz w:val="13"/>
                <w:szCs w:val="13"/>
              </w:rPr>
              <w:t>电子文件可信</w:t>
            </w:r>
          </w:p>
        </w:tc>
        <w:tc>
          <w:tcPr>
            <w:tcBorders/>
            <w:shd w:val="clear" w:color="auto" w:fill="BF0001"/>
            <w:vAlign w:val="top"/>
          </w:tcPr>
          <w:p>
            <w:pPr>
              <w:pStyle w:val="Style18"/>
              <w:keepNext w:val="0"/>
              <w:keepLines w:val="0"/>
              <w:widowControl w:val="0"/>
              <w:pBdr>
                <w:top w:val="single" w:sz="0" w:space="0" w:color="BF0101"/>
                <w:left w:val="single" w:sz="0" w:space="0" w:color="BF0101"/>
                <w:bottom w:val="single" w:sz="0" w:space="0" w:color="BF0101"/>
                <w:right w:val="single" w:sz="0" w:space="0" w:color="BF0101"/>
              </w:pBdr>
              <w:shd w:val="clear" w:color="auto" w:fill="BF0101"/>
              <w:bidi w:val="0"/>
              <w:spacing w:before="0" w:after="0" w:line="173" w:lineRule="exact"/>
              <w:ind w:left="0" w:right="0" w:firstLine="0"/>
              <w:jc w:val="center"/>
              <w:rPr>
                <w:sz w:val="13"/>
                <w:szCs w:val="13"/>
              </w:rPr>
            </w:pPr>
            <w:r>
              <w:rPr>
                <w:rFonts w:ascii="SimHei" w:eastAsia="SimHei" w:hAnsi="SimHei" w:cs="SimHei"/>
                <w:color w:val="F6E2DE"/>
                <w:spacing w:val="0"/>
                <w:w w:val="100"/>
                <w:position w:val="0"/>
                <w:sz w:val="13"/>
                <w:szCs w:val="13"/>
              </w:rPr>
              <w:t>业务档</w:t>
            </w:r>
            <w:r>
              <w:rPr>
                <w:rFonts w:ascii="SimHei" w:eastAsia="SimHei" w:hAnsi="SimHei" w:cs="SimHei"/>
                <w:color w:val="FFFFFF"/>
                <w:spacing w:val="0"/>
                <w:w w:val="100"/>
                <w:position w:val="0"/>
                <w:sz w:val="13"/>
                <w:szCs w:val="13"/>
              </w:rPr>
              <w:t xml:space="preserve">案存证 </w:t>
            </w:r>
            <w:r>
              <w:rPr>
                <w:rFonts w:ascii="SimHei" w:eastAsia="SimHei" w:hAnsi="SimHei" w:cs="SimHei"/>
                <w:color w:val="F6E2DE"/>
                <w:spacing w:val="0"/>
                <w:w w:val="100"/>
                <w:position w:val="0"/>
                <w:sz w:val="13"/>
                <w:szCs w:val="13"/>
              </w:rPr>
              <w:t>溯源</w:t>
            </w:r>
          </w:p>
        </w:tc>
        <w:tc>
          <w:tcPr>
            <w:tcBorders/>
            <w:shd w:val="clear" w:color="auto" w:fill="BF0001"/>
            <w:vAlign w:val="bottom"/>
          </w:tcPr>
          <w:p>
            <w:pPr>
              <w:pStyle w:val="Style18"/>
              <w:keepNext w:val="0"/>
              <w:keepLines w:val="0"/>
              <w:widowControl w:val="0"/>
              <w:pBdr>
                <w:top w:val="single" w:sz="0" w:space="0" w:color="BF0000"/>
                <w:left w:val="single" w:sz="0" w:space="0" w:color="BF0000"/>
                <w:bottom w:val="single" w:sz="0" w:space="0" w:color="BF0000"/>
                <w:right w:val="single" w:sz="0" w:space="0" w:color="BF0000"/>
              </w:pBdr>
              <w:shd w:val="clear" w:color="auto" w:fill="BF0000"/>
              <w:bidi w:val="0"/>
              <w:spacing w:before="0" w:after="0" w:line="240" w:lineRule="auto"/>
              <w:ind w:left="0" w:right="0" w:firstLine="0"/>
              <w:jc w:val="center"/>
              <w:rPr>
                <w:sz w:val="13"/>
                <w:szCs w:val="13"/>
              </w:rPr>
            </w:pPr>
            <w:r>
              <w:rPr>
                <w:rFonts w:ascii="SimHei" w:eastAsia="SimHei" w:hAnsi="SimHei" w:cs="SimHei"/>
                <w:color w:val="F6E2DE"/>
                <w:spacing w:val="0"/>
                <w:w w:val="100"/>
                <w:position w:val="0"/>
                <w:sz w:val="13"/>
                <w:szCs w:val="13"/>
              </w:rPr>
              <w:t>档案存证平台</w:t>
            </w:r>
          </w:p>
        </w:tc>
      </w:tr>
    </w:tbl>
    <w:p>
      <w:pPr>
        <w:pStyle w:val="Style41"/>
        <w:keepNext w:val="0"/>
        <w:keepLines w:val="0"/>
        <w:widowControl w:val="0"/>
        <w:shd w:val="clear" w:color="auto" w:fill="auto"/>
        <w:bidi w:val="0"/>
        <w:spacing w:before="0" w:after="0" w:line="240" w:lineRule="auto"/>
        <w:ind w:left="1483" w:right="0" w:firstLine="0"/>
        <w:jc w:val="left"/>
        <w:rPr>
          <w:sz w:val="12"/>
          <w:szCs w:val="12"/>
        </w:rPr>
      </w:pPr>
      <w:r>
        <w:rPr>
          <w:rFonts w:ascii="SimHei" w:eastAsia="SimHei" w:hAnsi="SimHei" w:cs="SimHei"/>
          <w:color w:val="E94D07"/>
          <w:spacing w:val="0"/>
          <w:w w:val="100"/>
          <w:position w:val="0"/>
          <w:sz w:val="20"/>
          <w:szCs w:val="20"/>
        </w:rPr>
        <w:t xml:space="preserve">企 </w:t>
      </w:r>
      <w:r>
        <w:rPr>
          <w:rFonts w:ascii="Arial" w:eastAsia="Arial" w:hAnsi="Arial" w:cs="Arial"/>
          <w:i/>
          <w:iCs/>
          <w:color w:val="E94D07"/>
          <w:spacing w:val="0"/>
          <w:w w:val="100"/>
          <w:position w:val="0"/>
          <w:sz w:val="12"/>
          <w:szCs w:val="12"/>
        </w:rPr>
        <w:t>API/SDK</w:t>
      </w:r>
    </w:p>
    <w:p>
      <w:pPr>
        <w:pStyle w:val="Style41"/>
        <w:keepNext w:val="0"/>
        <w:keepLines w:val="0"/>
        <w:widowControl w:val="0"/>
        <w:shd w:val="clear" w:color="auto" w:fill="auto"/>
        <w:bidi w:val="0"/>
        <w:spacing w:before="0" w:after="0" w:line="240" w:lineRule="auto"/>
        <w:ind w:left="3643" w:right="0" w:firstLine="0"/>
        <w:jc w:val="left"/>
        <w:rPr>
          <w:sz w:val="12"/>
          <w:szCs w:val="12"/>
        </w:rPr>
      </w:pPr>
      <w:r>
        <w:rPr>
          <w:rFonts w:ascii="SimHei" w:eastAsia="SimHei" w:hAnsi="SimHei" w:cs="SimHei"/>
          <w:i/>
          <w:iCs/>
          <w:color w:val="E94D07"/>
          <w:spacing w:val="0"/>
          <w:w w:val="100"/>
          <w:position w:val="0"/>
          <w:sz w:val="12"/>
          <w:szCs w:val="12"/>
        </w:rPr>
        <w:t>■</w:t>
      </w:r>
      <w:r>
        <w:rPr>
          <w:rFonts w:ascii="SimHei" w:eastAsia="SimHei" w:hAnsi="SimHei" w:cs="SimHei"/>
          <w:i/>
          <w:iCs/>
          <w:color w:val="E94D07"/>
          <w:spacing w:val="0"/>
          <w:w w:val="100"/>
          <w:position w:val="0"/>
          <w:sz w:val="12"/>
          <w:szCs w:val="12"/>
        </w:rPr>
        <w:t>区块链厩关</w:t>
      </w:r>
    </w:p>
    <w:p>
      <w:pPr>
        <w:pStyle w:val="Style41"/>
        <w:keepNext w:val="0"/>
        <w:keepLines w:val="0"/>
        <w:widowControl w:val="0"/>
        <w:pBdr>
          <w:top w:val="single" w:sz="0" w:space="3" w:color="D9D9D9"/>
          <w:left w:val="single" w:sz="0" w:space="31" w:color="D9D9D9"/>
          <w:bottom w:val="single" w:sz="0" w:space="0" w:color="D9D9D9"/>
          <w:right w:val="single" w:sz="0" w:space="31" w:color="D9D9D9"/>
        </w:pBdr>
        <w:shd w:val="clear" w:color="auto" w:fill="D9D9D9"/>
        <w:bidi w:val="0"/>
        <w:spacing w:before="0" w:after="0" w:line="240" w:lineRule="auto"/>
        <w:ind w:left="2203" w:right="0" w:firstLine="0"/>
        <w:jc w:val="left"/>
        <w:rPr>
          <w:sz w:val="15"/>
          <w:szCs w:val="15"/>
        </w:rPr>
      </w:pPr>
      <w:r>
        <w:rPr>
          <w:rFonts w:ascii="SimHei" w:eastAsia="SimHei" w:hAnsi="SimHei" w:cs="SimHei"/>
          <w:color w:val="1E1E1E"/>
          <w:spacing w:val="0"/>
          <w:w w:val="100"/>
          <w:position w:val="0"/>
          <w:sz w:val="15"/>
          <w:szCs w:val="15"/>
        </w:rPr>
        <w:t>区块链服务层</w:t>
      </w:r>
    </w:p>
    <w:tbl>
      <w:tblPr>
        <w:tblOverlap w:val="never"/>
        <w:jc w:val="center"/>
        <w:tblLayout w:type="fixed"/>
      </w:tblPr>
      <w:tblGrid>
        <w:gridCol w:w="1056"/>
        <w:gridCol w:w="1080"/>
        <w:gridCol w:w="1080"/>
        <w:gridCol w:w="1075"/>
        <w:gridCol w:w="1066"/>
      </w:tblGrid>
      <w:tr>
        <w:trPr>
          <w:trHeight w:val="341" w:hRule="exact"/>
        </w:trPr>
        <w:tc>
          <w:tcPr>
            <w:tcBorders/>
            <w:shd w:val="clear" w:color="auto" w:fill="EC4C02"/>
            <w:vAlign w:val="center"/>
          </w:tcPr>
          <w:p>
            <w:pPr>
              <w:pStyle w:val="Style18"/>
              <w:keepNext w:val="0"/>
              <w:keepLines w:val="0"/>
              <w:widowControl w:val="0"/>
              <w:pBdr>
                <w:top w:val="single" w:sz="0" w:space="0" w:color="EC4C02"/>
                <w:left w:val="single" w:sz="0" w:space="0" w:color="EC4C02"/>
                <w:bottom w:val="single" w:sz="0" w:space="0" w:color="EC4C02"/>
                <w:right w:val="single" w:sz="0" w:space="0" w:color="EC4C02"/>
              </w:pBdr>
              <w:shd w:val="clear" w:color="auto" w:fill="EC4C02"/>
              <w:bidi w:val="0"/>
              <w:spacing w:before="0" w:after="0" w:line="240" w:lineRule="auto"/>
              <w:ind w:left="0" w:right="0" w:firstLine="220"/>
              <w:jc w:val="left"/>
              <w:rPr>
                <w:sz w:val="13"/>
                <w:szCs w:val="13"/>
              </w:rPr>
            </w:pPr>
            <w:r>
              <w:rPr>
                <w:rFonts w:ascii="SimHei" w:eastAsia="SimHei" w:hAnsi="SimHei" w:cs="SimHei"/>
                <w:color w:val="FFFFFF"/>
                <w:spacing w:val="0"/>
                <w:w w:val="100"/>
                <w:position w:val="0"/>
                <w:sz w:val="13"/>
                <w:szCs w:val="13"/>
              </w:rPr>
              <w:t>联盟管理</w:t>
            </w:r>
          </w:p>
        </w:tc>
        <w:tc>
          <w:tcPr>
            <w:tcBorders/>
            <w:shd w:val="clear" w:color="auto" w:fill="EC4C02"/>
            <w:vAlign w:val="center"/>
          </w:tcPr>
          <w:p>
            <w:pPr>
              <w:pStyle w:val="Style18"/>
              <w:keepNext w:val="0"/>
              <w:keepLines w:val="0"/>
              <w:widowControl w:val="0"/>
              <w:pBdr>
                <w:top w:val="single" w:sz="0" w:space="0" w:color="EC4C02"/>
                <w:left w:val="single" w:sz="0" w:space="0" w:color="EC4C02"/>
                <w:bottom w:val="single" w:sz="0" w:space="0" w:color="EC4C02"/>
                <w:right w:val="single" w:sz="0" w:space="0" w:color="EC4C02"/>
              </w:pBdr>
              <w:shd w:val="clear" w:color="auto" w:fill="EC4C02"/>
              <w:bidi w:val="0"/>
              <w:spacing w:before="0" w:after="0" w:line="240" w:lineRule="auto"/>
              <w:ind w:left="0" w:right="0" w:firstLine="0"/>
              <w:jc w:val="center"/>
              <w:rPr>
                <w:sz w:val="13"/>
                <w:szCs w:val="13"/>
              </w:rPr>
            </w:pPr>
            <w:r>
              <w:rPr>
                <w:rFonts w:ascii="SimHei" w:eastAsia="SimHei" w:hAnsi="SimHei" w:cs="SimHei"/>
                <w:color w:val="F6E2DE"/>
                <w:spacing w:val="0"/>
                <w:w w:val="100"/>
                <w:position w:val="0"/>
                <w:sz w:val="13"/>
                <w:szCs w:val="13"/>
              </w:rPr>
              <w:t>节点匐里</w:t>
            </w:r>
          </w:p>
        </w:tc>
        <w:tc>
          <w:tcPr>
            <w:tcBorders/>
            <w:shd w:val="clear" w:color="auto" w:fill="EC4C02"/>
            <w:vAlign w:val="center"/>
          </w:tcPr>
          <w:p>
            <w:pPr>
              <w:pStyle w:val="Style18"/>
              <w:keepNext w:val="0"/>
              <w:keepLines w:val="0"/>
              <w:widowControl w:val="0"/>
              <w:pBdr>
                <w:top w:val="single" w:sz="0" w:space="0" w:color="EB4B02"/>
                <w:left w:val="single" w:sz="0" w:space="0" w:color="EB4B02"/>
                <w:bottom w:val="single" w:sz="0" w:space="0" w:color="EB4B02"/>
                <w:right w:val="single" w:sz="0" w:space="0" w:color="EB4B02"/>
              </w:pBdr>
              <w:shd w:val="clear" w:color="auto" w:fill="EB4B02"/>
              <w:bidi w:val="0"/>
              <w:spacing w:before="0" w:after="0" w:line="240" w:lineRule="auto"/>
              <w:ind w:left="0" w:right="0" w:firstLine="0"/>
              <w:jc w:val="center"/>
              <w:rPr>
                <w:sz w:val="13"/>
                <w:szCs w:val="13"/>
              </w:rPr>
            </w:pPr>
            <w:r>
              <w:rPr>
                <w:rFonts w:ascii="SimHei" w:eastAsia="SimHei" w:hAnsi="SimHei" w:cs="SimHei"/>
                <w:color w:val="FFFFFF"/>
                <w:spacing w:val="0"/>
                <w:w w:val="100"/>
                <w:position w:val="0"/>
                <w:sz w:val="13"/>
                <w:szCs w:val="13"/>
              </w:rPr>
              <w:t>区块健康监控</w:t>
            </w:r>
          </w:p>
        </w:tc>
        <w:tc>
          <w:tcPr>
            <w:tcBorders/>
            <w:shd w:val="clear" w:color="auto" w:fill="EC4C02"/>
            <w:vAlign w:val="center"/>
          </w:tcPr>
          <w:p>
            <w:pPr>
              <w:pStyle w:val="Style18"/>
              <w:keepNext w:val="0"/>
              <w:keepLines w:val="0"/>
              <w:widowControl w:val="0"/>
              <w:pBdr>
                <w:top w:val="single" w:sz="0" w:space="0" w:color="EC4C02"/>
                <w:left w:val="single" w:sz="0" w:space="0" w:color="EC4C02"/>
                <w:bottom w:val="single" w:sz="0" w:space="0" w:color="EC4C02"/>
                <w:right w:val="single" w:sz="0" w:space="0" w:color="EC4C02"/>
              </w:pBdr>
              <w:shd w:val="clear" w:color="auto" w:fill="EC4C02"/>
              <w:bidi w:val="0"/>
              <w:spacing w:before="0" w:after="0" w:line="240" w:lineRule="auto"/>
              <w:ind w:left="0" w:right="0" w:firstLine="0"/>
              <w:jc w:val="center"/>
              <w:rPr>
                <w:sz w:val="13"/>
                <w:szCs w:val="13"/>
              </w:rPr>
            </w:pPr>
            <w:r>
              <w:rPr>
                <w:rFonts w:ascii="SimHei" w:eastAsia="SimHei" w:hAnsi="SimHei" w:cs="SimHei"/>
                <w:color w:val="FFFFFF"/>
                <w:spacing w:val="0"/>
                <w:w w:val="100"/>
                <w:position w:val="0"/>
                <w:sz w:val="13"/>
                <w:szCs w:val="13"/>
              </w:rPr>
              <w:t>区块瞄旬</w:t>
            </w:r>
          </w:p>
        </w:tc>
        <w:tc>
          <w:tcPr>
            <w:tcBorders/>
            <w:shd w:val="clear" w:color="auto" w:fill="EC4C02"/>
            <w:vAlign w:val="center"/>
          </w:tcPr>
          <w:p>
            <w:pPr>
              <w:pStyle w:val="Style18"/>
              <w:keepNext w:val="0"/>
              <w:keepLines w:val="0"/>
              <w:widowControl w:val="0"/>
              <w:pBdr>
                <w:top w:val="single" w:sz="0" w:space="0" w:color="EB4B02"/>
                <w:left w:val="single" w:sz="0" w:space="0" w:color="EB4B02"/>
                <w:bottom w:val="single" w:sz="0" w:space="0" w:color="EB4B02"/>
                <w:right w:val="single" w:sz="0" w:space="0" w:color="EB4B02"/>
              </w:pBdr>
              <w:shd w:val="clear" w:color="auto" w:fill="EB4B02"/>
              <w:bidi w:val="0"/>
              <w:spacing w:before="0" w:after="0" w:line="240" w:lineRule="auto"/>
              <w:ind w:left="0" w:right="0" w:firstLine="0"/>
              <w:jc w:val="center"/>
              <w:rPr>
                <w:sz w:val="13"/>
                <w:szCs w:val="13"/>
              </w:rPr>
            </w:pPr>
            <w:r>
              <w:rPr>
                <w:rFonts w:ascii="SimHei" w:eastAsia="SimHei" w:hAnsi="SimHei" w:cs="SimHei"/>
                <w:color w:val="FFFFFF"/>
                <w:spacing w:val="0"/>
                <w:w w:val="100"/>
                <w:position w:val="0"/>
                <w:sz w:val="13"/>
                <w:szCs w:val="13"/>
              </w:rPr>
              <w:t>智能合约管理</w:t>
            </w:r>
          </w:p>
        </w:tc>
      </w:tr>
    </w:tbl>
    <w:p>
      <w:pPr>
        <w:widowControl w:val="0"/>
        <w:spacing w:after="139" w:line="1" w:lineRule="exact"/>
      </w:pPr>
    </w:p>
    <w:p>
      <w:pPr>
        <w:pStyle w:val="Style41"/>
        <w:keepNext w:val="0"/>
        <w:keepLines w:val="0"/>
        <w:widowControl w:val="0"/>
        <w:pBdr>
          <w:top w:val="single" w:sz="0" w:space="3" w:color="D9D9D9"/>
          <w:left w:val="single" w:sz="0" w:space="31" w:color="D9D9D9"/>
          <w:bottom w:val="single" w:sz="0" w:space="0" w:color="D9D9D9"/>
          <w:right w:val="single" w:sz="0" w:space="31" w:color="D9D9D9"/>
        </w:pBdr>
        <w:shd w:val="clear" w:color="auto" w:fill="D9D9D9"/>
        <w:bidi w:val="0"/>
        <w:spacing w:before="0" w:after="0" w:line="240" w:lineRule="auto"/>
        <w:ind w:left="2203" w:right="0" w:firstLine="0"/>
        <w:jc w:val="left"/>
        <w:rPr>
          <w:sz w:val="15"/>
          <w:szCs w:val="15"/>
        </w:rPr>
      </w:pPr>
      <w:r>
        <w:rPr>
          <w:rFonts w:ascii="SimHei" w:eastAsia="SimHei" w:hAnsi="SimHei" w:cs="SimHei"/>
          <w:color w:val="1E1E1E"/>
          <w:spacing w:val="0"/>
          <w:w w:val="100"/>
          <w:position w:val="0"/>
          <w:sz w:val="15"/>
          <w:szCs w:val="15"/>
        </w:rPr>
        <w:t>区块链基^层</w:t>
      </w:r>
    </w:p>
    <w:tbl>
      <w:tblPr>
        <w:tblOverlap w:val="never"/>
        <w:jc w:val="center"/>
        <w:tblLayout w:type="fixed"/>
      </w:tblPr>
      <w:tblGrid>
        <w:gridCol w:w="1056"/>
        <w:gridCol w:w="1080"/>
        <w:gridCol w:w="1080"/>
        <w:gridCol w:w="1075"/>
        <w:gridCol w:w="1066"/>
      </w:tblGrid>
      <w:tr>
        <w:trPr>
          <w:trHeight w:val="336" w:hRule="exact"/>
        </w:trPr>
        <w:tc>
          <w:tcPr>
            <w:tcBorders/>
            <w:shd w:val="clear" w:color="auto" w:fill="E39301"/>
            <w:vAlign w:val="center"/>
          </w:tcPr>
          <w:p>
            <w:pPr>
              <w:pStyle w:val="Style18"/>
              <w:keepNext w:val="0"/>
              <w:keepLines w:val="0"/>
              <w:widowControl w:val="0"/>
              <w:pBdr>
                <w:top w:val="single" w:sz="0" w:space="0" w:color="E39301"/>
                <w:left w:val="single" w:sz="0" w:space="0" w:color="E39301"/>
                <w:bottom w:val="single" w:sz="0" w:space="0" w:color="E39301"/>
                <w:right w:val="single" w:sz="0" w:space="0" w:color="E39301"/>
              </w:pBdr>
              <w:shd w:val="clear" w:color="auto" w:fill="E39301"/>
              <w:bidi w:val="0"/>
              <w:spacing w:before="0" w:after="0" w:line="240" w:lineRule="auto"/>
              <w:ind w:left="0" w:right="0" w:firstLine="220"/>
              <w:jc w:val="left"/>
              <w:rPr>
                <w:sz w:val="13"/>
                <w:szCs w:val="13"/>
              </w:rPr>
            </w:pPr>
            <w:r>
              <w:rPr>
                <w:rFonts w:ascii="SimHei" w:eastAsia="SimHei" w:hAnsi="SimHei" w:cs="SimHei"/>
                <w:color w:val="FFFFFF"/>
                <w:spacing w:val="0"/>
                <w:w w:val="100"/>
                <w:position w:val="0"/>
                <w:sz w:val="13"/>
                <w:szCs w:val="13"/>
              </w:rPr>
              <w:t>共识机制</w:t>
            </w:r>
          </w:p>
        </w:tc>
        <w:tc>
          <w:tcPr>
            <w:tcBorders/>
            <w:shd w:val="clear" w:color="auto" w:fill="E39301"/>
            <w:vAlign w:val="center"/>
          </w:tcPr>
          <w:p>
            <w:pPr>
              <w:pStyle w:val="Style18"/>
              <w:keepNext w:val="0"/>
              <w:keepLines w:val="0"/>
              <w:widowControl w:val="0"/>
              <w:pBdr>
                <w:top w:val="single" w:sz="0" w:space="0" w:color="E39300"/>
                <w:left w:val="single" w:sz="0" w:space="0" w:color="E39300"/>
                <w:bottom w:val="single" w:sz="0" w:space="0" w:color="E39300"/>
                <w:right w:val="single" w:sz="0" w:space="0" w:color="E39300"/>
              </w:pBdr>
              <w:shd w:val="clear" w:color="auto" w:fill="E39300"/>
              <w:bidi w:val="0"/>
              <w:spacing w:before="0" w:after="0" w:line="240" w:lineRule="auto"/>
              <w:ind w:left="0" w:right="0" w:firstLine="0"/>
              <w:jc w:val="center"/>
              <w:rPr>
                <w:sz w:val="13"/>
                <w:szCs w:val="13"/>
              </w:rPr>
            </w:pPr>
            <w:r>
              <w:rPr>
                <w:rFonts w:ascii="SimHei" w:eastAsia="SimHei" w:hAnsi="SimHei" w:cs="SimHei"/>
                <w:color w:val="F6E2DE"/>
                <w:spacing w:val="0"/>
                <w:w w:val="100"/>
                <w:position w:val="0"/>
                <w:sz w:val="13"/>
                <w:szCs w:val="13"/>
              </w:rPr>
              <w:t>加密算法</w:t>
            </w:r>
          </w:p>
        </w:tc>
        <w:tc>
          <w:tcPr>
            <w:tcBorders/>
            <w:shd w:val="clear" w:color="auto" w:fill="E39301"/>
            <w:vAlign w:val="center"/>
          </w:tcPr>
          <w:p>
            <w:pPr>
              <w:pStyle w:val="Style18"/>
              <w:keepNext w:val="0"/>
              <w:keepLines w:val="0"/>
              <w:widowControl w:val="0"/>
              <w:pBdr>
                <w:top w:val="single" w:sz="0" w:space="0" w:color="E39301"/>
                <w:left w:val="single" w:sz="0" w:space="0" w:color="E39301"/>
                <w:bottom w:val="single" w:sz="0" w:space="0" w:color="E39301"/>
                <w:right w:val="single" w:sz="0" w:space="0" w:color="E39301"/>
              </w:pBdr>
              <w:shd w:val="clear" w:color="auto" w:fill="E39301"/>
              <w:bidi w:val="0"/>
              <w:spacing w:before="0" w:after="0" w:line="240" w:lineRule="auto"/>
              <w:ind w:left="0" w:right="0" w:firstLine="0"/>
              <w:jc w:val="center"/>
              <w:rPr>
                <w:sz w:val="13"/>
                <w:szCs w:val="13"/>
              </w:rPr>
            </w:pPr>
            <w:r>
              <w:rPr>
                <w:rFonts w:ascii="SimHei" w:eastAsia="SimHei" w:hAnsi="SimHei" w:cs="SimHei"/>
                <w:color w:val="FFFFFF"/>
                <w:spacing w:val="0"/>
                <w:w w:val="100"/>
                <w:position w:val="0"/>
                <w:sz w:val="13"/>
                <w:szCs w:val="13"/>
              </w:rPr>
              <w:t>权限管理</w:t>
            </w:r>
          </w:p>
        </w:tc>
        <w:tc>
          <w:tcPr>
            <w:tcBorders/>
            <w:shd w:val="clear" w:color="auto" w:fill="E39301"/>
            <w:vAlign w:val="center"/>
          </w:tcPr>
          <w:p>
            <w:pPr>
              <w:pStyle w:val="Style18"/>
              <w:keepNext w:val="0"/>
              <w:keepLines w:val="0"/>
              <w:widowControl w:val="0"/>
              <w:pBdr>
                <w:top w:val="single" w:sz="0" w:space="0" w:color="E39300"/>
                <w:left w:val="single" w:sz="0" w:space="0" w:color="E39300"/>
                <w:bottom w:val="single" w:sz="0" w:space="0" w:color="E39300"/>
                <w:right w:val="single" w:sz="0" w:space="0" w:color="E39300"/>
              </w:pBdr>
              <w:shd w:val="clear" w:color="auto" w:fill="E39300"/>
              <w:bidi w:val="0"/>
              <w:spacing w:before="0" w:after="0" w:line="240" w:lineRule="auto"/>
              <w:ind w:left="0" w:right="0" w:firstLine="0"/>
              <w:jc w:val="center"/>
              <w:rPr>
                <w:sz w:val="13"/>
                <w:szCs w:val="13"/>
              </w:rPr>
            </w:pPr>
            <w:r>
              <w:rPr>
                <w:rFonts w:ascii="SimHei" w:eastAsia="SimHei" w:hAnsi="SimHei" w:cs="SimHei"/>
                <w:color w:val="FFFFFF"/>
                <w:spacing w:val="0"/>
                <w:w w:val="100"/>
                <w:position w:val="0"/>
                <w:sz w:val="13"/>
                <w:szCs w:val="13"/>
              </w:rPr>
              <w:t>存储机制</w:t>
            </w:r>
          </w:p>
        </w:tc>
        <w:tc>
          <w:tcPr>
            <w:tcBorders/>
            <w:shd w:val="clear" w:color="auto" w:fill="E39301"/>
            <w:vAlign w:val="center"/>
          </w:tcPr>
          <w:p>
            <w:pPr>
              <w:pStyle w:val="Style18"/>
              <w:keepNext w:val="0"/>
              <w:keepLines w:val="0"/>
              <w:widowControl w:val="0"/>
              <w:pBdr>
                <w:top w:val="single" w:sz="0" w:space="0" w:color="E39301"/>
                <w:left w:val="single" w:sz="0" w:space="0" w:color="E39301"/>
                <w:bottom w:val="single" w:sz="0" w:space="0" w:color="E39301"/>
                <w:right w:val="single" w:sz="0" w:space="0" w:color="E39301"/>
              </w:pBdr>
              <w:shd w:val="clear" w:color="auto" w:fill="E39301"/>
              <w:bidi w:val="0"/>
              <w:spacing w:before="0" w:after="0" w:line="240" w:lineRule="auto"/>
              <w:ind w:left="0" w:right="0" w:firstLine="0"/>
              <w:jc w:val="center"/>
              <w:rPr>
                <w:sz w:val="13"/>
                <w:szCs w:val="13"/>
              </w:rPr>
            </w:pPr>
            <w:r>
              <w:rPr>
                <w:rFonts w:ascii="SimHei" w:eastAsia="SimHei" w:hAnsi="SimHei" w:cs="SimHei"/>
                <w:color w:val="FFFFFF"/>
                <w:spacing w:val="0"/>
                <w:w w:val="100"/>
                <w:position w:val="0"/>
                <w:sz w:val="13"/>
                <w:szCs w:val="13"/>
              </w:rPr>
              <w:t>智能合约</w:t>
            </w:r>
          </w:p>
        </w:tc>
      </w:tr>
    </w:tbl>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w:t>
      </w:r>
      <w:r>
        <w:rPr>
          <w:b/>
          <w:bCs/>
          <w:color w:val="000000"/>
          <w:spacing w:val="0"/>
          <w:w w:val="100"/>
          <w:position w:val="0"/>
        </w:rPr>
        <w:t>智慧食安业务概要</w:t>
      </w:r>
    </w:p>
    <w:p>
      <w:pPr>
        <w:pStyle w:val="Style24"/>
        <w:keepNext w:val="0"/>
        <w:keepLines w:val="0"/>
        <w:widowControl w:val="0"/>
        <w:shd w:val="clear" w:color="auto" w:fill="auto"/>
        <w:bidi w:val="0"/>
        <w:spacing w:before="0" w:after="0" w:line="317" w:lineRule="exact"/>
        <w:ind w:left="0" w:right="0" w:firstLine="0"/>
        <w:jc w:val="both"/>
      </w:pPr>
      <w:r>
        <w:rPr>
          <w:spacing w:val="0"/>
          <w:w w:val="100"/>
          <w:position w:val="0"/>
        </w:rPr>
        <w:t>公司立足食品安全，以</w:t>
      </w:r>
      <w:r>
        <w:rPr>
          <w:rFonts w:ascii="Times New Roman" w:eastAsia="Times New Roman" w:hAnsi="Times New Roman" w:cs="Times New Roman"/>
          <w:spacing w:val="0"/>
          <w:w w:val="100"/>
          <w:position w:val="0"/>
          <w:sz w:val="19"/>
          <w:szCs w:val="19"/>
        </w:rPr>
        <w:t>“</w:t>
      </w:r>
      <w:r>
        <w:rPr>
          <w:spacing w:val="0"/>
          <w:w w:val="100"/>
          <w:position w:val="0"/>
        </w:rPr>
        <w:t>让人人都能吃上安全的食品</w:t>
      </w:r>
      <w:r>
        <w:rPr>
          <w:rFonts w:ascii="Times New Roman" w:eastAsia="Times New Roman" w:hAnsi="Times New Roman" w:cs="Times New Roman"/>
          <w:spacing w:val="0"/>
          <w:w w:val="100"/>
          <w:position w:val="0"/>
          <w:sz w:val="19"/>
          <w:szCs w:val="19"/>
        </w:rPr>
        <w:t>”</w:t>
      </w:r>
      <w:r>
        <w:rPr>
          <w:spacing w:val="0"/>
          <w:w w:val="100"/>
          <w:position w:val="0"/>
        </w:rPr>
        <w:t>为己任，应用</w:t>
      </w:r>
      <w:r>
        <w:rPr>
          <w:rFonts w:ascii="Times New Roman" w:eastAsia="Times New Roman" w:hAnsi="Times New Roman" w:cs="Times New Roman"/>
          <w:spacing w:val="0"/>
          <w:w w:val="100"/>
          <w:position w:val="0"/>
          <w:sz w:val="19"/>
          <w:szCs w:val="19"/>
        </w:rPr>
        <w:t>”ABCD+IoT”</w:t>
      </w:r>
      <w:r>
        <w:rPr>
          <w:rFonts w:ascii="Times New Roman" w:eastAsia="Times New Roman" w:hAnsi="Times New Roman" w:cs="Times New Roman"/>
          <w:spacing w:val="0"/>
          <w:w w:val="100"/>
          <w:position w:val="0"/>
          <w:sz w:val="19"/>
          <w:szCs w:val="19"/>
        </w:rPr>
        <w:t>（</w:t>
      </w:r>
      <w:r>
        <w:rPr>
          <w:spacing w:val="0"/>
          <w:w w:val="100"/>
          <w:position w:val="0"/>
        </w:rPr>
        <w:t>人工智能、区块链、云计算、大数据、 物联网</w:t>
      </w:r>
      <w:r>
        <w:rPr>
          <w:rFonts w:ascii="Times New Roman" w:eastAsia="Times New Roman" w:hAnsi="Times New Roman" w:cs="Times New Roman"/>
          <w:spacing w:val="0"/>
          <w:w w:val="100"/>
          <w:position w:val="0"/>
          <w:sz w:val="19"/>
          <w:szCs w:val="19"/>
        </w:rPr>
        <w:t>）</w:t>
      </w:r>
      <w:r>
        <w:rPr>
          <w:spacing w:val="0"/>
          <w:w w:val="100"/>
          <w:position w:val="0"/>
        </w:rPr>
        <w:t>等技术，构建农业云、加工云、农批云、零售云、冷链云的行业专有云，并提供追溯云、监管云、金融云等 的</w:t>
      </w:r>
      <w:r>
        <w:rPr>
          <w:spacing w:val="0"/>
          <w:w w:val="100"/>
          <w:position w:val="0"/>
        </w:rPr>
        <w:t>（</w:t>
      </w:r>
      <w:r>
        <w:rPr>
          <w:rFonts w:ascii="Times New Roman" w:eastAsia="Times New Roman" w:hAnsi="Times New Roman" w:cs="Times New Roman"/>
          <w:spacing w:val="0"/>
          <w:w w:val="100"/>
          <w:position w:val="0"/>
          <w:sz w:val="19"/>
          <w:szCs w:val="19"/>
        </w:rPr>
        <w:t>SaaS</w:t>
      </w:r>
      <w:r>
        <w:rPr>
          <w:spacing w:val="0"/>
          <w:w w:val="100"/>
          <w:position w:val="0"/>
        </w:rPr>
        <w:t>）</w:t>
      </w:r>
      <w:r>
        <w:rPr>
          <w:spacing w:val="0"/>
          <w:w w:val="100"/>
          <w:position w:val="0"/>
        </w:rPr>
        <w:t>增值服务云，打造食品安全供应链生态圈，实现信息流、资金流、物流、商流的</w:t>
      </w:r>
      <w:r>
        <w:rPr>
          <w:rFonts w:ascii="Times New Roman" w:eastAsia="Times New Roman" w:hAnsi="Times New Roman" w:cs="Times New Roman"/>
          <w:spacing w:val="0"/>
          <w:w w:val="100"/>
          <w:position w:val="0"/>
          <w:sz w:val="19"/>
          <w:szCs w:val="19"/>
        </w:rPr>
        <w:t>“</w:t>
      </w:r>
      <w:r>
        <w:rPr>
          <w:spacing w:val="0"/>
          <w:w w:val="100"/>
          <w:position w:val="0"/>
        </w:rPr>
        <w:t>四流合一</w:t>
      </w:r>
      <w:r>
        <w:rPr>
          <w:rFonts w:ascii="Times New Roman" w:eastAsia="Times New Roman" w:hAnsi="Times New Roman" w:cs="Times New Roman"/>
          <w:spacing w:val="0"/>
          <w:w w:val="100"/>
          <w:position w:val="0"/>
          <w:sz w:val="19"/>
          <w:szCs w:val="19"/>
        </w:rPr>
        <w:t>”</w:t>
      </w:r>
      <w:r>
        <w:rPr>
          <w:spacing w:val="0"/>
          <w:w w:val="100"/>
          <w:position w:val="0"/>
        </w:rPr>
        <w:t>，旨在成为 中国最大的食品安全供应链服务提供商。</w:t>
      </w:r>
    </w:p>
    <w:p>
      <w:pPr>
        <w:pStyle w:val="Style33"/>
        <w:keepNext w:val="0"/>
        <w:keepLines w:val="0"/>
        <w:widowControl w:val="0"/>
        <w:shd w:val="clear" w:color="auto" w:fill="auto"/>
        <w:bidi w:val="0"/>
        <w:spacing w:before="0" w:after="0" w:line="317" w:lineRule="exact"/>
        <w:ind w:left="0" w:right="0" w:firstLine="0"/>
        <w:jc w:val="both"/>
      </w:pPr>
      <w:bookmarkStart w:id="81" w:name="bookmark81"/>
      <w:r>
        <w:rPr>
          <w:rFonts w:ascii="Times New Roman" w:eastAsia="Times New Roman" w:hAnsi="Times New Roman" w:cs="Times New Roman"/>
          <w:color w:val="000000"/>
          <w:spacing w:val="0"/>
          <w:w w:val="100"/>
          <w:position w:val="0"/>
        </w:rPr>
        <w:t>1</w:t>
      </w:r>
      <w:bookmarkEnd w:id="81"/>
      <w:r>
        <w:rPr>
          <w:color w:val="000000"/>
          <w:spacing w:val="0"/>
          <w:w w:val="100"/>
          <w:position w:val="0"/>
        </w:rPr>
        <w:t>、智慧食安农业</w:t>
      </w:r>
    </w:p>
    <w:p>
      <w:pPr>
        <w:pStyle w:val="Style24"/>
        <w:keepNext w:val="0"/>
        <w:keepLines w:val="0"/>
        <w:widowControl w:val="0"/>
        <w:shd w:val="clear" w:color="auto" w:fill="auto"/>
        <w:bidi w:val="0"/>
        <w:spacing w:before="0" w:after="100" w:line="313" w:lineRule="exact"/>
        <w:ind w:left="0" w:right="0" w:firstLine="0"/>
        <w:jc w:val="both"/>
      </w:pPr>
      <w:r>
        <w:rPr>
          <w:spacing w:val="0"/>
          <w:w w:val="100"/>
          <w:position w:val="0"/>
        </w:rPr>
        <w:t>公司智慧农业业务由旗下子公司一智秾信息发展股份有限公司（以下简称智秾）。智秾子公司主打</w:t>
      </w:r>
      <w:r>
        <w:rPr>
          <w:rFonts w:ascii="Times New Roman" w:eastAsia="Times New Roman" w:hAnsi="Times New Roman" w:cs="Times New Roman"/>
          <w:spacing w:val="0"/>
          <w:w w:val="100"/>
          <w:position w:val="0"/>
          <w:sz w:val="19"/>
          <w:szCs w:val="19"/>
        </w:rPr>
        <w:t>“</w:t>
      </w:r>
      <w:r>
        <w:rPr>
          <w:spacing w:val="0"/>
          <w:w w:val="100"/>
          <w:position w:val="0"/>
        </w:rPr>
        <w:t>农事、农技、 农服</w:t>
      </w:r>
      <w:r>
        <w:rPr>
          <w:rFonts w:ascii="Times New Roman" w:eastAsia="Times New Roman" w:hAnsi="Times New Roman" w:cs="Times New Roman"/>
          <w:spacing w:val="0"/>
          <w:w w:val="100"/>
          <w:position w:val="0"/>
          <w:sz w:val="19"/>
          <w:szCs w:val="19"/>
        </w:rPr>
        <w:t>”</w:t>
      </w:r>
      <w:r>
        <w:rPr>
          <w:spacing w:val="0"/>
          <w:w w:val="100"/>
          <w:position w:val="0"/>
        </w:rPr>
        <w:t>三大业务服务，面向政府农业监管部门、农业产业示范区、品牌企业、农业产业化联合体和农业合作社提供公 共服务，积极推广智秾系列</w:t>
      </w:r>
      <w:r>
        <w:rPr>
          <w:rFonts w:ascii="Times New Roman" w:eastAsia="Times New Roman" w:hAnsi="Times New Roman" w:cs="Times New Roman"/>
          <w:spacing w:val="0"/>
          <w:w w:val="100"/>
          <w:position w:val="0"/>
          <w:sz w:val="19"/>
          <w:szCs w:val="19"/>
        </w:rPr>
        <w:t>SaaS</w:t>
      </w:r>
      <w:r>
        <w:rPr>
          <w:spacing w:val="0"/>
          <w:w w:val="100"/>
          <w:position w:val="0"/>
        </w:rPr>
        <w:t>农产品监管云平台、农资大掌柜、食用农产品合格证系统、肉品品质合格证、农事大 管家、综合执法通、微植保、畜牧综合监管等成熟的软件产品，以数字技术与农业农村经济深度融合为主攻方向，建 立健全农业农村数据采集体系和农业农村基础数据资源体系，借助物联网、大数据、区块链、人工智能、第五代移动 通信网络、智慧气象等现代信息技术，建设农业农村大数据</w:t>
      </w:r>
      <w:r>
        <w:rPr>
          <w:rFonts w:ascii="Times New Roman" w:eastAsia="Times New Roman" w:hAnsi="Times New Roman" w:cs="Times New Roman"/>
          <w:spacing w:val="0"/>
          <w:w w:val="100"/>
          <w:position w:val="0"/>
          <w:sz w:val="19"/>
          <w:szCs w:val="19"/>
        </w:rPr>
        <w:t>AI</w:t>
      </w:r>
      <w:r>
        <w:rPr>
          <w:spacing w:val="0"/>
          <w:w w:val="100"/>
          <w:position w:val="0"/>
        </w:rPr>
        <w:t>应用，推进数字技术与农业产业体系、生产体系、经营 体系融合，帮助农业生产经营实现数字化转型，完善乡村数字治理体系。</w:t>
      </w:r>
    </w:p>
    <w:p>
      <w:pPr>
        <w:widowControl w:val="0"/>
        <w:jc w:val="center"/>
        <w:rPr>
          <w:sz w:val="2"/>
          <w:szCs w:val="2"/>
        </w:rPr>
      </w:pPr>
      <w:r>
        <w:drawing>
          <wp:inline>
            <wp:extent cx="3840480" cy="194437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pic:blipFill>
                  <pic:spPr>
                    <a:xfrm>
                      <a:ext cx="3840480" cy="1944370"/>
                    </a:xfrm>
                    <a:prstGeom prst="rect"/>
                  </pic:spPr>
                </pic:pic>
              </a:graphicData>
            </a:graphic>
          </wp:inline>
        </w:drawing>
      </w:r>
    </w:p>
    <w:p>
      <w:pPr>
        <w:widowControl w:val="0"/>
        <w:spacing w:after="99" w:line="1" w:lineRule="exact"/>
      </w:pPr>
    </w:p>
    <w:p>
      <w:pPr>
        <w:pStyle w:val="Style33"/>
        <w:keepNext w:val="0"/>
        <w:keepLines w:val="0"/>
        <w:widowControl w:val="0"/>
        <w:shd w:val="clear" w:color="auto" w:fill="auto"/>
        <w:bidi w:val="0"/>
        <w:spacing w:before="0" w:after="0" w:line="240" w:lineRule="auto"/>
        <w:ind w:left="0" w:right="0" w:firstLine="0"/>
        <w:jc w:val="both"/>
      </w:pPr>
      <w:bookmarkStart w:id="82" w:name="bookmark82"/>
      <w:r>
        <w:rPr>
          <w:rFonts w:ascii="Times New Roman" w:eastAsia="Times New Roman" w:hAnsi="Times New Roman" w:cs="Times New Roman"/>
          <w:color w:val="000000"/>
          <w:spacing w:val="0"/>
          <w:w w:val="100"/>
          <w:position w:val="0"/>
        </w:rPr>
        <w:t>2</w:t>
      </w:r>
      <w:bookmarkEnd w:id="82"/>
      <w:r>
        <w:rPr>
          <w:color w:val="000000"/>
          <w:spacing w:val="0"/>
          <w:w w:val="100"/>
          <w:position w:val="0"/>
        </w:rPr>
        <w:t>、智慧食安流通</w:t>
      </w:r>
    </w:p>
    <w:p>
      <w:pPr>
        <w:pStyle w:val="Style24"/>
        <w:keepNext w:val="0"/>
        <w:keepLines w:val="0"/>
        <w:widowControl w:val="0"/>
        <w:shd w:val="clear" w:color="auto" w:fill="auto"/>
        <w:bidi w:val="0"/>
        <w:spacing w:before="0" w:after="200" w:line="312" w:lineRule="exact"/>
        <w:ind w:left="0" w:right="0" w:firstLine="0"/>
        <w:jc w:val="both"/>
      </w:pPr>
      <w:r>
        <w:rPr>
          <w:spacing w:val="0"/>
          <w:w w:val="100"/>
          <w:position w:val="0"/>
        </w:rPr>
        <w:t>公司智慧流通业务由全资子公司上海追索信息科技有限公司（以下简称追索科技）负责开展，追索科技定位于基于人 工智能、区块链、云计算、大数据、物联网等技术的追溯数字化综合解决方案提供商。追索科技致力于通过自动识别 技术</w:t>
      </w:r>
      <w:r>
        <w:rPr>
          <w:spacing w:val="0"/>
          <w:w w:val="100"/>
          <w:position w:val="0"/>
        </w:rPr>
        <w:t>（</w:t>
      </w:r>
      <w:r>
        <w:rPr>
          <w:rFonts w:ascii="Times New Roman" w:eastAsia="Times New Roman" w:hAnsi="Times New Roman" w:cs="Times New Roman"/>
          <w:spacing w:val="0"/>
          <w:w w:val="100"/>
          <w:position w:val="0"/>
          <w:sz w:val="19"/>
          <w:szCs w:val="19"/>
        </w:rPr>
        <w:t>OCR</w:t>
      </w:r>
      <w:r>
        <w:rPr>
          <w:spacing w:val="0"/>
          <w:w w:val="100"/>
          <w:position w:val="0"/>
        </w:rPr>
        <w:t>、</w:t>
      </w:r>
      <w:r>
        <w:rPr>
          <w:spacing w:val="0"/>
          <w:w w:val="100"/>
          <w:position w:val="0"/>
        </w:rPr>
        <w:t>二维码、</w:t>
      </w:r>
      <w:r>
        <w:rPr>
          <w:rFonts w:ascii="Times New Roman" w:eastAsia="Times New Roman" w:hAnsi="Times New Roman" w:cs="Times New Roman"/>
          <w:spacing w:val="0"/>
          <w:w w:val="100"/>
          <w:position w:val="0"/>
          <w:sz w:val="19"/>
          <w:szCs w:val="19"/>
        </w:rPr>
        <w:t>RFID</w:t>
      </w:r>
      <w:r>
        <w:rPr>
          <w:spacing w:val="0"/>
          <w:w w:val="100"/>
          <w:position w:val="0"/>
        </w:rPr>
        <w:t>、</w:t>
      </w:r>
      <w:r>
        <w:rPr>
          <w:rFonts w:ascii="Times New Roman" w:eastAsia="Times New Roman" w:hAnsi="Times New Roman" w:cs="Times New Roman"/>
          <w:spacing w:val="0"/>
          <w:w w:val="100"/>
          <w:position w:val="0"/>
          <w:sz w:val="19"/>
          <w:szCs w:val="19"/>
        </w:rPr>
        <w:t>NB-IOT</w:t>
      </w:r>
      <w:r>
        <w:rPr>
          <w:spacing w:val="0"/>
          <w:w w:val="100"/>
          <w:position w:val="0"/>
        </w:rPr>
        <w:t>、</w:t>
      </w:r>
      <w:r>
        <w:rPr>
          <w:spacing w:val="0"/>
          <w:w w:val="100"/>
          <w:position w:val="0"/>
        </w:rPr>
        <w:t>图像等）采集真实、完整、可用、安全并可验证的商品</w:t>
      </w:r>
      <w:r>
        <w:rPr>
          <w:rFonts w:ascii="Times New Roman" w:eastAsia="Times New Roman" w:hAnsi="Times New Roman" w:cs="Times New Roman"/>
          <w:spacing w:val="0"/>
          <w:w w:val="100"/>
          <w:position w:val="0"/>
          <w:sz w:val="19"/>
          <w:szCs w:val="19"/>
        </w:rPr>
        <w:t>“</w:t>
      </w:r>
      <w:r>
        <w:rPr>
          <w:spacing w:val="0"/>
          <w:w w:val="100"/>
          <w:position w:val="0"/>
        </w:rPr>
        <w:t>身份证</w:t>
      </w:r>
      <w:r>
        <w:rPr>
          <w:rFonts w:ascii="Times New Roman" w:eastAsia="Times New Roman" w:hAnsi="Times New Roman" w:cs="Times New Roman"/>
          <w:spacing w:val="0"/>
          <w:w w:val="100"/>
          <w:position w:val="0"/>
          <w:sz w:val="19"/>
          <w:szCs w:val="19"/>
        </w:rPr>
        <w:t>”</w:t>
      </w:r>
      <w:r>
        <w:rPr>
          <w:spacing w:val="0"/>
          <w:w w:val="100"/>
          <w:position w:val="0"/>
        </w:rPr>
        <w:t>数据，链接 从生产、加工、流通、销售及消费者的（人、货、场、单、企、车</w:t>
      </w:r>
      <w:r>
        <w:rPr>
          <w:rFonts w:ascii="Times New Roman" w:eastAsia="Times New Roman" w:hAnsi="Times New Roman" w:cs="Times New Roman"/>
          <w:spacing w:val="0"/>
          <w:w w:val="100"/>
          <w:position w:val="0"/>
          <w:sz w:val="19"/>
          <w:szCs w:val="19"/>
        </w:rPr>
        <w:t>…</w:t>
      </w:r>
      <w:r>
        <w:rPr>
          <w:spacing w:val="0"/>
          <w:w w:val="100"/>
          <w:position w:val="0"/>
        </w:rPr>
        <w:t>）供应链全环节全要素，为政府提供食品、农产 品等监管平台，赋能企业实现数字化运营全要素质量提升，帮助消费者树立商品可信度信心。</w:t>
      </w:r>
    </w:p>
    <w:p>
      <w:pPr>
        <w:widowControl w:val="0"/>
        <w:jc w:val="center"/>
        <w:rPr>
          <w:sz w:val="2"/>
          <w:szCs w:val="2"/>
        </w:rPr>
      </w:pPr>
      <w:r>
        <w:drawing>
          <wp:inline>
            <wp:extent cx="4023360" cy="221869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stretch/>
                  </pic:blipFill>
                  <pic:spPr>
                    <a:xfrm>
                      <a:ext cx="4023360" cy="2218690"/>
                    </a:xfrm>
                    <a:prstGeom prst="rect"/>
                  </pic:spPr>
                </pic:pic>
              </a:graphicData>
            </a:graphic>
          </wp:inline>
        </w:drawing>
      </w:r>
    </w:p>
    <w:p>
      <w:pPr>
        <w:widowControl w:val="0"/>
        <w:spacing w:after="199" w:line="1" w:lineRule="exact"/>
      </w:pPr>
    </w:p>
    <w:p>
      <w:pPr>
        <w:pStyle w:val="Style33"/>
        <w:keepNext w:val="0"/>
        <w:keepLines w:val="0"/>
        <w:widowControl w:val="0"/>
        <w:shd w:val="clear" w:color="auto" w:fill="auto"/>
        <w:bidi w:val="0"/>
        <w:spacing w:before="0" w:after="220" w:line="240" w:lineRule="auto"/>
        <w:ind w:left="0" w:right="0" w:firstLine="0"/>
        <w:jc w:val="both"/>
        <w:rPr>
          <w:sz w:val="18"/>
          <w:szCs w:val="18"/>
        </w:rPr>
      </w:pPr>
      <w:bookmarkStart w:id="83" w:name="bookmark83"/>
      <w:r>
        <w:rPr>
          <w:rFonts w:ascii="Times New Roman" w:eastAsia="Times New Roman" w:hAnsi="Times New Roman" w:cs="Times New Roman"/>
          <w:color w:val="000000"/>
          <w:spacing w:val="0"/>
          <w:w w:val="100"/>
          <w:position w:val="0"/>
          <w:sz w:val="20"/>
          <w:szCs w:val="20"/>
        </w:rPr>
        <w:t>3</w:t>
      </w:r>
      <w:bookmarkEnd w:id="83"/>
      <w:r>
        <w:rPr>
          <w:color w:val="000000"/>
          <w:spacing w:val="0"/>
          <w:w w:val="100"/>
          <w:position w:val="0"/>
          <w:sz w:val="20"/>
          <w:szCs w:val="20"/>
        </w:rPr>
        <w:t xml:space="preserve">、智慧食安消费 </w:t>
      </w:r>
      <w:r>
        <w:rPr>
          <w:rStyle w:val="CharStyle25"/>
        </w:rPr>
        <w:t>公司智慧食安消费业务由旗下子公司</w:t>
      </w:r>
      <w:r>
        <w:rPr>
          <w:rStyle w:val="CharStyle25"/>
          <w:b/>
          <w:bCs/>
        </w:rPr>
        <w:t>一一</w:t>
      </w:r>
      <w:r>
        <w:rPr>
          <w:rStyle w:val="CharStyle25"/>
        </w:rPr>
        <w:t>追溯云信息发展股份有限公司（以下简称追溯云）负责开拓。作为独立公正 的第三方食品安全服务平台，</w:t>
      </w:r>
      <w:r>
        <w:rPr>
          <w:rStyle w:val="CharStyle25"/>
          <w:rFonts w:ascii="Times New Roman" w:eastAsia="Times New Roman" w:hAnsi="Times New Roman" w:cs="Times New Roman"/>
          <w:sz w:val="19"/>
          <w:szCs w:val="19"/>
        </w:rPr>
        <w:t>“</w:t>
      </w:r>
      <w:r>
        <w:rPr>
          <w:rStyle w:val="CharStyle25"/>
        </w:rPr>
        <w:t>追溯云</w:t>
      </w:r>
      <w:r>
        <w:rPr>
          <w:rStyle w:val="CharStyle25"/>
          <w:rFonts w:ascii="Times New Roman" w:eastAsia="Times New Roman" w:hAnsi="Times New Roman" w:cs="Times New Roman"/>
          <w:sz w:val="19"/>
          <w:szCs w:val="19"/>
        </w:rPr>
        <w:t>”</w:t>
      </w:r>
      <w:r>
        <w:rPr>
          <w:rStyle w:val="CharStyle25"/>
        </w:rPr>
        <w:t>采用云服务模式，以软件即服务模式向生产、加工、流通、销售等环节中的各 类企业提供各类应用服务，致力于为重要产品各环节企业提供专业的追溯系统建设咨询、追溯</w:t>
      </w:r>
      <w:r>
        <w:rPr>
          <w:rStyle w:val="CharStyle25"/>
          <w:rFonts w:ascii="Times New Roman" w:eastAsia="Times New Roman" w:hAnsi="Times New Roman" w:cs="Times New Roman"/>
          <w:sz w:val="19"/>
          <w:szCs w:val="19"/>
        </w:rPr>
        <w:t>SaaS</w:t>
      </w:r>
      <w:r>
        <w:rPr>
          <w:rStyle w:val="CharStyle25"/>
        </w:rPr>
        <w:t>应用租用、追溯链 条合成、追溯赋码、追溯查询、二方评估、互动营销、产品防伪、食安检测等服务，同时也通过追溯</w:t>
      </w:r>
      <w:r>
        <w:rPr>
          <w:rStyle w:val="CharStyle25"/>
          <w:rFonts w:ascii="Times New Roman" w:eastAsia="Times New Roman" w:hAnsi="Times New Roman" w:cs="Times New Roman"/>
          <w:sz w:val="19"/>
          <w:szCs w:val="19"/>
        </w:rPr>
        <w:t>Inside</w:t>
      </w:r>
      <w:r>
        <w:rPr>
          <w:rStyle w:val="CharStyle25"/>
        </w:rPr>
        <w:t>服务为其 他行业专有云提供食品安全服务。近年来，公司以商超、便利店为重点突破并延伸上下游，通过参与中国国际进口博 览会、上海市外延蔬菜基地、标准化菜市场共享式快速检测等涵盖食安追溯与食安服务的项目建设，不断加快</w:t>
      </w:r>
      <w:r>
        <w:rPr>
          <w:rStyle w:val="CharStyle25"/>
          <w:rFonts w:ascii="Times New Roman" w:eastAsia="Times New Roman" w:hAnsi="Times New Roman" w:cs="Times New Roman"/>
          <w:sz w:val="19"/>
          <w:szCs w:val="19"/>
        </w:rPr>
        <w:t>“</w:t>
      </w:r>
      <w:r>
        <w:rPr>
          <w:rStyle w:val="CharStyle25"/>
        </w:rPr>
        <w:t>追溯 云</w:t>
      </w:r>
      <w:r>
        <w:rPr>
          <w:rStyle w:val="CharStyle25"/>
          <w:rFonts w:ascii="Times New Roman" w:eastAsia="Times New Roman" w:hAnsi="Times New Roman" w:cs="Times New Roman"/>
          <w:sz w:val="19"/>
          <w:szCs w:val="19"/>
        </w:rPr>
        <w:t>”</w:t>
      </w:r>
      <w:r>
        <w:rPr>
          <w:rStyle w:val="CharStyle25"/>
        </w:rPr>
        <w:t>市场品牌建设。</w:t>
      </w:r>
    </w:p>
    <w:p>
      <w:pPr>
        <w:widowControl w:val="0"/>
        <w:jc w:val="center"/>
        <w:rPr>
          <w:sz w:val="2"/>
          <w:szCs w:val="2"/>
        </w:rPr>
      </w:pPr>
      <w:r>
        <w:drawing>
          <wp:inline>
            <wp:extent cx="3578225" cy="207264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stretch/>
                  </pic:blipFill>
                  <pic:spPr>
                    <a:xfrm>
                      <a:ext cx="3578225" cy="2072640"/>
                    </a:xfrm>
                    <a:prstGeom prst="rect"/>
                  </pic:spPr>
                </pic:pic>
              </a:graphicData>
            </a:graphic>
          </wp:inline>
        </w:drawing>
      </w:r>
    </w:p>
    <w:p>
      <w:pPr>
        <w:widowControl w:val="0"/>
        <w:spacing w:after="419" w:line="1" w:lineRule="exact"/>
      </w:pPr>
    </w:p>
    <w:p>
      <w:pPr>
        <w:pStyle w:val="Style33"/>
        <w:keepNext w:val="0"/>
        <w:keepLines w:val="0"/>
        <w:widowControl w:val="0"/>
        <w:shd w:val="clear" w:color="auto" w:fill="auto"/>
        <w:bidi w:val="0"/>
        <w:spacing w:before="0" w:after="0" w:line="240" w:lineRule="auto"/>
        <w:ind w:left="0" w:right="0" w:firstLine="0"/>
        <w:jc w:val="both"/>
      </w:pPr>
      <w:bookmarkStart w:id="84" w:name="bookmark84"/>
      <w:r>
        <w:rPr>
          <w:rFonts w:ascii="Times New Roman" w:eastAsia="Times New Roman" w:hAnsi="Times New Roman" w:cs="Times New Roman"/>
          <w:color w:val="000000"/>
          <w:spacing w:val="0"/>
          <w:w w:val="100"/>
          <w:position w:val="0"/>
        </w:rPr>
        <w:t>4</w:t>
      </w:r>
      <w:bookmarkEnd w:id="84"/>
      <w:r>
        <w:rPr>
          <w:color w:val="000000"/>
          <w:spacing w:val="0"/>
          <w:w w:val="100"/>
          <w:position w:val="0"/>
        </w:rPr>
        <w:t>、业务发展：</w:t>
      </w:r>
    </w:p>
    <w:p>
      <w:pPr>
        <w:pStyle w:val="Style24"/>
        <w:keepNext w:val="0"/>
        <w:keepLines w:val="0"/>
        <w:widowControl w:val="0"/>
        <w:shd w:val="clear" w:color="auto" w:fill="auto"/>
        <w:bidi w:val="0"/>
        <w:spacing w:before="0" w:after="0" w:line="312" w:lineRule="exact"/>
        <w:ind w:left="0" w:right="0" w:firstLine="0"/>
        <w:jc w:val="both"/>
      </w:pPr>
      <w:r>
        <w:rPr>
          <w:spacing w:val="0"/>
          <w:w w:val="100"/>
          <w:position w:val="0"/>
        </w:rPr>
        <w:t>依托公司在食品安全行业深耕多年累积的项目建设经验，以</w:t>
      </w:r>
      <w:r>
        <w:rPr>
          <w:rFonts w:ascii="Times New Roman" w:eastAsia="Times New Roman" w:hAnsi="Times New Roman" w:cs="Times New Roman"/>
          <w:spacing w:val="0"/>
          <w:w w:val="100"/>
          <w:position w:val="0"/>
          <w:sz w:val="19"/>
          <w:szCs w:val="19"/>
        </w:rPr>
        <w:t>“</w:t>
      </w:r>
      <w:r>
        <w:rPr>
          <w:spacing w:val="0"/>
          <w:w w:val="100"/>
          <w:position w:val="0"/>
        </w:rPr>
        <w:t>企业落实主体责任、政府肩负监管责任、消费者行使监 督责任</w:t>
      </w:r>
      <w:r>
        <w:rPr>
          <w:rFonts w:ascii="Times New Roman" w:eastAsia="Times New Roman" w:hAnsi="Times New Roman" w:cs="Times New Roman"/>
          <w:spacing w:val="0"/>
          <w:w w:val="100"/>
          <w:position w:val="0"/>
          <w:sz w:val="19"/>
          <w:szCs w:val="19"/>
        </w:rPr>
        <w:t>”</w:t>
      </w:r>
      <w:r>
        <w:rPr>
          <w:spacing w:val="0"/>
          <w:w w:val="100"/>
          <w:position w:val="0"/>
        </w:rPr>
        <w:t>为原则，按照标准统一、信息互通的要求，结合食品、食用农产品、农业生产资料等重要产品整个生命周期 质量安全体系和标准体系，通过运用云计算、物联网、区块链、大数据、人工智能等信息化技术，围绕企业管理需求、 政府部门监管业务需求和消费者的监督需求，建设信息化服务平台，为政府监管者提供企业实时监管及趋势预测，为 企业提供面向消费者的可视化食品安全管理系统，为消费者提供便捷的食品安全信息查询与监督服务，从而提升政府 监管水平，塑造企业品牌形象，恢复和提升消费者信心，打造信息透明共享、互联互通、可信任的食品安全生态圈， 实现食品安全社会共建共治共享是信息发展智慧食安业务发展的坚定动力。</w:t>
      </w:r>
    </w:p>
    <w:p>
      <w:pPr>
        <w:pStyle w:val="Style24"/>
        <w:keepNext w:val="0"/>
        <w:keepLines w:val="0"/>
        <w:widowControl w:val="0"/>
        <w:shd w:val="clear" w:color="auto" w:fill="auto"/>
        <w:tabs>
          <w:tab w:pos="399" w:val="left"/>
        </w:tabs>
        <w:bidi w:val="0"/>
        <w:spacing w:before="0" w:after="0" w:line="315" w:lineRule="exact"/>
        <w:ind w:left="0" w:right="0" w:firstLine="0"/>
        <w:jc w:val="both"/>
      </w:pPr>
      <w:bookmarkStart w:id="85" w:name="bookmark85"/>
      <w:r>
        <w:rPr>
          <w:spacing w:val="0"/>
          <w:w w:val="100"/>
          <w:position w:val="0"/>
        </w:rPr>
        <w:t>（</w:t>
      </w:r>
      <w:bookmarkEnd w:id="85"/>
      <w:r>
        <w:rPr>
          <w:rFonts w:ascii="Times New Roman" w:eastAsia="Times New Roman" w:hAnsi="Times New Roman" w:cs="Times New Roman"/>
          <w:spacing w:val="0"/>
          <w:w w:val="100"/>
          <w:position w:val="0"/>
          <w:sz w:val="19"/>
          <w:szCs w:val="19"/>
        </w:rPr>
        <w:t>1</w:t>
      </w:r>
      <w:r>
        <w:rPr>
          <w:spacing w:val="0"/>
          <w:w w:val="100"/>
          <w:position w:val="0"/>
        </w:rPr>
        <w:t>）</w:t>
        <w:tab/>
        <w:t>食安追溯市场保持优势</w:t>
      </w:r>
    </w:p>
    <w:p>
      <w:pPr>
        <w:pStyle w:val="Style24"/>
        <w:keepNext w:val="0"/>
        <w:keepLines w:val="0"/>
        <w:widowControl w:val="0"/>
        <w:shd w:val="clear" w:color="auto" w:fill="auto"/>
        <w:bidi w:val="0"/>
        <w:spacing w:before="0" w:after="0" w:line="315" w:lineRule="exact"/>
        <w:ind w:left="0" w:right="0" w:firstLine="0"/>
        <w:jc w:val="both"/>
      </w:pPr>
      <w:r>
        <w:rPr>
          <w:spacing w:val="0"/>
          <w:w w:val="100"/>
          <w:position w:val="0"/>
        </w:rPr>
        <w:t>信息发展</w:t>
      </w:r>
      <w:r>
        <w:rPr>
          <w:rFonts w:ascii="Times New Roman" w:eastAsia="Times New Roman" w:hAnsi="Times New Roman" w:cs="Times New Roman"/>
          <w:spacing w:val="0"/>
          <w:w w:val="100"/>
          <w:position w:val="0"/>
          <w:sz w:val="19"/>
          <w:szCs w:val="19"/>
        </w:rPr>
        <w:t>2021</w:t>
      </w:r>
      <w:r>
        <w:rPr>
          <w:spacing w:val="0"/>
          <w:w w:val="100"/>
          <w:position w:val="0"/>
        </w:rPr>
        <w:t>年新签约黔南州重要产品追溯体系公共管理服务平台、铜仁市重要产品追溯管理平台、西宁市重要产品 追溯管理平台等多个市级重要产品追溯管理平台建设项目。截至</w:t>
      </w:r>
      <w:r>
        <w:rPr>
          <w:rFonts w:ascii="Times New Roman" w:eastAsia="Times New Roman" w:hAnsi="Times New Roman" w:cs="Times New Roman"/>
          <w:spacing w:val="0"/>
          <w:w w:val="100"/>
          <w:position w:val="0"/>
          <w:sz w:val="19"/>
          <w:szCs w:val="19"/>
        </w:rPr>
        <w:t>2021</w:t>
      </w:r>
      <w:r>
        <w:rPr>
          <w:spacing w:val="0"/>
          <w:w w:val="100"/>
          <w:position w:val="0"/>
        </w:rPr>
        <w:t>年底，公司已承建</w:t>
      </w:r>
      <w:r>
        <w:rPr>
          <w:rFonts w:ascii="Times New Roman" w:eastAsia="Times New Roman" w:hAnsi="Times New Roman" w:cs="Times New Roman"/>
          <w:spacing w:val="0"/>
          <w:w w:val="100"/>
          <w:position w:val="0"/>
          <w:sz w:val="19"/>
          <w:szCs w:val="19"/>
        </w:rPr>
        <w:t>26</w:t>
      </w:r>
      <w:r>
        <w:rPr>
          <w:spacing w:val="0"/>
          <w:w w:val="100"/>
          <w:position w:val="0"/>
        </w:rPr>
        <w:t>个重要产品追溯省、市级管 理平台建设项目，是国内相关案例最多的软件开发与系统集成承建企业。同时签约西安市肉类蔬菜流通追溯系统运行 维护项目、南京市肉菜追溯体系运维第</w:t>
      </w:r>
      <w:r>
        <w:rPr>
          <w:rFonts w:ascii="Times New Roman" w:eastAsia="Times New Roman" w:hAnsi="Times New Roman" w:cs="Times New Roman"/>
          <w:spacing w:val="0"/>
          <w:w w:val="100"/>
          <w:position w:val="0"/>
          <w:sz w:val="19"/>
          <w:szCs w:val="19"/>
        </w:rPr>
        <w:t>5</w:t>
      </w:r>
      <w:r>
        <w:rPr>
          <w:spacing w:val="0"/>
          <w:w w:val="100"/>
          <w:position w:val="0"/>
        </w:rPr>
        <w:t>期、北京市商务局</w:t>
      </w:r>
      <w:r>
        <w:rPr>
          <w:rFonts w:ascii="Times New Roman" w:eastAsia="Times New Roman" w:hAnsi="Times New Roman" w:cs="Times New Roman"/>
          <w:spacing w:val="0"/>
          <w:w w:val="100"/>
          <w:position w:val="0"/>
          <w:sz w:val="19"/>
          <w:szCs w:val="19"/>
        </w:rPr>
        <w:t>2021</w:t>
      </w:r>
      <w:r>
        <w:rPr>
          <w:spacing w:val="0"/>
          <w:w w:val="100"/>
          <w:position w:val="0"/>
        </w:rPr>
        <w:t>年本市肉菜流通追溯体系及</w:t>
      </w:r>
      <w:r>
        <w:rPr>
          <w:rFonts w:ascii="Times New Roman" w:eastAsia="Times New Roman" w:hAnsi="Times New Roman" w:cs="Times New Roman"/>
          <w:spacing w:val="0"/>
          <w:w w:val="100"/>
          <w:position w:val="0"/>
          <w:sz w:val="19"/>
          <w:szCs w:val="19"/>
        </w:rPr>
        <w:t>“</w:t>
      </w:r>
      <w:r>
        <w:rPr>
          <w:spacing w:val="0"/>
          <w:w w:val="100"/>
          <w:position w:val="0"/>
        </w:rPr>
        <w:t>放心肉</w:t>
      </w:r>
      <w:r>
        <w:rPr>
          <w:rFonts w:ascii="Times New Roman" w:eastAsia="Times New Roman" w:hAnsi="Times New Roman" w:cs="Times New Roman"/>
          <w:spacing w:val="0"/>
          <w:w w:val="100"/>
          <w:position w:val="0"/>
          <w:sz w:val="19"/>
          <w:szCs w:val="19"/>
        </w:rPr>
        <w:t>”</w:t>
      </w:r>
      <w:r>
        <w:rPr>
          <w:spacing w:val="0"/>
          <w:w w:val="100"/>
          <w:position w:val="0"/>
        </w:rPr>
        <w:t>运维项目、太原 市肉菜蔬菜流通追溯体系运维服务项目</w:t>
      </w:r>
      <w:r>
        <w:rPr>
          <w:rFonts w:ascii="Times New Roman" w:eastAsia="Times New Roman" w:hAnsi="Times New Roman" w:cs="Times New Roman"/>
          <w:spacing w:val="0"/>
          <w:w w:val="100"/>
          <w:position w:val="0"/>
          <w:sz w:val="19"/>
          <w:szCs w:val="19"/>
        </w:rPr>
        <w:t>17</w:t>
      </w:r>
      <w:r>
        <w:rPr>
          <w:spacing w:val="0"/>
          <w:w w:val="100"/>
          <w:position w:val="0"/>
        </w:rPr>
        <w:t>等个肉菜追溯体系建设及运维服务项目，在肉类蔬菜流通追溯体系建设经验 上继续保持领先。</w:t>
      </w:r>
    </w:p>
    <w:p>
      <w:pPr>
        <w:pStyle w:val="Style24"/>
        <w:keepNext w:val="0"/>
        <w:keepLines w:val="0"/>
        <w:widowControl w:val="0"/>
        <w:shd w:val="clear" w:color="auto" w:fill="auto"/>
        <w:bidi w:val="0"/>
        <w:spacing w:before="0" w:after="0" w:line="315" w:lineRule="exact"/>
        <w:ind w:left="0" w:right="0" w:firstLine="0"/>
        <w:jc w:val="both"/>
      </w:pPr>
      <w:r>
        <w:rPr>
          <w:spacing w:val="0"/>
          <w:w w:val="100"/>
          <w:position w:val="0"/>
        </w:rPr>
        <w:t>公司自</w:t>
      </w:r>
      <w:r>
        <w:rPr>
          <w:rFonts w:ascii="Times New Roman" w:eastAsia="Times New Roman" w:hAnsi="Times New Roman" w:cs="Times New Roman"/>
          <w:spacing w:val="0"/>
          <w:w w:val="100"/>
          <w:position w:val="0"/>
          <w:sz w:val="19"/>
          <w:szCs w:val="19"/>
        </w:rPr>
        <w:t>2008</w:t>
      </w:r>
      <w:r>
        <w:rPr>
          <w:spacing w:val="0"/>
          <w:w w:val="100"/>
          <w:position w:val="0"/>
        </w:rPr>
        <w:t>年以来一直参与全国各省（市）追溯项目的建设工作，截至</w:t>
      </w:r>
      <w:r>
        <w:rPr>
          <w:rFonts w:ascii="Times New Roman" w:eastAsia="Times New Roman" w:hAnsi="Times New Roman" w:cs="Times New Roman"/>
          <w:spacing w:val="0"/>
          <w:w w:val="100"/>
          <w:position w:val="0"/>
          <w:sz w:val="19"/>
          <w:szCs w:val="19"/>
        </w:rPr>
        <w:t>2021</w:t>
      </w:r>
      <w:r>
        <w:rPr>
          <w:spacing w:val="0"/>
          <w:w w:val="100"/>
          <w:position w:val="0"/>
        </w:rPr>
        <w:t>年年底，信息发展承接了北京、上海、安 徽、湖南、湖北、广西、广东、云南、重庆、陕西等</w:t>
      </w:r>
      <w:r>
        <w:rPr>
          <w:rFonts w:ascii="Times New Roman" w:eastAsia="Times New Roman" w:hAnsi="Times New Roman" w:cs="Times New Roman"/>
          <w:spacing w:val="0"/>
          <w:w w:val="100"/>
          <w:position w:val="0"/>
          <w:sz w:val="19"/>
          <w:szCs w:val="19"/>
        </w:rPr>
        <w:t>12</w:t>
      </w:r>
      <w:r>
        <w:rPr>
          <w:spacing w:val="0"/>
          <w:w w:val="100"/>
          <w:position w:val="0"/>
        </w:rPr>
        <w:t>个省级重要产品追溯平台；黔南州、铜仁市、西宁市等</w:t>
      </w:r>
      <w:r>
        <w:rPr>
          <w:rFonts w:ascii="Times New Roman" w:eastAsia="Times New Roman" w:hAnsi="Times New Roman" w:cs="Times New Roman"/>
          <w:spacing w:val="0"/>
          <w:w w:val="100"/>
          <w:position w:val="0"/>
          <w:sz w:val="19"/>
          <w:szCs w:val="19"/>
        </w:rPr>
        <w:t>14</w:t>
      </w:r>
      <w:r>
        <w:rPr>
          <w:spacing w:val="0"/>
          <w:w w:val="100"/>
          <w:position w:val="0"/>
        </w:rPr>
        <w:t>个重 要产品追溯市级平台：广州、深圳、东莞、珠海、盘锦等</w:t>
      </w:r>
      <w:r>
        <w:rPr>
          <w:rFonts w:ascii="Times New Roman" w:eastAsia="Times New Roman" w:hAnsi="Times New Roman" w:cs="Times New Roman"/>
          <w:spacing w:val="0"/>
          <w:w w:val="100"/>
          <w:position w:val="0"/>
          <w:sz w:val="19"/>
          <w:szCs w:val="19"/>
        </w:rPr>
        <w:t>17</w:t>
      </w:r>
      <w:r>
        <w:rPr>
          <w:spacing w:val="0"/>
          <w:w w:val="100"/>
          <w:position w:val="0"/>
        </w:rPr>
        <w:t>个肉菜省级试点城市；以及全国</w:t>
      </w:r>
      <w:r>
        <w:rPr>
          <w:rFonts w:ascii="Times New Roman" w:eastAsia="Times New Roman" w:hAnsi="Times New Roman" w:cs="Times New Roman"/>
          <w:spacing w:val="0"/>
          <w:w w:val="100"/>
          <w:position w:val="0"/>
          <w:sz w:val="19"/>
          <w:szCs w:val="19"/>
        </w:rPr>
        <w:t>25</w:t>
      </w:r>
      <w:r>
        <w:rPr>
          <w:spacing w:val="0"/>
          <w:w w:val="100"/>
          <w:position w:val="0"/>
        </w:rPr>
        <w:t>个城市的商务部肉菜流 通追溯试点城市的追溯体系建设项目；宁夏、山东、青海、辽宁</w:t>
      </w:r>
      <w:r>
        <w:rPr>
          <w:rFonts w:ascii="Times New Roman" w:eastAsia="Times New Roman" w:hAnsi="Times New Roman" w:cs="Times New Roman"/>
          <w:spacing w:val="0"/>
          <w:w w:val="100"/>
          <w:position w:val="0"/>
          <w:sz w:val="19"/>
          <w:szCs w:val="19"/>
        </w:rPr>
        <w:t>4</w:t>
      </w:r>
      <w:r>
        <w:rPr>
          <w:spacing w:val="0"/>
          <w:w w:val="100"/>
          <w:position w:val="0"/>
        </w:rPr>
        <w:t>个中药材流通追溯体系建设；</w:t>
      </w:r>
      <w:r>
        <w:rPr>
          <w:rFonts w:ascii="Times New Roman" w:eastAsia="Times New Roman" w:hAnsi="Times New Roman" w:cs="Times New Roman"/>
          <w:spacing w:val="0"/>
          <w:w w:val="100"/>
          <w:position w:val="0"/>
          <w:sz w:val="19"/>
          <w:szCs w:val="19"/>
        </w:rPr>
        <w:t>4</w:t>
      </w:r>
      <w:r>
        <w:rPr>
          <w:spacing w:val="0"/>
          <w:w w:val="100"/>
          <w:position w:val="0"/>
        </w:rPr>
        <w:t>个放心肉试点城市： 北京、烟台、淄博、武汉。公司市场覆盖面持续增加，覆盖百万人口以上城市超过</w:t>
      </w:r>
      <w:r>
        <w:rPr>
          <w:rFonts w:ascii="Times New Roman" w:eastAsia="Times New Roman" w:hAnsi="Times New Roman" w:cs="Times New Roman"/>
          <w:spacing w:val="0"/>
          <w:w w:val="100"/>
          <w:position w:val="0"/>
          <w:sz w:val="19"/>
          <w:szCs w:val="19"/>
        </w:rPr>
        <w:t>50</w:t>
      </w:r>
      <w:r>
        <w:rPr>
          <w:spacing w:val="0"/>
          <w:w w:val="100"/>
          <w:position w:val="0"/>
        </w:rPr>
        <w:t>个、受益人口超</w:t>
      </w:r>
      <w:r>
        <w:rPr>
          <w:rFonts w:ascii="Times New Roman" w:eastAsia="Times New Roman" w:hAnsi="Times New Roman" w:cs="Times New Roman"/>
          <w:spacing w:val="0"/>
          <w:w w:val="100"/>
          <w:position w:val="0"/>
          <w:sz w:val="19"/>
          <w:szCs w:val="19"/>
        </w:rPr>
        <w:t>3</w:t>
      </w:r>
      <w:r>
        <w:rPr>
          <w:spacing w:val="0"/>
          <w:w w:val="100"/>
          <w:position w:val="0"/>
        </w:rPr>
        <w:t>亿。追溯的品 类上涵盖了猪肉、蔬菜、牛羊肉、禽类、水产、酒类和中药材等上百个品种。</w:t>
      </w:r>
    </w:p>
    <w:p>
      <w:pPr>
        <w:pStyle w:val="Style24"/>
        <w:keepNext w:val="0"/>
        <w:keepLines w:val="0"/>
        <w:widowControl w:val="0"/>
        <w:shd w:val="clear" w:color="auto" w:fill="auto"/>
        <w:tabs>
          <w:tab w:pos="399" w:val="left"/>
        </w:tabs>
        <w:bidi w:val="0"/>
        <w:spacing w:before="0" w:after="0" w:line="315" w:lineRule="exact"/>
        <w:ind w:left="0" w:right="0" w:firstLine="0"/>
        <w:jc w:val="both"/>
      </w:pPr>
      <w:bookmarkStart w:id="86" w:name="bookmark86"/>
      <w:r>
        <w:rPr>
          <w:spacing w:val="0"/>
          <w:w w:val="100"/>
          <w:position w:val="0"/>
        </w:rPr>
        <w:t>（</w:t>
      </w:r>
      <w:bookmarkEnd w:id="86"/>
      <w:r>
        <w:rPr>
          <w:rFonts w:ascii="Times New Roman" w:eastAsia="Times New Roman" w:hAnsi="Times New Roman" w:cs="Times New Roman"/>
          <w:spacing w:val="0"/>
          <w:w w:val="100"/>
          <w:position w:val="0"/>
          <w:sz w:val="19"/>
          <w:szCs w:val="19"/>
        </w:rPr>
        <w:t>2</w:t>
      </w:r>
      <w:r>
        <w:rPr>
          <w:spacing w:val="0"/>
          <w:w w:val="100"/>
          <w:position w:val="0"/>
        </w:rPr>
        <w:t>）</w:t>
        <w:tab/>
        <w:t>技术不断迭代创新</w:t>
      </w:r>
    </w:p>
    <w:p>
      <w:pPr>
        <w:pStyle w:val="Style24"/>
        <w:keepNext w:val="0"/>
        <w:keepLines w:val="0"/>
        <w:widowControl w:val="0"/>
        <w:shd w:val="clear" w:color="auto" w:fill="auto"/>
        <w:bidi w:val="0"/>
        <w:spacing w:before="0" w:after="0" w:line="312" w:lineRule="exact"/>
        <w:ind w:left="0" w:right="0" w:firstLine="0"/>
        <w:jc w:val="both"/>
      </w:pPr>
      <w:r>
        <w:rPr>
          <w:spacing w:val="0"/>
          <w:w w:val="100"/>
          <w:position w:val="0"/>
        </w:rPr>
        <w:t xml:space="preserve">在新技术应用的创新能力建设上，一是加强北斗导航研究应用。以北斗卫星导航定位、物联网等高线技术手段加强畜 牧生产智能化监管，应用养殖环境监测、畜牧动态监测、气象灾害预报等实现畜牧产业全生命周期追溯管理、精细化、 </w:t>
      </w:r>
      <w:r>
        <w:rPr>
          <w:spacing w:val="0"/>
          <w:w w:val="100"/>
          <w:position w:val="0"/>
        </w:rPr>
        <w:t>智能化、数字化发展。二是创新应用</w:t>
      </w:r>
      <w:r>
        <w:rPr>
          <w:rFonts w:ascii="Times New Roman" w:eastAsia="Times New Roman" w:hAnsi="Times New Roman" w:cs="Times New Roman"/>
          <w:spacing w:val="0"/>
          <w:w w:val="100"/>
          <w:position w:val="0"/>
          <w:sz w:val="19"/>
          <w:szCs w:val="19"/>
        </w:rPr>
        <w:t>“</w:t>
      </w:r>
      <w:r>
        <w:rPr>
          <w:spacing w:val="0"/>
          <w:w w:val="100"/>
          <w:position w:val="0"/>
        </w:rPr>
        <w:t>区块链</w:t>
      </w:r>
      <w:r>
        <w:rPr>
          <w:rFonts w:ascii="Times New Roman" w:eastAsia="Times New Roman" w:hAnsi="Times New Roman" w:cs="Times New Roman"/>
          <w:spacing w:val="0"/>
          <w:w w:val="100"/>
          <w:position w:val="0"/>
          <w:sz w:val="19"/>
          <w:szCs w:val="19"/>
        </w:rPr>
        <w:t>”</w:t>
      </w:r>
      <w:r>
        <w:rPr>
          <w:spacing w:val="0"/>
          <w:w w:val="100"/>
          <w:position w:val="0"/>
        </w:rPr>
        <w:t>新技术。在食品生产、流通等全过程中将追溯信息分布式存储和应用， 确保食品追溯信息对称、核对方便、数据防篡改，保证追溯数据真实、有效、完整，优化产品供应链，构建一个更安 全、更高效、更加可持续、更值得信赖的食品安全追溯体系。三是促进大数据应用创新。运用大数据、人工智能技术， 构建以智慧决策为核心、以制度机制为保障、以专业队伍为支撑，以数据为驱动，形成各部门、各环节保供主体共同 发力，市区协同联动、资源融合共享的保供新格局，确保平战转换、快速响应，应急保供有序有力，实现主副食品市 场调控和应急保供能力现代化、数字化、智慧化。</w:t>
      </w:r>
    </w:p>
    <w:p>
      <w:pPr>
        <w:pStyle w:val="Style24"/>
        <w:keepNext w:val="0"/>
        <w:keepLines w:val="0"/>
        <w:widowControl w:val="0"/>
        <w:shd w:val="clear" w:color="auto" w:fill="auto"/>
        <w:tabs>
          <w:tab w:pos="399" w:val="left"/>
        </w:tabs>
        <w:bidi w:val="0"/>
        <w:spacing w:before="0" w:after="0" w:line="314" w:lineRule="exact"/>
        <w:ind w:left="0" w:right="0" w:firstLine="0"/>
        <w:jc w:val="both"/>
      </w:pPr>
      <w:bookmarkStart w:id="87" w:name="bookmark87"/>
      <w:r>
        <w:rPr>
          <w:spacing w:val="0"/>
          <w:w w:val="100"/>
          <w:position w:val="0"/>
        </w:rPr>
        <w:t>（</w:t>
      </w:r>
      <w:bookmarkEnd w:id="87"/>
      <w:r>
        <w:rPr>
          <w:rFonts w:ascii="Times New Roman" w:eastAsia="Times New Roman" w:hAnsi="Times New Roman" w:cs="Times New Roman"/>
          <w:spacing w:val="0"/>
          <w:w w:val="100"/>
          <w:position w:val="0"/>
          <w:sz w:val="19"/>
          <w:szCs w:val="19"/>
        </w:rPr>
        <w:t>3</w:t>
      </w:r>
      <w:r>
        <w:rPr>
          <w:spacing w:val="0"/>
          <w:w w:val="100"/>
          <w:position w:val="0"/>
        </w:rPr>
        <w:t>）</w:t>
        <w:tab/>
        <w:t>持续新增客户</w:t>
      </w:r>
    </w:p>
    <w:p>
      <w:pPr>
        <w:pStyle w:val="Style24"/>
        <w:keepNext w:val="0"/>
        <w:keepLines w:val="0"/>
        <w:widowControl w:val="0"/>
        <w:shd w:val="clear" w:color="auto" w:fill="auto"/>
        <w:bidi w:val="0"/>
        <w:spacing w:before="0" w:after="0" w:line="315" w:lineRule="exact"/>
        <w:ind w:left="0" w:right="0" w:firstLine="0"/>
        <w:jc w:val="both"/>
      </w:pPr>
      <w:r>
        <w:rPr>
          <w:spacing w:val="0"/>
          <w:w w:val="100"/>
          <w:position w:val="0"/>
        </w:rPr>
        <w:t>我司在</w:t>
      </w:r>
      <w:r>
        <w:rPr>
          <w:rFonts w:ascii="Times New Roman" w:eastAsia="Times New Roman" w:hAnsi="Times New Roman" w:cs="Times New Roman"/>
          <w:spacing w:val="0"/>
          <w:w w:val="100"/>
          <w:position w:val="0"/>
          <w:sz w:val="19"/>
          <w:szCs w:val="19"/>
        </w:rPr>
        <w:t>2021</w:t>
      </w:r>
      <w:r>
        <w:rPr>
          <w:spacing w:val="0"/>
          <w:w w:val="100"/>
          <w:position w:val="0"/>
        </w:rPr>
        <w:t>年在原有客户基础上不断创新拓展新业务，新增上海主副食品保供稳价监测系统项目、徐州</w:t>
      </w:r>
      <w:r>
        <w:rPr>
          <w:rFonts w:ascii="Times New Roman" w:eastAsia="Times New Roman" w:hAnsi="Times New Roman" w:cs="Times New Roman"/>
          <w:spacing w:val="0"/>
          <w:w w:val="100"/>
          <w:position w:val="0"/>
          <w:sz w:val="19"/>
          <w:szCs w:val="19"/>
        </w:rPr>
        <w:t>-</w:t>
      </w:r>
      <w:r>
        <w:rPr>
          <w:spacing w:val="0"/>
          <w:w w:val="100"/>
          <w:position w:val="0"/>
        </w:rPr>
        <w:t>上海蔬菜外 延基地农产品供沪信息平台建设项目等多个创新案例，不仅延伸食安追溯链条，对接源头生产监管数据，保障食品安 全，也通过量价信息采集，达到量足价稳，保障民生商品供应，协助商务部门客户实现数字化商务转型。新增中国长 江电力股份有限公司</w:t>
      </w:r>
      <w:r>
        <w:rPr>
          <w:rFonts w:ascii="Times New Roman" w:eastAsia="Times New Roman" w:hAnsi="Times New Roman" w:cs="Times New Roman"/>
          <w:spacing w:val="0"/>
          <w:w w:val="100"/>
          <w:position w:val="0"/>
          <w:sz w:val="19"/>
          <w:szCs w:val="19"/>
        </w:rPr>
        <w:t>-</w:t>
      </w:r>
      <w:r>
        <w:rPr>
          <w:spacing w:val="0"/>
          <w:w w:val="100"/>
          <w:position w:val="0"/>
        </w:rPr>
        <w:t>基于微服务的图纸管理应用开发实施项目、上海蔬菜（集团）有限公司</w:t>
      </w:r>
      <w:r>
        <w:rPr>
          <w:rFonts w:ascii="Times New Roman" w:eastAsia="Times New Roman" w:hAnsi="Times New Roman" w:cs="Times New Roman"/>
          <w:spacing w:val="0"/>
          <w:w w:val="100"/>
          <w:position w:val="0"/>
          <w:sz w:val="19"/>
          <w:szCs w:val="19"/>
        </w:rPr>
        <w:t>-</w:t>
      </w:r>
      <w:r>
        <w:rPr>
          <w:spacing w:val="0"/>
          <w:w w:val="100"/>
          <w:position w:val="0"/>
        </w:rPr>
        <w:t>蔬菜集团数据中台项目 等企业信息化项目，以提质增效和信息安全为基础，以支撑企业管控和业务协同为核心，打通企业系统的数据共享通 道，加快构建企业数据治理体系，推进企业数字化转型。</w:t>
      </w:r>
    </w:p>
    <w:p>
      <w:pPr>
        <w:pStyle w:val="Style24"/>
        <w:keepNext w:val="0"/>
        <w:keepLines w:val="0"/>
        <w:widowControl w:val="0"/>
        <w:shd w:val="clear" w:color="auto" w:fill="auto"/>
        <w:tabs>
          <w:tab w:pos="399" w:val="left"/>
        </w:tabs>
        <w:bidi w:val="0"/>
        <w:spacing w:before="0" w:after="0" w:line="314" w:lineRule="exact"/>
        <w:ind w:left="0" w:right="0" w:firstLine="0"/>
        <w:jc w:val="both"/>
      </w:pPr>
      <w:bookmarkStart w:id="88" w:name="bookmark88"/>
      <w:r>
        <w:rPr>
          <w:spacing w:val="0"/>
          <w:w w:val="100"/>
          <w:position w:val="0"/>
        </w:rPr>
        <w:t>（</w:t>
      </w:r>
      <w:bookmarkEnd w:id="88"/>
      <w:r>
        <w:rPr>
          <w:rFonts w:ascii="Times New Roman" w:eastAsia="Times New Roman" w:hAnsi="Times New Roman" w:cs="Times New Roman"/>
          <w:spacing w:val="0"/>
          <w:w w:val="100"/>
          <w:position w:val="0"/>
          <w:sz w:val="19"/>
          <w:szCs w:val="19"/>
        </w:rPr>
        <w:t>4</w:t>
      </w:r>
      <w:r>
        <w:rPr>
          <w:spacing w:val="0"/>
          <w:w w:val="100"/>
          <w:position w:val="0"/>
        </w:rPr>
        <w:t>）</w:t>
        <w:tab/>
        <w:t>大力发展农业项目</w:t>
      </w:r>
    </w:p>
    <w:p>
      <w:pPr>
        <w:pStyle w:val="Style24"/>
        <w:keepNext w:val="0"/>
        <w:keepLines w:val="0"/>
        <w:widowControl w:val="0"/>
        <w:shd w:val="clear" w:color="auto" w:fill="auto"/>
        <w:bidi w:val="0"/>
        <w:spacing w:before="0" w:after="0" w:line="312" w:lineRule="exact"/>
        <w:ind w:left="0" w:right="0" w:firstLine="0"/>
        <w:jc w:val="both"/>
      </w:pPr>
      <w:r>
        <w:rPr>
          <w:spacing w:val="0"/>
          <w:w w:val="100"/>
          <w:position w:val="0"/>
        </w:rPr>
        <w:t>在种养殖端，公司积极开拓农业相关业务，相继中标和田地区智慧农业畜牧大数据监管平台项目，实现养殖信息化、 协同化、痕迹化，以及产、购、销、追溯的闭环式监管和监管事前、事中、事后的质量安全；中标叶榭镇东石（兴达） 乡村振兴示范村智慧乡村建设项目等数字乡村项目，依托现代信息网络技术，实现村、组织、人口三级农村政务管理 网络，促使互联网和村民服务融合发展，实现村民服务的数字化、智能化，提高村民服务工作效率，统筹</w:t>
      </w:r>
      <w:r>
        <w:rPr>
          <w:rFonts w:ascii="Times New Roman" w:eastAsia="Times New Roman" w:hAnsi="Times New Roman" w:cs="Times New Roman"/>
          <w:spacing w:val="0"/>
          <w:w w:val="100"/>
          <w:position w:val="0"/>
          <w:sz w:val="19"/>
          <w:szCs w:val="19"/>
        </w:rPr>
        <w:t>“</w:t>
      </w:r>
      <w:r>
        <w:rPr>
          <w:spacing w:val="0"/>
          <w:w w:val="100"/>
          <w:position w:val="0"/>
        </w:rPr>
        <w:t>为民、为 老、为农</w:t>
      </w:r>
      <w:r>
        <w:rPr>
          <w:rFonts w:ascii="Times New Roman" w:eastAsia="Times New Roman" w:hAnsi="Times New Roman" w:cs="Times New Roman"/>
          <w:spacing w:val="0"/>
          <w:w w:val="100"/>
          <w:position w:val="0"/>
          <w:sz w:val="19"/>
          <w:szCs w:val="19"/>
        </w:rPr>
        <w:t>”</w:t>
      </w:r>
      <w:r>
        <w:rPr>
          <w:spacing w:val="0"/>
          <w:w w:val="100"/>
          <w:position w:val="0"/>
        </w:rPr>
        <w:t>服务资源，形成提供多样化服务、方便群众办事的乡村服务综合体。</w:t>
      </w:r>
    </w:p>
    <w:p>
      <w:pPr>
        <w:pStyle w:val="Style33"/>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w:t>
      </w:r>
      <w:r>
        <w:rPr>
          <w:b/>
          <w:bCs/>
          <w:color w:val="000000"/>
          <w:spacing w:val="0"/>
          <w:w w:val="100"/>
          <w:position w:val="0"/>
        </w:rPr>
        <w:t>智慧司法领域</w:t>
      </w:r>
    </w:p>
    <w:p>
      <w:pPr>
        <w:pStyle w:val="Style24"/>
        <w:keepNext w:val="0"/>
        <w:keepLines w:val="0"/>
        <w:widowControl w:val="0"/>
        <w:shd w:val="clear" w:color="auto" w:fill="auto"/>
        <w:bidi w:val="0"/>
        <w:spacing w:before="0" w:after="140" w:line="314" w:lineRule="exact"/>
        <w:ind w:left="0" w:right="0" w:firstLine="0"/>
        <w:jc w:val="both"/>
      </w:pPr>
      <w:r>
        <w:rPr>
          <w:spacing w:val="0"/>
          <w:w w:val="100"/>
          <w:position w:val="0"/>
        </w:rPr>
        <w:t>我司以优秀的智慧监所解决方案及省级智慧监所统一管理平台为主打产品，与司法部开展的创建智慧监所活动高度契 合，聚力监所业务市场，跑马圈地，抢占市场制高点，并以监所智能化产品终端为辅助，精耕细作监所市场，提高市 场占有率。凭借优势产品，公司积极拓展智慧戒毒、社区矫正及司法区块链应用等领域，致力于利用信息化建设推动 社会发展与进步，为国家治理体系和治理能力现代化提供技术支撑。</w:t>
      </w:r>
    </w:p>
    <w:p>
      <w:pPr>
        <w:pStyle w:val="Style33"/>
        <w:keepNext w:val="0"/>
        <w:keepLines w:val="0"/>
        <w:widowControl w:val="0"/>
        <w:shd w:val="clear" w:color="auto" w:fill="auto"/>
        <w:tabs>
          <w:tab w:pos="339" w:val="left"/>
        </w:tabs>
        <w:bidi w:val="0"/>
        <w:spacing w:before="0" w:after="0" w:line="336" w:lineRule="auto"/>
        <w:ind w:left="0" w:right="0" w:firstLine="0"/>
        <w:jc w:val="both"/>
      </w:pPr>
      <w:bookmarkStart w:id="89" w:name="bookmark89"/>
      <w:r>
        <w:rPr>
          <w:rFonts w:ascii="Times New Roman" w:eastAsia="Times New Roman" w:hAnsi="Times New Roman" w:cs="Times New Roman"/>
          <w:color w:val="000000"/>
          <w:spacing w:val="0"/>
          <w:w w:val="100"/>
          <w:position w:val="0"/>
        </w:rPr>
        <w:t>1</w:t>
      </w:r>
      <w:bookmarkEnd w:id="89"/>
      <w:r>
        <w:rPr>
          <w:color w:val="000000"/>
          <w:spacing w:val="0"/>
          <w:w w:val="100"/>
          <w:position w:val="0"/>
        </w:rPr>
        <w:t>、</w:t>
        <w:tab/>
        <w:t>省级平台型市场保持优势</w:t>
      </w:r>
    </w:p>
    <w:p>
      <w:pPr>
        <w:pStyle w:val="Style24"/>
        <w:keepNext w:val="0"/>
        <w:keepLines w:val="0"/>
        <w:widowControl w:val="0"/>
        <w:shd w:val="clear" w:color="auto" w:fill="auto"/>
        <w:bidi w:val="0"/>
        <w:spacing w:before="0" w:after="140" w:line="322" w:lineRule="exact"/>
        <w:ind w:left="0" w:right="0" w:firstLine="0"/>
        <w:jc w:val="both"/>
      </w:pPr>
      <w:r>
        <w:rPr>
          <w:spacing w:val="0"/>
          <w:w w:val="100"/>
          <w:position w:val="0"/>
        </w:rPr>
        <w:t>截止报告期末，公司目前已经承接江苏、安徽、北京、上海、新疆自治区、湖南、贵州等省级智慧监所平台建设。除 上述省份外，公司还筹谋参与河南、河北、广东、福建等省级平台建设。</w:t>
      </w:r>
    </w:p>
    <w:p>
      <w:pPr>
        <w:pStyle w:val="Style33"/>
        <w:keepNext w:val="0"/>
        <w:keepLines w:val="0"/>
        <w:widowControl w:val="0"/>
        <w:shd w:val="clear" w:color="auto" w:fill="auto"/>
        <w:tabs>
          <w:tab w:pos="339" w:val="left"/>
        </w:tabs>
        <w:bidi w:val="0"/>
        <w:spacing w:before="0" w:after="0" w:line="334" w:lineRule="auto"/>
        <w:ind w:left="0" w:right="0" w:firstLine="0"/>
        <w:jc w:val="both"/>
      </w:pPr>
      <w:bookmarkStart w:id="90" w:name="bookmark90"/>
      <w:r>
        <w:rPr>
          <w:rFonts w:ascii="Times New Roman" w:eastAsia="Times New Roman" w:hAnsi="Times New Roman" w:cs="Times New Roman"/>
          <w:color w:val="000000"/>
          <w:spacing w:val="0"/>
          <w:w w:val="100"/>
          <w:position w:val="0"/>
        </w:rPr>
        <w:t>2</w:t>
      </w:r>
      <w:bookmarkEnd w:id="90"/>
      <w:r>
        <w:rPr>
          <w:color w:val="000000"/>
          <w:spacing w:val="0"/>
          <w:w w:val="100"/>
          <w:position w:val="0"/>
        </w:rPr>
        <w:t>、</w:t>
        <w:tab/>
        <w:t>技术不断迭代创新</w:t>
      </w:r>
    </w:p>
    <w:p>
      <w:pPr>
        <w:pStyle w:val="Style24"/>
        <w:keepNext w:val="0"/>
        <w:keepLines w:val="0"/>
        <w:widowControl w:val="0"/>
        <w:shd w:val="clear" w:color="auto" w:fill="auto"/>
        <w:bidi w:val="0"/>
        <w:spacing w:before="0" w:after="140" w:line="314" w:lineRule="exact"/>
        <w:ind w:left="0" w:right="0" w:firstLine="0"/>
        <w:jc w:val="both"/>
      </w:pPr>
      <w:r>
        <w:rPr>
          <w:spacing w:val="0"/>
          <w:w w:val="100"/>
          <w:position w:val="0"/>
        </w:rPr>
        <w:t>区块链技术在监狱的运用是一个全新的课题。我司配合江苏省监狱管理局，完成区块链技术应用试点工作。充分发挥 区块链去中心化、不可篡改、开放共享、可溯源、非对称加密等技术特点，配合智能合约的自动化执行机制，积极探 索区块链在罪犯管理、执法监督、监狱与政法机关业务协同等领域应用，构建</w:t>
      </w:r>
      <w:r>
        <w:rPr>
          <w:rFonts w:ascii="Times New Roman" w:eastAsia="Times New Roman" w:hAnsi="Times New Roman" w:cs="Times New Roman"/>
          <w:spacing w:val="0"/>
          <w:w w:val="100"/>
          <w:position w:val="0"/>
          <w:sz w:val="19"/>
          <w:szCs w:val="19"/>
        </w:rPr>
        <w:t>“</w:t>
      </w:r>
      <w:r>
        <w:rPr>
          <w:spacing w:val="0"/>
          <w:w w:val="100"/>
          <w:position w:val="0"/>
        </w:rPr>
        <w:t>两链、一中心</w:t>
      </w:r>
      <w:r>
        <w:rPr>
          <w:rFonts w:ascii="Times New Roman" w:eastAsia="Times New Roman" w:hAnsi="Times New Roman" w:cs="Times New Roman"/>
          <w:spacing w:val="0"/>
          <w:w w:val="100"/>
          <w:position w:val="0"/>
          <w:sz w:val="19"/>
          <w:szCs w:val="19"/>
        </w:rPr>
        <w:t>”</w:t>
      </w:r>
      <w:r>
        <w:rPr>
          <w:spacing w:val="0"/>
          <w:w w:val="100"/>
          <w:position w:val="0"/>
        </w:rPr>
        <w:t>。</w:t>
      </w:r>
    </w:p>
    <w:p>
      <w:pPr>
        <w:pStyle w:val="Style33"/>
        <w:keepNext w:val="0"/>
        <w:keepLines w:val="0"/>
        <w:widowControl w:val="0"/>
        <w:shd w:val="clear" w:color="auto" w:fill="auto"/>
        <w:tabs>
          <w:tab w:pos="339" w:val="left"/>
        </w:tabs>
        <w:bidi w:val="0"/>
        <w:spacing w:before="0" w:after="0" w:line="334" w:lineRule="auto"/>
        <w:ind w:left="0" w:right="0" w:firstLine="0"/>
        <w:jc w:val="both"/>
      </w:pPr>
      <w:bookmarkStart w:id="91" w:name="bookmark91"/>
      <w:r>
        <w:rPr>
          <w:rFonts w:ascii="Times New Roman" w:eastAsia="Times New Roman" w:hAnsi="Times New Roman" w:cs="Times New Roman"/>
          <w:color w:val="000000"/>
          <w:spacing w:val="0"/>
          <w:w w:val="100"/>
          <w:position w:val="0"/>
        </w:rPr>
        <w:t>3</w:t>
      </w:r>
      <w:bookmarkEnd w:id="91"/>
      <w:r>
        <w:rPr>
          <w:color w:val="000000"/>
          <w:spacing w:val="0"/>
          <w:w w:val="100"/>
          <w:position w:val="0"/>
        </w:rPr>
        <w:t>、</w:t>
        <w:tab/>
        <w:t>深耕细作</w:t>
      </w:r>
    </w:p>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spacing w:val="0"/>
          <w:w w:val="100"/>
          <w:position w:val="0"/>
          <w:sz w:val="19"/>
          <w:szCs w:val="19"/>
        </w:rPr>
        <w:t>2021</w:t>
      </w:r>
      <w:r>
        <w:rPr>
          <w:spacing w:val="0"/>
          <w:w w:val="100"/>
          <w:position w:val="0"/>
        </w:rPr>
        <w:t>疫情的反复和教育整顿对整个行业影响都很大。我司及时调整，适应</w:t>
      </w:r>
      <w:r>
        <w:rPr>
          <w:rFonts w:ascii="Times New Roman" w:eastAsia="Times New Roman" w:hAnsi="Times New Roman" w:cs="Times New Roman"/>
          <w:spacing w:val="0"/>
          <w:w w:val="100"/>
          <w:position w:val="0"/>
          <w:sz w:val="19"/>
          <w:szCs w:val="19"/>
        </w:rPr>
        <w:t>“</w:t>
      </w:r>
      <w:r>
        <w:rPr>
          <w:spacing w:val="0"/>
          <w:w w:val="100"/>
          <w:position w:val="0"/>
        </w:rPr>
        <w:t>新冠</w:t>
      </w:r>
      <w:r>
        <w:rPr>
          <w:rFonts w:ascii="Times New Roman" w:eastAsia="Times New Roman" w:hAnsi="Times New Roman" w:cs="Times New Roman"/>
          <w:spacing w:val="0"/>
          <w:w w:val="100"/>
          <w:position w:val="0"/>
          <w:sz w:val="19"/>
          <w:szCs w:val="19"/>
        </w:rPr>
        <w:t>”</w:t>
      </w:r>
      <w:r>
        <w:rPr>
          <w:spacing w:val="0"/>
          <w:w w:val="100"/>
          <w:position w:val="0"/>
        </w:rPr>
        <w:t>常态，继续克坚攻难。围绕省局大平 台升级改造，制定大平台可持续发展策略及思路，并协助制定实施计划，重点打造一两款平台配套的刚需产品，实现 省局、监狱全覆盖。</w:t>
      </w:r>
    </w:p>
    <w:p>
      <w:pPr>
        <w:pStyle w:val="Style24"/>
        <w:keepNext w:val="0"/>
        <w:keepLines w:val="0"/>
        <w:widowControl w:val="0"/>
        <w:shd w:val="clear" w:color="auto" w:fill="auto"/>
        <w:bidi w:val="0"/>
        <w:spacing w:before="0" w:after="0" w:line="314" w:lineRule="exact"/>
        <w:ind w:left="0" w:right="0" w:firstLine="0"/>
        <w:jc w:val="both"/>
      </w:pPr>
      <w:r>
        <w:rPr>
          <w:spacing w:val="0"/>
          <w:w w:val="100"/>
          <w:position w:val="0"/>
        </w:rPr>
        <w:t>依托省级平台，我司拓展了疆维吾尔自治区巴音郭楞监狱、哈拉布拉监狱、沙雅监狱、和田玉河监狱、阿克苏监狱、 吐鲁番监狱、于田监狱、女子监狱、乌鲁木齐监狱、乌鲁木齐市未成年犯管教所、牌楼监狱、和田监狱、卡尔墩监狱、 福海监狱、伊犁未成年犯管教所、自治区第三监狱、昌吉监狱、自治区监狱管理局病犯监狱，共</w:t>
      </w:r>
      <w:r>
        <w:rPr>
          <w:rFonts w:ascii="Times New Roman" w:eastAsia="Times New Roman" w:hAnsi="Times New Roman" w:cs="Times New Roman"/>
          <w:spacing w:val="0"/>
          <w:w w:val="100"/>
          <w:position w:val="0"/>
          <w:sz w:val="19"/>
          <w:szCs w:val="19"/>
        </w:rPr>
        <w:t>18</w:t>
      </w:r>
      <w:r>
        <w:rPr>
          <w:spacing w:val="0"/>
          <w:w w:val="100"/>
          <w:position w:val="0"/>
        </w:rPr>
        <w:t>家的一体化指挥调 度平台业务。</w:t>
      </w:r>
    </w:p>
    <w:p>
      <w:pPr>
        <w:pStyle w:val="Style24"/>
        <w:keepNext w:val="0"/>
        <w:keepLines w:val="0"/>
        <w:widowControl w:val="0"/>
        <w:shd w:val="clear" w:color="auto" w:fill="auto"/>
        <w:bidi w:val="0"/>
        <w:spacing w:before="0" w:after="0" w:line="317" w:lineRule="exact"/>
        <w:ind w:left="0" w:right="0" w:firstLine="0"/>
        <w:jc w:val="both"/>
      </w:pPr>
      <w:r>
        <w:rPr>
          <w:spacing w:val="0"/>
          <w:w w:val="100"/>
          <w:position w:val="0"/>
        </w:rPr>
        <w:t>在上海继续拓展司法、监狱、戒毒、矫正业务。为上海市司法局；上海市监狱管理局、女子监狱、监狱总医院、南汇 监狱、北新泾监狱、周浦监狱、未成年犯管教所；上海市金山区、虹口区、青浦区、杨浦区、松江区、司法局社区矫 正中心；上海夏阳强制隔离戒毒所等司法行政单位提供软件、硬件集成及技术服务。</w:t>
      </w:r>
    </w:p>
    <w:p>
      <w:pPr>
        <w:pStyle w:val="Style24"/>
        <w:keepNext w:val="0"/>
        <w:keepLines w:val="0"/>
        <w:widowControl w:val="0"/>
        <w:shd w:val="clear" w:color="auto" w:fill="auto"/>
        <w:bidi w:val="0"/>
        <w:spacing w:before="0" w:after="1080" w:line="326" w:lineRule="exact"/>
        <w:ind w:left="0" w:right="0" w:firstLine="0"/>
        <w:jc w:val="left"/>
      </w:pPr>
      <w:r>
        <w:rPr>
          <w:spacing w:val="0"/>
          <w:w w:val="100"/>
          <w:position w:val="0"/>
        </w:rPr>
        <w:t>此外，我司还为安徽省监狱管理局、江苏省监狱管理局、贵州省监狱管理局、南京监狱、丁山监狱、西郊监狱等司法 行政单位提供软件、硬件集成及技术服务。</w:t>
      </w:r>
    </w:p>
    <w:p>
      <w:pPr>
        <w:pStyle w:val="Style22"/>
        <w:keepNext/>
        <w:keepLines/>
        <w:widowControl w:val="0"/>
        <w:shd w:val="clear" w:color="auto" w:fill="auto"/>
        <w:bidi w:val="0"/>
        <w:spacing w:before="0" w:after="26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三</w:t>
      </w:r>
      <w:bookmarkEnd w:id="94"/>
      <w:r>
        <w:rPr>
          <w:color w:val="000000"/>
          <w:spacing w:val="0"/>
          <w:w w:val="100"/>
          <w:position w:val="0"/>
        </w:rPr>
        <w:t>、核心竞争力分析</w:t>
      </w:r>
      <w:bookmarkEnd w:id="92"/>
      <w:bookmarkEnd w:id="93"/>
      <w:bookmarkEnd w:id="95"/>
    </w:p>
    <w:p>
      <w:pPr>
        <w:pStyle w:val="Style24"/>
        <w:keepNext w:val="0"/>
        <w:keepLines w:val="0"/>
        <w:widowControl w:val="0"/>
        <w:shd w:val="clear" w:color="auto" w:fill="auto"/>
        <w:tabs>
          <w:tab w:pos="375" w:val="left"/>
        </w:tabs>
        <w:bidi w:val="0"/>
        <w:spacing w:before="0" w:after="0" w:line="314" w:lineRule="exact"/>
        <w:ind w:left="0" w:right="0" w:firstLine="0"/>
        <w:jc w:val="left"/>
        <w:rPr>
          <w:sz w:val="17"/>
          <w:szCs w:val="17"/>
        </w:rPr>
      </w:pPr>
      <w:bookmarkStart w:id="96" w:name="bookmark96"/>
      <w:r>
        <w:rPr>
          <w:color w:val="000000"/>
          <w:spacing w:val="0"/>
          <w:w w:val="100"/>
          <w:position w:val="0"/>
          <w:sz w:val="17"/>
          <w:szCs w:val="17"/>
        </w:rPr>
        <w:t>一</w:t>
      </w:r>
      <w:bookmarkEnd w:id="96"/>
      <w:r>
        <w:rPr>
          <w:color w:val="000000"/>
          <w:spacing w:val="0"/>
          <w:w w:val="100"/>
          <w:position w:val="0"/>
          <w:sz w:val="17"/>
          <w:szCs w:val="17"/>
        </w:rPr>
        <w:t>、</w:t>
        <w:tab/>
        <w:t>技术优势</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公司逐年加大研发经费的投入，致力于在科技创新的前沿领域寻求突破，取得了丰硕的成果。公司具有如下技术优势：</w:t>
      </w:r>
    </w:p>
    <w:p>
      <w:pPr>
        <w:pStyle w:val="Style24"/>
        <w:keepNext w:val="0"/>
        <w:keepLines w:val="0"/>
        <w:widowControl w:val="0"/>
        <w:numPr>
          <w:ilvl w:val="0"/>
          <w:numId w:val="1"/>
        </w:numPr>
        <w:shd w:val="clear" w:color="auto" w:fill="auto"/>
        <w:tabs>
          <w:tab w:pos="250" w:val="left"/>
        </w:tabs>
        <w:bidi w:val="0"/>
        <w:spacing w:before="0" w:after="0" w:line="314" w:lineRule="exact"/>
        <w:ind w:left="0" w:right="0" w:firstLine="0"/>
        <w:jc w:val="left"/>
        <w:rPr>
          <w:sz w:val="17"/>
          <w:szCs w:val="17"/>
        </w:rPr>
      </w:pPr>
      <w:bookmarkStart w:id="97" w:name="bookmark97"/>
      <w:bookmarkEnd w:id="97"/>
      <w:r>
        <w:rPr>
          <w:color w:val="000000"/>
          <w:spacing w:val="0"/>
          <w:w w:val="100"/>
          <w:position w:val="0"/>
          <w:sz w:val="17"/>
          <w:szCs w:val="17"/>
        </w:rPr>
        <w:t>公司设立有专职从事科技创新研发的机构一信联信息研究院。研究院负责设计与开发公司有关的新理念、新技术、新产 品，以市场为导向，以技术进步为手段，以人才培养为根本，加快技术创新体系建设，大力实施高新技术产业化，努力提升 企业核心竞争力。研究院拥有专职研究人员约</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人，重点在大数据和区块链领域投入研发，联合大数据创新中心和区块链 创新中心进行技术攻关。</w:t>
      </w:r>
    </w:p>
    <w:p>
      <w:pPr>
        <w:pStyle w:val="Style24"/>
        <w:keepNext w:val="0"/>
        <w:keepLines w:val="0"/>
        <w:widowControl w:val="0"/>
        <w:numPr>
          <w:ilvl w:val="0"/>
          <w:numId w:val="1"/>
        </w:numPr>
        <w:shd w:val="clear" w:color="auto" w:fill="auto"/>
        <w:tabs>
          <w:tab w:pos="260" w:val="left"/>
        </w:tabs>
        <w:bidi w:val="0"/>
        <w:spacing w:before="0" w:after="0" w:line="314" w:lineRule="exact"/>
        <w:ind w:left="0" w:right="0" w:firstLine="0"/>
        <w:jc w:val="left"/>
        <w:rPr>
          <w:sz w:val="17"/>
          <w:szCs w:val="17"/>
        </w:rPr>
      </w:pPr>
      <w:bookmarkStart w:id="98" w:name="bookmark98"/>
      <w:bookmarkEnd w:id="98"/>
      <w:r>
        <w:rPr>
          <w:color w:val="000000"/>
          <w:spacing w:val="0"/>
          <w:w w:val="100"/>
          <w:position w:val="0"/>
          <w:sz w:val="17"/>
          <w:szCs w:val="17"/>
        </w:rPr>
        <w:t>报告期内，公司作为主要承担单位参与了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年上海市科创办重大项目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市北区块链生态谷创新能力建设及重大行业应用 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建设，并顺利通过验收。该项目紧密围绕静安区数字经济发展和市北高新园区转型升级的要求，通过市北区块链生态 谷创新要素集聚和服务环境打造，协同研发突破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卡脖子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困境的自主可控区块链底层平台、跨链操作系统、区块链沙箱以及 态势感知等技术，打造牵动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牛鼻子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痛点的社会治理、跨境贸易等标杆应用场景，夯实市北高新园区区块链产业生态以及静 安发展水平，形成上海区块链高地。</w:t>
      </w:r>
    </w:p>
    <w:p>
      <w:pPr>
        <w:pStyle w:val="Style24"/>
        <w:keepNext w:val="0"/>
        <w:keepLines w:val="0"/>
        <w:widowControl w:val="0"/>
        <w:numPr>
          <w:ilvl w:val="0"/>
          <w:numId w:val="1"/>
        </w:numPr>
        <w:shd w:val="clear" w:color="auto" w:fill="auto"/>
        <w:tabs>
          <w:tab w:pos="260" w:val="left"/>
        </w:tabs>
        <w:bidi w:val="0"/>
        <w:spacing w:before="0" w:after="0" w:line="314" w:lineRule="exact"/>
        <w:ind w:left="0" w:right="0" w:firstLine="0"/>
        <w:jc w:val="left"/>
        <w:rPr>
          <w:sz w:val="17"/>
          <w:szCs w:val="17"/>
        </w:rPr>
      </w:pPr>
      <w:bookmarkStart w:id="99" w:name="bookmark99"/>
      <w:bookmarkEnd w:id="99"/>
      <w:r>
        <w:rPr>
          <w:color w:val="000000"/>
          <w:spacing w:val="0"/>
          <w:w w:val="100"/>
          <w:position w:val="0"/>
          <w:sz w:val="17"/>
          <w:szCs w:val="17"/>
        </w:rPr>
        <w:t>报告期内，公司作为重要参与方参与了上海市静安区科委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静安区国家区块链综合试点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申报。试点围绕数字经济发展需求， 发挥区块链在促进数据共享、优化业务流程、降低运营成本、提升协同效率、建设可信体系等方面的作用，大力促进区块链 与大数据、人工智能的融合创新，建设区块链基础设施平台，推动数据要素流通能级，建设区块链公共服务基础设施平台， 针对政府公共服务典型场景建设区块链赋能应用，面向产业发展中的典型场景建设区块链赋能应用，面向长三角一体化开展 食品安全、医疗健康、产业生态等方面的协同，为区域的产业链协同、数字经济创新提供支撑，以试点创新应用成果辐射长 三角，服务国家长三角一体化战略。</w:t>
      </w:r>
    </w:p>
    <w:p>
      <w:pPr>
        <w:pStyle w:val="Style24"/>
        <w:keepNext w:val="0"/>
        <w:keepLines w:val="0"/>
        <w:widowControl w:val="0"/>
        <w:numPr>
          <w:ilvl w:val="0"/>
          <w:numId w:val="1"/>
        </w:numPr>
        <w:shd w:val="clear" w:color="auto" w:fill="auto"/>
        <w:bidi w:val="0"/>
        <w:spacing w:before="0" w:after="320" w:line="314" w:lineRule="exact"/>
        <w:ind w:left="0" w:right="0" w:firstLine="0"/>
        <w:jc w:val="left"/>
        <w:rPr>
          <w:sz w:val="17"/>
          <w:szCs w:val="17"/>
        </w:rPr>
      </w:pPr>
      <w:bookmarkStart w:id="100" w:name="bookmark100"/>
      <w:bookmarkEnd w:id="100"/>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报告期内，公司共申请并获得受理发明专利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项；共申请软件著作权</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项，申报软件产品登记</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项。截止报告期末，公司 及全资、控股子公司共取得国家知识产权局专利授权</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项，计算机软件著作权</w:t>
      </w:r>
      <w:r>
        <w:rPr>
          <w:rFonts w:ascii="Times New Roman" w:eastAsia="Times New Roman" w:hAnsi="Times New Roman" w:cs="Times New Roman"/>
          <w:color w:val="000000"/>
          <w:spacing w:val="0"/>
          <w:w w:val="100"/>
          <w:position w:val="0"/>
          <w:sz w:val="18"/>
          <w:szCs w:val="18"/>
        </w:rPr>
        <w:t>419</w:t>
      </w:r>
      <w:r>
        <w:rPr>
          <w:color w:val="000000"/>
          <w:spacing w:val="0"/>
          <w:w w:val="100"/>
          <w:position w:val="0"/>
          <w:sz w:val="17"/>
          <w:szCs w:val="17"/>
        </w:rPr>
        <w:t>项，软件产品登记证书</w:t>
      </w:r>
      <w:r>
        <w:rPr>
          <w:rFonts w:ascii="Times New Roman" w:eastAsia="Times New Roman" w:hAnsi="Times New Roman" w:cs="Times New Roman"/>
          <w:color w:val="000000"/>
          <w:spacing w:val="0"/>
          <w:w w:val="100"/>
          <w:position w:val="0"/>
          <w:sz w:val="18"/>
          <w:szCs w:val="18"/>
        </w:rPr>
        <w:t>290</w:t>
      </w:r>
      <w:r>
        <w:rPr>
          <w:color w:val="000000"/>
          <w:spacing w:val="0"/>
          <w:w w:val="100"/>
          <w:position w:val="0"/>
          <w:sz w:val="17"/>
          <w:szCs w:val="17"/>
        </w:rPr>
        <w:t>项。</w:t>
      </w:r>
    </w:p>
    <w:p>
      <w:pPr>
        <w:pStyle w:val="Style24"/>
        <w:keepNext w:val="0"/>
        <w:keepLines w:val="0"/>
        <w:widowControl w:val="0"/>
        <w:shd w:val="clear" w:color="auto" w:fill="auto"/>
        <w:tabs>
          <w:tab w:pos="375" w:val="left"/>
        </w:tabs>
        <w:bidi w:val="0"/>
        <w:spacing w:before="0" w:after="0" w:line="312" w:lineRule="exact"/>
        <w:ind w:left="0" w:right="0" w:firstLine="0"/>
        <w:jc w:val="left"/>
        <w:rPr>
          <w:sz w:val="17"/>
          <w:szCs w:val="17"/>
        </w:rPr>
      </w:pPr>
      <w:bookmarkStart w:id="101" w:name="bookmark101"/>
      <w:r>
        <w:rPr>
          <w:color w:val="000000"/>
          <w:spacing w:val="0"/>
          <w:w w:val="100"/>
          <w:position w:val="0"/>
          <w:sz w:val="17"/>
          <w:szCs w:val="17"/>
        </w:rPr>
        <w:t>二</w:t>
      </w:r>
      <w:bookmarkEnd w:id="101"/>
      <w:r>
        <w:rPr>
          <w:color w:val="000000"/>
          <w:spacing w:val="0"/>
          <w:w w:val="100"/>
          <w:position w:val="0"/>
          <w:sz w:val="17"/>
          <w:szCs w:val="17"/>
        </w:rPr>
        <w:t>、</w:t>
        <w:tab/>
        <w:t>人才优势</w:t>
      </w:r>
    </w:p>
    <w:p>
      <w:pPr>
        <w:pStyle w:val="Style24"/>
        <w:keepNext w:val="0"/>
        <w:keepLines w:val="0"/>
        <w:widowControl w:val="0"/>
        <w:shd w:val="clear" w:color="auto" w:fill="auto"/>
        <w:bidi w:val="0"/>
        <w:spacing w:before="0" w:after="420" w:line="312" w:lineRule="exact"/>
        <w:ind w:left="0" w:right="0" w:firstLine="0"/>
        <w:jc w:val="left"/>
        <w:rPr>
          <w:sz w:val="17"/>
          <w:szCs w:val="17"/>
        </w:rPr>
      </w:pPr>
      <w:r>
        <w:rPr>
          <w:color w:val="000000"/>
          <w:spacing w:val="0"/>
          <w:w w:val="100"/>
          <w:position w:val="0"/>
          <w:sz w:val="17"/>
          <w:szCs w:val="17"/>
        </w:rPr>
        <w:t>在多年的经营中，公司拥有一支既有丰富现代管理水平、又精通行业业务知识和经验，并且结构合理的高素质人才队伍。公 司深知人才是公司核心竞争力之一。公司不但积极引入符合企业战略发展的相关人才，还设有专门的企业内部培训机构一 信息发展鹰学院。信息发展鹰学院不定期聘请外部资深行业专家和信息化专家等担任讲师授课，并且实施系统性的人才培养 体系，制定了人才考核制度，因材施教，建立系统性的企业人才培育策略和计划。公司为专门针对核心技术人员制定培训计 划和长效激励机制（包括核心人员持股计划等），为公司长期稳定的发展与积极创新的活力提供了人才资源的保障。</w:t>
      </w:r>
    </w:p>
    <w:p>
      <w:pPr>
        <w:pStyle w:val="Style24"/>
        <w:keepNext w:val="0"/>
        <w:keepLines w:val="0"/>
        <w:widowControl w:val="0"/>
        <w:shd w:val="clear" w:color="auto" w:fill="auto"/>
        <w:tabs>
          <w:tab w:pos="375" w:val="left"/>
        </w:tabs>
        <w:bidi w:val="0"/>
        <w:spacing w:before="0" w:after="0" w:line="240" w:lineRule="auto"/>
        <w:ind w:left="0" w:right="0" w:firstLine="0"/>
        <w:jc w:val="left"/>
        <w:rPr>
          <w:sz w:val="17"/>
          <w:szCs w:val="17"/>
        </w:rPr>
      </w:pPr>
      <w:bookmarkStart w:id="102" w:name="bookmark102"/>
      <w:r>
        <w:rPr>
          <w:color w:val="000000"/>
          <w:spacing w:val="0"/>
          <w:w w:val="100"/>
          <w:position w:val="0"/>
          <w:sz w:val="17"/>
          <w:szCs w:val="17"/>
        </w:rPr>
        <w:t>三</w:t>
      </w:r>
      <w:bookmarkEnd w:id="102"/>
      <w:r>
        <w:rPr>
          <w:color w:val="000000"/>
          <w:spacing w:val="0"/>
          <w:w w:val="100"/>
          <w:position w:val="0"/>
          <w:sz w:val="17"/>
          <w:szCs w:val="17"/>
        </w:rPr>
        <w:t>、</w:t>
        <w:tab/>
        <w:t>营销优势</w:t>
      </w:r>
    </w:p>
    <w:p>
      <w:pPr>
        <w:pStyle w:val="Style24"/>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以客户为中心</w:t>
      </w:r>
      <w:r>
        <w:rPr>
          <w:color w:val="000000"/>
          <w:spacing w:val="0"/>
          <w:w w:val="100"/>
          <w:position w:val="0"/>
          <w:sz w:val="18"/>
          <w:szCs w:val="18"/>
        </w:rPr>
        <w:t>，</w:t>
      </w:r>
      <w:r>
        <w:rPr>
          <w:color w:val="000000"/>
          <w:spacing w:val="0"/>
          <w:w w:val="100"/>
          <w:position w:val="0"/>
          <w:sz w:val="17"/>
          <w:szCs w:val="17"/>
        </w:rPr>
        <w:t>，的经营宗旨，持续推进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行业与区域协同发展，，的营销布局，即针对公司行业客户业务特点，由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 慧档案、智慧食安、智慧司法等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三大业务事业群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部作为业务纵向支撑平台，为客户提供专业技术服务支持；由全国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华东、 华北、华南、西南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四大区及其下设的</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家分公司作为业务营销服务平台，为客户提供本地化营销服务支持。公司借助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群区 合作、部司合作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的营销服务体系，具备较强的客户广度、深度开发能力，有效的增强了公司的综合竞争力，不断的推进公 司业务的全面发展。</w:t>
      </w:r>
    </w:p>
    <w:p>
      <w:pPr>
        <w:pStyle w:val="Style24"/>
        <w:keepNext w:val="0"/>
        <w:keepLines w:val="0"/>
        <w:widowControl w:val="0"/>
        <w:shd w:val="clear" w:color="auto" w:fill="auto"/>
        <w:bidi w:val="0"/>
        <w:spacing w:before="0" w:after="28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年，公司在维护好原有客户基础上，不断拓展政府和企业新客户，全年累计新增客户</w:t>
      </w:r>
      <w:r>
        <w:rPr>
          <w:rFonts w:ascii="Times New Roman" w:eastAsia="Times New Roman" w:hAnsi="Times New Roman" w:cs="Times New Roman"/>
          <w:color w:val="000000"/>
          <w:spacing w:val="0"/>
          <w:w w:val="100"/>
          <w:position w:val="0"/>
          <w:sz w:val="18"/>
          <w:szCs w:val="18"/>
        </w:rPr>
        <w:t>583</w:t>
      </w:r>
      <w:r>
        <w:rPr>
          <w:color w:val="000000"/>
          <w:spacing w:val="0"/>
          <w:w w:val="100"/>
          <w:position w:val="0"/>
          <w:sz w:val="17"/>
          <w:szCs w:val="17"/>
        </w:rPr>
        <w:t>家，其中档案行业新增</w:t>
      </w:r>
      <w:r>
        <w:rPr>
          <w:rFonts w:ascii="Times New Roman" w:eastAsia="Times New Roman" w:hAnsi="Times New Roman" w:cs="Times New Roman"/>
          <w:color w:val="000000"/>
          <w:spacing w:val="0"/>
          <w:w w:val="100"/>
          <w:position w:val="0"/>
          <w:sz w:val="18"/>
          <w:szCs w:val="18"/>
        </w:rPr>
        <w:t>177</w:t>
      </w:r>
      <w:r>
        <w:rPr>
          <w:color w:val="000000"/>
          <w:spacing w:val="0"/>
          <w:w w:val="100"/>
          <w:position w:val="0"/>
          <w:sz w:val="17"/>
          <w:szCs w:val="17"/>
        </w:rPr>
        <w:t>家， 食安行业新增</w:t>
      </w:r>
      <w:r>
        <w:rPr>
          <w:rFonts w:ascii="Times New Roman" w:eastAsia="Times New Roman" w:hAnsi="Times New Roman" w:cs="Times New Roman"/>
          <w:color w:val="000000"/>
          <w:spacing w:val="0"/>
          <w:w w:val="100"/>
          <w:position w:val="0"/>
          <w:sz w:val="18"/>
          <w:szCs w:val="18"/>
        </w:rPr>
        <w:t>366</w:t>
      </w:r>
      <w:r>
        <w:rPr>
          <w:color w:val="000000"/>
          <w:spacing w:val="0"/>
          <w:w w:val="100"/>
          <w:position w:val="0"/>
          <w:sz w:val="17"/>
          <w:szCs w:val="17"/>
        </w:rPr>
        <w:t>家，司法行业新增</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家，政务行业新增</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家。目前公司在智慧档案领域，与</w:t>
      </w:r>
      <w:r>
        <w:rPr>
          <w:rFonts w:ascii="Times New Roman" w:eastAsia="Times New Roman" w:hAnsi="Times New Roman" w:cs="Times New Roman"/>
          <w:color w:val="000000"/>
          <w:spacing w:val="0"/>
          <w:w w:val="100"/>
          <w:position w:val="0"/>
          <w:sz w:val="18"/>
          <w:szCs w:val="18"/>
        </w:rPr>
        <w:t>42</w:t>
      </w:r>
      <w:r>
        <w:rPr>
          <w:color w:val="000000"/>
          <w:spacing w:val="0"/>
          <w:w w:val="100"/>
          <w:position w:val="0"/>
          <w:sz w:val="17"/>
          <w:szCs w:val="17"/>
        </w:rPr>
        <w:t>家副省级以上档案（局）馆 保持长期合作关系，占有全国副省级以上档案局（馆）行业</w:t>
      </w:r>
      <w:r>
        <w:rPr>
          <w:rFonts w:ascii="Times New Roman" w:eastAsia="Times New Roman" w:hAnsi="Times New Roman" w:cs="Times New Roman"/>
          <w:color w:val="000000"/>
          <w:spacing w:val="0"/>
          <w:w w:val="100"/>
          <w:position w:val="0"/>
          <w:sz w:val="18"/>
          <w:szCs w:val="18"/>
        </w:rPr>
        <w:t>84%</w:t>
      </w:r>
      <w:r>
        <w:rPr>
          <w:color w:val="000000"/>
          <w:spacing w:val="0"/>
          <w:w w:val="100"/>
          <w:position w:val="0"/>
          <w:sz w:val="17"/>
          <w:szCs w:val="17"/>
        </w:rPr>
        <w:t>的份额；在智慧食安领域，继续保持着省级城市重要产品追 溯</w:t>
      </w:r>
      <w:r>
        <w:rPr>
          <w:rFonts w:ascii="Times New Roman" w:eastAsia="Times New Roman" w:hAnsi="Times New Roman" w:cs="Times New Roman"/>
          <w:color w:val="000000"/>
          <w:spacing w:val="0"/>
          <w:w w:val="100"/>
          <w:position w:val="0"/>
          <w:sz w:val="18"/>
          <w:szCs w:val="18"/>
        </w:rPr>
        <w:t>43%</w:t>
      </w:r>
      <w:r>
        <w:rPr>
          <w:color w:val="000000"/>
          <w:spacing w:val="0"/>
          <w:w w:val="100"/>
          <w:position w:val="0"/>
          <w:sz w:val="17"/>
          <w:szCs w:val="17"/>
        </w:rPr>
        <w:t xml:space="preserve">以上市场占有率的领头羊地位；在智慧司法领域，继续保持智慧监狱省级平台技术、业务的领先优势，在全国智慧监 </w:t>
      </w:r>
      <w:r>
        <w:rPr>
          <w:color w:val="000000"/>
          <w:spacing w:val="0"/>
          <w:w w:val="100"/>
          <w:position w:val="0"/>
          <w:sz w:val="17"/>
          <w:szCs w:val="17"/>
        </w:rPr>
        <w:t>狱领域，客户占有率达</w:t>
      </w: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7"/>
          <w:szCs w:val="17"/>
        </w:rPr>
        <w:t>；公司立足上海，聚焦信息技术创新和政府资源整合，在上海党政机关、市级委办局以及区县精 耕细作，客户占有率达</w:t>
      </w: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7"/>
          <w:szCs w:val="17"/>
        </w:rPr>
        <w:t>，进一步成为档案、食安、司法等信息化领域的国内知名企业。</w:t>
      </w:r>
    </w:p>
    <w:p>
      <w:pPr>
        <w:pStyle w:val="Style24"/>
        <w:keepNext w:val="0"/>
        <w:keepLines w:val="0"/>
        <w:widowControl w:val="0"/>
        <w:shd w:val="clear" w:color="auto" w:fill="auto"/>
        <w:tabs>
          <w:tab w:pos="365" w:val="left"/>
        </w:tabs>
        <w:bidi w:val="0"/>
        <w:spacing w:before="0" w:after="0" w:line="315" w:lineRule="exact"/>
        <w:ind w:left="0" w:right="0" w:firstLine="0"/>
        <w:jc w:val="left"/>
        <w:rPr>
          <w:sz w:val="17"/>
          <w:szCs w:val="17"/>
        </w:rPr>
      </w:pPr>
      <w:bookmarkStart w:id="103" w:name="bookmark103"/>
      <w:r>
        <w:rPr>
          <w:color w:val="000000"/>
          <w:spacing w:val="0"/>
          <w:w w:val="100"/>
          <w:position w:val="0"/>
          <w:sz w:val="17"/>
          <w:szCs w:val="17"/>
        </w:rPr>
        <w:t>四</w:t>
      </w:r>
      <w:bookmarkEnd w:id="103"/>
      <w:r>
        <w:rPr>
          <w:color w:val="000000"/>
          <w:spacing w:val="0"/>
          <w:w w:val="100"/>
          <w:position w:val="0"/>
          <w:sz w:val="17"/>
          <w:szCs w:val="17"/>
        </w:rPr>
        <w:t>、</w:t>
        <w:tab/>
        <w:t>研发优势</w:t>
      </w:r>
    </w:p>
    <w:p>
      <w:pPr>
        <w:pStyle w:val="Style24"/>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公司建立了完备的产品研发体系，具有领先的研发创新能力。公司具有如下研发优势：</w:t>
      </w:r>
    </w:p>
    <w:p>
      <w:pPr>
        <w:pStyle w:val="Style24"/>
        <w:keepNext w:val="0"/>
        <w:keepLines w:val="0"/>
        <w:widowControl w:val="0"/>
        <w:numPr>
          <w:ilvl w:val="0"/>
          <w:numId w:val="3"/>
        </w:numPr>
        <w:shd w:val="clear" w:color="auto" w:fill="auto"/>
        <w:tabs>
          <w:tab w:pos="254" w:val="left"/>
        </w:tabs>
        <w:bidi w:val="0"/>
        <w:spacing w:before="0" w:after="0" w:line="315" w:lineRule="exact"/>
        <w:ind w:left="0" w:right="0" w:firstLine="0"/>
        <w:jc w:val="left"/>
        <w:rPr>
          <w:sz w:val="17"/>
          <w:szCs w:val="17"/>
        </w:rPr>
      </w:pPr>
      <w:bookmarkStart w:id="104" w:name="bookmark104"/>
      <w:bookmarkEnd w:id="104"/>
      <w:r>
        <w:rPr>
          <w:color w:val="000000"/>
          <w:spacing w:val="0"/>
          <w:w w:val="100"/>
          <w:position w:val="0"/>
          <w:sz w:val="17"/>
          <w:szCs w:val="17"/>
        </w:rPr>
        <w:t>公司十分注重自主创新研发能力的建设，以</w:t>
      </w:r>
      <w:r>
        <w:rPr>
          <w:rFonts w:ascii="Times New Roman" w:eastAsia="Times New Roman" w:hAnsi="Times New Roman" w:cs="Times New Roman"/>
          <w:color w:val="000000"/>
          <w:spacing w:val="0"/>
          <w:w w:val="100"/>
          <w:position w:val="0"/>
          <w:sz w:val="18"/>
          <w:szCs w:val="18"/>
        </w:rPr>
        <w:t>CMMI-L5</w:t>
      </w:r>
      <w:r>
        <w:rPr>
          <w:color w:val="000000"/>
          <w:spacing w:val="0"/>
          <w:w w:val="100"/>
          <w:position w:val="0"/>
          <w:sz w:val="17"/>
          <w:szCs w:val="17"/>
        </w:rPr>
        <w:t>以及</w:t>
      </w:r>
      <w:r>
        <w:rPr>
          <w:rFonts w:ascii="Times New Roman" w:eastAsia="Times New Roman" w:hAnsi="Times New Roman" w:cs="Times New Roman"/>
          <w:color w:val="000000"/>
          <w:spacing w:val="0"/>
          <w:w w:val="100"/>
          <w:position w:val="0"/>
          <w:sz w:val="18"/>
          <w:szCs w:val="18"/>
        </w:rPr>
        <w:t>IPD</w:t>
      </w:r>
      <w:r>
        <w:rPr>
          <w:color w:val="000000"/>
          <w:spacing w:val="0"/>
          <w:w w:val="100"/>
          <w:position w:val="0"/>
          <w:sz w:val="17"/>
          <w:szCs w:val="17"/>
        </w:rPr>
        <w:t>研发体系为指导，把自主创新研发作为立足市场不败之地的 法宝，为此公司推出了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产品花园模型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软件工厂模型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两大先进的研发理念，提高产品研发效率，提升公司的创新能力及 核心竞争力。</w:t>
      </w:r>
    </w:p>
    <w:p>
      <w:pPr>
        <w:pStyle w:val="Style24"/>
        <w:keepNext w:val="0"/>
        <w:keepLines w:val="0"/>
        <w:widowControl w:val="0"/>
        <w:numPr>
          <w:ilvl w:val="0"/>
          <w:numId w:val="3"/>
        </w:numPr>
        <w:shd w:val="clear" w:color="auto" w:fill="auto"/>
        <w:tabs>
          <w:tab w:pos="264" w:val="left"/>
        </w:tabs>
        <w:bidi w:val="0"/>
        <w:spacing w:before="0" w:after="0" w:line="315" w:lineRule="exact"/>
        <w:ind w:left="0" w:right="0" w:firstLine="0"/>
        <w:jc w:val="left"/>
        <w:rPr>
          <w:sz w:val="17"/>
          <w:szCs w:val="17"/>
        </w:rPr>
      </w:pPr>
      <w:bookmarkStart w:id="105" w:name="bookmark105"/>
      <w:bookmarkEnd w:id="105"/>
      <w:r>
        <w:rPr>
          <w:color w:val="000000"/>
          <w:spacing w:val="0"/>
          <w:w w:val="100"/>
          <w:position w:val="0"/>
          <w:sz w:val="17"/>
          <w:szCs w:val="17"/>
        </w:rPr>
        <w:t>公司在智慧食安领域、智慧档案领域、智慧司法领域建立了六大应用产品线，在各个领域中不断推陈出新具有自主知识产 权的软件产品和整体解决方案，实现应用产品树上的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繁茂枝叶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p>
      <w:pPr>
        <w:pStyle w:val="Style24"/>
        <w:keepNext w:val="0"/>
        <w:keepLines w:val="0"/>
        <w:widowControl w:val="0"/>
        <w:numPr>
          <w:ilvl w:val="0"/>
          <w:numId w:val="3"/>
        </w:numPr>
        <w:shd w:val="clear" w:color="auto" w:fill="auto"/>
        <w:tabs>
          <w:tab w:pos="269" w:val="left"/>
        </w:tabs>
        <w:bidi w:val="0"/>
        <w:spacing w:before="0" w:after="0" w:line="315" w:lineRule="exact"/>
        <w:ind w:left="0" w:right="0" w:firstLine="0"/>
        <w:jc w:val="left"/>
        <w:rPr>
          <w:sz w:val="17"/>
          <w:szCs w:val="17"/>
        </w:rPr>
      </w:pPr>
      <w:bookmarkStart w:id="106" w:name="bookmark106"/>
      <w:bookmarkEnd w:id="106"/>
      <w:r>
        <w:rPr>
          <w:color w:val="000000"/>
          <w:spacing w:val="0"/>
          <w:w w:val="100"/>
          <w:position w:val="0"/>
          <w:sz w:val="17"/>
          <w:szCs w:val="17"/>
        </w:rPr>
        <w:t>公司着力于建立一个类似于工业化工厂运行模式的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应用软件工厂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，全面优化应用软件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加工流水线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产品装配线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 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管控系统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的有效性，更新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零部件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各类工具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，让业务构件充满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成品仓库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，在此基础上，科学合理地设计制定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工艺操作计划、流程和指导书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，最终实现交付产品性能和用户满意度的进一步提高。</w:t>
      </w:r>
    </w:p>
    <w:p>
      <w:pPr>
        <w:pStyle w:val="Style24"/>
        <w:keepNext w:val="0"/>
        <w:keepLines w:val="0"/>
        <w:widowControl w:val="0"/>
        <w:numPr>
          <w:ilvl w:val="0"/>
          <w:numId w:val="3"/>
        </w:numPr>
        <w:shd w:val="clear" w:color="auto" w:fill="auto"/>
        <w:tabs>
          <w:tab w:pos="264" w:val="left"/>
        </w:tabs>
        <w:bidi w:val="0"/>
        <w:spacing w:before="0" w:after="280" w:line="315" w:lineRule="exact"/>
        <w:ind w:left="0" w:right="0" w:firstLine="0"/>
        <w:jc w:val="left"/>
        <w:rPr>
          <w:sz w:val="17"/>
          <w:szCs w:val="17"/>
        </w:rPr>
      </w:pPr>
      <w:bookmarkStart w:id="107" w:name="bookmark107"/>
      <w:bookmarkEnd w:id="107"/>
      <w:r>
        <w:rPr>
          <w:color w:val="000000"/>
          <w:spacing w:val="0"/>
          <w:w w:val="100"/>
          <w:position w:val="0"/>
          <w:sz w:val="17"/>
          <w:szCs w:val="17"/>
        </w:rPr>
        <w:t>公司注重科研创新，设有科创中心，围绕大数据和区块链关键技术问题，开展工程化研究与开发。在区块链方面，着力研 发区块链基础平台以及配套工具软件，打造国内领先的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信发链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品牌，结合公司主营业务推出区块链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食安、区块链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档案、 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司法解决方案，并拓展信息存证、政务服务、供应链管理、数字资产等应用领域，实现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信发链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在各行各业的应用 落地。在大数据方面，研发完成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信发数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大数据系列赋能工具，包括数据交换工具、数据质量管理工具、数据治理工具、数 据可视化工具，为数据管理和运营服务提供基础性工具。同时结合公司主营业务推出了大数据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智慧食安整体解决方案、大 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智慧档案整体解决方案、大数据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智慧司法整体解决方案等，为主营业务的持续发展奠定了基础。</w:t>
      </w:r>
    </w:p>
    <w:p>
      <w:pPr>
        <w:pStyle w:val="Style24"/>
        <w:keepNext w:val="0"/>
        <w:keepLines w:val="0"/>
        <w:widowControl w:val="0"/>
        <w:shd w:val="clear" w:color="auto" w:fill="auto"/>
        <w:tabs>
          <w:tab w:pos="379" w:val="left"/>
        </w:tabs>
        <w:bidi w:val="0"/>
        <w:spacing w:before="0" w:after="0" w:line="315" w:lineRule="exact"/>
        <w:ind w:left="0" w:right="0" w:firstLine="0"/>
        <w:jc w:val="left"/>
        <w:rPr>
          <w:sz w:val="17"/>
          <w:szCs w:val="17"/>
        </w:rPr>
      </w:pPr>
      <w:bookmarkStart w:id="108" w:name="bookmark108"/>
      <w:r>
        <w:rPr>
          <w:color w:val="000000"/>
          <w:spacing w:val="0"/>
          <w:w w:val="100"/>
          <w:position w:val="0"/>
          <w:sz w:val="17"/>
          <w:szCs w:val="17"/>
        </w:rPr>
        <w:t>五</w:t>
      </w:r>
      <w:bookmarkEnd w:id="108"/>
      <w:r>
        <w:rPr>
          <w:color w:val="000000"/>
          <w:spacing w:val="0"/>
          <w:w w:val="100"/>
          <w:position w:val="0"/>
          <w:sz w:val="17"/>
          <w:szCs w:val="17"/>
        </w:rPr>
        <w:t>、</w:t>
        <w:tab/>
        <w:t>服务体系</w:t>
      </w:r>
    </w:p>
    <w:p>
      <w:pPr>
        <w:pStyle w:val="Style24"/>
        <w:keepNext w:val="0"/>
        <w:keepLines w:val="0"/>
        <w:widowControl w:val="0"/>
        <w:shd w:val="clear" w:color="auto" w:fill="auto"/>
        <w:bidi w:val="0"/>
        <w:spacing w:before="0" w:after="1400" w:line="315" w:lineRule="exact"/>
        <w:ind w:left="0" w:right="0" w:firstLine="0"/>
        <w:jc w:val="left"/>
        <w:rPr>
          <w:sz w:val="17"/>
          <w:szCs w:val="17"/>
        </w:rPr>
      </w:pPr>
      <w:r>
        <w:rPr>
          <w:color w:val="000000"/>
          <w:spacing w:val="0"/>
          <w:w w:val="100"/>
          <w:position w:val="0"/>
          <w:sz w:val="17"/>
          <w:szCs w:val="17"/>
        </w:rPr>
        <w:t>报告期内，公司在服务方面继续基于</w:t>
      </w:r>
      <w:r>
        <w:rPr>
          <w:rFonts w:ascii="Times New Roman" w:eastAsia="Times New Roman" w:hAnsi="Times New Roman" w:cs="Times New Roman"/>
          <w:color w:val="000000"/>
          <w:spacing w:val="0"/>
          <w:w w:val="100"/>
          <w:position w:val="0"/>
          <w:sz w:val="18"/>
          <w:szCs w:val="18"/>
        </w:rPr>
        <w:t xml:space="preserve">S1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即服务</w:t>
      </w:r>
      <w:r>
        <w:rPr>
          <w:rFonts w:ascii="Times New Roman" w:eastAsia="Times New Roman" w:hAnsi="Times New Roman" w:cs="Times New Roman"/>
          <w:color w:val="000000"/>
          <w:spacing w:val="0"/>
          <w:w w:val="100"/>
          <w:position w:val="0"/>
          <w:sz w:val="18"/>
          <w:szCs w:val="18"/>
        </w:rPr>
        <w:t>Service</w:t>
      </w:r>
      <w:r>
        <w:rPr>
          <w:color w:val="000000"/>
          <w:spacing w:val="0"/>
          <w:w w:val="100"/>
          <w:position w:val="0"/>
          <w:sz w:val="17"/>
          <w:szCs w:val="17"/>
        </w:rPr>
        <w:t>第一、速度</w:t>
      </w:r>
      <w:r>
        <w:rPr>
          <w:rFonts w:ascii="Times New Roman" w:eastAsia="Times New Roman" w:hAnsi="Times New Roman" w:cs="Times New Roman"/>
          <w:color w:val="000000"/>
          <w:spacing w:val="0"/>
          <w:w w:val="100"/>
          <w:position w:val="0"/>
          <w:sz w:val="18"/>
          <w:szCs w:val="18"/>
        </w:rPr>
        <w:t>Speed</w:t>
      </w:r>
      <w:r>
        <w:rPr>
          <w:color w:val="000000"/>
          <w:spacing w:val="0"/>
          <w:w w:val="100"/>
          <w:position w:val="0"/>
          <w:sz w:val="17"/>
          <w:szCs w:val="17"/>
        </w:rPr>
        <w:t>第一、安全</w:t>
      </w:r>
      <w:r>
        <w:rPr>
          <w:rFonts w:ascii="Times New Roman" w:eastAsia="Times New Roman" w:hAnsi="Times New Roman" w:cs="Times New Roman"/>
          <w:color w:val="000000"/>
          <w:spacing w:val="0"/>
          <w:w w:val="100"/>
          <w:position w:val="0"/>
          <w:sz w:val="18"/>
          <w:szCs w:val="18"/>
        </w:rPr>
        <w:t>Security</w:t>
      </w:r>
      <w:r>
        <w:rPr>
          <w:color w:val="000000"/>
          <w:spacing w:val="0"/>
          <w:w w:val="100"/>
          <w:position w:val="0"/>
          <w:sz w:val="17"/>
          <w:szCs w:val="17"/>
        </w:rPr>
        <w:t>第一、态度</w:t>
      </w:r>
      <w:r>
        <w:rPr>
          <w:rFonts w:ascii="Times New Roman" w:eastAsia="Times New Roman" w:hAnsi="Times New Roman" w:cs="Times New Roman"/>
          <w:color w:val="000000"/>
          <w:spacing w:val="0"/>
          <w:w w:val="100"/>
          <w:position w:val="0"/>
          <w:sz w:val="18"/>
          <w:szCs w:val="18"/>
        </w:rPr>
        <w:t>Smile</w:t>
      </w:r>
      <w:r>
        <w:rPr>
          <w:color w:val="000000"/>
          <w:spacing w:val="0"/>
          <w:w w:val="100"/>
          <w:position w:val="0"/>
          <w:sz w:val="17"/>
          <w:szCs w:val="17"/>
        </w:rPr>
        <w:t>第一、规范</w:t>
      </w:r>
      <w:r>
        <w:rPr>
          <w:rFonts w:ascii="Times New Roman" w:eastAsia="Times New Roman" w:hAnsi="Times New Roman" w:cs="Times New Roman"/>
          <w:color w:val="000000"/>
          <w:spacing w:val="0"/>
          <w:w w:val="100"/>
          <w:position w:val="0"/>
          <w:sz w:val="18"/>
          <w:szCs w:val="18"/>
        </w:rPr>
        <w:t xml:space="preserve">Standard </w:t>
      </w:r>
      <w:r>
        <w:rPr>
          <w:color w:val="000000"/>
          <w:spacing w:val="0"/>
          <w:w w:val="100"/>
          <w:position w:val="0"/>
          <w:sz w:val="17"/>
          <w:szCs w:val="17"/>
        </w:rPr>
        <w:t>第一、保障</w:t>
      </w:r>
      <w:r>
        <w:rPr>
          <w:rFonts w:ascii="Times New Roman" w:eastAsia="Times New Roman" w:hAnsi="Times New Roman" w:cs="Times New Roman"/>
          <w:color w:val="000000"/>
          <w:spacing w:val="0"/>
          <w:w w:val="100"/>
          <w:position w:val="0"/>
          <w:sz w:val="18"/>
          <w:szCs w:val="18"/>
        </w:rPr>
        <w:t>System</w:t>
      </w:r>
      <w:r>
        <w:rPr>
          <w:color w:val="000000"/>
          <w:spacing w:val="0"/>
          <w:w w:val="100"/>
          <w:position w:val="0"/>
          <w:sz w:val="17"/>
          <w:szCs w:val="17"/>
        </w:rPr>
        <w:t>第一）的服务理念，进行持续优化改进。公司</w:t>
      </w:r>
      <w:r>
        <w:rPr>
          <w:rFonts w:ascii="Times New Roman" w:eastAsia="Times New Roman" w:hAnsi="Times New Roman" w:cs="Times New Roman"/>
          <w:color w:val="000000"/>
          <w:spacing w:val="0"/>
          <w:w w:val="100"/>
          <w:position w:val="0"/>
          <w:sz w:val="18"/>
          <w:szCs w:val="18"/>
        </w:rPr>
        <w:t>ISO20000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sz w:val="17"/>
          <w:szCs w:val="17"/>
        </w:rPr>
        <w:t>及</w:t>
      </w:r>
      <w:r>
        <w:rPr>
          <w:rFonts w:ascii="Times New Roman" w:eastAsia="Times New Roman" w:hAnsi="Times New Roman" w:cs="Times New Roman"/>
          <w:color w:val="000000"/>
          <w:spacing w:val="0"/>
          <w:w w:val="100"/>
          <w:position w:val="0"/>
          <w:sz w:val="18"/>
          <w:szCs w:val="18"/>
        </w:rPr>
        <w:t xml:space="preserve">ITSS </w:t>
      </w:r>
      <w:r>
        <w:rPr>
          <w:color w:val="000000"/>
          <w:spacing w:val="0"/>
          <w:w w:val="100"/>
          <w:position w:val="0"/>
          <w:sz w:val="17"/>
          <w:szCs w:val="17"/>
        </w:rPr>
        <w:t>（二级）管理体系均顺利通过 审核。针对客户，优化了客户满意度管理制度，重点项目客户满意度调查实现全覆盖，对调查中客户反映的项目问题及时跟 进并督促整改，定期对客户反映的问题进行分析、总结，并发布客户满意度调查报告。针对项目，持续改进管理机制，深化 精细化管理，优化了服务审计管理制度，重点项目服务过程审计实现全覆盖。调整了新的服务知识库系统，对服务中出现的 问题，及解决方案，解决过程更加直观并随时文档化，使得服务更加快捷，更有针对性，服务知识得到更好的沉淀与分享。</w:t>
      </w:r>
    </w:p>
    <w:p>
      <w:pPr>
        <w:pStyle w:val="Style22"/>
        <w:keepNext/>
        <w:keepLines/>
        <w:widowControl w:val="0"/>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四</w:t>
      </w:r>
      <w:bookmarkEnd w:id="111"/>
      <w:r>
        <w:rPr>
          <w:color w:val="000000"/>
          <w:spacing w:val="0"/>
          <w:w w:val="100"/>
          <w:position w:val="0"/>
        </w:rPr>
        <w:t>、主营业务分析</w:t>
      </w:r>
      <w:bookmarkEnd w:id="109"/>
      <w:bookmarkEnd w:id="110"/>
      <w:bookmarkEnd w:id="112"/>
    </w:p>
    <w:p>
      <w:pPr>
        <w:pStyle w:val="Style28"/>
        <w:keepNext/>
        <w:keepLines/>
        <w:widowControl w:val="0"/>
        <w:shd w:val="clear" w:color="auto" w:fill="auto"/>
        <w:bidi w:val="0"/>
        <w:spacing w:before="0" w:after="28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、概述</w:t>
      </w:r>
      <w:bookmarkEnd w:id="113"/>
      <w:bookmarkEnd w:id="114"/>
      <w:bookmarkEnd w:id="116"/>
    </w:p>
    <w:p>
      <w:pPr>
        <w:pStyle w:val="Style24"/>
        <w:keepNext w:val="0"/>
        <w:keepLines w:val="0"/>
        <w:widowControl w:val="0"/>
        <w:shd w:val="clear" w:color="auto" w:fill="auto"/>
        <w:bidi w:val="0"/>
        <w:spacing w:before="0" w:after="0" w:line="314" w:lineRule="exact"/>
        <w:ind w:left="0" w:right="0" w:firstLine="0"/>
        <w:jc w:val="left"/>
        <w:rPr>
          <w:sz w:val="17"/>
          <w:szCs w:val="17"/>
        </w:rPr>
      </w:pPr>
      <w:bookmarkStart w:id="117" w:name="bookmark117"/>
      <w:r>
        <w:rPr>
          <w:color w:val="000000"/>
          <w:spacing w:val="0"/>
          <w:w w:val="100"/>
          <w:position w:val="0"/>
          <w:sz w:val="17"/>
          <w:szCs w:val="17"/>
        </w:rPr>
        <w:t>（</w:t>
      </w:r>
      <w:bookmarkEnd w:id="117"/>
      <w:r>
        <w:rPr>
          <w:color w:val="000000"/>
          <w:spacing w:val="0"/>
          <w:w w:val="100"/>
          <w:position w:val="0"/>
          <w:sz w:val="17"/>
          <w:szCs w:val="17"/>
        </w:rPr>
        <w:t>一）智慧档案</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档案工作存史资政育人，是一项利国利民、惠及千秋万代的崇高事业。</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在智慧档案领域，我司基于技术和业务优势，结合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期间档案行业政策导向，面向各级、各类档案部门提供咨询规划 服务、软硬件集成服务、数据治理和数据服务、档案托管服务等。立足咨询服务、软件开发、数据治理等成熟业务，为新业 务探索和发展提供市场、技术、服务等各多维度支持。积极探索智慧档案馆（室）、数据服务，提高行业竞争综合实力，同 时，积极研究档案数字化展示、档案红色文化建设等，逐步探索新型高端服务，寻求新的利润增长点。</w:t>
      </w:r>
    </w:p>
    <w:p>
      <w:pPr>
        <w:pStyle w:val="Style24"/>
        <w:keepNext w:val="0"/>
        <w:keepLines w:val="0"/>
        <w:widowControl w:val="0"/>
        <w:shd w:val="clear" w:color="auto" w:fill="auto"/>
        <w:bidi w:val="0"/>
        <w:spacing w:before="0" w:after="280" w:line="312" w:lineRule="exact"/>
        <w:ind w:left="0" w:right="0" w:firstLine="0"/>
        <w:jc w:val="left"/>
        <w:rPr>
          <w:sz w:val="17"/>
          <w:szCs w:val="17"/>
        </w:rPr>
      </w:pPr>
      <w:r>
        <w:rPr>
          <w:color w:val="000000"/>
          <w:spacing w:val="0"/>
          <w:w w:val="100"/>
          <w:position w:val="0"/>
          <w:sz w:val="17"/>
          <w:szCs w:val="17"/>
        </w:rPr>
        <w:t>响应政策要求，我司不断推陈出新，积极利用大数据、云计算、人工智能、区块链等新技术，立足电子档案，从档案数字化 转型和数据化服务为切入点，创新档案信息资源管理机制，赋能智慧档案收集、管理、保存、服务和可视化展示等，构建智 慧档案生态圈。</w:t>
      </w:r>
    </w:p>
    <w:p>
      <w:pPr>
        <w:pStyle w:val="Style2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报告期内，公司新增了北京市朝阳区档案馆、重庆市大足区档案馆、上海市气象局、上海市生态环境局、教育部教育管理信 息中心、广东省纪律检查委员会、招商银行股份有限公司、浙江民泰商业银行股份有限公司、柳州银行股份有限公司、浙江 稠州商业银行股份有限公司、山西证券股份有限公司、海南港航控股有限公司、上海城投水务（集团）有限公司、广东粤海 控股集团有限公司、无锡市人力资源和社会保障信息中心、铜川市人才交流服务中心、上海工程技术大学、复旦大学附属中 山医院等近两百家客户。</w:t>
      </w:r>
    </w:p>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年，在保持政府单位客户稳定发展的基础上，积极开拓企业客户，尤其是大型企业集团、金融行业、房地产行业、交通 运输业、医疗卫生等。</w:t>
      </w:r>
    </w:p>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年助力</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家档案馆通过国家级数字档案馆测评。截至报告期内，共计助力</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家客户通过全国示范数字档案馆测评，</w:t>
      </w: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7"/>
          <w:szCs w:val="17"/>
        </w:rPr>
        <w:t>家 客户通过国家级数字档案馆测评。</w:t>
      </w:r>
    </w:p>
    <w:p>
      <w:pPr>
        <w:pStyle w:val="Style2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主要风险</w:t>
      </w:r>
    </w:p>
    <w:p>
      <w:pPr>
        <w:pStyle w:val="Style2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档案行业信息化建设依赖国家政策。现阶段，政策的支持为行业的发展创造了良好的环境，但不排除未来，因政策变化带来 的潜在风险；数字化时代的到来，产业和客户不断衍生新的需求，我司需随即应对，加速新技术和新产品的研发及落地应用； 响应公司战略要求，优化业务结构，减少数据处理服务业务量，产生阵痛，造成业务收入的暂时性下降，同时，需要打破我 司在客户中的刻板印象，重塑品牌形象。</w:t>
      </w:r>
    </w:p>
    <w:p>
      <w:pPr>
        <w:pStyle w:val="Style2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应对措施</w:t>
      </w:r>
    </w:p>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紧跟十四五时期的政策导向，深耕已有业务，积极拓展新的业务，优化业务结构后，重点聚焦高、新技术的产品和服务，响 应数字化时代的要求，从传统的信息化业务，向数据服务探索。</w:t>
      </w:r>
    </w:p>
    <w:p>
      <w:pPr>
        <w:pStyle w:val="Style2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抓住高水平数字档案馆（室）建设机遇，汲取已有的数字档案馆（室）建设、智慧档案馆建设经验，打造一批高水平数字档 案馆（室）；智慧档案馆建设方面，围绕档案质量、行政管理、资源拓展、档案利用及实体档案智能化管理等展开；档案云 方面，在已有的档案云管理平台的基础上，积极探索落地行业化</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服务；在数据治理方面，聚焦档案文献的数据处理，通 过自然语言处理，辅以</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算法等，实现档案智能推荐、知识图谱展示、辅助档案鉴定及档案智能检索等；在电子档案数据 服务方面，融合元宇宙概念，立足</w:t>
      </w:r>
      <w:r>
        <w:rPr>
          <w:rFonts w:ascii="Times New Roman" w:eastAsia="Times New Roman" w:hAnsi="Times New Roman" w:cs="Times New Roman"/>
          <w:color w:val="000000"/>
          <w:spacing w:val="0"/>
          <w:w w:val="100"/>
          <w:position w:val="0"/>
          <w:sz w:val="18"/>
          <w:szCs w:val="18"/>
        </w:rPr>
        <w:t>OCR</w:t>
      </w:r>
      <w:r>
        <w:rPr>
          <w:color w:val="000000"/>
          <w:spacing w:val="0"/>
          <w:w w:val="100"/>
          <w:position w:val="0"/>
          <w:sz w:val="17"/>
          <w:szCs w:val="17"/>
        </w:rPr>
        <w:t>机器人、数据挖掘技术、人工智能、区块链及</w:t>
      </w:r>
      <w:r>
        <w:rPr>
          <w:rFonts w:ascii="Times New Roman" w:eastAsia="Times New Roman" w:hAnsi="Times New Roman" w:cs="Times New Roman"/>
          <w:color w:val="000000"/>
          <w:spacing w:val="0"/>
          <w:w w:val="100"/>
          <w:position w:val="0"/>
          <w:sz w:val="18"/>
          <w:szCs w:val="18"/>
        </w:rPr>
        <w:t>VR/AR/MR</w:t>
      </w:r>
      <w:r>
        <w:rPr>
          <w:color w:val="000000"/>
          <w:spacing w:val="0"/>
          <w:w w:val="100"/>
          <w:position w:val="0"/>
          <w:sz w:val="17"/>
          <w:szCs w:val="17"/>
        </w:rPr>
        <w:t>等，业务赋能到数据识别、 数据管理、数据汇聚、数据利用及数据变现的数据全生命周期阶段。</w:t>
      </w:r>
    </w:p>
    <w:p>
      <w:pPr>
        <w:pStyle w:val="Style2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同业竞争情况</w:t>
      </w:r>
    </w:p>
    <w:p>
      <w:pPr>
        <w:pStyle w:val="Style24"/>
        <w:keepNext w:val="0"/>
        <w:keepLines w:val="0"/>
        <w:widowControl w:val="0"/>
        <w:shd w:val="clear" w:color="auto" w:fill="auto"/>
        <w:bidi w:val="0"/>
        <w:spacing w:before="0" w:after="380" w:line="315" w:lineRule="exact"/>
        <w:ind w:left="0" w:right="0" w:firstLine="0"/>
        <w:jc w:val="both"/>
        <w:rPr>
          <w:sz w:val="17"/>
          <w:szCs w:val="17"/>
        </w:rPr>
      </w:pPr>
      <w:r>
        <w:rPr>
          <w:color w:val="000000"/>
          <w:spacing w:val="0"/>
          <w:w w:val="100"/>
          <w:position w:val="0"/>
          <w:sz w:val="17"/>
          <w:szCs w:val="17"/>
        </w:rPr>
        <w:t>报告期内，交通运输通信信息集团有限公司及交通运输通信信息集团有限公司控制的企业未从事智慧档案相关业务。</w:t>
      </w:r>
    </w:p>
    <w:p>
      <w:pPr>
        <w:pStyle w:val="Style24"/>
        <w:keepNext w:val="0"/>
        <w:keepLines w:val="0"/>
        <w:widowControl w:val="0"/>
        <w:shd w:val="clear" w:color="auto" w:fill="auto"/>
        <w:tabs>
          <w:tab w:pos="471" w:val="left"/>
        </w:tabs>
        <w:bidi w:val="0"/>
        <w:spacing w:before="0" w:after="100" w:line="311" w:lineRule="exact"/>
        <w:ind w:left="0" w:right="0" w:firstLine="0"/>
        <w:jc w:val="both"/>
        <w:rPr>
          <w:sz w:val="17"/>
          <w:szCs w:val="17"/>
        </w:rPr>
      </w:pPr>
      <w:bookmarkStart w:id="118" w:name="bookmark118"/>
      <w:r>
        <w:rPr>
          <w:color w:val="000000"/>
          <w:spacing w:val="0"/>
          <w:w w:val="100"/>
          <w:position w:val="0"/>
          <w:sz w:val="17"/>
          <w:szCs w:val="17"/>
        </w:rPr>
        <w:t>（</w:t>
      </w:r>
      <w:bookmarkEnd w:id="118"/>
      <w:r>
        <w:rPr>
          <w:color w:val="000000"/>
          <w:spacing w:val="0"/>
          <w:w w:val="100"/>
          <w:position w:val="0"/>
          <w:sz w:val="17"/>
          <w:szCs w:val="17"/>
        </w:rPr>
        <w:t>二）</w:t>
        <w:tab/>
        <w:t>智慧司法</w:t>
      </w:r>
    </w:p>
    <w:p>
      <w:pPr>
        <w:pStyle w:val="Style24"/>
        <w:keepNext w:val="0"/>
        <w:keepLines w:val="0"/>
        <w:widowControl w:val="0"/>
        <w:shd w:val="clear" w:color="auto" w:fill="auto"/>
        <w:bidi w:val="0"/>
        <w:spacing w:before="0" w:after="0"/>
        <w:ind w:left="0" w:right="0" w:firstLine="0"/>
        <w:jc w:val="both"/>
        <w:rPr>
          <w:sz w:val="17"/>
          <w:szCs w:val="17"/>
        </w:rPr>
      </w:pPr>
      <w:bookmarkStart w:id="119" w:name="bookmark119"/>
      <w:r>
        <w:rPr>
          <w:rFonts w:ascii="Times New Roman" w:eastAsia="Times New Roman" w:hAnsi="Times New Roman" w:cs="Times New Roman"/>
          <w:color w:val="000000"/>
          <w:spacing w:val="0"/>
          <w:w w:val="100"/>
          <w:position w:val="0"/>
          <w:sz w:val="18"/>
          <w:szCs w:val="18"/>
        </w:rPr>
        <w:t>1</w:t>
      </w:r>
      <w:bookmarkEnd w:id="119"/>
      <w:r>
        <w:rPr>
          <w:color w:val="000000"/>
          <w:spacing w:val="0"/>
          <w:w w:val="100"/>
          <w:position w:val="0"/>
          <w:sz w:val="17"/>
          <w:szCs w:val="17"/>
        </w:rPr>
        <w:t>、智慧司法业务概要</w:t>
      </w:r>
    </w:p>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智慧司法事业部，主要从事司法及政法领域的信息系统开发与服务，为客户提供产品研发及智能化建设相关的整体解决方案。 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年的经验累积，在监狱、检察院、法院及公共行业均有成熟的解决方案。</w:t>
      </w:r>
    </w:p>
    <w:p>
      <w:pPr>
        <w:pStyle w:val="Style24"/>
        <w:keepNext w:val="0"/>
        <w:keepLines w:val="0"/>
        <w:widowControl w:val="0"/>
        <w:shd w:val="clear" w:color="auto" w:fill="auto"/>
        <w:bidi w:val="0"/>
        <w:spacing w:before="0" w:after="380" w:line="311" w:lineRule="exact"/>
        <w:ind w:left="0" w:right="0" w:firstLine="0"/>
        <w:jc w:val="both"/>
        <w:rPr>
          <w:sz w:val="17"/>
          <w:szCs w:val="17"/>
        </w:rPr>
      </w:pPr>
      <w:r>
        <w:rPr>
          <w:color w:val="000000"/>
          <w:spacing w:val="0"/>
          <w:w w:val="100"/>
          <w:position w:val="0"/>
          <w:sz w:val="17"/>
          <w:szCs w:val="17"/>
        </w:rPr>
        <w:t>使命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让天下监所更加智慧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愿景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助力客户信息资源增值，成为信息科技服务专家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。未来，智慧司法事业部将持续不断的擢 升，勇于超越，迎接未来，通过在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新生态下的不断创新，实现新飞跃。信息发展司法事业群以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信息技 术推动社会法治文明与进步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为使命，利用区块链、物联网、人工智能等技术，面向智慧司法、智慧监狱、智慧戒毒所、智 慧社区矫正、智慧安置帮教等司法行业提供行业专有云和大数据综合解决方案。智慧司法事业部专业从事司法领域的信息化 系统开发与服务，面向司法客户提供信息化系统规划咨询、集成、运行维护和推广、软硬件产品开发建设、智能化工程建 设、数据服务等相关整体解决方案。事业群以多种优势铸就国内业界高度，利用信息化建设推动社会法制文明与进步，为 我国司法信息化建设的发展做出贡献。</w:t>
      </w:r>
    </w:p>
    <w:p>
      <w:pPr>
        <w:pStyle w:val="Style24"/>
        <w:keepNext w:val="0"/>
        <w:keepLines w:val="0"/>
        <w:widowControl w:val="0"/>
        <w:shd w:val="clear" w:color="auto" w:fill="auto"/>
        <w:tabs>
          <w:tab w:pos="471" w:val="left"/>
        </w:tabs>
        <w:bidi w:val="0"/>
        <w:spacing w:before="0" w:after="0" w:line="315" w:lineRule="exact"/>
        <w:ind w:left="0" w:right="0" w:firstLine="0"/>
        <w:jc w:val="both"/>
        <w:rPr>
          <w:sz w:val="17"/>
          <w:szCs w:val="17"/>
        </w:rPr>
      </w:pPr>
      <w:bookmarkStart w:id="120" w:name="bookmark120"/>
      <w:r>
        <w:rPr>
          <w:color w:val="000000"/>
          <w:spacing w:val="0"/>
          <w:w w:val="100"/>
          <w:position w:val="0"/>
          <w:sz w:val="17"/>
          <w:szCs w:val="17"/>
        </w:rPr>
        <w:t>（</w:t>
      </w:r>
      <w:bookmarkEnd w:id="120"/>
      <w:r>
        <w:rPr>
          <w:color w:val="000000"/>
          <w:spacing w:val="0"/>
          <w:w w:val="100"/>
          <w:position w:val="0"/>
          <w:sz w:val="17"/>
          <w:szCs w:val="17"/>
        </w:rPr>
        <w:t>三）</w:t>
        <w:tab/>
        <w:t>智慧食安</w:t>
      </w:r>
    </w:p>
    <w:p>
      <w:pPr>
        <w:pStyle w:val="Style2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公司立足食品安全，以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让人人都能吃上安全的食品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为己任，应用</w:t>
      </w:r>
      <w:r>
        <w:rPr>
          <w:rFonts w:ascii="Times New Roman" w:eastAsia="Times New Roman" w:hAnsi="Times New Roman" w:cs="Times New Roman"/>
          <w:color w:val="000000"/>
          <w:spacing w:val="0"/>
          <w:w w:val="100"/>
          <w:position w:val="0"/>
          <w:sz w:val="18"/>
          <w:szCs w:val="18"/>
        </w:rPr>
        <w:t>”ABCD+IoT”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人工智能、区块链、云计算、大数据、物联 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等技术，构建农业云、加工云、农批云、零售云、冷链云的行业专有云，并提供追溯云、监管云、金融云等的</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w:t>
      </w:r>
      <w:r>
        <w:rPr>
          <w:color w:val="000000"/>
          <w:spacing w:val="0"/>
          <w:w w:val="100"/>
          <w:position w:val="0"/>
          <w:sz w:val="17"/>
          <w:szCs w:val="17"/>
        </w:rPr>
        <w:t>增 值服务云，打造食品安全供应链生态圈，实现信息流、资金流、物流、商流的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四流合一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，旨在成为中国最大的食品安全供 应链服务提供商。</w:t>
      </w:r>
      <w:r>
        <w:br w:type="page"/>
      </w:r>
    </w:p>
    <w:p>
      <w:pPr>
        <w:pStyle w:val="Style28"/>
        <w:keepNext/>
        <w:keepLines/>
        <w:widowControl w:val="0"/>
        <w:shd w:val="clear" w:color="auto" w:fill="auto"/>
        <w:bidi w:val="0"/>
        <w:spacing w:before="0" w:line="240" w:lineRule="auto"/>
        <w:ind w:left="0" w:right="0" w:firstLine="0"/>
        <w:jc w:val="both"/>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2</w:t>
      </w:r>
      <w:bookmarkEnd w:id="123"/>
      <w:r>
        <w:rPr>
          <w:color w:val="000000"/>
          <w:spacing w:val="0"/>
          <w:w w:val="100"/>
          <w:position w:val="0"/>
        </w:rPr>
        <w:t>、收入与成本</w:t>
      </w:r>
      <w:bookmarkEnd w:id="121"/>
      <w:bookmarkEnd w:id="122"/>
      <w:bookmarkEnd w:id="124"/>
    </w:p>
    <w:p>
      <w:pPr>
        <w:pStyle w:val="Style51"/>
        <w:keepNext/>
        <w:keepLines/>
        <w:widowControl w:val="0"/>
        <w:shd w:val="clear" w:color="auto" w:fill="auto"/>
        <w:bidi w:val="0"/>
        <w:spacing w:before="0" w:after="380" w:line="240" w:lineRule="auto"/>
        <w:ind w:left="0" w:right="0" w:firstLine="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5"/>
      <w:bookmarkEnd w:id="126"/>
      <w:bookmarkEnd w:id="128"/>
    </w:p>
    <w:p>
      <w:pPr>
        <w:pStyle w:val="Style2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营业收入整体情况</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421,887,031.72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571,998,524.56</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智慧食安（政府、企 事业单位）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70,953,163.26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99,301,885.88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智慧档案（档案局、 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266,156,333.92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311,548,921.82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智慧司法（政府）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12,264,831.01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78,505,859.21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-84.38%</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其他（政府、企事业 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72,512,703.53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82,641,857.65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69,811,049.02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177,372,870.66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技术支持与服务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177,067,323.87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204,585,869.50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应用软件开发与销 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175,008,658.83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190,039,784.40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349,382,847.36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492,993,823.83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19,827,245.04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27,155,351.28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45,283,883.03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43,704,164.88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7,393,056.29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8,145,184.57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-92.32%</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直销模式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421,887,031.72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571,998,524.56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w:t>
            </w:r>
          </w:p>
        </w:tc>
      </w:tr>
    </w:tbl>
    <w:p>
      <w:pPr>
        <w:pStyle w:val="Style24"/>
        <w:keepNext w:val="0"/>
        <w:keepLines w:val="0"/>
        <w:widowControl w:val="0"/>
        <w:shd w:val="clear" w:color="auto" w:fill="auto"/>
        <w:bidi w:val="0"/>
        <w:spacing w:before="0" w:after="140" w:line="317" w:lineRule="exact"/>
        <w:ind w:left="0" w:right="0" w:firstLine="0"/>
        <w:jc w:val="left"/>
        <w:rPr>
          <w:sz w:val="17"/>
          <w:szCs w:val="17"/>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的披露要求 总体来看，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年度营收下降</w:t>
      </w:r>
      <w:r>
        <w:rPr>
          <w:rFonts w:ascii="Times New Roman" w:eastAsia="Times New Roman" w:hAnsi="Times New Roman" w:cs="Times New Roman"/>
          <w:color w:val="000000"/>
          <w:spacing w:val="0"/>
          <w:w w:val="100"/>
          <w:position w:val="0"/>
          <w:sz w:val="18"/>
          <w:szCs w:val="18"/>
        </w:rPr>
        <w:t>26.24%</w:t>
      </w:r>
      <w:r>
        <w:rPr>
          <w:color w:val="000000"/>
          <w:spacing w:val="0"/>
          <w:w w:val="100"/>
          <w:position w:val="0"/>
          <w:sz w:val="17"/>
          <w:szCs w:val="17"/>
        </w:rPr>
        <w:t>，是公司上市以来下降最严重的一年，主要受疫情影响，政府项目推进不达预期，导 致周期延长，原计划本年度招标项目未能及时开展；同时政府缩紧非公共卫生之外的预算，导致政府信息化项目金额较往年 有较大幅度减少；另外各地政府信息化项目主要与当地大数据中心或运营商合作签约较多，致使公司合作部分收入有所减少。 新的实际控制人和控股股东入主以后，公司战略转型，由原项目型向应用软件与产品转型，业务和产品结构实现持续优化， 公司高附加值、高毛利产品业务的占比有进一步提升，技术支持与服务收入占比</w:t>
      </w:r>
      <w:r>
        <w:rPr>
          <w:rFonts w:ascii="Times New Roman" w:eastAsia="Times New Roman" w:hAnsi="Times New Roman" w:cs="Times New Roman"/>
          <w:color w:val="000000"/>
          <w:spacing w:val="0"/>
          <w:w w:val="100"/>
          <w:position w:val="0"/>
          <w:sz w:val="18"/>
          <w:szCs w:val="18"/>
        </w:rPr>
        <w:t>41.97%</w:t>
      </w:r>
      <w:r>
        <w:rPr>
          <w:color w:val="000000"/>
          <w:spacing w:val="0"/>
          <w:w w:val="100"/>
          <w:position w:val="0"/>
          <w:sz w:val="17"/>
          <w:szCs w:val="17"/>
        </w:rPr>
        <w:t xml:space="preserve">、应用软件开发与销售收入占比 </w:t>
      </w:r>
      <w:r>
        <w:rPr>
          <w:rFonts w:ascii="Times New Roman" w:eastAsia="Times New Roman" w:hAnsi="Times New Roman" w:cs="Times New Roman"/>
          <w:color w:val="000000"/>
          <w:spacing w:val="0"/>
          <w:w w:val="100"/>
          <w:position w:val="0"/>
          <w:sz w:val="18"/>
          <w:szCs w:val="18"/>
        </w:rPr>
        <w:t>41.48%</w:t>
      </w:r>
      <w:r>
        <w:rPr>
          <w:color w:val="000000"/>
          <w:spacing w:val="0"/>
          <w:w w:val="100"/>
          <w:position w:val="0"/>
          <w:sz w:val="17"/>
          <w:szCs w:val="17"/>
        </w:rPr>
        <w:t>，同时低附加值、低毛利率的系统集成业务收入实现有效控制，占比降低为</w:t>
      </w:r>
      <w:r>
        <w:rPr>
          <w:rFonts w:ascii="Times New Roman" w:eastAsia="Times New Roman" w:hAnsi="Times New Roman" w:cs="Times New Roman"/>
          <w:color w:val="000000"/>
          <w:spacing w:val="0"/>
          <w:w w:val="100"/>
          <w:position w:val="0"/>
          <w:sz w:val="18"/>
          <w:szCs w:val="18"/>
        </w:rPr>
        <w:t>16.55%</w:t>
      </w:r>
      <w:r>
        <w:rPr>
          <w:color w:val="000000"/>
          <w:spacing w:val="0"/>
          <w:w w:val="100"/>
          <w:position w:val="0"/>
          <w:sz w:val="17"/>
          <w:szCs w:val="17"/>
        </w:rPr>
        <w:t>，从而使得公司整体毛利率同比 有所增长；同时公司狠抓验收和收款工作，通过多种手段清理历史遗留项目收款，年末现金流同期增长近</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w:t>
      </w:r>
    </w:p>
    <w:p>
      <w:pPr>
        <w:pStyle w:val="Style24"/>
        <w:keepNext w:val="0"/>
        <w:keepLines w:val="0"/>
        <w:widowControl w:val="0"/>
        <w:shd w:val="clear" w:color="auto" w:fill="auto"/>
        <w:tabs>
          <w:tab w:pos="686" w:val="left"/>
        </w:tabs>
        <w:bidi w:val="0"/>
        <w:spacing w:before="0" w:after="26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7"/>
          <w:szCs w:val="17"/>
        </w:rPr>
        <w:t>具体从主营行业来看：</w:t>
      </w:r>
    </w:p>
    <w:p>
      <w:pPr>
        <w:pStyle w:val="Style24"/>
        <w:keepNext w:val="0"/>
        <w:keepLines w:val="0"/>
        <w:widowControl w:val="0"/>
        <w:shd w:val="clear" w:color="auto" w:fill="auto"/>
        <w:tabs>
          <w:tab w:pos="536" w:val="left"/>
        </w:tabs>
        <w:bidi w:val="0"/>
        <w:spacing w:before="0" w:after="0" w:line="317" w:lineRule="exact"/>
        <w:ind w:left="0" w:right="0" w:firstLine="0"/>
        <w:jc w:val="both"/>
        <w:rPr>
          <w:sz w:val="17"/>
          <w:szCs w:val="17"/>
        </w:rPr>
      </w:pPr>
      <w:bookmarkStart w:id="129" w:name="bookmark129"/>
      <w:r>
        <w:rPr>
          <w:color w:val="000000"/>
          <w:spacing w:val="0"/>
          <w:w w:val="100"/>
          <w:position w:val="0"/>
          <w:sz w:val="18"/>
          <w:szCs w:val="18"/>
        </w:rPr>
        <w:t>（</w:t>
      </w:r>
      <w:bookmarkEnd w:id="129"/>
      <w:r>
        <w:rPr>
          <w:color w:val="000000"/>
          <w:spacing w:val="0"/>
          <w:w w:val="100"/>
          <w:position w:val="0"/>
          <w:sz w:val="18"/>
          <w:szCs w:val="18"/>
        </w:rPr>
        <w:t>1）</w:t>
        <w:tab/>
      </w:r>
      <w:r>
        <w:rPr>
          <w:color w:val="000000"/>
          <w:spacing w:val="0"/>
          <w:w w:val="100"/>
          <w:position w:val="0"/>
          <w:sz w:val="17"/>
          <w:szCs w:val="17"/>
        </w:rPr>
        <w:t>智慧档案行业主营收入占比</w:t>
      </w:r>
      <w:r>
        <w:rPr>
          <w:color w:val="000000"/>
          <w:spacing w:val="0"/>
          <w:w w:val="100"/>
          <w:position w:val="0"/>
          <w:sz w:val="18"/>
          <w:szCs w:val="18"/>
        </w:rPr>
        <w:t>63.09%,</w:t>
      </w:r>
      <w:r>
        <w:rPr>
          <w:color w:val="000000"/>
          <w:spacing w:val="0"/>
          <w:w w:val="100"/>
          <w:position w:val="0"/>
          <w:sz w:val="17"/>
          <w:szCs w:val="17"/>
        </w:rPr>
        <w:t>按照公司战略要求控制低毛利率的系统集成和数据处理服务业务承接量，使得主 营业务收入同比</w:t>
      </w:r>
      <w:r>
        <w:rPr>
          <w:color w:val="000000"/>
          <w:spacing w:val="0"/>
          <w:w w:val="100"/>
          <w:position w:val="0"/>
          <w:sz w:val="18"/>
          <w:szCs w:val="18"/>
        </w:rPr>
        <w:t>-14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57%，</w:t>
      </w:r>
      <w:r>
        <w:rPr>
          <w:color w:val="000000"/>
          <w:spacing w:val="0"/>
          <w:w w:val="100"/>
          <w:position w:val="0"/>
          <w:sz w:val="17"/>
          <w:szCs w:val="17"/>
        </w:rPr>
        <w:t>毛利率基本持平；</w:t>
      </w:r>
    </w:p>
    <w:p>
      <w:pPr>
        <w:pStyle w:val="Style24"/>
        <w:keepNext w:val="0"/>
        <w:keepLines w:val="0"/>
        <w:widowControl w:val="0"/>
        <w:shd w:val="clear" w:color="auto" w:fill="auto"/>
        <w:tabs>
          <w:tab w:pos="541" w:val="left"/>
        </w:tabs>
        <w:bidi w:val="0"/>
        <w:spacing w:before="0" w:after="0" w:line="317" w:lineRule="exact"/>
        <w:ind w:left="0" w:right="0" w:firstLine="0"/>
        <w:jc w:val="both"/>
        <w:rPr>
          <w:sz w:val="17"/>
          <w:szCs w:val="17"/>
        </w:rPr>
      </w:pPr>
      <w:bookmarkStart w:id="130" w:name="bookmark130"/>
      <w:r>
        <w:rPr>
          <w:color w:val="000000"/>
          <w:spacing w:val="0"/>
          <w:w w:val="100"/>
          <w:position w:val="0"/>
          <w:sz w:val="18"/>
          <w:szCs w:val="18"/>
        </w:rPr>
        <w:t>（</w:t>
      </w:r>
      <w:bookmarkEnd w:id="130"/>
      <w:r>
        <w:rPr>
          <w:color w:val="000000"/>
          <w:spacing w:val="0"/>
          <w:w w:val="100"/>
          <w:position w:val="0"/>
          <w:sz w:val="18"/>
          <w:szCs w:val="18"/>
        </w:rPr>
        <w:t>2）</w:t>
        <w:tab/>
      </w:r>
      <w:r>
        <w:rPr>
          <w:color w:val="000000"/>
          <w:spacing w:val="0"/>
          <w:w w:val="100"/>
          <w:position w:val="0"/>
          <w:sz w:val="17"/>
          <w:szCs w:val="17"/>
        </w:rPr>
        <w:t>智慧食安行业主营收入占比</w:t>
      </w:r>
      <w:r>
        <w:rPr>
          <w:color w:val="000000"/>
          <w:spacing w:val="0"/>
          <w:w w:val="100"/>
          <w:position w:val="0"/>
          <w:sz w:val="18"/>
          <w:szCs w:val="18"/>
        </w:rPr>
        <w:t>16.82%，</w:t>
      </w:r>
      <w:r>
        <w:rPr>
          <w:color w:val="000000"/>
          <w:spacing w:val="0"/>
          <w:w w:val="100"/>
          <w:position w:val="0"/>
          <w:sz w:val="17"/>
          <w:szCs w:val="17"/>
        </w:rPr>
        <w:t>营收主要以软件产品和企业</w:t>
      </w:r>
      <w:r>
        <w:rPr>
          <w:color w:val="000000"/>
          <w:spacing w:val="0"/>
          <w:w w:val="100"/>
          <w:position w:val="0"/>
          <w:sz w:val="18"/>
          <w:szCs w:val="18"/>
        </w:rPr>
        <w:t>SaaS</w:t>
      </w:r>
      <w:r>
        <w:rPr>
          <w:color w:val="000000"/>
          <w:spacing w:val="0"/>
          <w:w w:val="100"/>
          <w:position w:val="0"/>
          <w:sz w:val="17"/>
          <w:szCs w:val="17"/>
        </w:rPr>
        <w:t>等技术服务收入为主，收入同比</w:t>
      </w:r>
      <w:r>
        <w:rPr>
          <w:color w:val="000000"/>
          <w:spacing w:val="0"/>
          <w:w w:val="100"/>
          <w:position w:val="0"/>
          <w:sz w:val="18"/>
          <w:szCs w:val="18"/>
        </w:rPr>
        <w:t>-28</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55%</w:t>
      </w:r>
      <w:r>
        <w:rPr>
          <w:color w:val="000000"/>
          <w:spacing w:val="0"/>
          <w:w w:val="100"/>
          <w:position w:val="0"/>
          <w:sz w:val="17"/>
          <w:szCs w:val="17"/>
        </w:rPr>
        <w:t>，但毛利 率同比大幅增长；</w:t>
      </w:r>
    </w:p>
    <w:p>
      <w:pPr>
        <w:pStyle w:val="Style24"/>
        <w:keepNext w:val="0"/>
        <w:keepLines w:val="0"/>
        <w:widowControl w:val="0"/>
        <w:shd w:val="clear" w:color="auto" w:fill="auto"/>
        <w:tabs>
          <w:tab w:pos="445" w:val="left"/>
        </w:tabs>
        <w:bidi w:val="0"/>
        <w:spacing w:before="0" w:after="0" w:line="317" w:lineRule="exact"/>
        <w:ind w:left="0" w:right="0" w:firstLine="0"/>
        <w:jc w:val="both"/>
        <w:rPr>
          <w:sz w:val="17"/>
          <w:szCs w:val="17"/>
        </w:rPr>
      </w:pPr>
      <w:bookmarkStart w:id="131" w:name="bookmark131"/>
      <w:r>
        <w:rPr>
          <w:color w:val="000000"/>
          <w:spacing w:val="0"/>
          <w:w w:val="100"/>
          <w:position w:val="0"/>
          <w:sz w:val="18"/>
          <w:szCs w:val="18"/>
        </w:rPr>
        <w:t>（</w:t>
      </w:r>
      <w:bookmarkEnd w:id="131"/>
      <w:r>
        <w:rPr>
          <w:color w:val="000000"/>
          <w:spacing w:val="0"/>
          <w:w w:val="100"/>
          <w:position w:val="0"/>
          <w:sz w:val="18"/>
          <w:szCs w:val="18"/>
        </w:rPr>
        <w:t>3）</w:t>
        <w:tab/>
      </w:r>
      <w:r>
        <w:rPr>
          <w:color w:val="000000"/>
          <w:spacing w:val="0"/>
          <w:w w:val="100"/>
          <w:position w:val="0"/>
          <w:sz w:val="17"/>
          <w:szCs w:val="17"/>
        </w:rPr>
        <w:t>智慧司法行业受疫情反复、行业政策和项目验收滞后等方面的严重影响，主营业务收入同比</w:t>
      </w:r>
      <w:r>
        <w:rPr>
          <w:color w:val="000000"/>
          <w:spacing w:val="0"/>
          <w:w w:val="100"/>
          <w:position w:val="0"/>
          <w:sz w:val="18"/>
          <w:szCs w:val="18"/>
        </w:rPr>
        <w:t>-84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38%</w:t>
      </w:r>
      <w:r>
        <w:rPr>
          <w:color w:val="000000"/>
          <w:spacing w:val="0"/>
          <w:w w:val="100"/>
          <w:position w:val="0"/>
          <w:sz w:val="17"/>
          <w:szCs w:val="17"/>
        </w:rPr>
        <w:t>。</w:t>
      </w:r>
    </w:p>
    <w:p>
      <w:pPr>
        <w:pStyle w:val="Style24"/>
        <w:keepNext w:val="0"/>
        <w:keepLines w:val="0"/>
        <w:widowControl w:val="0"/>
        <w:numPr>
          <w:ilvl w:val="0"/>
          <w:numId w:val="5"/>
        </w:numPr>
        <w:shd w:val="clear" w:color="auto" w:fill="auto"/>
        <w:tabs>
          <w:tab w:pos="725" w:val="left"/>
        </w:tabs>
        <w:bidi w:val="0"/>
        <w:spacing w:before="0" w:after="0" w:line="317" w:lineRule="exact"/>
        <w:ind w:left="0" w:right="0" w:firstLine="0"/>
        <w:jc w:val="both"/>
        <w:rPr>
          <w:sz w:val="17"/>
          <w:szCs w:val="17"/>
        </w:rPr>
      </w:pPr>
      <w:bookmarkStart w:id="132" w:name="bookmark132"/>
      <w:bookmarkEnd w:id="132"/>
      <w:r>
        <w:rPr>
          <w:color w:val="000000"/>
          <w:spacing w:val="0"/>
          <w:w w:val="100"/>
          <w:position w:val="0"/>
          <w:sz w:val="17"/>
          <w:szCs w:val="17"/>
        </w:rPr>
        <w:t>具体从产品结构来看：</w:t>
      </w:r>
    </w:p>
    <w:p>
      <w:pPr>
        <w:pStyle w:val="Style24"/>
        <w:keepNext w:val="0"/>
        <w:keepLines w:val="0"/>
        <w:widowControl w:val="0"/>
        <w:shd w:val="clear" w:color="auto" w:fill="auto"/>
        <w:tabs>
          <w:tab w:pos="445" w:val="left"/>
        </w:tabs>
        <w:bidi w:val="0"/>
        <w:spacing w:before="0" w:after="0" w:line="322" w:lineRule="exact"/>
        <w:ind w:left="0" w:right="0" w:firstLine="0"/>
        <w:jc w:val="both"/>
        <w:rPr>
          <w:sz w:val="17"/>
          <w:szCs w:val="17"/>
        </w:rPr>
      </w:pPr>
      <w:bookmarkStart w:id="133" w:name="bookmark133"/>
      <w:r>
        <w:rPr>
          <w:color w:val="000000"/>
          <w:spacing w:val="0"/>
          <w:w w:val="100"/>
          <w:position w:val="0"/>
          <w:sz w:val="17"/>
          <w:szCs w:val="17"/>
        </w:rPr>
        <w:t>（</w:t>
      </w:r>
      <w:bookmarkEnd w:id="13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技术支持与服务收入占比</w:t>
      </w:r>
      <w:r>
        <w:rPr>
          <w:rFonts w:ascii="Times New Roman" w:eastAsia="Times New Roman" w:hAnsi="Times New Roman" w:cs="Times New Roman"/>
          <w:color w:val="000000"/>
          <w:spacing w:val="0"/>
          <w:w w:val="100"/>
          <w:position w:val="0"/>
          <w:sz w:val="18"/>
          <w:szCs w:val="18"/>
        </w:rPr>
        <w:t>41.97%</w:t>
      </w:r>
      <w:r>
        <w:rPr>
          <w:color w:val="000000"/>
          <w:spacing w:val="0"/>
          <w:w w:val="100"/>
          <w:position w:val="0"/>
          <w:sz w:val="17"/>
          <w:szCs w:val="17"/>
        </w:rPr>
        <w:t>，因对数据处理服务业务承接的控制，收入同比</w:t>
      </w:r>
      <w:r>
        <w:rPr>
          <w:rFonts w:ascii="Times New Roman" w:eastAsia="Times New Roman" w:hAnsi="Times New Roman" w:cs="Times New Roman"/>
          <w:color w:val="000000"/>
          <w:spacing w:val="0"/>
          <w:w w:val="100"/>
          <w:position w:val="0"/>
          <w:sz w:val="18"/>
          <w:szCs w:val="18"/>
        </w:rPr>
        <w:t>-13.45%</w:t>
      </w:r>
      <w:r>
        <w:rPr>
          <w:color w:val="000000"/>
          <w:spacing w:val="0"/>
          <w:w w:val="100"/>
          <w:position w:val="0"/>
          <w:sz w:val="17"/>
          <w:szCs w:val="17"/>
        </w:rPr>
        <w:t>，但毛利率同比有所增长；</w:t>
      </w:r>
    </w:p>
    <w:p>
      <w:pPr>
        <w:pStyle w:val="Style24"/>
        <w:keepNext w:val="0"/>
        <w:keepLines w:val="0"/>
        <w:widowControl w:val="0"/>
        <w:shd w:val="clear" w:color="auto" w:fill="auto"/>
        <w:bidi w:val="0"/>
        <w:spacing w:before="0" w:after="0" w:line="322" w:lineRule="exact"/>
        <w:ind w:left="0" w:right="0" w:firstLine="0"/>
        <w:jc w:val="both"/>
        <w:rPr>
          <w:sz w:val="17"/>
          <w:szCs w:val="17"/>
        </w:rPr>
      </w:pPr>
      <w:bookmarkStart w:id="134" w:name="bookmark134"/>
      <w:r>
        <w:rPr>
          <w:color w:val="000000"/>
          <w:spacing w:val="0"/>
          <w:w w:val="100"/>
          <w:position w:val="0"/>
          <w:sz w:val="17"/>
          <w:szCs w:val="17"/>
        </w:rPr>
        <w:t>（</w:t>
      </w:r>
      <w:bookmarkEnd w:id="134"/>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应用软件开发与销售收入占比</w:t>
      </w:r>
      <w:r>
        <w:rPr>
          <w:rFonts w:ascii="Times New Roman" w:eastAsia="Times New Roman" w:hAnsi="Times New Roman" w:cs="Times New Roman"/>
          <w:color w:val="000000"/>
          <w:spacing w:val="0"/>
          <w:w w:val="100"/>
          <w:position w:val="0"/>
          <w:sz w:val="18"/>
          <w:szCs w:val="18"/>
        </w:rPr>
        <w:t>41.48%</w:t>
      </w:r>
      <w:r>
        <w:rPr>
          <w:color w:val="000000"/>
          <w:spacing w:val="0"/>
          <w:w w:val="100"/>
          <w:position w:val="0"/>
          <w:sz w:val="17"/>
          <w:szCs w:val="17"/>
        </w:rPr>
        <w:t>，因疫情反复导致项目验收周期拉长和人员成本增加，收入同比</w:t>
      </w:r>
      <w:r>
        <w:rPr>
          <w:rFonts w:ascii="Times New Roman" w:eastAsia="Times New Roman" w:hAnsi="Times New Roman" w:cs="Times New Roman"/>
          <w:color w:val="000000"/>
          <w:spacing w:val="0"/>
          <w:w w:val="100"/>
          <w:position w:val="0"/>
          <w:sz w:val="18"/>
          <w:szCs w:val="18"/>
        </w:rPr>
        <w:t>-7.91%</w:t>
      </w:r>
      <w:r>
        <w:rPr>
          <w:color w:val="000000"/>
          <w:spacing w:val="0"/>
          <w:w w:val="100"/>
          <w:position w:val="0"/>
          <w:sz w:val="17"/>
          <w:szCs w:val="17"/>
        </w:rPr>
        <w:t>，毛利率 略有下降；</w:t>
      </w:r>
    </w:p>
    <w:p>
      <w:pPr>
        <w:pStyle w:val="Style24"/>
        <w:keepNext w:val="0"/>
        <w:keepLines w:val="0"/>
        <w:widowControl w:val="0"/>
        <w:shd w:val="clear" w:color="auto" w:fill="auto"/>
        <w:bidi w:val="0"/>
        <w:spacing w:before="0" w:after="0" w:line="322" w:lineRule="exact"/>
        <w:ind w:left="0" w:right="0" w:firstLine="0"/>
        <w:jc w:val="both"/>
        <w:rPr>
          <w:sz w:val="17"/>
          <w:szCs w:val="17"/>
        </w:rPr>
      </w:pPr>
      <w:bookmarkStart w:id="135" w:name="bookmark135"/>
      <w:r>
        <w:rPr>
          <w:color w:val="000000"/>
          <w:spacing w:val="0"/>
          <w:w w:val="100"/>
          <w:position w:val="0"/>
          <w:sz w:val="17"/>
          <w:szCs w:val="17"/>
        </w:rPr>
        <w:t>（</w:t>
      </w:r>
      <w:bookmarkEnd w:id="135"/>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系统集成收入占比</w:t>
      </w:r>
      <w:r>
        <w:rPr>
          <w:rFonts w:ascii="Times New Roman" w:eastAsia="Times New Roman" w:hAnsi="Times New Roman" w:cs="Times New Roman"/>
          <w:color w:val="000000"/>
          <w:spacing w:val="0"/>
          <w:w w:val="100"/>
          <w:position w:val="0"/>
          <w:sz w:val="18"/>
          <w:szCs w:val="18"/>
        </w:rPr>
        <w:t>16.55%</w:t>
      </w:r>
      <w:r>
        <w:rPr>
          <w:color w:val="000000"/>
          <w:spacing w:val="0"/>
          <w:w w:val="100"/>
          <w:position w:val="0"/>
          <w:sz w:val="17"/>
          <w:szCs w:val="17"/>
        </w:rPr>
        <w:t>，公司按照持续优化业务结构的战略要求，主动控制系统集成业务的承接，降低资金风险， 因此收入同比</w:t>
      </w:r>
      <w:r>
        <w:rPr>
          <w:rFonts w:ascii="Times New Roman" w:eastAsia="Times New Roman" w:hAnsi="Times New Roman" w:cs="Times New Roman"/>
          <w:color w:val="000000"/>
          <w:spacing w:val="0"/>
          <w:w w:val="100"/>
          <w:position w:val="0"/>
          <w:sz w:val="18"/>
          <w:szCs w:val="18"/>
        </w:rPr>
        <w:t>-60.64%</w:t>
      </w:r>
      <w:r>
        <w:rPr>
          <w:color w:val="000000"/>
          <w:spacing w:val="0"/>
          <w:w w:val="100"/>
          <w:position w:val="0"/>
          <w:sz w:val="17"/>
          <w:szCs w:val="17"/>
        </w:rPr>
        <w:t>。</w:t>
      </w:r>
    </w:p>
    <w:p>
      <w:pPr>
        <w:pStyle w:val="Style24"/>
        <w:keepNext w:val="0"/>
        <w:keepLines w:val="0"/>
        <w:widowControl w:val="0"/>
        <w:numPr>
          <w:ilvl w:val="0"/>
          <w:numId w:val="5"/>
        </w:numPr>
        <w:shd w:val="clear" w:color="auto" w:fill="auto"/>
        <w:tabs>
          <w:tab w:pos="320" w:val="left"/>
        </w:tabs>
        <w:bidi w:val="0"/>
        <w:spacing w:before="0" w:after="0" w:line="317" w:lineRule="exact"/>
        <w:ind w:left="0" w:right="0" w:firstLine="0"/>
        <w:jc w:val="both"/>
        <w:rPr>
          <w:sz w:val="17"/>
          <w:szCs w:val="17"/>
        </w:rPr>
      </w:pPr>
      <w:bookmarkStart w:id="136" w:name="bookmark136"/>
      <w:bookmarkEnd w:id="136"/>
      <w:r>
        <w:rPr>
          <w:color w:val="000000"/>
          <w:spacing w:val="0"/>
          <w:w w:val="100"/>
          <w:position w:val="0"/>
          <w:sz w:val="17"/>
          <w:szCs w:val="17"/>
        </w:rPr>
        <w:t>具体从主营区域来看：</w:t>
      </w:r>
    </w:p>
    <w:p>
      <w:pPr>
        <w:pStyle w:val="Style24"/>
        <w:keepNext w:val="0"/>
        <w:keepLines w:val="0"/>
        <w:widowControl w:val="0"/>
        <w:shd w:val="clear" w:color="auto" w:fill="auto"/>
        <w:bidi w:val="0"/>
        <w:spacing w:before="0" w:after="520" w:line="312" w:lineRule="exact"/>
        <w:ind w:left="0" w:right="0" w:firstLine="0"/>
        <w:jc w:val="both"/>
        <w:rPr>
          <w:sz w:val="17"/>
          <w:szCs w:val="17"/>
        </w:rPr>
      </w:pPr>
      <w:r>
        <w:rPr>
          <w:color w:val="000000"/>
          <w:spacing w:val="0"/>
          <w:w w:val="100"/>
          <w:position w:val="0"/>
          <w:sz w:val="17"/>
          <w:szCs w:val="17"/>
        </w:rPr>
        <w:t>华东区域占比</w:t>
      </w:r>
      <w:r>
        <w:rPr>
          <w:rFonts w:ascii="Times New Roman" w:eastAsia="Times New Roman" w:hAnsi="Times New Roman" w:cs="Times New Roman"/>
          <w:color w:val="000000"/>
          <w:spacing w:val="0"/>
          <w:w w:val="100"/>
          <w:position w:val="0"/>
          <w:sz w:val="18"/>
          <w:szCs w:val="18"/>
        </w:rPr>
        <w:t>82.81%</w:t>
      </w:r>
      <w:r>
        <w:rPr>
          <w:color w:val="000000"/>
          <w:spacing w:val="0"/>
          <w:w w:val="100"/>
          <w:position w:val="0"/>
          <w:sz w:val="17"/>
          <w:szCs w:val="17"/>
        </w:rPr>
        <w:t>，作为公司业务的主要区域受上述综合因素影响较大，收入同比</w:t>
      </w:r>
      <w:r>
        <w:rPr>
          <w:rFonts w:ascii="Times New Roman" w:eastAsia="Times New Roman" w:hAnsi="Times New Roman" w:cs="Times New Roman"/>
          <w:color w:val="000000"/>
          <w:spacing w:val="0"/>
          <w:w w:val="100"/>
          <w:position w:val="0"/>
          <w:sz w:val="18"/>
          <w:szCs w:val="18"/>
        </w:rPr>
        <w:t>-29.13%</w:t>
      </w:r>
      <w:r>
        <w:rPr>
          <w:color w:val="000000"/>
          <w:spacing w:val="0"/>
          <w:w w:val="100"/>
          <w:position w:val="0"/>
          <w:sz w:val="17"/>
          <w:szCs w:val="17"/>
        </w:rPr>
        <w:t>，但毛利率同比有所增长；华 南区域占比</w:t>
      </w:r>
      <w:r>
        <w:rPr>
          <w:rFonts w:ascii="Times New Roman" w:eastAsia="Times New Roman" w:hAnsi="Times New Roman" w:cs="Times New Roman"/>
          <w:color w:val="000000"/>
          <w:spacing w:val="0"/>
          <w:w w:val="100"/>
          <w:position w:val="0"/>
          <w:sz w:val="18"/>
          <w:szCs w:val="18"/>
        </w:rPr>
        <w:t>10.73%</w:t>
      </w:r>
      <w:r>
        <w:rPr>
          <w:color w:val="000000"/>
          <w:spacing w:val="0"/>
          <w:w w:val="100"/>
          <w:position w:val="0"/>
          <w:sz w:val="17"/>
          <w:szCs w:val="17"/>
        </w:rPr>
        <w:t>，由于该区域智慧档案行业数字档案馆业务收入的增长，因此同比增长</w:t>
      </w:r>
      <w:r>
        <w:rPr>
          <w:rFonts w:ascii="Times New Roman" w:eastAsia="Times New Roman" w:hAnsi="Times New Roman" w:cs="Times New Roman"/>
          <w:color w:val="000000"/>
          <w:spacing w:val="0"/>
          <w:w w:val="100"/>
          <w:position w:val="0"/>
          <w:sz w:val="18"/>
          <w:szCs w:val="18"/>
        </w:rPr>
        <w:t>14.18%</w:t>
      </w:r>
      <w:r>
        <w:rPr>
          <w:color w:val="000000"/>
          <w:spacing w:val="0"/>
          <w:w w:val="100"/>
          <w:position w:val="0"/>
          <w:sz w:val="17"/>
          <w:szCs w:val="17"/>
        </w:rPr>
        <w:t>。</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22"/>
        <w:gridCol w:w="1008"/>
        <w:gridCol w:w="1013"/>
        <w:gridCol w:w="1008"/>
        <w:gridCol w:w="1018"/>
        <w:gridCol w:w="998"/>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第四季度</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74,044,956.4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93,912,842.6</w:t>
            </w:r>
          </w:p>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143,062,932.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110,866,299.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20,884,444.9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231,700,643.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153,015,870.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166,397,565.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-24,091,523.</w:t>
            </w:r>
          </w:p>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14,959,383.6</w:t>
            </w:r>
          </w:p>
          <w:p>
            <w:pPr>
              <w:pStyle w:val="Style18"/>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-7,667,152.6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-63,720,492.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-27,793,986.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-9,879,491.6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32,179,887.2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-58,365,059.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4"/>
        <w:keepNext w:val="0"/>
        <w:keepLines w:val="0"/>
        <w:widowControl w:val="0"/>
        <w:shd w:val="clear" w:color="auto" w:fill="auto"/>
        <w:bidi w:val="0"/>
        <w:spacing w:before="0" w:after="720" w:line="322" w:lineRule="exact"/>
        <w:ind w:left="0" w:right="0" w:firstLine="0"/>
        <w:jc w:val="both"/>
        <w:rPr>
          <w:sz w:val="17"/>
          <w:szCs w:val="17"/>
        </w:rPr>
      </w:pPr>
      <w:r>
        <w:rPr>
          <w:color w:val="000000"/>
          <w:spacing w:val="0"/>
          <w:w w:val="100"/>
          <w:position w:val="0"/>
          <w:sz w:val="17"/>
          <w:szCs w:val="17"/>
        </w:rPr>
        <w:t>总体来看，</w:t>
      </w:r>
      <w:r>
        <w:rPr>
          <w:color w:val="000000"/>
          <w:spacing w:val="0"/>
          <w:w w:val="100"/>
          <w:position w:val="0"/>
          <w:sz w:val="18"/>
          <w:szCs w:val="18"/>
        </w:rPr>
        <w:t>2021</w:t>
      </w:r>
      <w:r>
        <w:rPr>
          <w:color w:val="000000"/>
          <w:spacing w:val="0"/>
          <w:w w:val="100"/>
          <w:position w:val="0"/>
          <w:sz w:val="17"/>
          <w:szCs w:val="17"/>
        </w:rPr>
        <w:t>年度营收下降</w:t>
      </w:r>
      <w:r>
        <w:rPr>
          <w:color w:val="000000"/>
          <w:spacing w:val="0"/>
          <w:w w:val="100"/>
          <w:position w:val="0"/>
          <w:sz w:val="18"/>
          <w:szCs w:val="18"/>
        </w:rPr>
        <w:t>26.24%，</w:t>
      </w:r>
      <w:r>
        <w:rPr>
          <w:color w:val="000000"/>
          <w:spacing w:val="0"/>
          <w:w w:val="100"/>
          <w:position w:val="0"/>
          <w:sz w:val="17"/>
          <w:szCs w:val="17"/>
        </w:rPr>
        <w:t>是公司上市以来下降最严重的一年，主要受疫情影响，政府项目推进不达预期，导致 周期延长，原计划本年度招标项目未能及时开展；同时政府缩紧非公共卫生之外的预算，导致政府信息化项目金额较往年有 较大幅度减少；另外各地政府信息化项目主要与当地大数据中心或运营商合作签约较多，致使公司合作部分收入有所减少。</w:t>
      </w:r>
    </w:p>
    <w:p>
      <w:pPr>
        <w:pStyle w:val="Style51"/>
        <w:keepNext/>
        <w:keepLines/>
        <w:widowControl w:val="0"/>
        <w:shd w:val="clear" w:color="auto" w:fill="auto"/>
        <w:bidi w:val="0"/>
        <w:spacing w:before="0" w:after="2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7"/>
      <w:bookmarkEnd w:id="138"/>
      <w:bookmarkEnd w:id="140"/>
    </w:p>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322" w:lineRule="exact"/>
        <w:ind w:left="0" w:right="0" w:firstLine="0"/>
        <w:jc w:val="left"/>
        <w:rPr>
          <w:sz w:val="17"/>
          <w:szCs w:val="17"/>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的披露要求</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智慧食安（政府、 企事业单位）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70,953,163.26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34,250,534.18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智慧档案（档案 局、馆）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266,156,333.92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203,591,976.13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智慧司法（政府）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12,264,831.01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9,601,264.49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其他（政府、企</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事业单位）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72,512,703.54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70,358,330.42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69,811,049.03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65,222,499.55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技术支持与服务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177,067,323.87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149,945,695.58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应用软件开发与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175,008,658.83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102,633,910.08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349,382,847.37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259,999,695.89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19,827,245.04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15,272,885.65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45,283,883.03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38,703,218.17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7,393,056.29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3,826,305.50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年按报告期末口径调整后的主营业务数据</w:t>
      </w:r>
    </w:p>
    <w:p>
      <w:pPr>
        <w:pStyle w:val="Style24"/>
        <w:keepNext w:val="0"/>
        <w:keepLines w:val="0"/>
        <w:widowControl w:val="0"/>
        <w:shd w:val="clear" w:color="auto" w:fill="auto"/>
        <w:bidi w:val="0"/>
        <w:spacing w:before="0" w:after="38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51"/>
        <w:keepNext/>
        <w:keepLines/>
        <w:widowControl w:val="0"/>
        <w:shd w:val="clear" w:color="auto" w:fill="auto"/>
        <w:tabs>
          <w:tab w:pos="493" w:val="left"/>
        </w:tabs>
        <w:bidi w:val="0"/>
        <w:spacing w:before="0" w:after="38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1"/>
      <w:bookmarkEnd w:id="142"/>
      <w:bookmarkEnd w:id="144"/>
    </w:p>
    <w:p>
      <w:pPr>
        <w:pStyle w:val="Style24"/>
        <w:keepNext w:val="0"/>
        <w:keepLines w:val="0"/>
        <w:widowControl w:val="0"/>
        <w:shd w:val="clear" w:color="auto" w:fill="auto"/>
        <w:bidi w:val="0"/>
        <w:spacing w:before="0" w:after="38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51"/>
        <w:keepNext/>
        <w:keepLines/>
        <w:widowControl w:val="0"/>
        <w:shd w:val="clear" w:color="auto" w:fill="auto"/>
        <w:tabs>
          <w:tab w:pos="493" w:val="left"/>
        </w:tabs>
        <w:bidi w:val="0"/>
        <w:spacing w:before="0" w:after="380" w:line="240" w:lineRule="auto"/>
        <w:ind w:left="0" w:right="0" w:firstLine="0"/>
        <w:jc w:val="both"/>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45"/>
      <w:bookmarkEnd w:id="146"/>
      <w:bookmarkEnd w:id="148"/>
    </w:p>
    <w:p>
      <w:pPr>
        <w:pStyle w:val="Style24"/>
        <w:keepNext w:val="0"/>
        <w:keepLines w:val="0"/>
        <w:widowControl w:val="0"/>
        <w:shd w:val="clear" w:color="auto" w:fill="auto"/>
        <w:bidi w:val="0"/>
        <w:spacing w:before="0" w:after="38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51"/>
        <w:keepNext/>
        <w:keepLines/>
        <w:widowControl w:val="0"/>
        <w:shd w:val="clear" w:color="auto" w:fill="auto"/>
        <w:tabs>
          <w:tab w:pos="493" w:val="left"/>
        </w:tabs>
        <w:bidi w:val="0"/>
        <w:spacing w:before="0" w:after="380" w:line="240" w:lineRule="auto"/>
        <w:ind w:left="0" w:right="0" w:firstLine="0"/>
        <w:jc w:val="both"/>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9"/>
      <w:bookmarkEnd w:id="150"/>
      <w:bookmarkEnd w:id="152"/>
    </w:p>
    <w:p>
      <w:pPr>
        <w:pStyle w:val="Style2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产品分类</w:t>
      </w:r>
    </w:p>
    <w:p>
      <w:pPr>
        <w:pStyle w:val="Style2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产品分类</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材料采购成本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材料采购成本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199,491,495.61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241,740,513.07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人工成本及费用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人工成本及费用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118,310,609.60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195,503,253.30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 xml:space="preserve">人力成本是软件企业的重要经营成本。公司为了提高核心竞争力及提升自主创新能力，持续加大新技术、新产品的研发投入， 加大高端复合性人才的引进，进而导致人力成本增加。另一方面，虽然公司一直致力于不断提高产品复用率、改进软件开发 项目的管理流程，提高开发效率，降低开发成本，并通过技术升级提升产品和服务的附加值，但是随着经济的发展、城市生 活成本的上升、互联网新兴行业对专业人才的争夺日趋激烈，又直接导致企业的人力成本大幅提升，作为企业成本的重要组 成部分，人力成本的高低直接关系到产品价格、企业效益、企业综合竞争能力等核心优势。因此，有效进行人力成本管理成 </w:t>
      </w:r>
      <w:r>
        <w:rPr>
          <w:color w:val="000000"/>
          <w:spacing w:val="0"/>
          <w:w w:val="100"/>
          <w:position w:val="0"/>
          <w:sz w:val="17"/>
          <w:szCs w:val="17"/>
        </w:rPr>
        <w:t>为人力资源管理的重点。</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人才是企业发展的重要战略，人才战略也是信息发展实现业绩增长的加速器，信息发展在多年的经营发展中一直牢记并努力 践行这一人才战略理念，在积累了稳定且结构合理的高素质人才队伍同时，信息发展更注重高标准人才的选用机制建设工作， 并同步引进了许多高端人才、领军人才来助力企业快速发展，各类人才在管理经营、新产品研发、重大项目建设、科技公关、 前沿技术探索、云计算、人工智能、大数据研究等方面发挥了重要作用，形成了人尽其才，才尽其用的良好人才发展环境。 未来，信息发展将在创新发展过程中，积极做好人力资源战略规划，构建人才战略版图，让人才成为企业未来发展聚力赋能 的重要保障。</w:t>
      </w:r>
    </w:p>
    <w:p>
      <w:pPr>
        <w:pStyle w:val="Style24"/>
        <w:keepNext w:val="0"/>
        <w:keepLines w:val="0"/>
        <w:widowControl w:val="0"/>
        <w:shd w:val="clear" w:color="auto" w:fill="auto"/>
        <w:bidi w:val="0"/>
        <w:spacing w:before="0" w:after="360" w:line="310" w:lineRule="exact"/>
        <w:ind w:left="0" w:right="0" w:firstLine="0"/>
        <w:jc w:val="left"/>
        <w:rPr>
          <w:sz w:val="17"/>
          <w:szCs w:val="17"/>
        </w:rPr>
      </w:pPr>
      <w:r>
        <w:rPr>
          <w:color w:val="000000"/>
          <w:spacing w:val="0"/>
          <w:w w:val="100"/>
          <w:position w:val="0"/>
          <w:sz w:val="17"/>
          <w:szCs w:val="17"/>
        </w:rPr>
        <w:t>在注重人才引进的同时，信息发展非常重视人才培训、培养机制建设工作，信息发展鹰学院是承担这一重要任务的专业内部 机构。学院自成立以来，每年都以企业的战略业务发展为导向，凭借行业资源知识的储备、严谨的管理制度、多元化的课程 体系、专业的内外部精英讲师团队、注重成果导向的教学模式，为企业持续不断的培养符合企业核心价值观的复合型优秀人 才，并以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的成长为主线，将人才划分为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雄鹰、精鹰、飞鹰、雏鹰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历练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成长，最终成为企业未来发展需要的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鹰 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鹰团队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p>
      <w:pPr>
        <w:pStyle w:val="Style24"/>
        <w:keepNext w:val="0"/>
        <w:keepLines w:val="0"/>
        <w:widowControl w:val="0"/>
        <w:shd w:val="clear" w:color="auto" w:fill="auto"/>
        <w:bidi w:val="0"/>
        <w:spacing w:before="0" w:after="160" w:line="355" w:lineRule="exact"/>
        <w:ind w:left="0" w:right="0" w:firstLine="0"/>
        <w:jc w:val="left"/>
        <w:rPr>
          <w:sz w:val="17"/>
          <w:szCs w:val="17"/>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的披露要求 主营业务成本构成</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材料采购成本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199,491,495.61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241,740,513.07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人工成本及费用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118,310,609.60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195,503,253.30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w:t>
            </w:r>
          </w:p>
        </w:tc>
      </w:tr>
    </w:tbl>
    <w:p>
      <w:pPr>
        <w:widowControl w:val="0"/>
        <w:spacing w:after="359" w:line="1" w:lineRule="exact"/>
      </w:pPr>
    </w:p>
    <w:p>
      <w:pPr>
        <w:pStyle w:val="Style51"/>
        <w:keepNext/>
        <w:keepLines/>
        <w:widowControl w:val="0"/>
        <w:shd w:val="clear" w:color="auto" w:fill="auto"/>
        <w:bidi w:val="0"/>
        <w:spacing w:before="0" w:after="28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53"/>
      <w:bookmarkEnd w:id="154"/>
      <w:bookmarkEnd w:id="156"/>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是</w:t>
      </w:r>
      <w:r>
        <w:rPr>
          <w:color w:val="000000"/>
          <w:spacing w:val="0"/>
          <w:w w:val="100"/>
          <w:position w:val="0"/>
          <w:sz w:val="18"/>
          <w:szCs w:val="18"/>
        </w:rPr>
        <w:t>口</w:t>
      </w:r>
      <w:r>
        <w:rPr>
          <w:color w:val="000000"/>
          <w:spacing w:val="0"/>
          <w:w w:val="100"/>
          <w:position w:val="0"/>
          <w:sz w:val="17"/>
          <w:szCs w:val="17"/>
        </w:rPr>
        <w:t>否</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日，本公司与交信北斗科技有限公司、黑曜石（嘉兴）企业管理合伙企业（有限合伙）共同出资设立交信北斗 （浙江）科技有限公司。该公司注册资本为</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sz w:val="17"/>
          <w:szCs w:val="17"/>
        </w:rPr>
        <w:t>万元人民币，本公司认缴出资额为</w:t>
      </w:r>
      <w:r>
        <w:rPr>
          <w:rFonts w:ascii="Times New Roman" w:eastAsia="Times New Roman" w:hAnsi="Times New Roman" w:cs="Times New Roman"/>
          <w:color w:val="000000"/>
          <w:spacing w:val="0"/>
          <w:w w:val="100"/>
          <w:position w:val="0"/>
          <w:sz w:val="18"/>
          <w:szCs w:val="18"/>
        </w:rPr>
        <w:t>4,080.00</w:t>
      </w:r>
      <w:r>
        <w:rPr>
          <w:color w:val="000000"/>
          <w:spacing w:val="0"/>
          <w:w w:val="100"/>
          <w:position w:val="0"/>
          <w:sz w:val="17"/>
          <w:szCs w:val="17"/>
        </w:rPr>
        <w:t>万元人民币，持有该公司</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sz w:val="17"/>
          <w:szCs w:val="17"/>
        </w:rPr>
        <w:t>的股权。</w:t>
      </w:r>
    </w:p>
    <w:p>
      <w:pPr>
        <w:pStyle w:val="Style24"/>
        <w:keepNext w:val="0"/>
        <w:keepLines w:val="0"/>
        <w:widowControl w:val="0"/>
        <w:shd w:val="clear" w:color="auto" w:fill="auto"/>
        <w:bidi w:val="0"/>
        <w:spacing w:before="0" w:after="36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日，控股子公司交信北斗（浙江）科技有限公司出资设立交信北斗（北京）信息科技有限公司。该公司注册资 本为</w:t>
      </w:r>
      <w:r>
        <w:rPr>
          <w:rFonts w:ascii="Times New Roman" w:eastAsia="Times New Roman" w:hAnsi="Times New Roman" w:cs="Times New Roman"/>
          <w:color w:val="000000"/>
          <w:spacing w:val="0"/>
          <w:w w:val="100"/>
          <w:position w:val="0"/>
          <w:sz w:val="18"/>
          <w:szCs w:val="18"/>
        </w:rPr>
        <w:t>999.99</w:t>
      </w:r>
      <w:r>
        <w:rPr>
          <w:color w:val="000000"/>
          <w:spacing w:val="0"/>
          <w:w w:val="100"/>
          <w:position w:val="0"/>
          <w:sz w:val="17"/>
          <w:szCs w:val="17"/>
        </w:rPr>
        <w:t>万元人民币，交信北斗（浙江）科技有限公司持有该公司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的股权。</w:t>
      </w:r>
    </w:p>
    <w:p>
      <w:pPr>
        <w:pStyle w:val="Style51"/>
        <w:keepNext/>
        <w:keepLines/>
        <w:widowControl w:val="0"/>
        <w:shd w:val="clear" w:color="auto" w:fill="auto"/>
        <w:tabs>
          <w:tab w:pos="459" w:val="left"/>
        </w:tabs>
        <w:bidi w:val="0"/>
        <w:spacing w:before="0" w:after="280" w:line="240" w:lineRule="auto"/>
        <w:ind w:left="0" w:right="0" w:firstLine="0"/>
        <w:jc w:val="both"/>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7"/>
      <w:bookmarkEnd w:id="158"/>
      <w:bookmarkEnd w:id="160"/>
    </w:p>
    <w:p>
      <w:pPr>
        <w:pStyle w:val="Style24"/>
        <w:keepNext w:val="0"/>
        <w:keepLines w:val="0"/>
        <w:widowControl w:val="0"/>
        <w:shd w:val="clear" w:color="auto" w:fill="auto"/>
        <w:bidi w:val="0"/>
        <w:spacing w:before="0" w:after="36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51"/>
        <w:keepNext/>
        <w:keepLines/>
        <w:widowControl w:val="0"/>
        <w:shd w:val="clear" w:color="auto" w:fill="auto"/>
        <w:tabs>
          <w:tab w:pos="459" w:val="left"/>
        </w:tabs>
        <w:bidi w:val="0"/>
        <w:spacing w:before="0" w:after="360" w:line="240" w:lineRule="auto"/>
        <w:ind w:left="0" w:right="0" w:firstLine="0"/>
        <w:jc w:val="both"/>
      </w:pPr>
      <w:bookmarkStart w:id="161" w:name="bookmark161"/>
      <w:bookmarkStart w:id="162" w:name="bookmark162"/>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1"/>
      <w:bookmarkEnd w:id="162"/>
      <w:bookmarkEnd w:id="164"/>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67,041,319.66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27,013,397.69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10,805,226.10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10,652,093.21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10,538,055.49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8,032,547.17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67,041,319.66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15.89%</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主要客户其他情况说明</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150,616,326.77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43.95%</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45,013,612.54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16.02%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16,286,202.99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8,162,233.99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7,909,243.66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4,417,781.78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81,789,074.96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29.11%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主要供应商其他情况说明</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8"/>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3</w:t>
      </w:r>
      <w:bookmarkEnd w:id="167"/>
      <w:r>
        <w:rPr>
          <w:color w:val="000000"/>
          <w:spacing w:val="0"/>
          <w:w w:val="100"/>
          <w:position w:val="0"/>
        </w:rPr>
        <w:t>、费用</w:t>
      </w:r>
      <w:bookmarkEnd w:id="165"/>
      <w:bookmarkEnd w:id="166"/>
      <w:bookmarkEnd w:id="168"/>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48,047,234.38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55,802,218.71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66,274,500.81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68,563,023.43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14,909,601.12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15,903,977.71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44,434,765.67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58,022,569.69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4</w:t>
      </w:r>
      <w:bookmarkEnd w:id="171"/>
      <w:r>
        <w:rPr>
          <w:color w:val="000000"/>
          <w:spacing w:val="0"/>
          <w:w w:val="100"/>
          <w:position w:val="0"/>
        </w:rPr>
        <w:t>、研发投入</w:t>
      </w:r>
      <w:bookmarkEnd w:id="169"/>
      <w:bookmarkEnd w:id="170"/>
      <w:bookmarkEnd w:id="172"/>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预计对公司未来发展的影响</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CBaaS 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迭代和升级区块链服务 平台，为公司各业务线 提供区块链技术赋能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已顺利完成和发布</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CBaaS 3.0 </w:t>
            </w:r>
            <w:r>
              <w:rPr>
                <w:color w:val="000000"/>
                <w:spacing w:val="0"/>
                <w:w w:val="100"/>
                <w:position w:val="0"/>
                <w:sz w:val="17"/>
                <w:szCs w:val="17"/>
              </w:rPr>
              <w:t>版本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提升自动化运维和部署水 平，升级国密算法支持，贴 合行业应用需求，快速落地 区块链应用，为公司各大业 务场景赋能。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提升公司在区块链底层技术 和平台产品的研发能力；为 公司各业务场景做好区块链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赋能，有利于公司各业务未 来更好的发展；</w:t>
            </w:r>
          </w:p>
        </w:tc>
      </w:tr>
      <w:tr>
        <w:trPr>
          <w:trHeight w:val="22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大数据综合治理平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台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提高数据整合效率，</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代码运行量，</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7"/>
                <w:szCs w:val="17"/>
              </w:rPr>
              <w:t>智能理 解、创建编目，无需人 为操作，自动进行数据 建模。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已完成设计。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通过制定一系列标准规范， 指导业务部门在信息化建设 过程中遵循科学的方法、流 程，合理采集、归集、整合、 使用数据，促进数据结构和 数据接口标准化，为跨部门 数据共享提供基础。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提升公司在大数据底层技术 和平台产品的研发能力；为 公司各业务场景做好大数据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赋能，有利于公司各业务未 来更好的发展。</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智稼农资大掌柜</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SAAS </w:t>
            </w:r>
            <w:r>
              <w:rPr>
                <w:color w:val="000000"/>
                <w:spacing w:val="0"/>
                <w:w w:val="100"/>
                <w:position w:val="0"/>
                <w:sz w:val="17"/>
                <w:szCs w:val="17"/>
              </w:rPr>
              <w:t xml:space="preserve">软件 </w:t>
            </w:r>
            <w:r>
              <w:rPr>
                <w:rFonts w:ascii="Times New Roman" w:eastAsia="Times New Roman" w:hAnsi="Times New Roman" w:cs="Times New Roman"/>
                <w:color w:val="000000"/>
                <w:spacing w:val="0"/>
                <w:w w:val="100"/>
                <w:position w:val="0"/>
              </w:rPr>
              <w:t>V3.0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迭代升级，重构用户</w:t>
            </w:r>
            <w:r>
              <w:rPr>
                <w:rFonts w:ascii="Times New Roman" w:eastAsia="Times New Roman" w:hAnsi="Times New Roman" w:cs="Times New Roman"/>
                <w:color w:val="000000"/>
                <w:spacing w:val="0"/>
                <w:w w:val="100"/>
                <w:position w:val="0"/>
                <w:sz w:val="18"/>
                <w:szCs w:val="18"/>
              </w:rPr>
              <w:t>UI</w:t>
            </w:r>
            <w:r>
              <w:rPr>
                <w:color w:val="000000"/>
                <w:spacing w:val="0"/>
                <w:w w:val="100"/>
                <w:position w:val="0"/>
                <w:sz w:val="17"/>
                <w:szCs w:val="17"/>
              </w:rPr>
              <w:t xml:space="preserve">， </w:t>
            </w:r>
            <w:r>
              <w:rPr>
                <w:color w:val="000000"/>
                <w:spacing w:val="0"/>
                <w:w w:val="100"/>
                <w:position w:val="0"/>
                <w:sz w:val="17"/>
                <w:szCs w:val="17"/>
              </w:rPr>
              <w:t>提升交互性能，新功能 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提升用户友好度，吸引更多 农资用户使用公司的农资大 掌柜</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产品。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提升公司在农资信息系统领 域的知名度，为公司在农业 领域的未来布局打下坚实的 基础</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追溯云食安追溯商</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超 </w:t>
            </w:r>
            <w:r>
              <w:rPr>
                <w:rFonts w:ascii="Times New Roman" w:eastAsia="Times New Roman" w:hAnsi="Times New Roman" w:cs="Times New Roman"/>
                <w:color w:val="000000"/>
                <w:spacing w:val="0"/>
                <w:w w:val="100"/>
                <w:position w:val="0"/>
              </w:rPr>
              <w:t>SAAS V3.0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迭代升级，增加追溯品 类，提升产品自动化程 度，新功能增加。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进行中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提升商超用户满意度，降低 客户人力资源投入。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进一步提升公司在食安追溯 领域的市场占有率，有利于 公司新客户开发与市场开拓</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追溯云食安便捷追</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溯 </w:t>
            </w:r>
            <w:r>
              <w:rPr>
                <w:rFonts w:ascii="Times New Roman" w:eastAsia="Times New Roman" w:hAnsi="Times New Roman" w:cs="Times New Roman"/>
                <w:color w:val="000000"/>
                <w:spacing w:val="0"/>
                <w:w w:val="100"/>
                <w:position w:val="0"/>
              </w:rPr>
              <w:t>SAAS V3.0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系统重构，界面优化， 提升系统并发能力和服 务吞吐量，新功能增加。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进行中，已经完成多 个品类版本的上线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增强产品力，吸引更多不同 类型企业使用，提升用户满 意度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进一步提升公司在食安追溯 领域的市场占有率，提升公 司知名度。</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sz w:val="17"/>
                <w:szCs w:val="17"/>
              </w:rPr>
              <w:t>光典档案信息资源 管理软件</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本产品主要应用在自主 创新环境下，对档案数 据进行采集、管理和利 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已完成通用版本研 发，目前在进行第三 方厂商适配环节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针对自主创新环境，或小型 社区机构等离线数据收集场 景，快速推出一款功能针对 性强，快速部署、易于使用 的产品，满足用户需求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通过本产品的研发与环境适 配，进一步的扩充及丰富档 案室产品线，并提升产品适 配能力</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sz w:val="17"/>
                <w:szCs w:val="17"/>
              </w:rPr>
              <w:t>光典智慧档案云管 理平台</w:t>
            </w:r>
            <w:r>
              <w:rPr>
                <w:rFonts w:ascii="Times New Roman" w:eastAsia="Times New Roman" w:hAnsi="Times New Roman" w:cs="Times New Roman"/>
                <w:color w:val="000000"/>
                <w:spacing w:val="0"/>
                <w:w w:val="100"/>
                <w:position w:val="0"/>
              </w:rPr>
              <w:t>V8.4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紧跟行业内标准，满足 企业数字档案馆（室） 建设指南等标准功能， 更好的为国家部委、大 型企事业集团、金融企 业服务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完成功能迭代，发布 光典</w:t>
            </w:r>
            <w:r>
              <w:rPr>
                <w:rFonts w:ascii="Times New Roman" w:eastAsia="Times New Roman" w:hAnsi="Times New Roman" w:cs="Times New Roman"/>
                <w:color w:val="000000"/>
                <w:spacing w:val="0"/>
                <w:w w:val="100"/>
                <w:position w:val="0"/>
                <w:sz w:val="18"/>
                <w:szCs w:val="18"/>
              </w:rPr>
              <w:t>V8.4</w:t>
            </w:r>
            <w:r>
              <w:rPr>
                <w:color w:val="000000"/>
                <w:spacing w:val="0"/>
                <w:w w:val="100"/>
                <w:position w:val="0"/>
                <w:sz w:val="17"/>
                <w:szCs w:val="17"/>
              </w:rPr>
              <w:t>版本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提升产品国家标准规范的合 规性，同时深入挖掘特定行 业的应用需求，通过大数据、 人工智能、区块链等技术集 成，提升产品价值，为行业 用户创造价值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持续提升公司数字档案室产 品的研发能力，有利于公司 数字档案室业务更好的发展</w:t>
            </w: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光典新媒体采集系 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新媒体信息的采集是新 媒体归档的基础工作， 能够使新媒体类电子档</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案管理规范化、科学化， 让新媒体历史记录传承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已完成研发和发布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版本。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依据标准规范，采用网络爬 虫技术，对政府网站网页、 数字报、微信公众号、微博、 抖音等资源进行采集，对采 集的信息进行整理和导出，</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提升公司在网络采集技术和 平台产品的研发能力；进一 步完善公司在电子档案管理 体系的业务场景，为档案行 业的创新发展增添新动力</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实现对各类新媒体的归档工 作。通过对新媒体信息的持 续保存，更好发挥新媒体档 案的作用与价值。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光典智能查档服务</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一体机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建设一套软件与硬件集 成的智能终端，查档者 通过身份认证和人脸识 别后，实现自助查档、 自助出证。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已完成研发和发布</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产品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依据标准规范，档案利用需 求，建设的智能查档服务一 体机，实现查档者自助身份 识别与登记，并利用后台查 档服务，将原先必须由窗口 接待人员办理的服务，转换 为自助式办理。</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提升公司在自助终端类产品 的研发能力。通过智能查档 服务一体机的推广，可改变 档案馆以往的利用模式，提 高档案档案馆的服务水平。</w:t>
            </w:r>
          </w:p>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进一步提升我司在档案行业 的影响力。</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研发人员学历</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研发人员年龄构成</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岁以上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w:t>
            </w:r>
          </w:p>
        </w:tc>
      </w:tr>
    </w:tbl>
    <w:p>
      <w:pPr>
        <w:widowControl w:val="0"/>
        <w:spacing w:after="79" w:line="1" w:lineRule="exact"/>
      </w:pP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44,434,765.67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48,127,848.33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92,603,893.10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公司研发人员构成发生重大变化的原因及影响</w:t>
      </w:r>
    </w:p>
    <w:p>
      <w:pPr>
        <w:pStyle w:val="Style24"/>
        <w:keepNext w:val="0"/>
        <w:keepLines w:val="0"/>
        <w:widowControl w:val="0"/>
        <w:shd w:val="clear" w:color="auto" w:fill="auto"/>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研发投入总额占营业收入的比重较上年发生显著变化的原因</w:t>
      </w:r>
    </w:p>
    <w:p>
      <w:pPr>
        <w:pStyle w:val="Style24"/>
        <w:keepNext w:val="0"/>
        <w:keepLines w:val="0"/>
        <w:widowControl w:val="0"/>
        <w:shd w:val="clear" w:color="auto" w:fill="auto"/>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研发投入资本化率大幅变动的原因及其合理性说明</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br w:type="page"/>
      </w: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的披露要求</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实施进度</w:t>
            </w:r>
          </w:p>
        </w:tc>
      </w:tr>
      <w:tr>
        <w:trPr>
          <w:trHeight w:val="127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bookmarkStart w:id="173" w:name="bookmark173"/>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、现金流</w:t>
            </w:r>
            <w:bookmarkEnd w:id="173"/>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534,767,460.66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641,886,914.28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-16.69%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496,006,939.67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617,427,315.92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-19.67%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38,760,520.99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24,459,598.36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58.47%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2,408,548.33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38,186,276.48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-93.69%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23,635,418.84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42,595,472.91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-44.51%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-21,226,870.51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-4,409,196.43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521,480,000.00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230,802,200.00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125.94%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536,780,482.45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364,591,799.71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47.23%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-15,300,482.45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-133,789,599.71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88.56%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2,233,168.03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-113,739,197.78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101.96%</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相关数据同比发生重大变动的主要影响因素说明</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报告期内公司经营活动产生的现金净流量与本年度净利润存在重大差异的原因说明</w:t>
      </w:r>
    </w:p>
    <w:p>
      <w:pPr>
        <w:pStyle w:val="Style24"/>
        <w:keepNext w:val="0"/>
        <w:keepLines w:val="0"/>
        <w:widowControl w:val="0"/>
        <w:shd w:val="clear" w:color="auto" w:fill="auto"/>
        <w:bidi w:val="0"/>
        <w:spacing w:before="0" w:after="3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五</w:t>
      </w:r>
      <w:bookmarkEnd w:id="176"/>
      <w:r>
        <w:rPr>
          <w:color w:val="000000"/>
          <w:spacing w:val="0"/>
          <w:w w:val="100"/>
          <w:position w:val="0"/>
        </w:rPr>
        <w:t>、</w:t>
        <w:tab/>
        <w:t>非主营业务情况</w:t>
      </w:r>
      <w:bookmarkEnd w:id="174"/>
      <w:bookmarkEnd w:id="175"/>
      <w:bookmarkEnd w:id="177"/>
    </w:p>
    <w:p>
      <w:pPr>
        <w:pStyle w:val="Style24"/>
        <w:keepNext w:val="0"/>
        <w:keepLines w:val="0"/>
        <w:widowControl w:val="0"/>
        <w:shd w:val="clear" w:color="auto" w:fill="auto"/>
        <w:bidi w:val="0"/>
        <w:spacing w:before="0" w:after="3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六</w:t>
      </w:r>
      <w:bookmarkEnd w:id="180"/>
      <w:r>
        <w:rPr>
          <w:color w:val="000000"/>
          <w:spacing w:val="0"/>
          <w:w w:val="100"/>
          <w:position w:val="0"/>
        </w:rPr>
        <w:t>、</w:t>
        <w:tab/>
        <w:t>资产及负债状况分析</w:t>
      </w:r>
      <w:bookmarkEnd w:id="178"/>
      <w:bookmarkEnd w:id="179"/>
      <w:bookmarkEnd w:id="181"/>
    </w:p>
    <w:p>
      <w:pPr>
        <w:pStyle w:val="Style28"/>
        <w:keepNext/>
        <w:keepLines/>
        <w:widowControl w:val="0"/>
        <w:shd w:val="clear" w:color="auto" w:fill="auto"/>
        <w:bidi w:val="0"/>
        <w:spacing w:before="0" w:after="36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、资产构成重大变动情况</w:t>
      </w:r>
      <w:bookmarkEnd w:id="182"/>
      <w:bookmarkEnd w:id="183"/>
      <w:bookmarkEnd w:id="185"/>
    </w:p>
    <w:p>
      <w:pPr>
        <w:pStyle w:val="Style24"/>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103,331,692.3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108,601,727.52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265,598,380.0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334,874,982.11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12,896,269.93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15,587,730.28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68,884,706.80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90,819,942.34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103,371,340.2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285,608,954.1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8,444,004.81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光典智能物联网、档案数据处理中试 基地新建厂房在建工程转固定资产</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280,615,550.62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光典智能物联网、档案数据处理中试 基地新建厂房在建工程转固定资产</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5,684,105.38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8,607,946.23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150,291,888.8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169,826,416.44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92,697,970.06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137,141,688.82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132,600,000.0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874,623.19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5,035,027.40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无重大变动</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境外资产占比较高</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8"/>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、以公允价值计量的资产和负债</w:t>
      </w:r>
      <w:bookmarkEnd w:id="186"/>
      <w:bookmarkEnd w:id="187"/>
      <w:bookmarkEnd w:id="189"/>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本期公允价</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计入权益的累</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计公允价值变</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其他非流动</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14,796,700.0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20,902,700.00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14,796,700.0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20,902,700.00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其他变动的内容</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报告期内公司主要资产计量属性是否发生重大变化</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r>
        <w:br w:type="page"/>
      </w:r>
    </w:p>
    <w:p>
      <w:pPr>
        <w:pStyle w:val="Style28"/>
        <w:keepNext/>
        <w:keepLines/>
        <w:widowControl w:val="0"/>
        <w:shd w:val="clear" w:color="auto" w:fill="auto"/>
        <w:bidi w:val="0"/>
        <w:spacing w:before="0" w:after="34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、截至报告期末的资产权利受限情况</w:t>
      </w:r>
      <w:bookmarkEnd w:id="190"/>
      <w:bookmarkEnd w:id="191"/>
      <w:bookmarkEnd w:id="193"/>
    </w:p>
    <w:tbl>
      <w:tblPr>
        <w:tblOverlap w:val="never"/>
        <w:jc w:val="center"/>
        <w:tblLayout w:type="fixed"/>
      </w:tblPr>
      <w:tblGrid>
        <w:gridCol w:w="2174"/>
        <w:gridCol w:w="1824"/>
        <w:gridCol w:w="3658"/>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7,874,533.99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281,372,474.76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27,206,440.93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319,453,449.68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22"/>
        <w:keepNext/>
        <w:keepLines/>
        <w:widowControl w:val="0"/>
        <w:shd w:val="clear" w:color="auto" w:fill="auto"/>
        <w:bidi w:val="0"/>
        <w:spacing w:before="0" w:after="38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七</w:t>
      </w:r>
      <w:bookmarkEnd w:id="196"/>
      <w:r>
        <w:rPr>
          <w:color w:val="000000"/>
          <w:spacing w:val="0"/>
          <w:w w:val="100"/>
          <w:position w:val="0"/>
        </w:rPr>
        <w:t>、投资状况分析</w:t>
      </w:r>
      <w:bookmarkEnd w:id="194"/>
      <w:bookmarkEnd w:id="195"/>
      <w:bookmarkEnd w:id="197"/>
    </w:p>
    <w:p>
      <w:pPr>
        <w:pStyle w:val="Style28"/>
        <w:keepNext/>
        <w:keepLines/>
        <w:widowControl w:val="0"/>
        <w:shd w:val="clear" w:color="auto" w:fill="auto"/>
        <w:bidi w:val="0"/>
        <w:spacing w:before="0" w:after="34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、总体情况</w:t>
      </w:r>
      <w:bookmarkEnd w:id="198"/>
      <w:bookmarkEnd w:id="199"/>
      <w:bookmarkEnd w:id="201"/>
    </w:p>
    <w:tbl>
      <w:tblPr>
        <w:tblOverlap w:val="never"/>
        <w:jc w:val="center"/>
        <w:tblLayout w:type="fixed"/>
      </w:tblPr>
      <w:tblGrid>
        <w:gridCol w:w="3192"/>
        <w:gridCol w:w="3192"/>
        <w:gridCol w:w="3202"/>
      </w:tblGrid>
      <w:tr>
        <w:trPr>
          <w:trHeight w:val="326" w:hRule="exact"/>
        </w:trPr>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144,900,000.00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、报告期内获取的重大的股权投资情况</w:t>
      </w:r>
      <w:bookmarkEnd w:id="202"/>
      <w:bookmarkEnd w:id="203"/>
      <w:bookmarkEnd w:id="205"/>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4"/>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667"/>
        <w:gridCol w:w="653"/>
        <w:gridCol w:w="619"/>
        <w:gridCol w:w="624"/>
        <w:gridCol w:w="619"/>
        <w:gridCol w:w="619"/>
        <w:gridCol w:w="619"/>
        <w:gridCol w:w="614"/>
        <w:gridCol w:w="629"/>
        <w:gridCol w:w="581"/>
        <w:gridCol w:w="595"/>
        <w:gridCol w:w="691"/>
        <w:gridCol w:w="691"/>
        <w:gridCol w:w="691"/>
        <w:gridCol w:w="672"/>
      </w:tblGrid>
      <w:tr>
        <w:trPr>
          <w:trHeight w:val="907" w:hRule="exact"/>
        </w:trPr>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截至</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资产</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披露日</w:t>
            </w:r>
          </w:p>
        </w:tc>
        <w:tc>
          <w:tcPr>
            <w:vMerge w:val="restart"/>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披露索</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主要业</w:t>
            </w: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投资方</w:t>
            </w: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投资金</w:t>
            </w: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w:t>
            </w: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w:t>
            </w:r>
          </w:p>
        </w:tc>
        <w:tc>
          <w:tcPr>
            <w:vMerge w:val="restart"/>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合作方</w:t>
            </w: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投资期</w:t>
            </w: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产品类</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预计</w:t>
            </w: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本期投</w:t>
            </w: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是否涉</w:t>
            </w: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bottom"/>
          </w:tcPr>
          <w:p>
            <w:pPr/>
          </w:p>
        </w:tc>
      </w:tr>
      <w:tr>
        <w:trPr>
          <w:trHeight w:val="154"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表日</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期（如</w:t>
            </w:r>
          </w:p>
        </w:tc>
        <w:tc>
          <w:tcPr>
            <w:vMerge w:val="restart"/>
            <w:tcBorders>
              <w:left w:val="single" w:sz="4"/>
              <w:righ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引（如</w:t>
            </w:r>
          </w:p>
        </w:tc>
      </w:tr>
      <w:tr>
        <w:trPr>
          <w:trHeight w:val="163" w:hRule="exact"/>
        </w:trPr>
        <w:tc>
          <w:tcPr>
            <w:vMerge w:val="restart"/>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称</w:t>
            </w: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务</w:t>
            </w:r>
          </w:p>
        </w:tc>
        <w:tc>
          <w:tcPr>
            <w:tcBorders>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式</w:t>
            </w: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w:t>
            </w:r>
          </w:p>
        </w:tc>
        <w:tc>
          <w:tcPr>
            <w:tcBorders>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源</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w:t>
            </w:r>
          </w:p>
        </w:tc>
        <w:tc>
          <w:tcPr>
            <w:tcBorders>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型</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收益</w:t>
            </w: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资盈亏</w:t>
            </w:r>
          </w:p>
        </w:tc>
        <w:tc>
          <w:tcPr>
            <w:vMerge w:val="restart"/>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诉</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26"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的进</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有）</w:t>
            </w:r>
          </w:p>
        </w:tc>
        <w:tc>
          <w:tcPr>
            <w:tcBorders>
              <w:left w:val="single" w:sz="4"/>
              <w:righ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有）</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展情</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况</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交信北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斗科技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通运输</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通信信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斗（海</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智慧交</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104,10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南）科</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息集团</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2021-07</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成投</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rPr>
              <w:t>26</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权投资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基金管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（代表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交信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67"/>
        <w:gridCol w:w="653"/>
        <w:gridCol w:w="619"/>
        <w:gridCol w:w="624"/>
        <w:gridCol w:w="619"/>
        <w:gridCol w:w="619"/>
        <w:gridCol w:w="619"/>
        <w:gridCol w:w="614"/>
        <w:gridCol w:w="619"/>
        <w:gridCol w:w="590"/>
        <w:gridCol w:w="595"/>
        <w:gridCol w:w="691"/>
        <w:gridCol w:w="691"/>
        <w:gridCol w:w="691"/>
        <w:gridCol w:w="672"/>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自由流 私募股 权投资 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交信 天玑</w:t>
            </w:r>
          </w:p>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（海南 经济特 区）企 业管理 合伙企 业（有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交信北 斗（浙 江）科 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智慧交 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74" w:lineRule="auto"/>
              <w:ind w:left="0" w:right="0" w:firstLine="0"/>
              <w:jc w:val="right"/>
            </w:pPr>
            <w:r>
              <w:rPr>
                <w:rFonts w:ascii="Times New Roman" w:eastAsia="Times New Roman" w:hAnsi="Times New Roman" w:cs="Times New Roman"/>
                <w:color w:val="000000"/>
                <w:spacing w:val="0"/>
                <w:w w:val="100"/>
                <w:position w:val="0"/>
              </w:rPr>
              <w:t xml:space="preserve">40,800, </w:t>
            </w: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自有资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交信北 斗科技 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黑 曜石企 业管理 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 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已完 成投 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2021-07</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144,90</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-728,65</w:t>
            </w:r>
          </w:p>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3</w:t>
      </w:r>
      <w:bookmarkEnd w:id="208"/>
      <w:r>
        <w:rPr>
          <w:color w:val="000000"/>
          <w:spacing w:val="0"/>
          <w:w w:val="100"/>
          <w:position w:val="0"/>
        </w:rPr>
        <w:t>、报告期内正在进行的重大的非股权投资情况</w:t>
      </w:r>
      <w:bookmarkEnd w:id="206"/>
      <w:bookmarkEnd w:id="207"/>
      <w:bookmarkEnd w:id="209"/>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8"/>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4</w:t>
      </w:r>
      <w:bookmarkEnd w:id="212"/>
      <w:r>
        <w:rPr>
          <w:color w:val="000000"/>
          <w:spacing w:val="0"/>
          <w:w w:val="100"/>
          <w:position w:val="0"/>
        </w:rPr>
        <w:t>、以公允价值计量的金融资产</w:t>
      </w:r>
      <w:bookmarkEnd w:id="210"/>
      <w:bookmarkEnd w:id="211"/>
      <w:bookmarkEnd w:id="213"/>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4"/>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本期公允价</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计入权益的累</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计公允价值变</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报告期内售</w:t>
            </w:r>
          </w:p>
          <w:p>
            <w:pPr>
              <w:pStyle w:val="Style18"/>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出金额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累计投资收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资金来源</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14,796,700</w:t>
            </w:r>
          </w:p>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6,106,000.00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20,902,700.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14,796,700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6,106,000.00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20,902,700.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420" w:firstLine="0"/>
              <w:jc w:val="right"/>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1392"/>
        <w:gridCol w:w="893"/>
        <w:gridCol w:w="1090"/>
        <w:gridCol w:w="1181"/>
        <w:gridCol w:w="1195"/>
        <w:gridCol w:w="955"/>
        <w:gridCol w:w="955"/>
        <w:gridCol w:w="955"/>
        <w:gridCol w:w="96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5</w:t>
      </w:r>
      <w:bookmarkEnd w:id="216"/>
      <w:r>
        <w:rPr>
          <w:color w:val="000000"/>
          <w:spacing w:val="0"/>
          <w:w w:val="100"/>
          <w:position w:val="0"/>
        </w:rPr>
        <w:t>、募集资金使用情况</w:t>
      </w:r>
      <w:bookmarkEnd w:id="214"/>
      <w:bookmarkEnd w:id="215"/>
      <w:bookmarkEnd w:id="217"/>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公司报告期无募集资金使用情况。</w:t>
      </w:r>
    </w:p>
    <w:p>
      <w:pPr>
        <w:pStyle w:val="Style22"/>
        <w:keepNext/>
        <w:keepLines/>
        <w:widowControl w:val="0"/>
        <w:shd w:val="clear" w:color="auto" w:fill="auto"/>
        <w:tabs>
          <w:tab w:pos="517"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八</w:t>
      </w:r>
      <w:bookmarkEnd w:id="220"/>
      <w:r>
        <w:rPr>
          <w:color w:val="000000"/>
          <w:spacing w:val="0"/>
          <w:w w:val="100"/>
          <w:position w:val="0"/>
        </w:rPr>
        <w:t>、</w:t>
        <w:tab/>
        <w:t>重大资产和股权出售</w:t>
      </w:r>
      <w:bookmarkEnd w:id="218"/>
      <w:bookmarkEnd w:id="219"/>
      <w:bookmarkEnd w:id="221"/>
    </w:p>
    <w:p>
      <w:pPr>
        <w:pStyle w:val="Style28"/>
        <w:keepNext/>
        <w:keepLines/>
        <w:widowControl w:val="0"/>
        <w:shd w:val="clear" w:color="auto" w:fill="auto"/>
        <w:tabs>
          <w:tab w:pos="392" w:val="left"/>
        </w:tabs>
        <w:bidi w:val="0"/>
        <w:spacing w:before="0" w:after="36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出售重大资产情况</w:t>
      </w:r>
      <w:bookmarkEnd w:id="222"/>
      <w:bookmarkEnd w:id="223"/>
      <w:bookmarkEnd w:id="225"/>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公司报告期未出售重大资产。</w:t>
      </w:r>
    </w:p>
    <w:p>
      <w:pPr>
        <w:pStyle w:val="Style28"/>
        <w:keepNext/>
        <w:keepLines/>
        <w:widowControl w:val="0"/>
        <w:shd w:val="clear" w:color="auto" w:fill="auto"/>
        <w:tabs>
          <w:tab w:pos="392" w:val="left"/>
        </w:tabs>
        <w:bidi w:val="0"/>
        <w:spacing w:before="0" w:after="36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出售重大股权情况</w:t>
      </w:r>
      <w:bookmarkEnd w:id="226"/>
      <w:bookmarkEnd w:id="227"/>
      <w:bookmarkEnd w:id="229"/>
    </w:p>
    <w:p>
      <w:pPr>
        <w:pStyle w:val="Style24"/>
        <w:keepNext w:val="0"/>
        <w:keepLines w:val="0"/>
        <w:widowControl w:val="0"/>
        <w:shd w:val="clear" w:color="auto" w:fill="auto"/>
        <w:bidi w:val="0"/>
        <w:spacing w:before="0" w:after="3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九</w:t>
      </w:r>
      <w:bookmarkEnd w:id="232"/>
      <w:r>
        <w:rPr>
          <w:color w:val="000000"/>
          <w:spacing w:val="0"/>
          <w:w w:val="100"/>
          <w:position w:val="0"/>
        </w:rPr>
        <w:t>、</w:t>
        <w:tab/>
        <w:t>主要控股参股公司分析</w:t>
      </w:r>
      <w:bookmarkEnd w:id="230"/>
      <w:bookmarkEnd w:id="231"/>
      <w:bookmarkEnd w:id="233"/>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以上的参股公司情况</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光典信息发</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技术服务、</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软硬件销售</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及开发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60,000,000.0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510,663,351.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66,024,100.9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225,720,385.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-9,238,846.1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-8,497,419.5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追溯云信息</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发展股份有</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技术服务、</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软硬件销售</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及开发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58,624,900.0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174,668,746.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148,875,144.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25,725,347.6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12,920,033.1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11,640,038.2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报告期内取得和处置子公司的情况</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4"/>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主要控股参股公司情况说明</w:t>
      </w:r>
    </w:p>
    <w:p>
      <w:pPr>
        <w:pStyle w:val="Style22"/>
        <w:keepNext/>
        <w:keepLines/>
        <w:widowControl w:val="0"/>
        <w:shd w:val="clear" w:color="auto" w:fill="auto"/>
        <w:bidi w:val="0"/>
        <w:spacing w:before="0" w:line="240" w:lineRule="auto"/>
        <w:ind w:left="0" w:right="0" w:firstLine="0"/>
        <w:jc w:val="left"/>
      </w:pPr>
      <w:bookmarkStart w:id="234" w:name="bookmark234"/>
      <w:bookmarkStart w:id="235" w:name="bookmark235"/>
      <w:bookmarkStart w:id="236" w:name="bookmark236"/>
      <w:r>
        <w:rPr>
          <w:color w:val="000000"/>
          <w:spacing w:val="0"/>
          <w:w w:val="100"/>
          <w:position w:val="0"/>
        </w:rPr>
        <w:t>十、公司控制的结构化主体情况</w:t>
      </w:r>
      <w:bookmarkEnd w:id="234"/>
      <w:bookmarkEnd w:id="235"/>
      <w:bookmarkEnd w:id="236"/>
    </w:p>
    <w:p>
      <w:pPr>
        <w:pStyle w:val="Style24"/>
        <w:keepNext w:val="0"/>
        <w:keepLines w:val="0"/>
        <w:widowControl w:val="0"/>
        <w:shd w:val="clear" w:color="auto" w:fill="auto"/>
        <w:bidi w:val="0"/>
        <w:spacing w:before="0" w:after="26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2"/>
        <w:keepNext/>
        <w:keepLines/>
        <w:widowControl w:val="0"/>
        <w:shd w:val="clear" w:color="auto" w:fill="auto"/>
        <w:bidi w:val="0"/>
        <w:spacing w:before="0" w:after="260" w:line="240" w:lineRule="auto"/>
        <w:ind w:left="0" w:right="0" w:firstLine="0"/>
        <w:jc w:val="left"/>
      </w:pPr>
      <w:bookmarkStart w:id="237" w:name="bookmark237"/>
      <w:bookmarkStart w:id="238" w:name="bookmark238"/>
      <w:bookmarkStart w:id="239" w:name="bookmark239"/>
      <w:r>
        <w:rPr>
          <w:color w:val="000000"/>
          <w:spacing w:val="0"/>
          <w:w w:val="100"/>
          <w:position w:val="0"/>
        </w:rPr>
        <w:t>十一、公司未来发展的展望</w:t>
      </w:r>
      <w:bookmarkEnd w:id="237"/>
      <w:bookmarkEnd w:id="238"/>
      <w:bookmarkEnd w:id="239"/>
    </w:p>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（一）公司发展战略</w:t>
      </w:r>
    </w:p>
    <w:p>
      <w:pPr>
        <w:pStyle w:val="Style24"/>
        <w:keepNext w:val="0"/>
        <w:keepLines w:val="0"/>
        <w:widowControl w:val="0"/>
        <w:shd w:val="clear" w:color="auto" w:fill="auto"/>
        <w:bidi w:val="0"/>
        <w:spacing w:before="0" w:after="320" w:line="317" w:lineRule="exact"/>
        <w:ind w:left="0" w:right="0" w:firstLine="0"/>
        <w:jc w:val="left"/>
        <w:rPr>
          <w:sz w:val="17"/>
          <w:szCs w:val="17"/>
        </w:rPr>
      </w:pPr>
      <w:r>
        <w:rPr>
          <w:color w:val="000000"/>
          <w:spacing w:val="0"/>
          <w:w w:val="100"/>
          <w:position w:val="0"/>
          <w:sz w:val="17"/>
          <w:szCs w:val="17"/>
        </w:rPr>
        <w:t>公司以与交通通信集团的战略合作为契机，全面实施信息发展</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战略：信息发展建设成为一家运用北斗、车联网、区块链 和大数据等技术，面向智慧交通、智慧政务等政府和企业，为数字交通、数字中国提供行业专有云服务的平台运营商。</w:t>
      </w:r>
    </w:p>
    <w:p>
      <w:pPr>
        <w:framePr w:w="8275" w:h="2131" w:wrap="notBeside" w:vAnchor="text" w:hAnchor="text" w:x="795" w:y="1"/>
        <w:widowControl w:val="0"/>
        <w:rPr>
          <w:sz w:val="2"/>
          <w:szCs w:val="2"/>
        </w:rPr>
      </w:pPr>
      <w:r>
        <w:drawing>
          <wp:inline>
            <wp:extent cx="5254625" cy="135318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pic:blipFill>
                  <pic:spPr>
                    <a:xfrm>
                      <a:ext cx="5254625" cy="1353185"/>
                    </a:xfrm>
                    <a:prstGeom prst="rect"/>
                  </pic:spPr>
                </pic:pic>
              </a:graphicData>
            </a:graphic>
          </wp:inline>
        </w:drawing>
      </w:r>
    </w:p>
    <w:p>
      <w:pPr>
        <w:widowControl w:val="0"/>
        <w:spacing w:line="1" w:lineRule="exact"/>
      </w:pPr>
      <w:r>
        <mc:AlternateContent>
          <mc:Choice Requires="wps">
            <w:drawing>
              <wp:anchor distT="0" distB="0" distL="504190" distR="5036820" simplePos="0" relativeHeight="125829378" behindDoc="0" locked="0" layoutInCell="1" allowOverlap="1">
                <wp:simplePos x="0" y="0"/>
                <wp:positionH relativeFrom="column">
                  <wp:posOffset>2768600</wp:posOffset>
                </wp:positionH>
                <wp:positionV relativeFrom="paragraph">
                  <wp:posOffset>39370</wp:posOffset>
                </wp:positionV>
                <wp:extent cx="722630" cy="167640"/>
                <wp:wrapTopAndBottom/>
                <wp:docPr id="13" name="Shape 13"/>
                <a:graphic xmlns:a="http://schemas.openxmlformats.org/drawingml/2006/main">
                  <a:graphicData uri="http://schemas.microsoft.com/office/word/2010/wordprocessingShape">
                    <wps:wsp>
                      <wps:cNvSpPr txBox="1"/>
                      <wps:spPr>
                        <a:xfrm>
                          <a:ext cx="722630" cy="1676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7"/>
                                <w:szCs w:val="17"/>
                              </w:rPr>
                            </w:pPr>
                            <w:r>
                              <w:rPr>
                                <w:color w:val="344D6C"/>
                                <w:spacing w:val="0"/>
                                <w:w w:val="100"/>
                                <w:position w:val="0"/>
                                <w:sz w:val="20"/>
                                <w:szCs w:val="20"/>
                              </w:rPr>
                              <w:t>信息发展</w:t>
                            </w:r>
                            <w:r>
                              <w:rPr>
                                <w:rFonts w:ascii="Arial" w:eastAsia="Arial" w:hAnsi="Arial" w:cs="Arial"/>
                                <w:b/>
                                <w:bCs/>
                                <w:color w:val="344D6C"/>
                                <w:spacing w:val="0"/>
                                <w:w w:val="100"/>
                                <w:position w:val="0"/>
                                <w:sz w:val="17"/>
                                <w:szCs w:val="17"/>
                              </w:rPr>
                              <w:t>3.0</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9" type="#_x0000_t202" style="position:absolute;margin-left:218.pt;margin-top:3.1000000000000001pt;width:56.899999999999999pt;height:13.200000000000001pt;z-index:-125829375;mso-wrap-distance-left:39.700000000000003pt;mso-wrap-distance-right:396.60000000000002pt"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17"/>
                          <w:szCs w:val="17"/>
                        </w:rPr>
                      </w:pPr>
                      <w:r>
                        <w:rPr>
                          <w:color w:val="344D6C"/>
                          <w:spacing w:val="0"/>
                          <w:w w:val="100"/>
                          <w:position w:val="0"/>
                          <w:sz w:val="20"/>
                          <w:szCs w:val="20"/>
                        </w:rPr>
                        <w:t>信息发展</w:t>
                      </w:r>
                      <w:r>
                        <w:rPr>
                          <w:rFonts w:ascii="Arial" w:eastAsia="Arial" w:hAnsi="Arial" w:cs="Arial"/>
                          <w:b/>
                          <w:bCs/>
                          <w:color w:val="344D6C"/>
                          <w:spacing w:val="0"/>
                          <w:w w:val="100"/>
                          <w:position w:val="0"/>
                          <w:sz w:val="17"/>
                          <w:szCs w:val="17"/>
                        </w:rPr>
                        <w:t>3.0</w:t>
                      </w:r>
                    </w:p>
                  </w:txbxContent>
                </v:textbox>
                <w10:wrap type="topAndBottom"/>
              </v:shape>
            </w:pict>
          </mc:Fallback>
        </mc:AlternateContent>
      </w:r>
      <w:r>
        <mc:AlternateContent>
          <mc:Choice Requires="wps">
            <w:drawing>
              <wp:anchor distT="0" distB="0" distL="504190" distR="5378450" simplePos="0" relativeHeight="125829380" behindDoc="0" locked="0" layoutInCell="1" allowOverlap="1">
                <wp:simplePos x="0" y="0"/>
                <wp:positionH relativeFrom="column">
                  <wp:posOffset>1762760</wp:posOffset>
                </wp:positionH>
                <wp:positionV relativeFrom="paragraph">
                  <wp:posOffset>908050</wp:posOffset>
                </wp:positionV>
                <wp:extent cx="381000" cy="155575"/>
                <wp:wrapTopAndBottom/>
                <wp:docPr id="15" name="Shape 15"/>
                <a:graphic xmlns:a="http://schemas.openxmlformats.org/drawingml/2006/main">
                  <a:graphicData uri="http://schemas.microsoft.com/office/word/2010/wordprocessingShape">
                    <wps:wsp>
                      <wps:cNvSpPr txBox="1"/>
                      <wps:spPr>
                        <a:xfrm>
                          <a:ext cx="381000" cy="1555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区块链</w:t>
                            </w:r>
                          </w:p>
                        </w:txbxContent>
                      </wps:txbx>
                      <wps:bodyPr lIns="0" tIns="0" rIns="0" bIns="0">
                        <a:noAutoFit/>
                      </wps:bodyPr>
                    </wps:wsp>
                  </a:graphicData>
                </a:graphic>
              </wp:anchor>
            </w:drawing>
          </mc:Choice>
          <mc:Fallback>
            <w:pict>
              <v:shape id="_x0000_s1041" type="#_x0000_t202" style="position:absolute;margin-left:138.80000000000001pt;margin-top:71.5pt;width:30.pt;height:12.25pt;z-index:-125829373;mso-wrap-distance-left:39.700000000000003pt;mso-wrap-distance-right:423.5pt"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区块链</w:t>
                      </w:r>
                    </w:p>
                  </w:txbxContent>
                </v:textbox>
                <w10:wrap type="topAndBottom"/>
              </v:shape>
            </w:pict>
          </mc:Fallback>
        </mc:AlternateContent>
      </w:r>
      <w:r>
        <mc:AlternateContent>
          <mc:Choice Requires="wps">
            <w:drawing>
              <wp:anchor distT="0" distB="0" distL="504190" distR="5372100" simplePos="0" relativeHeight="125829382" behindDoc="0" locked="0" layoutInCell="1" allowOverlap="1">
                <wp:simplePos x="0" y="0"/>
                <wp:positionH relativeFrom="column">
                  <wp:posOffset>4210685</wp:posOffset>
                </wp:positionH>
                <wp:positionV relativeFrom="paragraph">
                  <wp:posOffset>914400</wp:posOffset>
                </wp:positionV>
                <wp:extent cx="387350" cy="158750"/>
                <wp:wrapTopAndBottom/>
                <wp:docPr id="17" name="Shape 17"/>
                <a:graphic xmlns:a="http://schemas.openxmlformats.org/drawingml/2006/main">
                  <a:graphicData uri="http://schemas.microsoft.com/office/word/2010/wordprocessingShape">
                    <wps:wsp>
                      <wps:cNvSpPr txBox="1"/>
                      <wps:spPr>
                        <a:xfrm>
                          <a:ext cx="387350" cy="15875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大数据</w:t>
                            </w:r>
                          </w:p>
                        </w:txbxContent>
                      </wps:txbx>
                      <wps:bodyPr lIns="0" tIns="0" rIns="0" bIns="0">
                        <a:noAutoFit/>
                      </wps:bodyPr>
                    </wps:wsp>
                  </a:graphicData>
                </a:graphic>
              </wp:anchor>
            </w:drawing>
          </mc:Choice>
          <mc:Fallback>
            <w:pict>
              <v:shape id="_x0000_s1043" type="#_x0000_t202" style="position:absolute;margin-left:331.55000000000001pt;margin-top:72.pt;width:30.5pt;height:12.5pt;z-index:-125829371;mso-wrap-distance-left:39.700000000000003pt;mso-wrap-distance-right:423.pt" filled="f" stroked="f">
                <v:textbox inset="0,0,0,0">
                  <w:txbxContent>
                    <w:p>
                      <w:pPr>
                        <w:pStyle w:val="Style6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大数据</w:t>
                      </w:r>
                    </w:p>
                  </w:txbxContent>
                </v:textbox>
                <w10:wrap type="topAndBottom"/>
              </v:shape>
            </w:pict>
          </mc:Fallback>
        </mc:AlternateContent>
      </w:r>
      <w:r>
        <mc:AlternateContent>
          <mc:Choice Requires="wps">
            <w:drawing>
              <wp:anchor distT="0" distB="0" distL="504190" distR="5207635" simplePos="0" relativeHeight="125829384" behindDoc="0" locked="0" layoutInCell="1" allowOverlap="1">
                <wp:simplePos x="0" y="0"/>
                <wp:positionH relativeFrom="column">
                  <wp:posOffset>1098550</wp:posOffset>
                </wp:positionH>
                <wp:positionV relativeFrom="paragraph">
                  <wp:posOffset>274320</wp:posOffset>
                </wp:positionV>
                <wp:extent cx="551815" cy="170815"/>
                <wp:wrapTopAndBottom/>
                <wp:docPr id="19" name="Shape 19"/>
                <a:graphic xmlns:a="http://schemas.openxmlformats.org/drawingml/2006/main">
                  <a:graphicData uri="http://schemas.microsoft.com/office/word/2010/wordprocessingShape">
                    <wps:wsp>
                      <wps:cNvSpPr txBox="1"/>
                      <wps:spPr>
                        <a:xfrm>
                          <a:ext cx="551815" cy="170815"/>
                        </a:xfrm>
                        <a:prstGeom prst="rect"/>
                        <a:noFill/>
                      </wps:spPr>
                      <wps:txbx>
                        <w:txbxContent>
                          <w:p>
                            <w:pPr>
                              <w:pStyle w:val="Style60"/>
                              <w:keepNext w:val="0"/>
                              <w:keepLines w:val="0"/>
                              <w:widowControl w:val="0"/>
                              <w:pBdr>
                                <w:top w:val="single" w:sz="0" w:space="0" w:color="AA561D"/>
                                <w:left w:val="single" w:sz="0" w:space="0" w:color="AA561D"/>
                                <w:bottom w:val="single" w:sz="0" w:space="0" w:color="AA561D"/>
                                <w:right w:val="single" w:sz="0" w:space="0" w:color="AA561D"/>
                              </w:pBdr>
                              <w:shd w:val="clear" w:color="auto" w:fill="AA561D"/>
                              <w:bidi w:val="0"/>
                              <w:spacing w:before="0" w:after="0" w:line="240" w:lineRule="auto"/>
                              <w:ind w:left="0" w:right="0" w:firstLine="0"/>
                              <w:jc w:val="left"/>
                            </w:pPr>
                            <w:r>
                              <w:rPr>
                                <w:color w:val="FFFFFF"/>
                                <w:spacing w:val="0"/>
                                <w:w w:val="100"/>
                                <w:position w:val="0"/>
                              </w:rPr>
                              <w:t>智慧交通</w:t>
                            </w:r>
                          </w:p>
                        </w:txbxContent>
                      </wps:txbx>
                      <wps:bodyPr lIns="0" tIns="0" rIns="0" bIns="0">
                        <a:noAutoFit/>
                      </wps:bodyPr>
                    </wps:wsp>
                  </a:graphicData>
                </a:graphic>
              </wp:anchor>
            </w:drawing>
          </mc:Choice>
          <mc:Fallback>
            <w:pict>
              <v:shape id="_x0000_s1045" type="#_x0000_t202" style="position:absolute;margin-left:86.5pt;margin-top:21.600000000000001pt;width:43.450000000000003pt;height:13.450000000000001pt;z-index:-125829369;mso-wrap-distance-left:39.700000000000003pt;mso-wrap-distance-right:410.05000000000001pt" filled="f" stroked="f">
                <v:textbox inset="0,0,0,0">
                  <w:txbxContent>
                    <w:p>
                      <w:pPr>
                        <w:pStyle w:val="Style60"/>
                        <w:keepNext w:val="0"/>
                        <w:keepLines w:val="0"/>
                        <w:widowControl w:val="0"/>
                        <w:pBdr>
                          <w:top w:val="single" w:sz="0" w:space="0" w:color="AA561D"/>
                          <w:left w:val="single" w:sz="0" w:space="0" w:color="AA561D"/>
                          <w:bottom w:val="single" w:sz="0" w:space="0" w:color="AA561D"/>
                          <w:right w:val="single" w:sz="0" w:space="0" w:color="AA561D"/>
                        </w:pBdr>
                        <w:shd w:val="clear" w:color="auto" w:fill="AA561D"/>
                        <w:bidi w:val="0"/>
                        <w:spacing w:before="0" w:after="0" w:line="240" w:lineRule="auto"/>
                        <w:ind w:left="0" w:right="0" w:firstLine="0"/>
                        <w:jc w:val="left"/>
                      </w:pPr>
                      <w:r>
                        <w:rPr>
                          <w:color w:val="FFFFFF"/>
                          <w:spacing w:val="0"/>
                          <w:w w:val="100"/>
                          <w:position w:val="0"/>
                        </w:rPr>
                        <w:t>智慧交通</w:t>
                      </w:r>
                    </w:p>
                  </w:txbxContent>
                </v:textbox>
                <w10:wrap type="topAndBottom"/>
              </v:shape>
            </w:pict>
          </mc:Fallback>
        </mc:AlternateContent>
      </w:r>
      <w:r>
        <mc:AlternateContent>
          <mc:Choice Requires="wps">
            <w:drawing>
              <wp:anchor distT="0" distB="0" distL="504190" distR="5204460" simplePos="0" relativeHeight="125829386" behindDoc="0" locked="0" layoutInCell="1" allowOverlap="1">
                <wp:simplePos x="0" y="0"/>
                <wp:positionH relativeFrom="column">
                  <wp:posOffset>4625340</wp:posOffset>
                </wp:positionH>
                <wp:positionV relativeFrom="paragraph">
                  <wp:posOffset>274320</wp:posOffset>
                </wp:positionV>
                <wp:extent cx="554990" cy="173990"/>
                <wp:wrapTopAndBottom/>
                <wp:docPr id="21" name="Shape 21"/>
                <a:graphic xmlns:a="http://schemas.openxmlformats.org/drawingml/2006/main">
                  <a:graphicData uri="http://schemas.microsoft.com/office/word/2010/wordprocessingShape">
                    <wps:wsp>
                      <wps:cNvSpPr txBox="1"/>
                      <wps:spPr>
                        <a:xfrm>
                          <a:ext cx="554990" cy="173990"/>
                        </a:xfrm>
                        <a:prstGeom prst="rect"/>
                        <a:noFill/>
                      </wps:spPr>
                      <wps:txbx>
                        <w:txbxContent>
                          <w:p>
                            <w:pPr>
                              <w:pStyle w:val="Style60"/>
                              <w:keepNext w:val="0"/>
                              <w:keepLines w:val="0"/>
                              <w:widowControl w:val="0"/>
                              <w:pBdr>
                                <w:top w:val="single" w:sz="0" w:space="0" w:color="AB561D"/>
                                <w:left w:val="single" w:sz="0" w:space="0" w:color="AB561D"/>
                                <w:bottom w:val="single" w:sz="0" w:space="0" w:color="AB561D"/>
                                <w:right w:val="single" w:sz="0" w:space="0" w:color="AB561D"/>
                              </w:pBdr>
                              <w:shd w:val="clear" w:color="auto" w:fill="AB561D"/>
                              <w:bidi w:val="0"/>
                              <w:spacing w:before="0" w:after="0" w:line="240" w:lineRule="auto"/>
                              <w:ind w:left="0" w:right="0" w:firstLine="0"/>
                              <w:jc w:val="left"/>
                            </w:pPr>
                            <w:r>
                              <w:rPr>
                                <w:color w:val="FFFFFF"/>
                                <w:spacing w:val="0"/>
                                <w:w w:val="100"/>
                                <w:position w:val="0"/>
                              </w:rPr>
                              <w:t>智慧政务</w:t>
                            </w:r>
                          </w:p>
                        </w:txbxContent>
                      </wps:txbx>
                      <wps:bodyPr lIns="0" tIns="0" rIns="0" bIns="0">
                        <a:noAutoFit/>
                      </wps:bodyPr>
                    </wps:wsp>
                  </a:graphicData>
                </a:graphic>
              </wp:anchor>
            </w:drawing>
          </mc:Choice>
          <mc:Fallback>
            <w:pict>
              <v:shape id="_x0000_s1047" type="#_x0000_t202" style="position:absolute;margin-left:364.19999999999999pt;margin-top:21.600000000000001pt;width:43.700000000000003pt;height:13.700000000000001pt;z-index:-125829367;mso-wrap-distance-left:39.700000000000003pt;mso-wrap-distance-right:409.80000000000001pt" filled="f" stroked="f">
                <v:textbox inset="0,0,0,0">
                  <w:txbxContent>
                    <w:p>
                      <w:pPr>
                        <w:pStyle w:val="Style60"/>
                        <w:keepNext w:val="0"/>
                        <w:keepLines w:val="0"/>
                        <w:widowControl w:val="0"/>
                        <w:pBdr>
                          <w:top w:val="single" w:sz="0" w:space="0" w:color="AB561D"/>
                          <w:left w:val="single" w:sz="0" w:space="0" w:color="AB561D"/>
                          <w:bottom w:val="single" w:sz="0" w:space="0" w:color="AB561D"/>
                          <w:right w:val="single" w:sz="0" w:space="0" w:color="AB561D"/>
                        </w:pBdr>
                        <w:shd w:val="clear" w:color="auto" w:fill="AB561D"/>
                        <w:bidi w:val="0"/>
                        <w:spacing w:before="0" w:after="0" w:line="240" w:lineRule="auto"/>
                        <w:ind w:left="0" w:right="0" w:firstLine="0"/>
                        <w:jc w:val="left"/>
                      </w:pPr>
                      <w:r>
                        <w:rPr>
                          <w:color w:val="FFFFFF"/>
                          <w:spacing w:val="0"/>
                          <w:w w:val="100"/>
                          <w:position w:val="0"/>
                        </w:rPr>
                        <w:t>智慧政务</w:t>
                      </w:r>
                    </w:p>
                  </w:txbxContent>
                </v:textbox>
                <w10:wrap type="topAndBottom"/>
              </v:shape>
            </w:pict>
          </mc:Fallback>
        </mc:AlternateContent>
      </w:r>
    </w:p>
    <w:p>
      <w:pPr>
        <w:pStyle w:val="Style24"/>
        <w:keepNext w:val="0"/>
        <w:keepLines w:val="0"/>
        <w:widowControl w:val="0"/>
        <w:shd w:val="clear" w:color="auto" w:fill="auto"/>
        <w:tabs>
          <w:tab w:pos="445" w:val="left"/>
        </w:tabs>
        <w:bidi w:val="0"/>
        <w:spacing w:before="0" w:after="0" w:line="326" w:lineRule="exact"/>
        <w:ind w:left="0" w:right="0" w:firstLine="0"/>
        <w:jc w:val="both"/>
        <w:rPr>
          <w:sz w:val="17"/>
          <w:szCs w:val="17"/>
        </w:rPr>
      </w:pPr>
      <w:bookmarkStart w:id="240" w:name="bookmark240"/>
      <w:r>
        <w:rPr>
          <w:color w:val="000000"/>
          <w:spacing w:val="0"/>
          <w:w w:val="100"/>
          <w:position w:val="0"/>
          <w:sz w:val="17"/>
          <w:szCs w:val="17"/>
        </w:rPr>
        <w:t>（</w:t>
      </w:r>
      <w:bookmarkEnd w:id="240"/>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公司战略转型，管控模式从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运营管控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战略管控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转型，从横向管理向纵向管理转型，做到精兵、强将、简政；</w:t>
      </w:r>
    </w:p>
    <w:p>
      <w:pPr>
        <w:pStyle w:val="Style24"/>
        <w:keepNext w:val="0"/>
        <w:keepLines w:val="0"/>
        <w:widowControl w:val="0"/>
        <w:shd w:val="clear" w:color="auto" w:fill="auto"/>
        <w:tabs>
          <w:tab w:pos="536" w:val="left"/>
        </w:tabs>
        <w:bidi w:val="0"/>
        <w:spacing w:before="0" w:after="0" w:line="326" w:lineRule="exact"/>
        <w:ind w:left="0" w:right="0" w:firstLine="0"/>
        <w:jc w:val="both"/>
        <w:rPr>
          <w:sz w:val="17"/>
          <w:szCs w:val="17"/>
        </w:rPr>
      </w:pPr>
      <w:bookmarkStart w:id="241" w:name="bookmark241"/>
      <w:r>
        <w:rPr>
          <w:color w:val="000000"/>
          <w:spacing w:val="0"/>
          <w:w w:val="100"/>
          <w:position w:val="0"/>
          <w:sz w:val="17"/>
          <w:szCs w:val="17"/>
        </w:rPr>
        <w:t>（</w:t>
      </w:r>
      <w:bookmarkEnd w:id="241"/>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未来公司将加大在北斗、车联网、智慧交通等领域的投资布局，打造全覆盖、可替代、保安全的行业北斗高精度基础 服务网，推动行业北斗终端规模化应用，实现公司核心业务逐步向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智慧交通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智慧政务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双轮驱动转变；</w:t>
      </w:r>
    </w:p>
    <w:p>
      <w:pPr>
        <w:pStyle w:val="Style24"/>
        <w:keepNext w:val="0"/>
        <w:keepLines w:val="0"/>
        <w:widowControl w:val="0"/>
        <w:shd w:val="clear" w:color="auto" w:fill="auto"/>
        <w:tabs>
          <w:tab w:pos="536" w:val="left"/>
        </w:tabs>
        <w:bidi w:val="0"/>
        <w:spacing w:before="0" w:after="0" w:line="326" w:lineRule="exact"/>
        <w:ind w:left="0" w:right="0" w:firstLine="0"/>
        <w:jc w:val="both"/>
        <w:rPr>
          <w:sz w:val="17"/>
          <w:szCs w:val="17"/>
        </w:rPr>
      </w:pPr>
      <w:bookmarkStart w:id="242" w:name="bookmark242"/>
      <w:r>
        <w:rPr>
          <w:color w:val="000000"/>
          <w:spacing w:val="0"/>
          <w:w w:val="100"/>
          <w:position w:val="0"/>
          <w:sz w:val="17"/>
          <w:szCs w:val="17"/>
        </w:rPr>
        <w:t>（</w:t>
      </w:r>
      <w:bookmarkEnd w:id="242"/>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公司将加快北斗应用平台与车载终端的研发，加大在北斗自由流、高精度定位监测、区块链、元宇宙等领域的技术研 发力度，持续通过产品和技术创新，推动公司业务实现项目向产品转型，产品向运营服务转型；</w:t>
      </w:r>
    </w:p>
    <w:p>
      <w:pPr>
        <w:pStyle w:val="Style24"/>
        <w:keepNext w:val="0"/>
        <w:keepLines w:val="0"/>
        <w:widowControl w:val="0"/>
        <w:shd w:val="clear" w:color="auto" w:fill="auto"/>
        <w:tabs>
          <w:tab w:pos="445" w:val="left"/>
        </w:tabs>
        <w:bidi w:val="0"/>
        <w:spacing w:before="0" w:after="380" w:line="326" w:lineRule="exact"/>
        <w:ind w:left="0" w:right="0" w:firstLine="0"/>
        <w:jc w:val="both"/>
        <w:rPr>
          <w:sz w:val="17"/>
          <w:szCs w:val="17"/>
        </w:rPr>
      </w:pPr>
      <w:bookmarkStart w:id="243" w:name="bookmark243"/>
      <w:r>
        <w:rPr>
          <w:color w:val="000000"/>
          <w:spacing w:val="0"/>
          <w:w w:val="100"/>
          <w:position w:val="0"/>
          <w:sz w:val="17"/>
          <w:szCs w:val="17"/>
        </w:rPr>
        <w:t>（</w:t>
      </w:r>
      <w:bookmarkEnd w:id="243"/>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围绕公司战略目标，强化上市公司资本运作与外延发展能力，服务公司战略快速部署与落地。</w:t>
      </w:r>
    </w:p>
    <w:p>
      <w:pPr>
        <w:pStyle w:val="Style24"/>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（二）年度经营计划</w:t>
      </w:r>
    </w:p>
    <w:p>
      <w:pPr>
        <w:pStyle w:val="Style24"/>
        <w:keepNext w:val="0"/>
        <w:keepLines w:val="0"/>
        <w:widowControl w:val="0"/>
        <w:shd w:val="clear" w:color="auto" w:fill="auto"/>
        <w:bidi w:val="0"/>
        <w:spacing w:before="0" w:after="0" w:line="32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年，面对国家加快交通强国建设与数字化转型的政策机遇，公司将紧紧围绕整体发展战略，以经营目标为导向，重点开 展以下经营管理工作：</w:t>
      </w:r>
    </w:p>
    <w:p>
      <w:pPr>
        <w:pStyle w:val="Style24"/>
        <w:keepNext w:val="0"/>
        <w:keepLines w:val="0"/>
        <w:widowControl w:val="0"/>
        <w:shd w:val="clear" w:color="auto" w:fill="auto"/>
        <w:tabs>
          <w:tab w:pos="445" w:val="left"/>
        </w:tabs>
        <w:bidi w:val="0"/>
        <w:spacing w:before="0" w:after="0" w:line="324" w:lineRule="exact"/>
        <w:ind w:left="0" w:right="0" w:firstLine="0"/>
        <w:jc w:val="both"/>
        <w:rPr>
          <w:sz w:val="17"/>
          <w:szCs w:val="17"/>
        </w:rPr>
      </w:pPr>
      <w:bookmarkStart w:id="244" w:name="bookmark244"/>
      <w:r>
        <w:rPr>
          <w:color w:val="000000"/>
          <w:spacing w:val="0"/>
          <w:w w:val="100"/>
          <w:position w:val="0"/>
          <w:sz w:val="17"/>
          <w:szCs w:val="17"/>
        </w:rPr>
        <w:t>（</w:t>
      </w:r>
      <w:bookmarkEnd w:id="244"/>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市场拓展方面</w:t>
      </w:r>
    </w:p>
    <w:p>
      <w:pPr>
        <w:pStyle w:val="Style24"/>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智慧交通：抓住北斗三号与</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应用推广、里程费改革等行业重大战略契机，年内力争完成城市级里程费社会化工程验证， 部署北斗</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车载终端规模化应用，初步搭建完成城市级车联网平台；</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智慧政务：向全国范围内复制推广保供平台、数字乡村、智慧监管等业务，进一步提高综合档案馆市场覆盖率，加大力度拓 展交通、医疗、高校等行业档案应用；</w:t>
      </w:r>
    </w:p>
    <w:p>
      <w:pPr>
        <w:pStyle w:val="Style24"/>
        <w:keepNext w:val="0"/>
        <w:keepLines w:val="0"/>
        <w:widowControl w:val="0"/>
        <w:shd w:val="clear" w:color="auto" w:fill="auto"/>
        <w:tabs>
          <w:tab w:pos="445" w:val="left"/>
        </w:tabs>
        <w:bidi w:val="0"/>
        <w:spacing w:before="0" w:after="0" w:line="324" w:lineRule="exact"/>
        <w:ind w:left="0" w:right="0" w:firstLine="0"/>
        <w:jc w:val="both"/>
        <w:rPr>
          <w:sz w:val="17"/>
          <w:szCs w:val="17"/>
        </w:rPr>
      </w:pPr>
      <w:bookmarkStart w:id="245" w:name="bookmark245"/>
      <w:r>
        <w:rPr>
          <w:color w:val="000000"/>
          <w:spacing w:val="0"/>
          <w:w w:val="100"/>
          <w:position w:val="0"/>
          <w:sz w:val="17"/>
          <w:szCs w:val="17"/>
        </w:rPr>
        <w:t>（</w:t>
      </w:r>
      <w:bookmarkEnd w:id="24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产品研发方面</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在北斗车载终端、应用平台、基础设施监测云平台、高精度监测终端等领域形成新一代定型产品并上市，在北斗自由流、车 联网、区块链、元宇宙等领域公司将持续加大研发投入力度，不断完善研发管理机制和创新激励机制，为技术突破和产品创 新提供重要的基础和保障；</w:t>
      </w:r>
    </w:p>
    <w:p>
      <w:pPr>
        <w:pStyle w:val="Style24"/>
        <w:keepNext w:val="0"/>
        <w:keepLines w:val="0"/>
        <w:widowControl w:val="0"/>
        <w:shd w:val="clear" w:color="auto" w:fill="auto"/>
        <w:tabs>
          <w:tab w:pos="445" w:val="left"/>
        </w:tabs>
        <w:bidi w:val="0"/>
        <w:spacing w:before="0" w:after="0" w:line="317" w:lineRule="exact"/>
        <w:ind w:left="0" w:right="0" w:firstLine="0"/>
        <w:jc w:val="both"/>
        <w:rPr>
          <w:sz w:val="17"/>
          <w:szCs w:val="17"/>
        </w:rPr>
      </w:pPr>
      <w:bookmarkStart w:id="246" w:name="bookmark246"/>
      <w:r>
        <w:rPr>
          <w:color w:val="000000"/>
          <w:spacing w:val="0"/>
          <w:w w:val="100"/>
          <w:position w:val="0"/>
          <w:sz w:val="17"/>
          <w:szCs w:val="17"/>
        </w:rPr>
        <w:t>（</w:t>
      </w:r>
      <w:bookmarkEnd w:id="246"/>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人力资源方面</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公司将根据战略与业务发展需要，继续引进和培养各方面的人才，同时吸纳行业高端人才，优化人才结构；通过内外部培训、 课题研究等方式，提升员工业务能力与整体素质，培养团队意识，打造一流的人才团队；同时，公司还将适时实施股权或期 权激励，实现公司可持续发展；</w:t>
      </w:r>
    </w:p>
    <w:p>
      <w:pPr>
        <w:pStyle w:val="Style24"/>
        <w:keepNext w:val="0"/>
        <w:keepLines w:val="0"/>
        <w:widowControl w:val="0"/>
        <w:shd w:val="clear" w:color="auto" w:fill="auto"/>
        <w:tabs>
          <w:tab w:pos="445" w:val="left"/>
        </w:tabs>
        <w:bidi w:val="0"/>
        <w:spacing w:before="0" w:after="0" w:line="324" w:lineRule="exact"/>
        <w:ind w:left="0" w:right="0" w:firstLine="0"/>
        <w:jc w:val="both"/>
        <w:rPr>
          <w:sz w:val="17"/>
          <w:szCs w:val="17"/>
        </w:rPr>
      </w:pPr>
      <w:bookmarkStart w:id="247" w:name="bookmark247"/>
      <w:r>
        <w:rPr>
          <w:color w:val="000000"/>
          <w:spacing w:val="0"/>
          <w:w w:val="100"/>
          <w:position w:val="0"/>
          <w:sz w:val="17"/>
          <w:szCs w:val="17"/>
        </w:rPr>
        <w:t>（</w:t>
      </w:r>
      <w:bookmarkEnd w:id="247"/>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投资并购及合作开发方面</w:t>
      </w:r>
    </w:p>
    <w:p>
      <w:pPr>
        <w:pStyle w:val="Style24"/>
        <w:keepNext w:val="0"/>
        <w:keepLines w:val="0"/>
        <w:widowControl w:val="0"/>
        <w:shd w:val="clear" w:color="auto" w:fill="auto"/>
        <w:bidi w:val="0"/>
        <w:spacing w:before="0" w:after="1060" w:line="317" w:lineRule="exact"/>
        <w:ind w:left="0" w:right="0" w:firstLine="0"/>
        <w:jc w:val="both"/>
        <w:rPr>
          <w:sz w:val="17"/>
          <w:szCs w:val="17"/>
        </w:rPr>
      </w:pPr>
      <w:r>
        <w:rPr>
          <w:color w:val="000000"/>
          <w:spacing w:val="0"/>
          <w:w w:val="100"/>
          <w:position w:val="0"/>
          <w:sz w:val="17"/>
          <w:szCs w:val="17"/>
        </w:rPr>
        <w:t>在快速增长的产业形势下，公司考虑在有机成长的同时，适时通过投资并购国内外北斗运营平台、车载终端以及相关产业链 厂商或与海内知名厂商进行合作开发的方式，加快公司战略落地，快速占领市场，为公司的长期可持续成长奠定基础。</w:t>
      </w:r>
    </w:p>
    <w:p>
      <w:pPr>
        <w:pStyle w:val="Style22"/>
        <w:keepNext/>
        <w:keepLines/>
        <w:widowControl w:val="0"/>
        <w:shd w:val="clear" w:color="auto" w:fill="auto"/>
        <w:bidi w:val="0"/>
        <w:spacing w:before="0" w:after="380" w:line="240" w:lineRule="auto"/>
        <w:ind w:left="0" w:right="0" w:firstLine="0"/>
        <w:jc w:val="both"/>
      </w:pPr>
      <w:bookmarkStart w:id="248" w:name="bookmark248"/>
      <w:bookmarkStart w:id="249" w:name="bookmark249"/>
      <w:bookmarkStart w:id="250" w:name="bookmark250"/>
      <w:r>
        <w:rPr>
          <w:color w:val="000000"/>
          <w:spacing w:val="0"/>
          <w:w w:val="100"/>
          <w:position w:val="0"/>
        </w:rPr>
        <w:t>十二、报告期内接待调研、沟通、采访等活动登记表</w:t>
      </w:r>
      <w:bookmarkEnd w:id="248"/>
      <w:bookmarkEnd w:id="249"/>
      <w:bookmarkEnd w:id="250"/>
    </w:p>
    <w:p>
      <w:pPr>
        <w:pStyle w:val="Style24"/>
        <w:keepNext w:val="0"/>
        <w:keepLines w:val="0"/>
        <w:widowControl w:val="0"/>
        <w:shd w:val="clear" w:color="auto" w:fill="auto"/>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公司报告期内未发生接待调研、沟通、采访等活动。</w:t>
      </w:r>
    </w:p>
    <w:p>
      <w:pPr>
        <w:pStyle w:val="Style10"/>
        <w:keepNext/>
        <w:keepLines/>
        <w:widowControl w:val="0"/>
        <w:shd w:val="clear" w:color="auto" w:fill="auto"/>
        <w:bidi w:val="0"/>
        <w:spacing w:before="0" w:after="560" w:line="240" w:lineRule="auto"/>
        <w:ind w:left="0" w:right="0" w:firstLine="0"/>
        <w:jc w:val="center"/>
      </w:pPr>
      <w:bookmarkStart w:id="251" w:name="bookmark251"/>
      <w:bookmarkStart w:id="252" w:name="bookmark252"/>
      <w:bookmarkStart w:id="253" w:name="bookmark253"/>
      <w:r>
        <w:rPr>
          <w:color w:val="000000"/>
          <w:spacing w:val="0"/>
          <w:w w:val="100"/>
          <w:position w:val="0"/>
        </w:rPr>
        <w:t>第四节公司治理</w:t>
      </w:r>
      <w:bookmarkEnd w:id="251"/>
      <w:bookmarkEnd w:id="252"/>
      <w:bookmarkEnd w:id="253"/>
    </w:p>
    <w:p>
      <w:pPr>
        <w:pStyle w:val="Style22"/>
        <w:keepNext/>
        <w:keepLines/>
        <w:widowControl w:val="0"/>
        <w:shd w:val="clear" w:color="auto" w:fill="auto"/>
        <w:bidi w:val="0"/>
        <w:spacing w:before="0" w:after="260" w:line="240" w:lineRule="auto"/>
        <w:ind w:left="0" w:right="0" w:firstLine="0"/>
        <w:jc w:val="left"/>
      </w:pPr>
      <w:bookmarkStart w:id="254" w:name="bookmark254"/>
      <w:bookmarkStart w:id="255" w:name="bookmark255"/>
      <w:bookmarkStart w:id="256" w:name="bookmark256"/>
      <w:bookmarkStart w:id="257" w:name="bookmark257"/>
      <w:bookmarkStart w:id="258" w:name="bookmark258"/>
      <w:r>
        <w:rPr>
          <w:color w:val="000000"/>
          <w:spacing w:val="0"/>
          <w:w w:val="100"/>
          <w:position w:val="0"/>
        </w:rPr>
        <w:t>一</w:t>
      </w:r>
      <w:bookmarkEnd w:id="257"/>
      <w:r>
        <w:rPr>
          <w:color w:val="000000"/>
          <w:spacing w:val="0"/>
          <w:w w:val="100"/>
          <w:position w:val="0"/>
        </w:rPr>
        <w:t>、公司治理的基本状况</w:t>
      </w:r>
      <w:bookmarkEnd w:id="255"/>
      <w:bookmarkEnd w:id="256"/>
      <w:bookmarkEnd w:id="258"/>
      <w:bookmarkEnd w:id="254"/>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报告期内，公司严格按照《公司法》、《证券法》、《上市公司治理准则》、《深圳证券交易所创业板股票上市规则》、《深 圳证券交易所创业板上市公司规范运作指引》等法律、法规和中国证监会有关法律法规等的要求，不断完善公司的法人治理 结构，建立健全公司内部管理和控制制度，持续深入开展公司治理活动，促进了公司规范运作，提高了公司治理水平。截至 报告期末，公司治理的实际状况符合《上市公司治理准则》和《深圳证券交易所创业板上市公司规范运作指引》等要求，在 企业管理各个流程、重大事项、重大风险等方面发挥了较好的控制和防范作用。</w:t>
      </w:r>
    </w:p>
    <w:p>
      <w:pPr>
        <w:pStyle w:val="Style24"/>
        <w:keepNext w:val="0"/>
        <w:keepLines w:val="0"/>
        <w:widowControl w:val="0"/>
        <w:shd w:val="clear" w:color="auto" w:fill="auto"/>
        <w:tabs>
          <w:tab w:pos="417" w:val="left"/>
        </w:tabs>
        <w:bidi w:val="0"/>
        <w:spacing w:before="0" w:after="0" w:line="312" w:lineRule="exact"/>
        <w:ind w:left="0" w:right="0" w:firstLine="0"/>
        <w:jc w:val="both"/>
        <w:rPr>
          <w:sz w:val="17"/>
          <w:szCs w:val="17"/>
        </w:rPr>
      </w:pPr>
      <w:bookmarkStart w:id="259" w:name="bookmark259"/>
      <w:r>
        <w:rPr>
          <w:color w:val="000000"/>
          <w:spacing w:val="0"/>
          <w:w w:val="100"/>
          <w:position w:val="0"/>
          <w:sz w:val="17"/>
          <w:szCs w:val="17"/>
        </w:rPr>
        <w:t>一</w:t>
      </w:r>
      <w:bookmarkEnd w:id="259"/>
      <w:r>
        <w:rPr>
          <w:color w:val="000000"/>
          <w:spacing w:val="0"/>
          <w:w w:val="100"/>
          <w:position w:val="0"/>
          <w:sz w:val="17"/>
          <w:szCs w:val="17"/>
        </w:rPr>
        <w:t>、</w:t>
        <w:tab/>
        <w:t>关于股东与股东大会</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公司严格按照《公司法》、《上市公司股东大会规则》、《深圳证券交易所创业板上市公司规范运作指引》、《公司章程》 和公司《股东大会议事规则》等的规定和要求召集、召开股东大会，能够确保全体股东特别是中小股东享有平等地位，充分 行使自己的权力。同时，公司聘请专业律师见证股东大会，确保会议召集召开以及表决程序符合相关法律规定，维护股东的 合法权益。报告期内公司共召开了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次年度股东大会，</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次临时股东大会，会议均由董事会召集召开。</w:t>
      </w:r>
    </w:p>
    <w:p>
      <w:pPr>
        <w:pStyle w:val="Style24"/>
        <w:keepNext w:val="0"/>
        <w:keepLines w:val="0"/>
        <w:widowControl w:val="0"/>
        <w:shd w:val="clear" w:color="auto" w:fill="auto"/>
        <w:tabs>
          <w:tab w:pos="417" w:val="left"/>
        </w:tabs>
        <w:bidi w:val="0"/>
        <w:spacing w:before="0" w:after="0" w:line="312" w:lineRule="exact"/>
        <w:ind w:left="0" w:right="0" w:firstLine="0"/>
        <w:jc w:val="both"/>
        <w:rPr>
          <w:sz w:val="17"/>
          <w:szCs w:val="17"/>
        </w:rPr>
      </w:pPr>
      <w:bookmarkStart w:id="260" w:name="bookmark260"/>
      <w:r>
        <w:rPr>
          <w:color w:val="000000"/>
          <w:spacing w:val="0"/>
          <w:w w:val="100"/>
          <w:position w:val="0"/>
          <w:sz w:val="17"/>
          <w:szCs w:val="17"/>
        </w:rPr>
        <w:t>二</w:t>
      </w:r>
      <w:bookmarkEnd w:id="260"/>
      <w:r>
        <w:rPr>
          <w:color w:val="000000"/>
          <w:spacing w:val="0"/>
          <w:w w:val="100"/>
          <w:position w:val="0"/>
          <w:sz w:val="17"/>
          <w:szCs w:val="17"/>
        </w:rPr>
        <w:t>、</w:t>
        <w:tab/>
        <w:t>关于公司与控股股东</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公司控股股东能严格规范自己的行为，通过股东大会依法行使其权利并承担义务，没有超越股东大会直接或间接干预公司经 营活动。报告期内，公司没有为控股股东提供担保，亦不存在控股股东非经营性占用公司资金的行为。公司拥有独立完整的 业务和自主经营能力，在业务、人员、资产、机构、财务上独立于控股股东。</w:t>
      </w:r>
    </w:p>
    <w:p>
      <w:pPr>
        <w:pStyle w:val="Style24"/>
        <w:keepNext w:val="0"/>
        <w:keepLines w:val="0"/>
        <w:widowControl w:val="0"/>
        <w:shd w:val="clear" w:color="auto" w:fill="auto"/>
        <w:tabs>
          <w:tab w:pos="417" w:val="left"/>
        </w:tabs>
        <w:bidi w:val="0"/>
        <w:spacing w:before="0" w:after="0" w:line="312" w:lineRule="exact"/>
        <w:ind w:left="0" w:right="0" w:firstLine="0"/>
        <w:jc w:val="both"/>
        <w:rPr>
          <w:sz w:val="17"/>
          <w:szCs w:val="17"/>
        </w:rPr>
      </w:pPr>
      <w:bookmarkStart w:id="261" w:name="bookmark261"/>
      <w:r>
        <w:rPr>
          <w:color w:val="000000"/>
          <w:spacing w:val="0"/>
          <w:w w:val="100"/>
          <w:position w:val="0"/>
          <w:sz w:val="17"/>
          <w:szCs w:val="17"/>
        </w:rPr>
        <w:t>三</w:t>
      </w:r>
      <w:bookmarkEnd w:id="261"/>
      <w:r>
        <w:rPr>
          <w:color w:val="000000"/>
          <w:spacing w:val="0"/>
          <w:w w:val="100"/>
          <w:position w:val="0"/>
          <w:sz w:val="17"/>
          <w:szCs w:val="17"/>
        </w:rPr>
        <w:t>、</w:t>
        <w:tab/>
        <w:t>关于董事和董事</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公司已制定《董事会议事规则》、《独立董事制度》等制度确保董事会规范、高效运作和审慎、科学决策。公司董事会由九 名成员组成，其中独立董事三名，董事会成员具有履行职务所必需的知识、技能和素质，按规定出席董事会和股东大会，勤 勉尽责的履行职责和义务，同时积极参加相关培训，熟悉相关法律法规。报告期共召开董事会会议</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次。公司董事会会议能 够按照有关规定召集、召开，记录完整、准确，并妥善保存。</w:t>
      </w:r>
    </w:p>
    <w:p>
      <w:pPr>
        <w:pStyle w:val="Style24"/>
        <w:keepNext w:val="0"/>
        <w:keepLines w:val="0"/>
        <w:widowControl w:val="0"/>
        <w:shd w:val="clear" w:color="auto" w:fill="auto"/>
        <w:tabs>
          <w:tab w:pos="417" w:val="left"/>
        </w:tabs>
        <w:bidi w:val="0"/>
        <w:spacing w:before="0" w:after="0" w:line="312" w:lineRule="exact"/>
        <w:ind w:left="0" w:right="0" w:firstLine="0"/>
        <w:jc w:val="both"/>
        <w:rPr>
          <w:sz w:val="17"/>
          <w:szCs w:val="17"/>
        </w:rPr>
      </w:pPr>
      <w:bookmarkStart w:id="262" w:name="bookmark262"/>
      <w:r>
        <w:rPr>
          <w:color w:val="000000"/>
          <w:spacing w:val="0"/>
          <w:w w:val="100"/>
          <w:position w:val="0"/>
          <w:sz w:val="17"/>
          <w:szCs w:val="17"/>
        </w:rPr>
        <w:t>四</w:t>
      </w:r>
      <w:bookmarkEnd w:id="262"/>
      <w:r>
        <w:rPr>
          <w:color w:val="000000"/>
          <w:spacing w:val="0"/>
          <w:w w:val="100"/>
          <w:position w:val="0"/>
          <w:sz w:val="17"/>
          <w:szCs w:val="17"/>
        </w:rPr>
        <w:t>、</w:t>
        <w:tab/>
        <w:t>关于监事与监事会</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名，监事会的人数和构成符合法律、法规的要求。各位监事严格按照《公司法》、《公 司章程》和《监事会议事规则》的有关规定认真履行职责，对公司财务状况、重大事项以及公司董事及高级管理人员履行职 责的合法合规性等进行监督，维护公司及股东的合法权益。报告期内，公司共召开</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次监事会，会议均由监事会主席召集召 开。</w:t>
      </w:r>
    </w:p>
    <w:p>
      <w:pPr>
        <w:pStyle w:val="Style24"/>
        <w:keepNext w:val="0"/>
        <w:keepLines w:val="0"/>
        <w:widowControl w:val="0"/>
        <w:shd w:val="clear" w:color="auto" w:fill="auto"/>
        <w:tabs>
          <w:tab w:pos="417" w:val="left"/>
        </w:tabs>
        <w:bidi w:val="0"/>
        <w:spacing w:before="0" w:after="0" w:line="312" w:lineRule="exact"/>
        <w:ind w:left="0" w:right="0" w:firstLine="0"/>
        <w:jc w:val="both"/>
        <w:rPr>
          <w:sz w:val="17"/>
          <w:szCs w:val="17"/>
        </w:rPr>
      </w:pPr>
      <w:bookmarkStart w:id="263" w:name="bookmark263"/>
      <w:r>
        <w:rPr>
          <w:color w:val="000000"/>
          <w:spacing w:val="0"/>
          <w:w w:val="100"/>
          <w:position w:val="0"/>
          <w:sz w:val="17"/>
          <w:szCs w:val="17"/>
        </w:rPr>
        <w:t>五</w:t>
      </w:r>
      <w:bookmarkEnd w:id="263"/>
      <w:r>
        <w:rPr>
          <w:color w:val="000000"/>
          <w:spacing w:val="0"/>
          <w:w w:val="100"/>
          <w:position w:val="0"/>
          <w:sz w:val="17"/>
          <w:szCs w:val="17"/>
        </w:rPr>
        <w:t>、</w:t>
        <w:tab/>
        <w:t>关于信息披露与透明度</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公司严格按照有关法律法规和公司《信息披露管理制度》的规定，加强信息披露事务管理，履行信息披露义务，并指定《证 券时报》、《中国证券报》和中国证监会指定的创业板信息披露网站（巨潮资讯网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为公司信息披露报 纸和网站，真实、准确、及时、完整的披露信息，确保所有投资者公平获取公司信息。</w:t>
      </w:r>
    </w:p>
    <w:p>
      <w:pPr>
        <w:pStyle w:val="Style24"/>
        <w:keepNext w:val="0"/>
        <w:keepLines w:val="0"/>
        <w:widowControl w:val="0"/>
        <w:shd w:val="clear" w:color="auto" w:fill="auto"/>
        <w:tabs>
          <w:tab w:pos="417" w:val="left"/>
        </w:tabs>
        <w:bidi w:val="0"/>
        <w:spacing w:before="0" w:after="0" w:line="312" w:lineRule="exact"/>
        <w:ind w:left="0" w:right="0" w:firstLine="0"/>
        <w:jc w:val="both"/>
        <w:rPr>
          <w:sz w:val="17"/>
          <w:szCs w:val="17"/>
        </w:rPr>
      </w:pPr>
      <w:bookmarkStart w:id="264" w:name="bookmark264"/>
      <w:r>
        <w:rPr>
          <w:color w:val="000000"/>
          <w:spacing w:val="0"/>
          <w:w w:val="100"/>
          <w:position w:val="0"/>
          <w:sz w:val="17"/>
          <w:szCs w:val="17"/>
        </w:rPr>
        <w:t>六</w:t>
      </w:r>
      <w:bookmarkEnd w:id="264"/>
      <w:r>
        <w:rPr>
          <w:color w:val="000000"/>
          <w:spacing w:val="0"/>
          <w:w w:val="100"/>
          <w:position w:val="0"/>
          <w:sz w:val="17"/>
          <w:szCs w:val="17"/>
        </w:rPr>
        <w:t>、</w:t>
        <w:tab/>
        <w:t>关于绩效评价与激励约束机制</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公司已建立了有效的绩效评价和激励约束机制，公司实行高管人员薪酬与企业经营目标和个人绩效挂钩的薪酬福利，公司现 有的考核及激励约束机制符合公司的发展现状。</w:t>
      </w:r>
    </w:p>
    <w:p>
      <w:pPr>
        <w:pStyle w:val="Style24"/>
        <w:keepNext w:val="0"/>
        <w:keepLines w:val="0"/>
        <w:widowControl w:val="0"/>
        <w:shd w:val="clear" w:color="auto" w:fill="auto"/>
        <w:tabs>
          <w:tab w:pos="417" w:val="left"/>
        </w:tabs>
        <w:bidi w:val="0"/>
        <w:spacing w:before="0" w:after="0" w:line="312" w:lineRule="exact"/>
        <w:ind w:left="0" w:right="0" w:firstLine="0"/>
        <w:jc w:val="both"/>
        <w:rPr>
          <w:sz w:val="17"/>
          <w:szCs w:val="17"/>
        </w:rPr>
      </w:pPr>
      <w:bookmarkStart w:id="265" w:name="bookmark265"/>
      <w:r>
        <w:rPr>
          <w:color w:val="000000"/>
          <w:spacing w:val="0"/>
          <w:w w:val="100"/>
          <w:position w:val="0"/>
          <w:sz w:val="17"/>
          <w:szCs w:val="17"/>
        </w:rPr>
        <w:t>七</w:t>
      </w:r>
      <w:bookmarkEnd w:id="265"/>
      <w:r>
        <w:rPr>
          <w:color w:val="000000"/>
          <w:spacing w:val="0"/>
          <w:w w:val="100"/>
          <w:position w:val="0"/>
          <w:sz w:val="17"/>
          <w:szCs w:val="17"/>
        </w:rPr>
        <w:t>、</w:t>
        <w:tab/>
        <w:t>关于相关利益者</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公司充分尊重和维护相关利益者的合法权益，实现股东、员工、社会等各方利益的协调平衡，诚信对待供应商和客户，坚持 与相关利益者互利共赢的原则，共同推动公司持续、稳健发展。</w:t>
      </w:r>
    </w:p>
    <w:p>
      <w:pPr>
        <w:pStyle w:val="Style24"/>
        <w:keepNext w:val="0"/>
        <w:keepLines w:val="0"/>
        <w:widowControl w:val="0"/>
        <w:shd w:val="clear" w:color="auto" w:fill="auto"/>
        <w:bidi w:val="0"/>
        <w:spacing w:before="0" w:after="140" w:line="312" w:lineRule="exact"/>
        <w:ind w:left="0" w:right="0" w:firstLine="0"/>
        <w:jc w:val="both"/>
        <w:rPr>
          <w:sz w:val="17"/>
          <w:szCs w:val="17"/>
        </w:rPr>
      </w:pPr>
      <w:r>
        <w:rPr>
          <w:color w:val="000000"/>
          <w:spacing w:val="0"/>
          <w:w w:val="100"/>
          <w:position w:val="0"/>
          <w:sz w:val="17"/>
          <w:szCs w:val="17"/>
        </w:rPr>
        <w:t>公司治理的实际状况与法律、行政法规和中国证监会发布的关于上市公司治理的规定是否存在重大差异</w:t>
      </w:r>
    </w:p>
    <w:p>
      <w:pPr>
        <w:pStyle w:val="Style24"/>
        <w:keepNext w:val="0"/>
        <w:keepLines w:val="0"/>
        <w:widowControl w:val="0"/>
        <w:shd w:val="clear" w:color="auto" w:fill="auto"/>
        <w:bidi w:val="0"/>
        <w:spacing w:before="0" w:after="0"/>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公司治理的实际状况与法律、行政法规和中国证监会发布的关于上市公司治理的规定不存在重大差异。</w:t>
      </w:r>
    </w:p>
    <w:p>
      <w:pPr>
        <w:pStyle w:val="Style22"/>
        <w:keepNext/>
        <w:keepLines/>
        <w:widowControl w:val="0"/>
        <w:shd w:val="clear" w:color="auto" w:fill="auto"/>
        <w:bidi w:val="0"/>
        <w:spacing w:before="0" w:after="240" w:line="322" w:lineRule="exact"/>
        <w:ind w:left="0" w:right="0" w:firstLine="0"/>
        <w:jc w:val="both"/>
      </w:pPr>
      <w:bookmarkStart w:id="266" w:name="bookmark266"/>
      <w:bookmarkStart w:id="267" w:name="bookmark267"/>
      <w:bookmarkStart w:id="268" w:name="bookmark268"/>
      <w:bookmarkStart w:id="269" w:name="bookmark269"/>
      <w:r>
        <w:rPr>
          <w:color w:val="000000"/>
          <w:spacing w:val="0"/>
          <w:w w:val="100"/>
          <w:position w:val="0"/>
        </w:rPr>
        <w:t>二</w:t>
      </w:r>
      <w:bookmarkEnd w:id="268"/>
      <w:r>
        <w:rPr>
          <w:color w:val="000000"/>
          <w:spacing w:val="0"/>
          <w:w w:val="100"/>
          <w:position w:val="0"/>
        </w:rPr>
        <w:t>、公司相对于控股股东、实际控制人在保证公司资产、人员、财务、机构、业务等方面的 独立情况</w:t>
      </w:r>
      <w:bookmarkEnd w:id="266"/>
      <w:bookmarkEnd w:id="267"/>
      <w:bookmarkEnd w:id="269"/>
    </w:p>
    <w:p>
      <w:pPr>
        <w:pStyle w:val="Style24"/>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公司严格按照《公司法》、《证券法》等有关法律、法规和《公司章程》以及深圳证券交易所上市公司自律监管指引第</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号—创业板上市公司规范运作要求，与控股股东在业务、人员、资产、机构、财务等方面完全独立，具有独立完整的业务 及自主经营能力。</w:t>
      </w:r>
    </w:p>
    <w:p>
      <w:pPr>
        <w:pStyle w:val="Style24"/>
        <w:keepNext w:val="0"/>
        <w:keepLines w:val="0"/>
        <w:widowControl w:val="0"/>
        <w:shd w:val="clear" w:color="auto" w:fill="auto"/>
        <w:tabs>
          <w:tab w:pos="299" w:val="left"/>
        </w:tabs>
        <w:bidi w:val="0"/>
        <w:spacing w:before="0" w:after="0" w:line="316" w:lineRule="exact"/>
        <w:ind w:left="0" w:right="0" w:firstLine="0"/>
        <w:jc w:val="both"/>
        <w:rPr>
          <w:sz w:val="17"/>
          <w:szCs w:val="17"/>
        </w:rPr>
      </w:pPr>
      <w:bookmarkStart w:id="270" w:name="bookmark270"/>
      <w:r>
        <w:rPr>
          <w:rFonts w:ascii="Times New Roman" w:eastAsia="Times New Roman" w:hAnsi="Times New Roman" w:cs="Times New Roman"/>
          <w:color w:val="000000"/>
          <w:spacing w:val="0"/>
          <w:w w:val="100"/>
          <w:position w:val="0"/>
          <w:sz w:val="18"/>
          <w:szCs w:val="18"/>
        </w:rPr>
        <w:t>1</w:t>
      </w:r>
      <w:bookmarkEnd w:id="270"/>
      <w:r>
        <w:rPr>
          <w:color w:val="000000"/>
          <w:spacing w:val="0"/>
          <w:w w:val="100"/>
          <w:position w:val="0"/>
          <w:sz w:val="17"/>
          <w:szCs w:val="17"/>
        </w:rPr>
        <w:t>、</w:t>
        <w:tab/>
        <w:t>公司的人员独立：公司的董事、监事、高级管理人员以及公司其他核心管理人员均严格按照法定程序产生和聘用。本公 司已建立独立的劳动、人事、社会保障体系及工资管理体系，与员工签订了劳动合同，并按国家规定办理了社会保险。除本 公司总裁兼任公司第一大股东的执行董事外，公司财务总监和董事会秘书均未在本公司的控股股东、实际控制人及其控制的 其他企业中担任除董事、监事以外的其他职务，且均未在本公司的控股股东、实际控制人及其控制的其他企业领薪。本公司 的财务人员也未在本公司的控股股东、实际控制人及其控制的其他企业中兼职。</w:t>
      </w:r>
    </w:p>
    <w:p>
      <w:pPr>
        <w:pStyle w:val="Style24"/>
        <w:keepNext w:val="0"/>
        <w:keepLines w:val="0"/>
        <w:widowControl w:val="0"/>
        <w:shd w:val="clear" w:color="auto" w:fill="auto"/>
        <w:bidi w:val="0"/>
        <w:spacing w:before="0" w:after="0" w:line="316" w:lineRule="exact"/>
        <w:ind w:left="0" w:right="0" w:firstLine="0"/>
        <w:jc w:val="both"/>
        <w:rPr>
          <w:sz w:val="17"/>
          <w:szCs w:val="17"/>
        </w:rPr>
      </w:pPr>
      <w:bookmarkStart w:id="271" w:name="bookmark271"/>
      <w:r>
        <w:rPr>
          <w:rFonts w:ascii="Times New Roman" w:eastAsia="Times New Roman" w:hAnsi="Times New Roman" w:cs="Times New Roman"/>
          <w:color w:val="000000"/>
          <w:spacing w:val="0"/>
          <w:w w:val="100"/>
          <w:position w:val="0"/>
          <w:sz w:val="18"/>
          <w:szCs w:val="18"/>
        </w:rPr>
        <w:t>2</w:t>
      </w:r>
      <w:bookmarkEnd w:id="271"/>
      <w:r>
        <w:rPr>
          <w:color w:val="000000"/>
          <w:spacing w:val="0"/>
          <w:w w:val="100"/>
          <w:position w:val="0"/>
          <w:sz w:val="17"/>
          <w:szCs w:val="17"/>
        </w:rPr>
        <w:t>、 公司的资产独立完整、权属清晰：公司拥有独立的经营和办公场所，拥有经营所需的设备和其他资产，合法拥有与生产 经营有关的注册商标、专利、非专利技术、著作权的所有权或使用权，与公司股东及实际控制人的资产完全分离，产权关系 清晰，公司的资产独立完整。</w:t>
      </w:r>
    </w:p>
    <w:p>
      <w:pPr>
        <w:pStyle w:val="Style24"/>
        <w:keepNext w:val="0"/>
        <w:keepLines w:val="0"/>
        <w:widowControl w:val="0"/>
        <w:shd w:val="clear" w:color="auto" w:fill="auto"/>
        <w:bidi w:val="0"/>
        <w:spacing w:before="0" w:after="0" w:line="316" w:lineRule="exact"/>
        <w:ind w:left="0" w:right="0" w:firstLine="0"/>
        <w:jc w:val="both"/>
        <w:rPr>
          <w:sz w:val="17"/>
          <w:szCs w:val="17"/>
        </w:rPr>
      </w:pPr>
      <w:bookmarkStart w:id="272" w:name="bookmark272"/>
      <w:r>
        <w:rPr>
          <w:rFonts w:ascii="Times New Roman" w:eastAsia="Times New Roman" w:hAnsi="Times New Roman" w:cs="Times New Roman"/>
          <w:color w:val="000000"/>
          <w:spacing w:val="0"/>
          <w:w w:val="100"/>
          <w:position w:val="0"/>
          <w:sz w:val="18"/>
          <w:szCs w:val="18"/>
        </w:rPr>
        <w:t>3</w:t>
      </w:r>
      <w:bookmarkEnd w:id="272"/>
      <w:r>
        <w:rPr>
          <w:color w:val="000000"/>
          <w:spacing w:val="0"/>
          <w:w w:val="100"/>
          <w:position w:val="0"/>
          <w:sz w:val="17"/>
          <w:szCs w:val="17"/>
        </w:rPr>
        <w:t>、 公司财务独立：公司建立了独立的财务部门以及独立的财务核算体系，能够独立作出财务决策，具有规范、独立的财务 会计制度和对分支机构的财务管理制度，并拥有独立的财务会计账簿。公司拥有独立的银行帐户，未与其股东或关联企业共 用银行帐户。</w:t>
      </w:r>
    </w:p>
    <w:p>
      <w:pPr>
        <w:pStyle w:val="Style24"/>
        <w:keepNext w:val="0"/>
        <w:keepLines w:val="0"/>
        <w:widowControl w:val="0"/>
        <w:shd w:val="clear" w:color="auto" w:fill="auto"/>
        <w:bidi w:val="0"/>
        <w:spacing w:before="0" w:after="0" w:line="316" w:lineRule="exact"/>
        <w:ind w:left="0" w:right="0" w:firstLine="0"/>
        <w:jc w:val="both"/>
        <w:rPr>
          <w:sz w:val="17"/>
          <w:szCs w:val="17"/>
        </w:rPr>
      </w:pPr>
      <w:bookmarkStart w:id="273" w:name="bookmark273"/>
      <w:r>
        <w:rPr>
          <w:rFonts w:ascii="Times New Roman" w:eastAsia="Times New Roman" w:hAnsi="Times New Roman" w:cs="Times New Roman"/>
          <w:color w:val="000000"/>
          <w:spacing w:val="0"/>
          <w:w w:val="100"/>
          <w:position w:val="0"/>
          <w:sz w:val="18"/>
          <w:szCs w:val="18"/>
        </w:rPr>
        <w:t>4</w:t>
      </w:r>
      <w:bookmarkEnd w:id="273"/>
      <w:r>
        <w:rPr>
          <w:color w:val="000000"/>
          <w:spacing w:val="0"/>
          <w:w w:val="100"/>
          <w:position w:val="0"/>
          <w:sz w:val="17"/>
          <w:szCs w:val="17"/>
        </w:rPr>
        <w:t>、 公司机构独立：公司按照有关法律、法规、《公司章程》设立的董事会、监事会，均分别对公司股东大会负责。公司的 机构独立于股东的机构，不存在与股东合署办公的情况。公司已建立健全内部经营管理机构，独立行使经营管理职权，不存 在与股东机构混同的情形。</w:t>
      </w:r>
    </w:p>
    <w:p>
      <w:pPr>
        <w:pStyle w:val="Style24"/>
        <w:keepNext w:val="0"/>
        <w:keepLines w:val="0"/>
        <w:widowControl w:val="0"/>
        <w:shd w:val="clear" w:color="auto" w:fill="auto"/>
        <w:bidi w:val="0"/>
        <w:spacing w:before="0" w:after="1000" w:line="316" w:lineRule="exact"/>
        <w:ind w:left="0" w:right="0" w:firstLine="0"/>
        <w:jc w:val="both"/>
        <w:rPr>
          <w:sz w:val="17"/>
          <w:szCs w:val="17"/>
        </w:rPr>
      </w:pPr>
      <w:bookmarkStart w:id="274" w:name="bookmark274"/>
      <w:r>
        <w:rPr>
          <w:rFonts w:ascii="Times New Roman" w:eastAsia="Times New Roman" w:hAnsi="Times New Roman" w:cs="Times New Roman"/>
          <w:color w:val="000000"/>
          <w:spacing w:val="0"/>
          <w:w w:val="100"/>
          <w:position w:val="0"/>
          <w:sz w:val="18"/>
          <w:szCs w:val="18"/>
        </w:rPr>
        <w:t>5</w:t>
      </w:r>
      <w:bookmarkEnd w:id="274"/>
      <w:r>
        <w:rPr>
          <w:color w:val="000000"/>
          <w:spacing w:val="0"/>
          <w:w w:val="100"/>
          <w:position w:val="0"/>
          <w:sz w:val="17"/>
          <w:szCs w:val="17"/>
        </w:rPr>
        <w:t>、 公司业务独立：公司和各控股子公司通过自身开展生产、销售业务，拥有完整的业务体系。公司独立开展业务，具备直 接面向市场独立经营的能力。公司的业务独立于控股股东、实际控制人以及其他关联方，与控股股东、实际控制人不存在同 业竞争或者显失公平的关联交易。</w:t>
      </w:r>
    </w:p>
    <w:p>
      <w:pPr>
        <w:pStyle w:val="Style22"/>
        <w:keepNext/>
        <w:keepLines/>
        <w:widowControl w:val="0"/>
        <w:shd w:val="clear" w:color="auto" w:fill="auto"/>
        <w:tabs>
          <w:tab w:pos="482" w:val="left"/>
        </w:tabs>
        <w:bidi w:val="0"/>
        <w:spacing w:before="0" w:line="240" w:lineRule="auto"/>
        <w:ind w:left="0" w:right="0" w:firstLine="0"/>
        <w:jc w:val="both"/>
      </w:pPr>
      <w:bookmarkStart w:id="275" w:name="bookmark275"/>
      <w:bookmarkStart w:id="276" w:name="bookmark276"/>
      <w:bookmarkStart w:id="277" w:name="bookmark277"/>
      <w:bookmarkStart w:id="278" w:name="bookmark278"/>
      <w:r>
        <w:rPr>
          <w:color w:val="000000"/>
          <w:spacing w:val="0"/>
          <w:w w:val="100"/>
          <w:position w:val="0"/>
        </w:rPr>
        <w:t>三</w:t>
      </w:r>
      <w:bookmarkEnd w:id="277"/>
      <w:r>
        <w:rPr>
          <w:color w:val="000000"/>
          <w:spacing w:val="0"/>
          <w:w w:val="100"/>
          <w:position w:val="0"/>
        </w:rPr>
        <w:t>、</w:t>
        <w:tab/>
        <w:t>同业竞争情况</w:t>
      </w:r>
      <w:bookmarkEnd w:id="275"/>
      <w:bookmarkEnd w:id="276"/>
      <w:bookmarkEnd w:id="278"/>
    </w:p>
    <w:p>
      <w:pPr>
        <w:pStyle w:val="Style24"/>
        <w:keepNext w:val="0"/>
        <w:keepLines w:val="0"/>
        <w:widowControl w:val="0"/>
        <w:shd w:val="clear" w:color="auto" w:fill="auto"/>
        <w:bidi w:val="0"/>
        <w:spacing w:before="0" w:after="36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tabs>
          <w:tab w:pos="482" w:val="left"/>
        </w:tabs>
        <w:bidi w:val="0"/>
        <w:spacing w:before="0" w:line="240" w:lineRule="auto"/>
        <w:ind w:left="0" w:right="0" w:firstLine="0"/>
        <w:jc w:val="both"/>
      </w:pPr>
      <w:bookmarkStart w:id="279" w:name="bookmark279"/>
      <w:bookmarkStart w:id="280" w:name="bookmark280"/>
      <w:bookmarkStart w:id="281" w:name="bookmark281"/>
      <w:bookmarkStart w:id="282" w:name="bookmark282"/>
      <w:r>
        <w:rPr>
          <w:color w:val="000000"/>
          <w:spacing w:val="0"/>
          <w:w w:val="100"/>
          <w:position w:val="0"/>
        </w:rPr>
        <w:t>四</w:t>
      </w:r>
      <w:bookmarkEnd w:id="281"/>
      <w:r>
        <w:rPr>
          <w:color w:val="000000"/>
          <w:spacing w:val="0"/>
          <w:w w:val="100"/>
          <w:position w:val="0"/>
        </w:rPr>
        <w:t>、</w:t>
        <w:tab/>
        <w:t>报告期内召开的年度股东大会和临时股东大会的有关情况</w:t>
      </w:r>
      <w:bookmarkEnd w:id="279"/>
      <w:bookmarkEnd w:id="280"/>
      <w:bookmarkEnd w:id="282"/>
    </w:p>
    <w:p>
      <w:pPr>
        <w:pStyle w:val="Style28"/>
        <w:keepNext/>
        <w:keepLines/>
        <w:widowControl w:val="0"/>
        <w:shd w:val="clear" w:color="auto" w:fill="auto"/>
        <w:bidi w:val="0"/>
        <w:spacing w:before="0" w:after="320" w:line="240" w:lineRule="auto"/>
        <w:ind w:left="0" w:right="0" w:firstLine="0"/>
        <w:jc w:val="both"/>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、本报告期股东大会情况</w:t>
      </w:r>
      <w:bookmarkEnd w:id="283"/>
      <w:bookmarkEnd w:id="284"/>
      <w:bookmarkEnd w:id="286"/>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 时股东大会决议公 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2021-015</w:t>
            </w:r>
            <w:r>
              <w:rPr>
                <w:color w:val="000000"/>
                <w:spacing w:val="0"/>
                <w:w w:val="100"/>
                <w:position w:val="0"/>
                <w:sz w:val="17"/>
                <w:szCs w:val="17"/>
              </w:rPr>
              <w:t>）</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 会决议公告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大会决议公告》</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2021-042</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34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 时股东大会决议公 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2021-056</w:t>
            </w:r>
            <w:r>
              <w:rPr>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年第三次临 时股东大会决议公 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2021-069</w:t>
            </w:r>
            <w:r>
              <w:rPr>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年第四次临时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年第四次临 时股东大会决议公 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2021-086</w:t>
            </w:r>
            <w:r>
              <w:rPr>
                <w:color w:val="000000"/>
                <w:spacing w:val="0"/>
                <w:w w:val="100"/>
                <w:position w:val="0"/>
                <w:sz w:val="17"/>
                <w:szCs w:val="17"/>
              </w:rPr>
              <w:t>）</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年第五次临时 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年第五次临 时股东大会决议公 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2021-100</w:t>
            </w:r>
            <w:r>
              <w:rPr>
                <w:color w:val="000000"/>
                <w:spacing w:val="0"/>
                <w:w w:val="100"/>
                <w:position w:val="0"/>
                <w:sz w:val="17"/>
                <w:szCs w:val="17"/>
              </w:rPr>
              <w:t>）</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2</w:t>
      </w:r>
      <w:bookmarkEnd w:id="289"/>
      <w:r>
        <w:rPr>
          <w:color w:val="000000"/>
          <w:spacing w:val="0"/>
          <w:w w:val="100"/>
          <w:position w:val="0"/>
        </w:rPr>
        <w:t>、表决权恢复的优先股股东请求召开临时股东大会</w:t>
      </w:r>
      <w:bookmarkEnd w:id="287"/>
      <w:bookmarkEnd w:id="288"/>
      <w:bookmarkEnd w:id="290"/>
    </w:p>
    <w:p>
      <w:pPr>
        <w:pStyle w:val="Style24"/>
        <w:keepNext w:val="0"/>
        <w:keepLines w:val="0"/>
        <w:widowControl w:val="0"/>
        <w:shd w:val="clear" w:color="auto" w:fill="auto"/>
        <w:bidi w:val="0"/>
        <w:spacing w:before="0" w:after="3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五</w:t>
      </w:r>
      <w:bookmarkEnd w:id="293"/>
      <w:r>
        <w:rPr>
          <w:color w:val="000000"/>
          <w:spacing w:val="0"/>
          <w:w w:val="100"/>
          <w:position w:val="0"/>
        </w:rPr>
        <w:t>、</w:t>
        <w:tab/>
        <w:t>公司具有表决权差异安排</w:t>
      </w:r>
      <w:bookmarkEnd w:id="291"/>
      <w:bookmarkEnd w:id="292"/>
      <w:bookmarkEnd w:id="294"/>
    </w:p>
    <w:p>
      <w:pPr>
        <w:pStyle w:val="Style24"/>
        <w:keepNext w:val="0"/>
        <w:keepLines w:val="0"/>
        <w:widowControl w:val="0"/>
        <w:shd w:val="clear" w:color="auto" w:fill="auto"/>
        <w:bidi w:val="0"/>
        <w:spacing w:before="0" w:after="3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六</w:t>
      </w:r>
      <w:bookmarkEnd w:id="297"/>
      <w:r>
        <w:rPr>
          <w:color w:val="000000"/>
          <w:spacing w:val="0"/>
          <w:w w:val="100"/>
          <w:position w:val="0"/>
        </w:rPr>
        <w:t>、</w:t>
        <w:tab/>
        <w:t>红筹架构公司治理情况</w:t>
      </w:r>
      <w:bookmarkEnd w:id="295"/>
      <w:bookmarkEnd w:id="296"/>
      <w:bookmarkEnd w:id="298"/>
    </w:p>
    <w:p>
      <w:pPr>
        <w:pStyle w:val="Style24"/>
        <w:keepNext w:val="0"/>
        <w:keepLines w:val="0"/>
        <w:widowControl w:val="0"/>
        <w:shd w:val="clear" w:color="auto" w:fill="auto"/>
        <w:bidi w:val="0"/>
        <w:spacing w:before="0" w:after="3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tabs>
          <w:tab w:pos="522" w:val="left"/>
        </w:tabs>
        <w:bidi w:val="0"/>
        <w:spacing w:before="0" w:after="38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七</w:t>
      </w:r>
      <w:bookmarkEnd w:id="301"/>
      <w:r>
        <w:rPr>
          <w:color w:val="000000"/>
          <w:spacing w:val="0"/>
          <w:w w:val="100"/>
          <w:position w:val="0"/>
        </w:rPr>
        <w:t>、</w:t>
        <w:tab/>
        <w:t>董事、监事和高级管理人员情况</w:t>
      </w:r>
      <w:bookmarkEnd w:id="299"/>
      <w:bookmarkEnd w:id="300"/>
      <w:bookmarkEnd w:id="302"/>
    </w:p>
    <w:p>
      <w:pPr>
        <w:pStyle w:val="Style28"/>
        <w:keepNext/>
        <w:keepLines/>
        <w:widowControl w:val="0"/>
        <w:shd w:val="clear" w:color="auto" w:fill="auto"/>
        <w:bidi w:val="0"/>
        <w:spacing w:before="0" w:after="34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、基本情况</w:t>
      </w:r>
      <w:bookmarkEnd w:id="303"/>
      <w:bookmarkEnd w:id="304"/>
      <w:bookmarkEnd w:id="306"/>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任期起</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任期终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止日期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期初持</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股数</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本期减</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持股份</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数量</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其他增</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减变动</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 股数 （股）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股份增 减变动 的原因</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董事、董 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27,028,6 79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4,340,00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22,688,6 79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个人资</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金需要</w:t>
            </w:r>
          </w:p>
        </w:tc>
      </w:tr>
      <w:tr>
        <w:trPr>
          <w:trHeight w:val="68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王亚明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260" w:after="0" w:line="240" w:lineRule="auto"/>
              <w:ind w:left="0" w:right="0" w:firstLine="0"/>
              <w:jc w:val="both"/>
              <w:rPr>
                <w:sz w:val="17"/>
                <w:szCs w:val="17"/>
              </w:rPr>
            </w:pPr>
            <w:r>
              <w:rPr>
                <w:color w:val="000000"/>
                <w:spacing w:val="0"/>
                <w:w w:val="100"/>
                <w:position w:val="0"/>
                <w:sz w:val="17"/>
                <w:szCs w:val="17"/>
              </w:rPr>
              <w:t>刘晓乐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倪受彬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陆明泉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张金牛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黄元俊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易江南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来晨熙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徐云蔚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董事会 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赵艳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财务总 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原财务 总监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祝小兵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陈若初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乐嘉锦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27,046,0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4,340,00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22,706,0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140" w:line="317" w:lineRule="exact"/>
        <w:ind w:left="0" w:right="0" w:firstLine="0"/>
        <w:jc w:val="left"/>
        <w:rPr>
          <w:sz w:val="17"/>
          <w:szCs w:val="17"/>
        </w:rPr>
      </w:pPr>
      <w:r>
        <w:rPr>
          <w:color w:val="000000"/>
          <w:spacing w:val="0"/>
          <w:w w:val="100"/>
          <w:position w:val="0"/>
          <w:sz w:val="17"/>
          <w:szCs w:val="17"/>
        </w:rPr>
        <w:t>报告期是否存在任期内董事、监事离任和高级管理人员解聘的情况</w:t>
      </w:r>
    </w:p>
    <w:p>
      <w:pPr>
        <w:pStyle w:val="Style24"/>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是</w:t>
      </w:r>
      <w:r>
        <w:rPr>
          <w:color w:val="000000"/>
          <w:spacing w:val="0"/>
          <w:w w:val="100"/>
          <w:position w:val="0"/>
          <w:sz w:val="18"/>
          <w:szCs w:val="18"/>
        </w:rPr>
        <w:t>口</w:t>
      </w:r>
      <w:r>
        <w:rPr>
          <w:color w:val="000000"/>
          <w:spacing w:val="0"/>
          <w:w w:val="100"/>
          <w:position w:val="0"/>
          <w:sz w:val="17"/>
          <w:szCs w:val="17"/>
        </w:rPr>
        <w:t>否</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为了提高交信北斗投资和交通通信集团对公司治理的参与度。徐云蔚先生、乐嘉锦先生、祝小兵先生和陈若初先生在报告期 内分别离任公司的董事或监事。</w:t>
      </w:r>
    </w:p>
    <w:p>
      <w:pPr>
        <w:pStyle w:val="Style24"/>
        <w:keepNext w:val="0"/>
        <w:keepLines w:val="0"/>
        <w:widowControl w:val="0"/>
        <w:shd w:val="clear" w:color="auto" w:fill="auto"/>
        <w:bidi w:val="0"/>
        <w:spacing w:before="0" w:after="140" w:line="317" w:lineRule="exact"/>
        <w:ind w:left="0" w:right="0" w:firstLine="0"/>
        <w:jc w:val="left"/>
        <w:rPr>
          <w:sz w:val="17"/>
          <w:szCs w:val="17"/>
        </w:rPr>
      </w:pPr>
      <w:r>
        <w:rPr>
          <w:color w:val="000000"/>
          <w:spacing w:val="0"/>
          <w:w w:val="100"/>
          <w:position w:val="0"/>
          <w:sz w:val="17"/>
          <w:szCs w:val="17"/>
        </w:rPr>
        <w:t>公司董事、监事、高级管理人员变动情况</w:t>
      </w:r>
    </w:p>
    <w:p>
      <w:pPr>
        <w:pStyle w:val="Style24"/>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徐云蔚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为控股股东、实际控制人更好的参与公司管理，主动 离职。</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祝小兵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为控股股东、实际控制人更好的参与公司管理，主动 离职。</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陈若初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为控股股东、实际控制人更好的参与公司管理，主动 离职。</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乐嘉锦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为控股股东、实际控制人更好的参与公司管理，主动 离职。</w:t>
            </w:r>
          </w:p>
        </w:tc>
      </w:tr>
    </w:tbl>
    <w:p>
      <w:pPr>
        <w:widowControl w:val="0"/>
        <w:spacing w:after="319" w:line="1" w:lineRule="exact"/>
      </w:pPr>
    </w:p>
    <w:p>
      <w:pPr>
        <w:pStyle w:val="Style28"/>
        <w:keepNext/>
        <w:keepLines/>
        <w:widowControl w:val="0"/>
        <w:shd w:val="clear" w:color="auto" w:fill="auto"/>
        <w:bidi w:val="0"/>
        <w:spacing w:before="0" w:after="28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2</w:t>
      </w:r>
      <w:bookmarkEnd w:id="309"/>
      <w:r>
        <w:rPr>
          <w:color w:val="000000"/>
          <w:spacing w:val="0"/>
          <w:w w:val="100"/>
          <w:position w:val="0"/>
        </w:rPr>
        <w:t>、任职情况</w:t>
      </w:r>
      <w:bookmarkEnd w:id="307"/>
      <w:bookmarkEnd w:id="308"/>
      <w:bookmarkEnd w:id="310"/>
    </w:p>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公司现任董事、监事、高级管理人员专业背景、主要工作经历以及目前在公司的主要职责</w:t>
      </w:r>
    </w:p>
    <w:p>
      <w:pPr>
        <w:pStyle w:val="Style24"/>
        <w:keepNext w:val="0"/>
        <w:keepLines w:val="0"/>
        <w:widowControl w:val="0"/>
        <w:shd w:val="clear" w:color="auto" w:fill="auto"/>
        <w:bidi w:val="0"/>
        <w:spacing w:before="0" w:after="360" w:line="314" w:lineRule="exact"/>
        <w:ind w:left="0" w:right="0" w:firstLine="0"/>
        <w:jc w:val="left"/>
        <w:rPr>
          <w:sz w:val="17"/>
          <w:szCs w:val="17"/>
        </w:rPr>
      </w:pPr>
      <w:r>
        <w:rPr>
          <w:color w:val="000000"/>
          <w:spacing w:val="0"/>
          <w:w w:val="100"/>
          <w:position w:val="0"/>
          <w:sz w:val="17"/>
          <w:szCs w:val="17"/>
        </w:rPr>
        <w:t>张曙华先生，中国国籍，无境外永久居留权，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月出生，本科学历。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年任上海中信电子发展公司副总经 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月创办本公司，现任公司董事长、总裁、董事会战略委员会主任委员。张曙华先生曾荣获</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年静安区杰出人 才奖；</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年荣获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上海市科学技术进步二等奖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上海市科学技术进步三等奖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上海市科学技术成果证书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上海实施发明成果优秀企业家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称号；</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上海市科学技术进步三等奖七</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上海市软件行业标兵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静 安区优秀中国特色社会主义事业建设者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年荣获国家档案局颁发的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档案科研成果三等奖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上海市企业管理现代化创 新成果三等奖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年荣获上海市静安区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第三批领军人才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称号；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上海市软件行业标兵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年荣获第二届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静 安区杰出人才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提名奖、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上海市科学技术进步三等奖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年荣获上海市计算机行业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创新人物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上海市科学技术进步二 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首届静安质量奖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。张曙华曾担任上海市静安区政协委员，上海市静安区工商业联合会（商会）副会长，现任长三 角重要产品追溯联盟暨长三角区块链追溯联盟理事长。</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顾成先生，中国国籍，无境外永久居留权，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月出生，毕业于东南大学，研究生学历。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月起就职于北京神州天 </w:t>
      </w:r>
      <w:r>
        <w:rPr>
          <w:color w:val="000000"/>
          <w:spacing w:val="0"/>
          <w:w w:val="100"/>
          <w:position w:val="0"/>
          <w:sz w:val="17"/>
          <w:szCs w:val="17"/>
        </w:rPr>
        <w:t>鸿科技有限公司，任执行董事、经理。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月起就职于北京神州天鸿控股有限公司，任总经理。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月起就职于上海 徐来商务信息咨询中心，任一般代表。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月起就职于无锡万胜投资顾问有限公司，任执行董事、总经理。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月起 就职于北京法大科技园建设发展有限公司，任董事。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月起就职于北京信祥义和实业投资有限公司，任董事长、经理。</w:t>
      </w:r>
    </w:p>
    <w:p>
      <w:pPr>
        <w:pStyle w:val="Style24"/>
        <w:keepNext w:val="0"/>
        <w:keepLines w:val="0"/>
        <w:widowControl w:val="0"/>
        <w:shd w:val="clear" w:color="auto" w:fill="auto"/>
        <w:bidi w:val="0"/>
        <w:spacing w:before="0" w:after="38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月起就职于探索数据科技（深圳）有限公司，任董事。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月起就职于交通运输通信信息集团上海股权投资基金 管理有限公司，任董事长。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月起就职于交信北斗（海南）科技有限公司，任董事长。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月起就职于浙江盛洋科 技股份有限公司，任董事。现任公司董事。</w:t>
      </w:r>
    </w:p>
    <w:p>
      <w:pPr>
        <w:pStyle w:val="Style24"/>
        <w:keepNext w:val="0"/>
        <w:keepLines w:val="0"/>
        <w:widowControl w:val="0"/>
        <w:shd w:val="clear" w:color="auto" w:fill="auto"/>
        <w:bidi w:val="0"/>
        <w:spacing w:before="0" w:after="380" w:line="312" w:lineRule="exact"/>
        <w:ind w:left="0" w:right="0" w:firstLine="0"/>
        <w:jc w:val="both"/>
        <w:rPr>
          <w:sz w:val="17"/>
          <w:szCs w:val="17"/>
        </w:rPr>
      </w:pPr>
      <w:r>
        <w:rPr>
          <w:color w:val="000000"/>
          <w:spacing w:val="0"/>
          <w:w w:val="100"/>
          <w:position w:val="0"/>
          <w:sz w:val="17"/>
          <w:szCs w:val="17"/>
        </w:rPr>
        <w:t>李晶先生，中国国籍，无境外永久居留权，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月出生，毕业于电子科技大学，博士研究生学历。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月起就职于中 国交通通信信息中心交通运输导航产业化中心，任副主任。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月起就职于中国交通通信信息中心空间信息事业部，任 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月起就职于交通运输北斗系统应用发展中心，任执行副主任。现任公司董事。</w:t>
      </w:r>
    </w:p>
    <w:p>
      <w:pPr>
        <w:pStyle w:val="Style24"/>
        <w:keepNext w:val="0"/>
        <w:keepLines w:val="0"/>
        <w:widowControl w:val="0"/>
        <w:shd w:val="clear" w:color="auto" w:fill="auto"/>
        <w:bidi w:val="0"/>
        <w:spacing w:before="0" w:after="380" w:line="322" w:lineRule="exact"/>
        <w:ind w:left="0" w:right="0" w:firstLine="0"/>
        <w:jc w:val="both"/>
        <w:rPr>
          <w:sz w:val="17"/>
          <w:szCs w:val="17"/>
        </w:rPr>
      </w:pPr>
      <w:r>
        <w:rPr>
          <w:color w:val="000000"/>
          <w:spacing w:val="0"/>
          <w:w w:val="100"/>
          <w:position w:val="0"/>
          <w:sz w:val="17"/>
          <w:szCs w:val="17"/>
        </w:rPr>
        <w:t>王亚明先生，中国国籍，无境外永久居留权，</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月出生，毕业于中央党校，本科学历。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月起就职于南湖城投集 团，历任前期部经理、党组成员、副总经理。倪受彬先生曾先后在浙江大树置业股份有限公司、嘉兴恒胜科技有限公司、嘉 兴市港航开发集团公司、嘉兴工业区管委会（大桥镇）工作。现任公司董事。</w:t>
      </w:r>
    </w:p>
    <w:p>
      <w:pPr>
        <w:pStyle w:val="Style24"/>
        <w:keepNext w:val="0"/>
        <w:keepLines w:val="0"/>
        <w:widowControl w:val="0"/>
        <w:shd w:val="clear" w:color="auto" w:fill="auto"/>
        <w:bidi w:val="0"/>
        <w:spacing w:before="0" w:after="380" w:line="314" w:lineRule="exact"/>
        <w:ind w:left="0" w:right="0" w:firstLine="0"/>
        <w:jc w:val="both"/>
        <w:rPr>
          <w:sz w:val="17"/>
          <w:szCs w:val="17"/>
        </w:rPr>
      </w:pPr>
      <w:r>
        <w:rPr>
          <w:color w:val="000000"/>
          <w:spacing w:val="0"/>
          <w:w w:val="100"/>
          <w:position w:val="0"/>
          <w:sz w:val="17"/>
          <w:szCs w:val="17"/>
        </w:rPr>
        <w:t>刘晓乐先生，中国国籍，无境外永久居留权，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月出生，上海海事大学计算机科学与技术专业，本科学历；中欧国际 工商学院，硕士研究生学历。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年任快钱支付清算信息有限公司高级经理。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年任凯捷咨询（中国） 有限公司经理。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年任安永（中国）企业咨询有限公司经理。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月至今就职于信息发展，历任战略发展总 监、首席战略官、董事。现任公司董事</w:t>
      </w:r>
    </w:p>
    <w:p>
      <w:pPr>
        <w:pStyle w:val="Style24"/>
        <w:keepNext w:val="0"/>
        <w:keepLines w:val="0"/>
        <w:widowControl w:val="0"/>
        <w:shd w:val="clear" w:color="auto" w:fill="auto"/>
        <w:bidi w:val="0"/>
        <w:spacing w:before="0" w:after="380" w:line="317" w:lineRule="exact"/>
        <w:ind w:left="0" w:right="0" w:firstLine="0"/>
        <w:jc w:val="both"/>
        <w:rPr>
          <w:sz w:val="17"/>
          <w:szCs w:val="17"/>
        </w:rPr>
      </w:pPr>
      <w:r>
        <w:rPr>
          <w:color w:val="000000"/>
          <w:spacing w:val="0"/>
          <w:w w:val="100"/>
          <w:position w:val="0"/>
          <w:sz w:val="17"/>
          <w:szCs w:val="17"/>
        </w:rPr>
        <w:t>王丽女士，中国国籍，无境外永久居留权，</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月出生，毕业于中南民族大学，本科学历，中欧国际工商学院，在读 </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sz w:val="17"/>
          <w:szCs w:val="17"/>
        </w:rPr>
        <w:t>硕士。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月起就职于信息发展，历任公司质量工程师、客户经理、销售部经理、分公司总经理、事业部副总经 理、大区总经理、总裁助理、董事。现任公司董事。</w:t>
      </w:r>
    </w:p>
    <w:p>
      <w:pPr>
        <w:pStyle w:val="Style24"/>
        <w:keepNext w:val="0"/>
        <w:keepLines w:val="0"/>
        <w:widowControl w:val="0"/>
        <w:shd w:val="clear" w:color="auto" w:fill="auto"/>
        <w:bidi w:val="0"/>
        <w:spacing w:before="0" w:after="380" w:line="322" w:lineRule="exact"/>
        <w:ind w:left="0" w:right="0" w:firstLine="0"/>
        <w:jc w:val="both"/>
        <w:rPr>
          <w:sz w:val="17"/>
          <w:szCs w:val="17"/>
        </w:rPr>
      </w:pPr>
      <w:r>
        <w:rPr>
          <w:color w:val="000000"/>
          <w:spacing w:val="0"/>
          <w:w w:val="100"/>
          <w:position w:val="0"/>
          <w:sz w:val="17"/>
          <w:szCs w:val="17"/>
        </w:rPr>
        <w:t>陆明泉先生，中国国籍，无境外永久居留权，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月出生，毕业于电子科技大学，博士研究生学历。</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7"/>
          <w:szCs w:val="17"/>
        </w:rPr>
        <w:t>年就 职于解放军信息工程大学，历任助教、讲师。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年起就职于清华大学，历任讲师、副教授、教授。现任公司独立董事。</w:t>
      </w:r>
    </w:p>
    <w:p>
      <w:pPr>
        <w:pStyle w:val="Style24"/>
        <w:keepNext w:val="0"/>
        <w:keepLines w:val="0"/>
        <w:widowControl w:val="0"/>
        <w:shd w:val="clear" w:color="auto" w:fill="auto"/>
        <w:bidi w:val="0"/>
        <w:spacing w:before="0" w:after="380" w:line="317" w:lineRule="exact"/>
        <w:ind w:left="0" w:right="0" w:firstLine="0"/>
        <w:jc w:val="both"/>
        <w:rPr>
          <w:sz w:val="17"/>
          <w:szCs w:val="17"/>
        </w:rPr>
      </w:pPr>
      <w:r>
        <w:rPr>
          <w:color w:val="000000"/>
          <w:spacing w:val="0"/>
          <w:w w:val="100"/>
          <w:position w:val="0"/>
          <w:sz w:val="17"/>
          <w:szCs w:val="17"/>
        </w:rPr>
        <w:t>倪受彬先生，中国国籍，无境外永久居留权，</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月出生，毕业于华东政法大学，研究生学历。现任同济大学教授。倪 受彬先生曾先后在安徽铜陵学院、中国工商银行漕河泾开发区支行、中国华融资产管理公司上海办事处、第一证券有限公司、 上海对外经贸大学工作。现任公司独立董事。</w:t>
      </w:r>
    </w:p>
    <w:p>
      <w:pPr>
        <w:pStyle w:val="Style24"/>
        <w:keepNext w:val="0"/>
        <w:keepLines w:val="0"/>
        <w:widowControl w:val="0"/>
        <w:shd w:val="clear" w:color="auto" w:fill="auto"/>
        <w:bidi w:val="0"/>
        <w:spacing w:before="0" w:after="380" w:line="314" w:lineRule="exact"/>
        <w:ind w:left="0" w:right="0" w:firstLine="0"/>
        <w:jc w:val="both"/>
        <w:rPr>
          <w:sz w:val="17"/>
          <w:szCs w:val="17"/>
        </w:rPr>
      </w:pPr>
      <w:r>
        <w:rPr>
          <w:color w:val="000000"/>
          <w:spacing w:val="0"/>
          <w:w w:val="100"/>
          <w:position w:val="0"/>
          <w:sz w:val="17"/>
          <w:szCs w:val="17"/>
        </w:rPr>
        <w:t>张金牛先生，中国国籍，无境外永久居留权，</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月出生，毕业于上海理工大学，国际会计专业，本科学历。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 xml:space="preserve">年至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年任上海申康卫生基建管理有限公司基建财务；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年任上海大华工程造价咨询有限公司项目经理；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年任 上海升大华远会计师事务所审核部经理，兼任上海同济工程咨询有限公司咨询部项目经理。曾任上海嵩恒网络科技有限公司 独立董事。中国注册会计师，上海市注册咨询专家，注册造价工程师，注册国际内部审计师，美国注册管理会计师。现任公 司独立董事。</w:t>
      </w:r>
    </w:p>
    <w:p>
      <w:pPr>
        <w:pStyle w:val="Style24"/>
        <w:keepNext w:val="0"/>
        <w:keepLines w:val="0"/>
        <w:widowControl w:val="0"/>
        <w:shd w:val="clear" w:color="auto" w:fill="auto"/>
        <w:bidi w:val="0"/>
        <w:spacing w:before="0" w:after="380" w:line="317" w:lineRule="exact"/>
        <w:ind w:left="0" w:right="0" w:firstLine="0"/>
        <w:jc w:val="both"/>
        <w:rPr>
          <w:sz w:val="17"/>
          <w:szCs w:val="17"/>
        </w:rPr>
      </w:pPr>
      <w:r>
        <w:rPr>
          <w:color w:val="000000"/>
          <w:spacing w:val="0"/>
          <w:w w:val="100"/>
          <w:position w:val="0"/>
          <w:sz w:val="17"/>
          <w:szCs w:val="17"/>
        </w:rPr>
        <w:t>来晨熙先生，中国国籍，无境外永久居留权，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月出生，毕业于嘉兴学院，本科学历。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月起就职于嘉兴市南 湖城市建设投资集团有限公司，历任公司工程管理、工程部经理、副总经理。来晨熙先生曾先后在嘉兴学院后勤服务有限公 司、嘉兴市南湖新区开发建设有限公司工作。现任公司监事。</w:t>
      </w:r>
    </w:p>
    <w:p>
      <w:pPr>
        <w:pStyle w:val="Style24"/>
        <w:keepNext w:val="0"/>
        <w:keepLines w:val="0"/>
        <w:widowControl w:val="0"/>
        <w:shd w:val="clear" w:color="auto" w:fill="auto"/>
        <w:bidi w:val="0"/>
        <w:spacing w:before="0" w:after="380" w:line="316" w:lineRule="exact"/>
        <w:ind w:left="0" w:right="0" w:firstLine="0"/>
        <w:jc w:val="both"/>
        <w:rPr>
          <w:sz w:val="17"/>
          <w:szCs w:val="17"/>
        </w:rPr>
      </w:pPr>
      <w:r>
        <w:rPr>
          <w:color w:val="000000"/>
          <w:spacing w:val="0"/>
          <w:w w:val="100"/>
          <w:position w:val="0"/>
          <w:sz w:val="17"/>
          <w:szCs w:val="17"/>
        </w:rPr>
        <w:t>黄元俊先生，中国国籍，无境外永久居留权。</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月出生，本科学历，项目经理。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 xml:space="preserve">月起就职于上海信联信息发展 </w:t>
      </w:r>
      <w:r>
        <w:rPr>
          <w:color w:val="000000"/>
          <w:spacing w:val="0"/>
          <w:w w:val="100"/>
          <w:position w:val="0"/>
          <w:sz w:val="17"/>
          <w:szCs w:val="17"/>
        </w:rPr>
        <w:t>股份有限公司。历任公司技术部技术工程师、技术部经理、</w:t>
      </w:r>
      <w:r>
        <w:rPr>
          <w:rFonts w:ascii="Times New Roman" w:eastAsia="Times New Roman" w:hAnsi="Times New Roman" w:cs="Times New Roman"/>
          <w:color w:val="000000"/>
          <w:spacing w:val="0"/>
          <w:w w:val="100"/>
          <w:position w:val="0"/>
          <w:sz w:val="18"/>
          <w:szCs w:val="18"/>
        </w:rPr>
        <w:t>S1</w:t>
      </w:r>
      <w:r>
        <w:rPr>
          <w:color w:val="000000"/>
          <w:spacing w:val="0"/>
          <w:w w:val="100"/>
          <w:position w:val="0"/>
          <w:sz w:val="17"/>
          <w:szCs w:val="17"/>
        </w:rPr>
        <w:t>服务部技术总监、</w:t>
      </w:r>
      <w:r>
        <w:rPr>
          <w:rFonts w:ascii="Times New Roman" w:eastAsia="Times New Roman" w:hAnsi="Times New Roman" w:cs="Times New Roman"/>
          <w:color w:val="000000"/>
          <w:spacing w:val="0"/>
          <w:w w:val="100"/>
          <w:position w:val="0"/>
          <w:sz w:val="18"/>
          <w:szCs w:val="18"/>
        </w:rPr>
        <w:t>S1</w:t>
      </w:r>
      <w:r>
        <w:rPr>
          <w:color w:val="000000"/>
          <w:spacing w:val="0"/>
          <w:w w:val="100"/>
          <w:position w:val="0"/>
          <w:sz w:val="17"/>
          <w:szCs w:val="17"/>
        </w:rPr>
        <w:t>集成部副总经理、流通追溯事业部副总 经理等职。现任公司智慧食安事业群副总裁。</w:t>
      </w:r>
    </w:p>
    <w:p>
      <w:pPr>
        <w:pStyle w:val="Style24"/>
        <w:keepNext w:val="0"/>
        <w:keepLines w:val="0"/>
        <w:widowControl w:val="0"/>
        <w:shd w:val="clear" w:color="auto" w:fill="auto"/>
        <w:bidi w:val="0"/>
        <w:spacing w:before="0" w:after="380" w:line="317" w:lineRule="exact"/>
        <w:ind w:left="0" w:right="0" w:firstLine="0"/>
        <w:jc w:val="both"/>
        <w:rPr>
          <w:sz w:val="17"/>
          <w:szCs w:val="17"/>
        </w:rPr>
      </w:pPr>
      <w:r>
        <w:rPr>
          <w:color w:val="000000"/>
          <w:spacing w:val="0"/>
          <w:w w:val="100"/>
          <w:position w:val="0"/>
          <w:sz w:val="17"/>
          <w:szCs w:val="17"/>
        </w:rPr>
        <w:t>易江南先生，中国国籍，无境外永久居留权，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月出生，毕业于上海开放大学，本科学历。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年任湖南省 机电设备总公司会计经理。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月起就职于信息发展，历任公司销售部经理助理、事业部副总经理、事业部总经理、子 公司总经理、事业群总经理。</w:t>
      </w:r>
    </w:p>
    <w:p>
      <w:pPr>
        <w:pStyle w:val="Style24"/>
        <w:keepNext w:val="0"/>
        <w:keepLines w:val="0"/>
        <w:widowControl w:val="0"/>
        <w:shd w:val="clear" w:color="auto" w:fill="auto"/>
        <w:bidi w:val="0"/>
        <w:spacing w:before="0" w:after="380" w:line="312" w:lineRule="exact"/>
        <w:ind w:left="0" w:right="0" w:firstLine="0"/>
        <w:jc w:val="both"/>
        <w:rPr>
          <w:sz w:val="17"/>
          <w:szCs w:val="17"/>
        </w:rPr>
      </w:pPr>
      <w:r>
        <w:rPr>
          <w:color w:val="000000"/>
          <w:spacing w:val="0"/>
          <w:w w:val="100"/>
          <w:position w:val="0"/>
          <w:sz w:val="17"/>
          <w:szCs w:val="17"/>
        </w:rPr>
        <w:t>董磊先生，中国注册会计师、税务师，</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月出生，中国国籍，无境外永久居留权，本科学历。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 任中国移动通信集团浙江有限公司嘉兴分公司会计，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年任容诚会计师事务所（特殊普通合伙）浙江分所项目 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年至今任嘉兴市南湖投资开发建设集团有限公司董事。原公司财务总监。</w:t>
      </w:r>
    </w:p>
    <w:p>
      <w:pPr>
        <w:pStyle w:val="Style24"/>
        <w:keepNext w:val="0"/>
        <w:keepLines w:val="0"/>
        <w:widowControl w:val="0"/>
        <w:shd w:val="clear" w:color="auto" w:fill="auto"/>
        <w:bidi w:val="0"/>
        <w:spacing w:before="0" w:after="140" w:line="315" w:lineRule="exact"/>
        <w:ind w:left="0" w:right="0" w:firstLine="0"/>
        <w:jc w:val="both"/>
        <w:rPr>
          <w:sz w:val="17"/>
          <w:szCs w:val="17"/>
        </w:rPr>
      </w:pPr>
      <w:r>
        <w:rPr>
          <w:color w:val="000000"/>
          <w:spacing w:val="0"/>
          <w:w w:val="100"/>
          <w:position w:val="0"/>
          <w:sz w:val="17"/>
          <w:szCs w:val="17"/>
        </w:rPr>
        <w:t>徐云蔚先生，中国国籍，无境外永久居留权，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月出生，毕业于加拿大阿尔伯塔大学，金融管理硕士学历。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sz w:val="17"/>
          <w:szCs w:val="17"/>
        </w:rPr>
        <w:t xml:space="preserve">年至 </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年任百事顺期货经纪有限公司期货交易员；</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年任环球资源销售代表；</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7"/>
          <w:szCs w:val="17"/>
        </w:rPr>
        <w:t>年任新加坡利全信息（上 海）有限公司负责人。</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月起就职于信息发展，历任公司高级销售经理、市场部经理、总经理助理、华北区总经理、 总裁助理、副总裁、董事会秘书、董事。</w:t>
      </w:r>
    </w:p>
    <w:p>
      <w:pPr>
        <w:pStyle w:val="Style24"/>
        <w:keepNext w:val="0"/>
        <w:keepLines w:val="0"/>
        <w:widowControl w:val="0"/>
        <w:shd w:val="clear" w:color="auto" w:fill="auto"/>
        <w:bidi w:val="0"/>
        <w:spacing w:before="0" w:after="840" w:line="313" w:lineRule="exact"/>
        <w:ind w:left="0" w:right="0" w:firstLine="0"/>
        <w:jc w:val="both"/>
        <w:rPr>
          <w:sz w:val="17"/>
          <w:szCs w:val="17"/>
        </w:rPr>
      </w:pPr>
      <w:r>
        <w:rPr>
          <w:color w:val="000000"/>
          <w:spacing w:val="0"/>
          <w:w w:val="100"/>
          <w:position w:val="0"/>
          <w:sz w:val="17"/>
          <w:szCs w:val="17"/>
        </w:rPr>
        <w:t>赵艳女士，中国国际，无境外永久居留权，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月出生。高级会计师、中国注册税务师、美国注册管理会计师，</w:t>
      </w:r>
      <w:r>
        <w:rPr>
          <w:rFonts w:ascii="Times New Roman" w:eastAsia="Times New Roman" w:hAnsi="Times New Roman" w:cs="Times New Roman"/>
          <w:color w:val="000000"/>
          <w:spacing w:val="0"/>
          <w:w w:val="100"/>
          <w:position w:val="0"/>
          <w:sz w:val="18"/>
          <w:szCs w:val="18"/>
        </w:rPr>
        <w:t xml:space="preserve">1977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月出生，中国国籍，无境外永久居留权。毕业于清华大学，管理学研究生学历。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年任北京手中乾坤信 息技术股份有限公司财务总监、董秘，</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年任江苏艾洛维显示科技股份有限公司财务总监、董秘，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年至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年任上海世浦泰环保新型膜材料股份有限公司财务总监、董秘，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年任交通运输通信信息集团上海股权 投资基金管理有限公司财务总监，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月任公司财务部经理。现任公司财务总监。</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在股东单位任职情况</w:t>
      </w:r>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26"/>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在股东单位</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在股东单位是否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上海中信电子发展有限公司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在其他单位</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淘菜猫信息发展股份有限公司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董事长、总经</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易批生鲜信息发展股份有限公司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光典信息发展有限公司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追溯云信息发展股份有限公司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信发资产管理有限公司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上海追索信息科技有限公司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追溯云（上海）信用科技有限公司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智秾信息发展股份有限公司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上海天佑铁道新技术研究所股份有限公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徐云蔚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智秾信息发展股份有限公司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浙江盛洋科技股份有限公司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交信北斗（海南）科技有限公司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探索数据科技（深圳）有限公司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北京信祥义和实业投资有限公司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北京法大科技园建设发展有限公司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无锡万胜投资顾问有限公司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执行董事、总</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上海徐来商务信息咨询中心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一般代表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交通运输通信信息集团上海股权投资基 金管理有限公司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北京神州天鸿控股有限公司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中国交通通信信息中心空间信息事业部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中国交通通信信息中心交通运输导航产 业化中心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交信北斗科技有限公司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交信北斗（海南）科技有限公司北京分公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负责人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国交供应链管理股份有限公司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董事长兼总</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交通运输通信信息集团上海股权投资基 金管理有限公司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王亚明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南湖城投集团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王亚明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嘉兴市南湖区征收服务中心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王亚明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嘉兴市南湖园林绿化有限公司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王亚明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嘉兴市南投置业有限公司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董事长、总经</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王亚明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嘉兴市中嘉人力资源有限公司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执行董事、经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王亚明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浙江嘉兴幸福嘉城市管理股份有限公司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董事长、总经</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王亚明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嘉兴润升建设开发有限公司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王亚明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嘉兴市南数运营科技有限公司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来晨熙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嘉兴市南湖城市建设投资集团有限公司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来晨熙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嘉兴市南环水处理有限公司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董事长、总经</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来晨熙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嘉兴市南湖园林绿化有限公司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来晨熙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嘉兴市禾城再生资源有限公司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执行董事、经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来晨熙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嘉兴市南湖城投工程管理有限公司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来晨熙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嘉兴市南湖工业污水处理有限公司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来晨熙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嘉兴市南湖城投物业管理有限公司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董事长、总经</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来晨熙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嘉兴市联合污水处理有限责任公司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来晨熙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嘉兴市联合污水管网有限责任公司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倪受彬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东珠生态环保股份有限公司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倪受彬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甘肃刚泰控股（集团）股份有限公司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倪受彬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同济大学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倪受彬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国海证券股份有限公司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陆明泉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厦门雅迅网络有限公司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陆明泉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清华大学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张金牛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上海升大华远会计师事务所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审计部经理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交信北斗（嘉兴）股权投资有限公司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嘉兴市路通建设投资有限公司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嘉兴市南湖区交通建设投资有限责任公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嘉兴市嘉实星创建设有限公司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嘉兴市南湖投资开发建设集团有限公司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乐嘉锦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东华大学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1984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祝小兵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上海开放大学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刘晓乐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上海众至企业管理咨询合伙企业（有限合 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执行事务合 伙人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刘晓乐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易批生鲜信息发展股份有限公司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刘晓乐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石基云佃（上海）实业有限公司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刘晓乐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信发资产管理有限责任公司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r>
        <w:br w:type="page"/>
      </w:r>
    </w:p>
    <w:p>
      <w:pPr>
        <w:pStyle w:val="Style28"/>
        <w:keepNext/>
        <w:keepLines/>
        <w:widowControl w:val="0"/>
        <w:shd w:val="clear" w:color="auto" w:fill="auto"/>
        <w:bidi w:val="0"/>
        <w:spacing w:before="0" w:after="26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3</w:t>
      </w:r>
      <w:bookmarkEnd w:id="313"/>
      <w:r>
        <w:rPr>
          <w:color w:val="000000"/>
          <w:spacing w:val="0"/>
          <w:w w:val="100"/>
          <w:position w:val="0"/>
        </w:rPr>
        <w:t>、董事、监事、高级管理人员报酬情况</w:t>
      </w:r>
      <w:bookmarkEnd w:id="311"/>
      <w:bookmarkEnd w:id="312"/>
      <w:bookmarkEnd w:id="314"/>
    </w:p>
    <w:p>
      <w:pPr>
        <w:pStyle w:val="Style24"/>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董事、监事、高级管理人员报酬的决策程序、确定依据、实际支付情况</w:t>
      </w:r>
    </w:p>
    <w:p>
      <w:pPr>
        <w:pStyle w:val="Style24"/>
        <w:keepNext w:val="0"/>
        <w:keepLines w:val="0"/>
        <w:widowControl w:val="0"/>
        <w:shd w:val="clear" w:color="auto" w:fill="auto"/>
        <w:bidi w:val="0"/>
        <w:spacing w:before="0" w:after="120" w:line="341" w:lineRule="exact"/>
        <w:ind w:left="0" w:right="0" w:firstLine="0"/>
        <w:jc w:val="left"/>
        <w:rPr>
          <w:sz w:val="17"/>
          <w:szCs w:val="17"/>
        </w:rPr>
      </w:pPr>
      <w:r>
        <w:rPr>
          <w:color w:val="000000"/>
          <w:spacing w:val="0"/>
          <w:w w:val="100"/>
          <w:position w:val="0"/>
          <w:sz w:val="17"/>
          <w:szCs w:val="17"/>
        </w:rPr>
        <w:t>经过第五届董事会第十九次会议审议</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2022-035</w:t>
      </w:r>
      <w:r>
        <w:rPr>
          <w:color w:val="000000"/>
          <w:spacing w:val="0"/>
          <w:w w:val="100"/>
          <w:position w:val="0"/>
          <w:sz w:val="17"/>
          <w:szCs w:val="17"/>
        </w:rPr>
        <w:t>）</w:t>
      </w:r>
      <w:r>
        <w:rPr>
          <w:color w:val="000000"/>
          <w:spacing w:val="0"/>
          <w:w w:val="100"/>
          <w:position w:val="0"/>
          <w:sz w:val="17"/>
          <w:szCs w:val="17"/>
        </w:rPr>
        <w:t>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年度董事薪酬的议案。 经过第五届监事会第十三次会议审议</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2022-036</w:t>
      </w:r>
      <w:r>
        <w:rPr>
          <w:color w:val="000000"/>
          <w:spacing w:val="0"/>
          <w:w w:val="100"/>
          <w:position w:val="0"/>
          <w:sz w:val="17"/>
          <w:szCs w:val="17"/>
        </w:rPr>
        <w:t>）</w:t>
      </w:r>
      <w:r>
        <w:rPr>
          <w:color w:val="000000"/>
          <w:spacing w:val="0"/>
          <w:w w:val="100"/>
          <w:position w:val="0"/>
          <w:sz w:val="17"/>
          <w:szCs w:val="17"/>
        </w:rPr>
        <w:t>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年度监事薪酬的议案。 公司报告期内董事、监事和高级管理人员报酬情况</w:t>
      </w:r>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王亚明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刘晓乐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倪受彬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陆明泉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张金牛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易江南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来晨熙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徐云蔚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祝小兵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陈若初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乐嘉锦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八</w:t>
      </w:r>
      <w:bookmarkEnd w:id="317"/>
      <w:r>
        <w:rPr>
          <w:color w:val="000000"/>
          <w:spacing w:val="0"/>
          <w:w w:val="100"/>
          <w:position w:val="0"/>
        </w:rPr>
        <w:t>、报告期内董事履行职责的情况</w:t>
      </w:r>
      <w:bookmarkEnd w:id="315"/>
      <w:bookmarkEnd w:id="316"/>
      <w:bookmarkEnd w:id="318"/>
    </w:p>
    <w:p>
      <w:pPr>
        <w:pStyle w:val="Style28"/>
        <w:keepNext/>
        <w:keepLines/>
        <w:widowControl w:val="0"/>
        <w:shd w:val="clear" w:color="auto" w:fill="auto"/>
        <w:bidi w:val="0"/>
        <w:spacing w:before="0" w:after="32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、本报告期董事会情况</w:t>
      </w:r>
      <w:bookmarkEnd w:id="319"/>
      <w:bookmarkEnd w:id="320"/>
      <w:bookmarkEnd w:id="322"/>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第五届董事会第二次会议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《第五届董 事会第二次会议》</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第五届董事会第三次会议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《董事会决 议公告》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2021-023</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第五届董事会第四次会议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《第五届董 事会第四次会议》</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第五届董事会第五次会议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《第五届董 事会第五次会议》</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第五届董事会第六次会议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《第五届董 事会第六次会议》</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2021-057</w:t>
            </w: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第五届董事会第七次会议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《董事会决 议公告》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2021-059</w:t>
            </w: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第五届董事会第八次会议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《第五届董 事会第八次会议》</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2021-061</w:t>
            </w:r>
            <w:r>
              <w:rPr>
                <w:color w:val="000000"/>
                <w:spacing w:val="0"/>
                <w:w w:val="100"/>
                <w:position w:val="0"/>
                <w:sz w:val="17"/>
                <w:szCs w:val="17"/>
              </w:rPr>
              <w:t>）</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第五届董事会第九次会议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《第五届董 事会第九次会议》</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2021-072</w:t>
            </w: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第五届董事会第十次会议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《第五届董 事会第十次会议》</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2021-074</w:t>
            </w: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第五届董事会第十一次会议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《第五届董</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事会第十一次会议》</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2021-081</w:t>
            </w: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第五届董事会第十二次会议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《第五届董</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事会第十二次会议》</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2021-091</w:t>
            </w:r>
            <w:r>
              <w:rPr>
                <w:color w:val="000000"/>
                <w:spacing w:val="0"/>
                <w:w w:val="100"/>
                <w:position w:val="0"/>
                <w:sz w:val="17"/>
                <w:szCs w:val="17"/>
              </w:rPr>
              <w:t>）</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第五届董事会第十三次会议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《第五届董</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事会第十三次会议》</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2021-103</w:t>
            </w:r>
            <w:r>
              <w:rPr>
                <w:color w:val="000000"/>
                <w:spacing w:val="0"/>
                <w:w w:val="100"/>
                <w:position w:val="0"/>
                <w:sz w:val="17"/>
                <w:szCs w:val="17"/>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、董事出席董事会及股东大会的情况</w:t>
      </w:r>
      <w:bookmarkEnd w:id="323"/>
      <w:bookmarkEnd w:id="324"/>
      <w:bookmarkEnd w:id="326"/>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本报告期应参</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以通讯方式参</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是否连续两次</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未亲自参加董</w:t>
            </w:r>
          </w:p>
          <w:p>
            <w:pPr>
              <w:pStyle w:val="Style18"/>
              <w:keepNext w:val="0"/>
              <w:keepLines w:val="0"/>
              <w:widowControl w:val="0"/>
              <w:shd w:val="clear" w:color="auto" w:fill="auto"/>
              <w:bidi w:val="0"/>
              <w:spacing w:before="0" w:after="100" w:line="240" w:lineRule="auto"/>
              <w:ind w:left="0" w:right="0" w:firstLine="220"/>
              <w:jc w:val="left"/>
              <w:rPr>
                <w:sz w:val="17"/>
                <w:szCs w:val="17"/>
              </w:rPr>
            </w:pPr>
            <w:r>
              <w:rPr>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徐云蔚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王亚明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刘晓乐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张金牛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spacing w:lineRule="exact" w:line="1"/>
        <w:rPr>
          <w:sz w:val="2"/>
          <w:szCs w:val="2"/>
        </w:rPr>
      </w:pPr>
      <w:r>
        <w:br w:type="page"/>
      </w:r>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陆明泉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倪受彬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乐嘉锦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祝小兵</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13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连续两次未亲自出席董事会的说明</w:t>
      </w:r>
    </w:p>
    <w:p>
      <w:pPr>
        <w:pStyle w:val="Style28"/>
        <w:keepNext/>
        <w:keepLines/>
        <w:widowControl w:val="0"/>
        <w:shd w:val="clear" w:color="auto" w:fill="auto"/>
        <w:tabs>
          <w:tab w:pos="378" w:val="left"/>
        </w:tabs>
        <w:bidi w:val="0"/>
        <w:spacing w:before="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3</w:t>
      </w:r>
      <w:bookmarkEnd w:id="329"/>
      <w:r>
        <w:rPr>
          <w:color w:val="000000"/>
          <w:spacing w:val="0"/>
          <w:w w:val="100"/>
          <w:position w:val="0"/>
        </w:rPr>
        <w:t>、</w:t>
        <w:tab/>
        <w:t>董事对公司有关事项提出异议的情况</w:t>
      </w:r>
      <w:bookmarkEnd w:id="327"/>
      <w:bookmarkEnd w:id="328"/>
      <w:bookmarkEnd w:id="330"/>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董事对公司有关事项是否提出异议</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报告期内董事对公司有关事项未提出异议。</w:t>
      </w:r>
    </w:p>
    <w:p>
      <w:pPr>
        <w:pStyle w:val="Style28"/>
        <w:keepNext/>
        <w:keepLines/>
        <w:widowControl w:val="0"/>
        <w:shd w:val="clear" w:color="auto" w:fill="auto"/>
        <w:tabs>
          <w:tab w:pos="378" w:val="left"/>
        </w:tabs>
        <w:bidi w:val="0"/>
        <w:spacing w:before="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4</w:t>
      </w:r>
      <w:bookmarkEnd w:id="333"/>
      <w:r>
        <w:rPr>
          <w:color w:val="000000"/>
          <w:spacing w:val="0"/>
          <w:w w:val="100"/>
          <w:position w:val="0"/>
        </w:rPr>
        <w:t>、</w:t>
        <w:tab/>
        <w:t>董事履行职责的其他说明</w:t>
      </w:r>
      <w:bookmarkEnd w:id="331"/>
      <w:bookmarkEnd w:id="332"/>
      <w:bookmarkEnd w:id="334"/>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董事对公司有关建议是否被采纳</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是</w:t>
      </w:r>
      <w:r>
        <w:rPr>
          <w:color w:val="000000"/>
          <w:spacing w:val="0"/>
          <w:w w:val="100"/>
          <w:position w:val="0"/>
          <w:sz w:val="18"/>
          <w:szCs w:val="18"/>
        </w:rPr>
        <w:t>口</w:t>
      </w:r>
      <w:r>
        <w:rPr>
          <w:color w:val="000000"/>
          <w:spacing w:val="0"/>
          <w:w w:val="100"/>
          <w:position w:val="0"/>
          <w:sz w:val="17"/>
          <w:szCs w:val="17"/>
        </w:rPr>
        <w:t>否</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董事对公司有关建议被采纳或未被采纳的说明</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董事建议上市公司购买董监高责任险。上市公司予以采纳。</w:t>
      </w:r>
    </w:p>
    <w:p>
      <w:pPr>
        <w:pStyle w:val="Style22"/>
        <w:keepNext/>
        <w:keepLines/>
        <w:widowControl w:val="0"/>
        <w:shd w:val="clear" w:color="auto" w:fill="auto"/>
        <w:bidi w:val="0"/>
        <w:spacing w:before="0" w:after="32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九</w:t>
      </w:r>
      <w:bookmarkEnd w:id="337"/>
      <w:r>
        <w:rPr>
          <w:color w:val="000000"/>
          <w:spacing w:val="0"/>
          <w:w w:val="100"/>
          <w:position w:val="0"/>
        </w:rPr>
        <w:t>、董事会下设专门委员会在报告期内的情况</w:t>
      </w:r>
      <w:bookmarkEnd w:id="335"/>
      <w:bookmarkEnd w:id="336"/>
      <w:bookmarkEnd w:id="338"/>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召开会议次数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异议事项具体 情况（如有）</w:t>
            </w:r>
          </w:p>
        </w:tc>
      </w:tr>
      <w:tr>
        <w:trPr>
          <w:trHeight w:val="4142"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审计委员会</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张金牛、陆明 泉、倪受彬、 乐嘉锦（已离 任）、祝小兵</w:t>
            </w:r>
          </w:p>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（已离任）</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年内审 工作的开展情 况及后续内审 计划。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对于 项目成本核算 工作，审计委 员会提出检查 建议。</w:t>
            </w:r>
            <w:r>
              <w:rPr>
                <w:rFonts w:ascii="Times New Roman" w:eastAsia="Times New Roman" w:hAnsi="Times New Roman" w:cs="Times New Roman"/>
                <w:color w:val="000000"/>
                <w:spacing w:val="0"/>
                <w:w w:val="100"/>
                <w:position w:val="0"/>
                <w:sz w:val="18"/>
                <w:szCs w:val="18"/>
              </w:rPr>
              <w:t xml:space="preserve">3.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年内审审计制 度更新建议。</w:t>
            </w:r>
          </w:p>
          <w:p>
            <w:pPr>
              <w:pStyle w:val="Style18"/>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公司年终相 关奖励制度审 计建议。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审计委员会严 格按照《公司 法》、中国证监 会监管规则以 及《公司章程》 《审计委员会 工作细则》开 展工作，勤勉 尽责，根据公 司的实际情 况，提出了相 关的意见。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关于光典在建</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工程转固事项</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的会计处理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审计委员会严 格按照《公司 法》、中国证监 会监管规则以 及《公司章程》</w:t>
            </w:r>
          </w:p>
          <w:p>
            <w:pPr>
              <w:pStyle w:val="Style18"/>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《审计委员会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192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工作细则》开 展工作，勤勉 尽责，根据公 司的实际情 况，提出了相 关的意见。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日内部控制自 我评价报告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审计委员会严 格按照《公司 法》、中国证监 会监管规则以 及《公司章程》 《审计委员会 工作细则》开 展工作，勤勉 尽责，根据公 司的实际情 况，提出了相 关的意见。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战略委员会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顾成、张曙华、 李晶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为了优化公司 业务和战略布 局、做大做强 智慧交通。公 司决定启动定 向增发工作。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战略委员会严 格按照《公司 法》、中国证监 会监管规则以 及《公司章程》 《董事会战略 委员会工作细 则》开展工作， 勤勉尽责，根 据公司的实际 情况，提出了 相关的意见。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5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薪酬与考核委 员会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王亚明、倪受</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彬、张金牛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numPr>
                <w:ilvl w:val="0"/>
                <w:numId w:val="7"/>
              </w:numPr>
              <w:shd w:val="clear" w:color="auto" w:fill="auto"/>
              <w:tabs>
                <w:tab w:pos="139" w:val="left"/>
              </w:tabs>
              <w:bidi w:val="0"/>
              <w:spacing w:before="0" w:after="0" w:line="312" w:lineRule="exact"/>
              <w:ind w:left="0" w:right="0" w:firstLine="0"/>
              <w:jc w:val="both"/>
              <w:rPr>
                <w:sz w:val="17"/>
                <w:szCs w:val="17"/>
              </w:rPr>
            </w:pPr>
            <w:r>
              <w:rPr>
                <w:color w:val="000000"/>
                <w:spacing w:val="0"/>
                <w:w w:val="100"/>
                <w:position w:val="0"/>
                <w:sz w:val="17"/>
                <w:szCs w:val="17"/>
              </w:rPr>
              <w:t>薪酬和考核 委员会工作细 则修订讨论。</w:t>
            </w:r>
          </w:p>
          <w:p>
            <w:pPr>
              <w:pStyle w:val="Style18"/>
              <w:keepNext w:val="0"/>
              <w:keepLines w:val="0"/>
              <w:widowControl w:val="0"/>
              <w:numPr>
                <w:ilvl w:val="0"/>
                <w:numId w:val="7"/>
              </w:numPr>
              <w:shd w:val="clear" w:color="auto" w:fill="auto"/>
              <w:tabs>
                <w:tab w:pos="235" w:val="left"/>
              </w:tabs>
              <w:bidi w:val="0"/>
              <w:spacing w:before="0" w:after="0" w:line="312" w:lineRule="exact"/>
              <w:ind w:left="0" w:right="0" w:firstLine="0"/>
              <w:jc w:val="both"/>
              <w:rPr>
                <w:sz w:val="17"/>
                <w:szCs w:val="17"/>
              </w:rPr>
            </w:pPr>
            <w:r>
              <w:rPr>
                <w:color w:val="000000"/>
                <w:spacing w:val="0"/>
                <w:w w:val="100"/>
                <w:position w:val="0"/>
                <w:sz w:val="17"/>
                <w:szCs w:val="17"/>
              </w:rPr>
              <w:t>董监高责任 险相关细节研 讨。</w:t>
            </w:r>
            <w:r>
              <w:rPr>
                <w:rFonts w:ascii="Times New Roman" w:eastAsia="Times New Roman" w:hAnsi="Times New Roman" w:cs="Times New Roman"/>
                <w:color w:val="000000"/>
                <w:spacing w:val="0"/>
                <w:w w:val="100"/>
                <w:position w:val="0"/>
                <w:sz w:val="18"/>
                <w:szCs w:val="18"/>
              </w:rPr>
              <w:t xml:space="preserve">3.2022 </w:t>
            </w:r>
            <w:r>
              <w:rPr>
                <w:color w:val="000000"/>
                <w:spacing w:val="0"/>
                <w:w w:val="100"/>
                <w:position w:val="0"/>
                <w:sz w:val="17"/>
                <w:szCs w:val="17"/>
              </w:rPr>
              <w:t>年 董监高补贴计 划。</w:t>
            </w:r>
            <w:r>
              <w:rPr>
                <w:rFonts w:ascii="Times New Roman" w:eastAsia="Times New Roman" w:hAnsi="Times New Roman" w:cs="Times New Roman"/>
                <w:color w:val="000000"/>
                <w:spacing w:val="0"/>
                <w:w w:val="100"/>
                <w:position w:val="0"/>
                <w:sz w:val="18"/>
                <w:szCs w:val="18"/>
              </w:rPr>
              <w:t xml:space="preserve">4.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年上半年工作 会议时间及内 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薪酬与考核委 员会严格按照</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《公司法》、中 国证监会监管 规则以及《公 司章程》《董事 会薪酬和考核 委员会工作细 则》开展工作， 勤勉尽责，根 据公司的实际 情况，提出了 相关的意见。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41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薪酬和考核委 员会委员审议 公司关于加强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季度 收款计划目标 完成的奖惩计 划</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薪酬与考核委 员会严格按照</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《公司法》、中 国证监会监管 规则以及《公 司章程》《董事 会薪酬和考核 委员会工作细 则》开展工作， 勤勉尽责，根 据公司的实际 情况，提出了 相关的意见。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339" w:name="bookmark339"/>
      <w:bookmarkStart w:id="340" w:name="bookmark340"/>
      <w:bookmarkStart w:id="341" w:name="bookmark341"/>
      <w:r>
        <w:rPr>
          <w:color w:val="000000"/>
          <w:spacing w:val="0"/>
          <w:w w:val="100"/>
          <w:position w:val="0"/>
        </w:rPr>
        <w:t>十、监事会工作情况</w:t>
      </w:r>
      <w:bookmarkEnd w:id="339"/>
      <w:bookmarkEnd w:id="340"/>
      <w:bookmarkEnd w:id="341"/>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监事会在报告期内的监督活动中发现公司是否存在风险</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监事会对报告期内的监督事项无异议。</w:t>
      </w:r>
    </w:p>
    <w:p>
      <w:pPr>
        <w:pStyle w:val="Style22"/>
        <w:keepNext/>
        <w:keepLines/>
        <w:widowControl w:val="0"/>
        <w:shd w:val="clear" w:color="auto" w:fill="auto"/>
        <w:bidi w:val="0"/>
        <w:spacing w:before="0" w:after="380" w:line="240" w:lineRule="auto"/>
        <w:ind w:left="0" w:right="0" w:firstLine="0"/>
        <w:jc w:val="left"/>
      </w:pPr>
      <w:bookmarkStart w:id="342" w:name="bookmark342"/>
      <w:bookmarkStart w:id="343" w:name="bookmark343"/>
      <w:bookmarkStart w:id="344" w:name="bookmark344"/>
      <w:r>
        <w:rPr>
          <w:color w:val="000000"/>
          <w:spacing w:val="0"/>
          <w:w w:val="100"/>
          <w:position w:val="0"/>
        </w:rPr>
        <w:t>十^―、公司员工情况</w:t>
      </w:r>
      <w:bookmarkEnd w:id="342"/>
      <w:bookmarkEnd w:id="343"/>
      <w:bookmarkEnd w:id="344"/>
    </w:p>
    <w:p>
      <w:pPr>
        <w:pStyle w:val="Style28"/>
        <w:keepNext/>
        <w:keepLines/>
        <w:widowControl w:val="0"/>
        <w:shd w:val="clear" w:color="auto" w:fill="auto"/>
        <w:bidi w:val="0"/>
        <w:spacing w:before="0" w:after="32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、员工数量、专业构成及教育程度</w:t>
      </w:r>
      <w:bookmarkEnd w:id="345"/>
      <w:bookmarkEnd w:id="346"/>
      <w:bookmarkEnd w:id="34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196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797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797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39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605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63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797</w:t>
            </w:r>
          </w:p>
        </w:tc>
      </w:tr>
      <w:tr>
        <w:trPr>
          <w:trHeight w:val="39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386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大专及以下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373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797</w:t>
            </w:r>
          </w:p>
        </w:tc>
      </w:tr>
    </w:tbl>
    <w:p>
      <w:pPr>
        <w:widowControl w:val="0"/>
        <w:spacing w:after="339" w:line="1" w:lineRule="exact"/>
      </w:pPr>
    </w:p>
    <w:p>
      <w:pPr>
        <w:pStyle w:val="Style28"/>
        <w:keepNext/>
        <w:keepLines/>
        <w:widowControl w:val="0"/>
        <w:shd w:val="clear" w:color="auto" w:fill="auto"/>
        <w:bidi w:val="0"/>
        <w:spacing w:before="0" w:after="260" w:line="240" w:lineRule="auto"/>
        <w:ind w:left="0" w:right="0" w:firstLine="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、薪酬政策</w:t>
      </w:r>
      <w:bookmarkEnd w:id="349"/>
      <w:bookmarkEnd w:id="350"/>
      <w:bookmarkEnd w:id="352"/>
    </w:p>
    <w:p>
      <w:pPr>
        <w:pStyle w:val="Style2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公司高度重视人力资源建设工作，根据发展战略，结合人力资源现状和未来需求预测，建立和实施了薪酬管理制度，制度是 根据岗位职级与岗位类别进行制定，并切实做到岗位薪资与贡献挂钩，提升员工积极性，提高了员工的满意度，同时鼓励员 工长期稳定的在企业发展，且为企业的长足发展做出应有的贡献。在本公司领取薪酬的人员，按国家及地方的有关规定享受 本公司提供的社会保障。</w:t>
      </w:r>
    </w:p>
    <w:p>
      <w:pPr>
        <w:pStyle w:val="Style24"/>
        <w:keepNext w:val="0"/>
        <w:keepLines w:val="0"/>
        <w:widowControl w:val="0"/>
        <w:shd w:val="clear" w:color="auto" w:fill="auto"/>
        <w:bidi w:val="0"/>
        <w:spacing w:before="0" w:after="640" w:line="313" w:lineRule="exact"/>
        <w:ind w:left="0" w:right="0" w:firstLine="0"/>
        <w:jc w:val="both"/>
        <w:rPr>
          <w:sz w:val="17"/>
          <w:szCs w:val="17"/>
        </w:rPr>
      </w:pPr>
      <w:r>
        <w:rPr>
          <w:color w:val="000000"/>
          <w:spacing w:val="0"/>
          <w:w w:val="100"/>
          <w:position w:val="0"/>
          <w:sz w:val="17"/>
          <w:szCs w:val="17"/>
        </w:rPr>
        <w:t>根据公司薪酬管理制度，公司员工薪酬由基本工资和绩效奖励所组成。其中，基本工资系根据工作岗位的主要范围、职责、 重要性以及其他相关企业相关岗位的薪酬水平制定，绩效奖励则根据绩效考核结果确定。</w:t>
      </w:r>
    </w:p>
    <w:p>
      <w:pPr>
        <w:pStyle w:val="Style24"/>
        <w:keepNext w:val="0"/>
        <w:keepLines w:val="0"/>
        <w:widowControl w:val="0"/>
        <w:shd w:val="clear" w:color="auto" w:fill="auto"/>
        <w:bidi w:val="0"/>
        <w:spacing w:before="0" w:after="700" w:line="341" w:lineRule="exact"/>
        <w:ind w:left="380" w:right="0" w:hanging="380"/>
        <w:jc w:val="both"/>
        <w:rPr>
          <w:sz w:val="17"/>
          <w:szCs w:val="17"/>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的披露要求 报告期内，核心技术人员数量占比为</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，薪酬占比为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年核心技术人员数量占比为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，薪酬占比为</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w:t>
      </w:r>
    </w:p>
    <w:p>
      <w:pPr>
        <w:pStyle w:val="Style28"/>
        <w:keepNext/>
        <w:keepLines/>
        <w:widowControl w:val="0"/>
        <w:shd w:val="clear" w:color="auto" w:fill="auto"/>
        <w:bidi w:val="0"/>
        <w:spacing w:before="0" w:after="26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3</w:t>
      </w:r>
      <w:bookmarkEnd w:id="355"/>
      <w:r>
        <w:rPr>
          <w:color w:val="000000"/>
          <w:spacing w:val="0"/>
          <w:w w:val="100"/>
          <w:position w:val="0"/>
        </w:rPr>
        <w:t>、培训计划</w:t>
      </w:r>
      <w:bookmarkEnd w:id="353"/>
      <w:bookmarkEnd w:id="354"/>
      <w:bookmarkEnd w:id="356"/>
    </w:p>
    <w:p>
      <w:pPr>
        <w:pStyle w:val="Style24"/>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人才是企业发展的重要战略，人才战略也是信息发展实现业绩增长的加速器，信息发展在多年的经营发展中一直牢记并努力 践行这一人才战略理念，在积累了稳定且结构合理的高素质人才队伍同时，信息发展更注重高标准人才的选用机制建设工作， 在引进外部高端人才、领军人才来助力企业快速发展的同时，注重内部培训培养工作，鼓励并积极做好公司</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后人才梯 队建设工作，各类人才在管理经营、新产品研发、重大项目建设、科技公关、前沿技术探索、云计算、人工智能、大数据研 究等方面发挥了重要作用，形成了人尽其才，才尽其用的良好人才发展环境。未来，信息发展将在创新发展过程中，积极做 好人力资源战略规划，构建人才战略版图，让人才成为企业未来发展聚力赋能的重要保障。</w:t>
      </w:r>
    </w:p>
    <w:p>
      <w:pPr>
        <w:pStyle w:val="Style24"/>
        <w:keepNext w:val="0"/>
        <w:keepLines w:val="0"/>
        <w:widowControl w:val="0"/>
        <w:shd w:val="clear" w:color="auto" w:fill="auto"/>
        <w:bidi w:val="0"/>
        <w:spacing w:before="0" w:after="700" w:line="311" w:lineRule="exact"/>
        <w:ind w:left="0" w:right="0" w:firstLine="0"/>
        <w:jc w:val="left"/>
        <w:rPr>
          <w:sz w:val="17"/>
          <w:szCs w:val="17"/>
        </w:rPr>
      </w:pPr>
      <w:r>
        <w:rPr>
          <w:color w:val="000000"/>
          <w:spacing w:val="0"/>
          <w:w w:val="100"/>
          <w:position w:val="0"/>
          <w:sz w:val="17"/>
          <w:szCs w:val="17"/>
        </w:rPr>
        <w:t>在注重人才引进的同时，信息发展非常重视人才培训、培养机制建设工作，信息发展鹰学院是承担这一重要任务的专业内部 机构。学院自成立以来，每年都以企业的战略业务发展为导向，凭借行业资源知识的储备、严谨的管理制度、多元化的课程 体系、专业的内外部精英讲师团队、注重成果导向的教学模式，为企业持续不断的培养符合企业核心价值观的复合型优秀人 才，并以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的成长为主线，将人才划分为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雄鹰、精鹰、飞鹰、雏鹰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历练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成长，最终成为企业未来发展需要的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鹰 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鹰团队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p>
      <w:pPr>
        <w:pStyle w:val="Style28"/>
        <w:keepNext/>
        <w:keepLines/>
        <w:widowControl w:val="0"/>
        <w:shd w:val="clear" w:color="auto" w:fill="auto"/>
        <w:bidi w:val="0"/>
        <w:spacing w:before="0" w:after="26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4</w:t>
      </w:r>
      <w:bookmarkEnd w:id="359"/>
      <w:r>
        <w:rPr>
          <w:color w:val="000000"/>
          <w:spacing w:val="0"/>
          <w:w w:val="100"/>
          <w:position w:val="0"/>
        </w:rPr>
        <w:t>、劳务外包情况</w:t>
      </w:r>
      <w:bookmarkEnd w:id="357"/>
      <w:bookmarkEnd w:id="358"/>
      <w:bookmarkEnd w:id="360"/>
    </w:p>
    <w:p>
      <w:pPr>
        <w:pStyle w:val="Style24"/>
        <w:keepNext w:val="0"/>
        <w:keepLines w:val="0"/>
        <w:widowControl w:val="0"/>
        <w:shd w:val="clear" w:color="auto" w:fill="auto"/>
        <w:bidi w:val="0"/>
        <w:spacing w:before="0" w:after="34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bidi w:val="0"/>
        <w:spacing w:before="0" w:after="260" w:line="240" w:lineRule="auto"/>
        <w:ind w:left="0" w:right="0" w:firstLine="0"/>
        <w:jc w:val="left"/>
      </w:pPr>
      <w:bookmarkStart w:id="361" w:name="bookmark361"/>
      <w:bookmarkStart w:id="362" w:name="bookmark362"/>
      <w:bookmarkStart w:id="363" w:name="bookmark363"/>
      <w:r>
        <w:rPr>
          <w:color w:val="000000"/>
          <w:spacing w:val="0"/>
          <w:w w:val="100"/>
          <w:position w:val="0"/>
        </w:rPr>
        <w:t>十二、公司利润分配及资本公积金转增股本情况</w:t>
      </w:r>
      <w:bookmarkEnd w:id="361"/>
      <w:bookmarkEnd w:id="362"/>
      <w:bookmarkEnd w:id="363"/>
    </w:p>
    <w:p>
      <w:pPr>
        <w:pStyle w:val="Style24"/>
        <w:keepNext w:val="0"/>
        <w:keepLines w:val="0"/>
        <w:widowControl w:val="0"/>
        <w:shd w:val="clear" w:color="auto" w:fill="auto"/>
        <w:bidi w:val="0"/>
        <w:spacing w:before="0" w:after="140" w:line="341" w:lineRule="exact"/>
        <w:ind w:left="0" w:right="0" w:firstLine="0"/>
        <w:jc w:val="left"/>
        <w:rPr>
          <w:sz w:val="17"/>
          <w:szCs w:val="17"/>
        </w:rPr>
      </w:pPr>
      <w:r>
        <w:rPr>
          <w:color w:val="000000"/>
          <w:spacing w:val="0"/>
          <w:w w:val="100"/>
          <w:position w:val="0"/>
          <w:sz w:val="17"/>
          <w:szCs w:val="17"/>
        </w:rPr>
        <w:t xml:space="preserve">报告期内利润分配政策，特别是现金分红政策的制定、执行或调整情况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00" w:line="240" w:lineRule="auto"/>
        <w:ind w:left="0" w:right="0" w:firstLine="0"/>
        <w:jc w:val="left"/>
        <w:rPr>
          <w:sz w:val="17"/>
          <w:szCs w:val="17"/>
        </w:rPr>
      </w:pPr>
      <w:r>
        <w:rPr>
          <w:color w:val="000000"/>
          <w:spacing w:val="0"/>
          <w:w w:val="100"/>
          <w:position w:val="0"/>
          <w:sz w:val="17"/>
          <w:szCs w:val="17"/>
        </w:rPr>
        <w:t>公司报告期利润分配预案及资本公积金转增股本预案与公司章程和分红管理办法等的相关规定一致</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是</w:t>
      </w:r>
      <w:r>
        <w:rPr>
          <w:color w:val="000000"/>
          <w:spacing w:val="0"/>
          <w:w w:val="100"/>
          <w:position w:val="0"/>
          <w:sz w:val="18"/>
          <w:szCs w:val="18"/>
        </w:rPr>
        <w:t>口</w:t>
      </w:r>
      <w:r>
        <w:rPr>
          <w:color w:val="000000"/>
          <w:spacing w:val="0"/>
          <w:w w:val="100"/>
          <w:position w:val="0"/>
          <w:sz w:val="17"/>
          <w:szCs w:val="17"/>
        </w:rPr>
        <w:t>否</w:t>
      </w:r>
      <w:r>
        <w:rPr>
          <w:color w:val="000000"/>
          <w:spacing w:val="0"/>
          <w:w w:val="100"/>
          <w:position w:val="0"/>
          <w:sz w:val="18"/>
          <w:szCs w:val="18"/>
        </w:rPr>
        <w:t>口</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公司报告期利润分配预案及资本公积金转增股本预案符合公司章程等的相关规定。</w:t>
      </w:r>
    </w:p>
    <w:p>
      <w:pPr>
        <w:pStyle w:val="Style24"/>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1738" w:hRule="exact"/>
        </w:trPr>
        <w:tc>
          <w:tcPr>
            <w:gridSpan w:val="2"/>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日，公司第五届董事会第十九次会议和第五届监事会第十三次会议审议通过了《关于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年度利润分配预 案的议案》。公司综合考虑外部环境及公司目前发展的实际情况，为提高公司财务稳健性，保障公司未来经营发展的现金 需要，更好的维护全体股东的长远利益，经董事会审慎研究，决定公司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年度利润分配及资本公积转增股本预案如下： 不进行现金分红、不送红股，亦不进行资本公积金转增股本。</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公司报告期内盈利且母公司可供股东分配利润为正但未提出现金红利分配预案</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r>
        <w:rPr>
          <w:color w:val="000000"/>
          <w:spacing w:val="0"/>
          <w:w w:val="100"/>
          <w:position w:val="0"/>
        </w:rPr>
        <w:t>十三、公司股权激励计划、员工持股计划或其他员工激励措施的实施情况</w:t>
      </w:r>
      <w:bookmarkEnd w:id="364"/>
      <w:bookmarkEnd w:id="365"/>
      <w:bookmarkEnd w:id="366"/>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8"/>
        <w:keepNext/>
        <w:keepLines/>
        <w:widowControl w:val="0"/>
        <w:shd w:val="clear" w:color="auto" w:fill="auto"/>
        <w:tabs>
          <w:tab w:pos="368" w:val="left"/>
        </w:tabs>
        <w:bidi w:val="0"/>
        <w:spacing w:before="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w:t>
        <w:tab/>
        <w:t>股权激励</w:t>
      </w:r>
      <w:bookmarkEnd w:id="367"/>
      <w:bookmarkEnd w:id="368"/>
      <w:bookmarkEnd w:id="370"/>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董事、高级管理人员获得的股权激励情况</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高级管理人员的考评机制及激励情况</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w:t>
        <w:tab/>
        <w:t>员工持股计划的实施情况</w:t>
      </w:r>
      <w:bookmarkEnd w:id="371"/>
      <w:bookmarkEnd w:id="372"/>
      <w:bookmarkEnd w:id="374"/>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不适用</w:t>
      </w:r>
    </w:p>
    <w:p>
      <w:pPr>
        <w:pStyle w:val="Style24"/>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报告期内全部有效的员工持股计划情况</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员工的范围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员工人数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持有的股票总额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变更情况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占上市公司股本总 额的比例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实施计划的资金来 源</w:t>
            </w:r>
          </w:p>
        </w:tc>
      </w:tr>
      <w:tr>
        <w:trPr>
          <w:trHeight w:val="68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对公司中长期发展</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有重要作用和影响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561100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-561100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本持股计划的资金</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来源为员工合法薪</w:t>
            </w:r>
          </w:p>
        </w:tc>
      </w:tr>
    </w:tbl>
    <w:tbl>
      <w:tblPr>
        <w:tblOverlap w:val="never"/>
        <w:jc w:val="center"/>
        <w:tblLayout w:type="fixed"/>
      </w:tblPr>
      <w:tblGrid>
        <w:gridCol w:w="1598"/>
        <w:gridCol w:w="1594"/>
        <w:gridCol w:w="1594"/>
        <w:gridCol w:w="1594"/>
        <w:gridCol w:w="1598"/>
        <w:gridCol w:w="1603"/>
      </w:tblGrid>
      <w:tr>
        <w:trPr>
          <w:trHeight w:val="68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的员工人员和骨干</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酬、自筹资金以及法 律允许的其他方式。</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p>
      <w:pPr>
        <w:widowControl w:val="0"/>
        <w:spacing w:after="59" w:line="1" w:lineRule="exact"/>
      </w:pP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报告期初持股数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报告期末持股数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占上市公司股本总额的 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刘晓乐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19,300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9,650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徐云蔚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易江南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16,475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陈若初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前监事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68,150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4"/>
        <w:keepNext w:val="0"/>
        <w:keepLines w:val="0"/>
        <w:widowControl w:val="0"/>
        <w:shd w:val="clear" w:color="auto" w:fill="auto"/>
        <w:bidi w:val="0"/>
        <w:spacing w:before="0" w:after="140" w:line="312" w:lineRule="exact"/>
        <w:ind w:left="0" w:right="0" w:firstLine="0"/>
        <w:jc w:val="left"/>
        <w:rPr>
          <w:sz w:val="17"/>
          <w:szCs w:val="17"/>
        </w:rPr>
      </w:pPr>
      <w:r>
        <w:rPr>
          <w:color w:val="000000"/>
          <w:spacing w:val="0"/>
          <w:w w:val="100"/>
          <w:position w:val="0"/>
          <w:sz w:val="17"/>
          <w:szCs w:val="17"/>
        </w:rPr>
        <w:t>报告期内资产管理机构的变更情况</w:t>
      </w:r>
    </w:p>
    <w:p>
      <w:pPr>
        <w:pStyle w:val="Style24"/>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312" w:lineRule="exact"/>
        <w:ind w:left="0" w:right="0" w:firstLine="0"/>
        <w:jc w:val="left"/>
        <w:rPr>
          <w:sz w:val="17"/>
          <w:szCs w:val="17"/>
        </w:rPr>
      </w:pPr>
      <w:r>
        <w:rPr>
          <w:color w:val="000000"/>
          <w:spacing w:val="0"/>
          <w:w w:val="100"/>
          <w:position w:val="0"/>
          <w:sz w:val="17"/>
          <w:szCs w:val="17"/>
        </w:rPr>
        <w:t>报告期内因持有人处置份额等引起的权益变动情况</w:t>
      </w:r>
    </w:p>
    <w:p>
      <w:pPr>
        <w:pStyle w:val="Style24"/>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报告期内因员工离职，导致持有人处置份额引起权益变动。</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报告期内股东权利行使的情况</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第一期员工持股计划</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上海信联信息发展股份有限公司（以下简称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 xml:space="preserve">日召开第四届董事会第四十次会议、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年年度股东大会，审议通过了《关于公司第一期员工持股计划（草案）及其摘要的议案》、《关于公司第一期员工持股 计划管理办法的议案》以及《关于提请股东大会授权董事会办理员工持股计划相关事宜的议案》，具体内容详见公司于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日刊登在巨潮资讯网上的相关公告。</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根据《关于上市公司实施员工持股计划试点的指导意见》、《深圳证券交易所上市公司信息披露指引第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w:t>
      </w:r>
      <w:r>
        <w:rPr>
          <w:color w:val="000000"/>
          <w:spacing w:val="0"/>
          <w:w w:val="100"/>
          <w:position w:val="0"/>
          <w:sz w:val="18"/>
          <w:szCs w:val="18"/>
        </w:rPr>
        <w:t>一</w:t>
      </w:r>
      <w:r>
        <w:rPr>
          <w:color w:val="000000"/>
          <w:spacing w:val="0"/>
          <w:w w:val="100"/>
          <w:position w:val="0"/>
          <w:sz w:val="17"/>
          <w:szCs w:val="17"/>
        </w:rPr>
        <w:t>员工持股计划》 等相关规定，现将公司第一期员工持股计划实施进展情况公告如下：公司于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日召开第四届董事会第十九次会议 审议通过了《关于回购公司股份的议案》，该议案已经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日召开的公司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年第六次临时股东大会审议通过。公 司回购股份资金总额为人民币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万元，价格不超过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股，回购股份方式为深圳证券交易所集中竞价交易方 式或其他法律法规允许的方式，回购实施期限自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日止。</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日，公司通过股份回购专用账户以集中竞价交易方式累计回购股份</w:t>
      </w:r>
      <w:r>
        <w:rPr>
          <w:rFonts w:ascii="Times New Roman" w:eastAsia="Times New Roman" w:hAnsi="Times New Roman" w:cs="Times New Roman"/>
          <w:color w:val="000000"/>
          <w:spacing w:val="0"/>
          <w:w w:val="100"/>
          <w:position w:val="0"/>
          <w:sz w:val="18"/>
          <w:szCs w:val="18"/>
        </w:rPr>
        <w:t>1,122,200</w:t>
      </w:r>
      <w:r>
        <w:rPr>
          <w:color w:val="000000"/>
          <w:spacing w:val="0"/>
          <w:w w:val="100"/>
          <w:position w:val="0"/>
          <w:sz w:val="17"/>
          <w:szCs w:val="17"/>
        </w:rPr>
        <w:t>股，占公司总股本的</w:t>
      </w:r>
      <w:r>
        <w:rPr>
          <w:rFonts w:ascii="Times New Roman" w:eastAsia="Times New Roman" w:hAnsi="Times New Roman" w:cs="Times New Roman"/>
          <w:color w:val="000000"/>
          <w:spacing w:val="0"/>
          <w:w w:val="100"/>
          <w:position w:val="0"/>
          <w:sz w:val="18"/>
          <w:szCs w:val="18"/>
        </w:rPr>
        <w:t>0.5471%</w:t>
      </w:r>
      <w:r>
        <w:rPr>
          <w:color w:val="000000"/>
          <w:spacing w:val="0"/>
          <w:w w:val="100"/>
          <w:position w:val="0"/>
          <w:sz w:val="17"/>
          <w:szCs w:val="17"/>
        </w:rPr>
        <w:t>， 最高成交价为</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股，最低成交价为</w:t>
      </w:r>
      <w:r>
        <w:rPr>
          <w:rFonts w:ascii="Times New Roman" w:eastAsia="Times New Roman" w:hAnsi="Times New Roman" w:cs="Times New Roman"/>
          <w:color w:val="000000"/>
          <w:spacing w:val="0"/>
          <w:w w:val="100"/>
          <w:position w:val="0"/>
          <w:sz w:val="18"/>
          <w:szCs w:val="18"/>
        </w:rPr>
        <w:t>14.8</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股，支付的总金额为</w:t>
      </w:r>
      <w:r>
        <w:rPr>
          <w:rFonts w:ascii="Times New Roman" w:eastAsia="Times New Roman" w:hAnsi="Times New Roman" w:cs="Times New Roman"/>
          <w:color w:val="000000"/>
          <w:spacing w:val="0"/>
          <w:w w:val="100"/>
          <w:position w:val="0"/>
          <w:sz w:val="18"/>
          <w:szCs w:val="18"/>
        </w:rPr>
        <w:t>20,001,619.42</w:t>
      </w:r>
      <w:r>
        <w:rPr>
          <w:color w:val="000000"/>
          <w:spacing w:val="0"/>
          <w:w w:val="100"/>
          <w:position w:val="0"/>
          <w:sz w:val="17"/>
          <w:szCs w:val="17"/>
        </w:rPr>
        <w:t>元（不含交易费用），公司本次股份回购 计划已经实施完毕。本次员工持股计划</w:t>
      </w:r>
      <w:r>
        <w:rPr>
          <w:rFonts w:ascii="Times New Roman" w:eastAsia="Times New Roman" w:hAnsi="Times New Roman" w:cs="Times New Roman"/>
          <w:color w:val="000000"/>
          <w:spacing w:val="0"/>
          <w:w w:val="100"/>
          <w:position w:val="0"/>
          <w:sz w:val="18"/>
          <w:szCs w:val="18"/>
        </w:rPr>
        <w:t>1,122,200</w:t>
      </w:r>
      <w:r>
        <w:rPr>
          <w:color w:val="000000"/>
          <w:spacing w:val="0"/>
          <w:w w:val="100"/>
          <w:position w:val="0"/>
          <w:sz w:val="17"/>
          <w:szCs w:val="17"/>
        </w:rPr>
        <w:t>股股票来源为上述已回购的股份。</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日，公司收到中国证券登记结算有限责任公司深圳分公司的《证券过户登记确认书》，公司回购专用证券账户 中所持有的</w:t>
      </w:r>
      <w:r>
        <w:rPr>
          <w:rFonts w:ascii="Times New Roman" w:eastAsia="Times New Roman" w:hAnsi="Times New Roman" w:cs="Times New Roman"/>
          <w:color w:val="000000"/>
          <w:spacing w:val="0"/>
          <w:w w:val="100"/>
          <w:position w:val="0"/>
          <w:sz w:val="18"/>
          <w:szCs w:val="18"/>
        </w:rPr>
        <w:t>1,122,200</w:t>
      </w:r>
      <w:r>
        <w:rPr>
          <w:color w:val="000000"/>
          <w:spacing w:val="0"/>
          <w:w w:val="100"/>
          <w:position w:val="0"/>
          <w:sz w:val="17"/>
          <w:szCs w:val="17"/>
        </w:rPr>
        <w:t>股信息发展股票已于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日非交易过户至公司员工持股计划专户（证券账户名称：上海信联信息 发展股份有限公司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第一期员工持股计划），过户价格为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股，过户股数为</w:t>
      </w:r>
      <w:r>
        <w:rPr>
          <w:rFonts w:ascii="Times New Roman" w:eastAsia="Times New Roman" w:hAnsi="Times New Roman" w:cs="Times New Roman"/>
          <w:color w:val="000000"/>
          <w:spacing w:val="0"/>
          <w:w w:val="100"/>
          <w:position w:val="0"/>
          <w:sz w:val="18"/>
          <w:szCs w:val="18"/>
        </w:rPr>
        <w:t>1,122,200</w:t>
      </w:r>
      <w:r>
        <w:rPr>
          <w:color w:val="000000"/>
          <w:spacing w:val="0"/>
          <w:w w:val="100"/>
          <w:position w:val="0"/>
          <w:sz w:val="17"/>
          <w:szCs w:val="17"/>
        </w:rPr>
        <w:t>股。依据员工持股计划草案，本员工 持股计划的存续期为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个月，自公司公告最后一笔标的股票过户至本员工持股计划名下之日起算（即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日起算）。 本员工持股计划通过非交易过户等法律法规许可的方式所获标的股票，公司公告最后一笔标的股票过户至本员工持股计划名 下之日起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个月后开始分期解锁，锁定期最长</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年公司业绩考核指标未达成，故其中</w:t>
      </w:r>
      <w:r>
        <w:rPr>
          <w:rFonts w:ascii="Times New Roman" w:eastAsia="Times New Roman" w:hAnsi="Times New Roman" w:cs="Times New Roman"/>
          <w:color w:val="000000"/>
          <w:spacing w:val="0"/>
          <w:w w:val="100"/>
          <w:position w:val="0"/>
          <w:sz w:val="18"/>
          <w:szCs w:val="18"/>
        </w:rPr>
        <w:t>561,100</w:t>
      </w:r>
      <w:r>
        <w:rPr>
          <w:color w:val="000000"/>
          <w:spacing w:val="0"/>
          <w:w w:val="100"/>
          <w:position w:val="0"/>
          <w:sz w:val="17"/>
          <w:szCs w:val="17"/>
        </w:rPr>
        <w:t>股已由管理委员会收回，但尚处在锁定期内。</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截至报告期末，公司第一期员工持股计划尚未出售所持股票，共计持有</w:t>
      </w:r>
      <w:r>
        <w:rPr>
          <w:rFonts w:ascii="Times New Roman" w:eastAsia="Times New Roman" w:hAnsi="Times New Roman" w:cs="Times New Roman"/>
          <w:color w:val="000000"/>
          <w:spacing w:val="0"/>
          <w:w w:val="100"/>
          <w:position w:val="0"/>
          <w:sz w:val="18"/>
          <w:szCs w:val="18"/>
        </w:rPr>
        <w:t>1,122,200</w:t>
      </w:r>
      <w:r>
        <w:rPr>
          <w:color w:val="000000"/>
          <w:spacing w:val="0"/>
          <w:w w:val="100"/>
          <w:position w:val="0"/>
          <w:sz w:val="17"/>
          <w:szCs w:val="17"/>
        </w:rPr>
        <w:t>股，尚处于存续期内。</w:t>
      </w:r>
    </w:p>
    <w:p>
      <w:pPr>
        <w:pStyle w:val="Style24"/>
        <w:keepNext w:val="0"/>
        <w:keepLines w:val="0"/>
        <w:widowControl w:val="0"/>
        <w:shd w:val="clear" w:color="auto" w:fill="auto"/>
        <w:bidi w:val="0"/>
        <w:spacing w:before="0" w:after="140" w:line="312" w:lineRule="exact"/>
        <w:ind w:left="0" w:right="0" w:firstLine="0"/>
        <w:jc w:val="left"/>
        <w:rPr>
          <w:sz w:val="17"/>
          <w:szCs w:val="17"/>
        </w:rPr>
      </w:pPr>
      <w:r>
        <w:rPr>
          <w:color w:val="000000"/>
          <w:spacing w:val="0"/>
          <w:w w:val="100"/>
          <w:position w:val="0"/>
          <w:sz w:val="17"/>
          <w:szCs w:val="17"/>
        </w:rPr>
        <w:t>报告期内员工持股计划的其他相关情形及说明</w:t>
      </w:r>
    </w:p>
    <w:p>
      <w:pPr>
        <w:pStyle w:val="Style24"/>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313" w:lineRule="exact"/>
        <w:ind w:left="0" w:right="0" w:firstLine="0"/>
        <w:jc w:val="left"/>
        <w:rPr>
          <w:sz w:val="17"/>
          <w:szCs w:val="17"/>
        </w:rPr>
      </w:pPr>
      <w:r>
        <w:rPr>
          <w:color w:val="000000"/>
          <w:spacing w:val="0"/>
          <w:w w:val="100"/>
          <w:position w:val="0"/>
          <w:sz w:val="17"/>
          <w:szCs w:val="17"/>
        </w:rPr>
        <w:t>员工持股计划管理委员会成员发生变化</w:t>
      </w:r>
    </w:p>
    <w:p>
      <w:pPr>
        <w:pStyle w:val="Style24"/>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313" w:lineRule="exact"/>
        <w:ind w:left="0" w:right="0" w:firstLine="0"/>
        <w:jc w:val="left"/>
        <w:rPr>
          <w:sz w:val="17"/>
          <w:szCs w:val="17"/>
        </w:rPr>
      </w:pPr>
      <w:r>
        <w:rPr>
          <w:color w:val="000000"/>
          <w:spacing w:val="0"/>
          <w:w w:val="100"/>
          <w:position w:val="0"/>
          <w:sz w:val="17"/>
          <w:szCs w:val="17"/>
        </w:rPr>
        <w:t>员工持股计划对报告期上市公司的财务影响及相关会计处理</w:t>
      </w:r>
    </w:p>
    <w:p>
      <w:pPr>
        <w:pStyle w:val="Style24"/>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313" w:lineRule="exact"/>
        <w:ind w:left="0" w:right="0" w:firstLine="0"/>
        <w:jc w:val="left"/>
        <w:rPr>
          <w:sz w:val="17"/>
          <w:szCs w:val="17"/>
        </w:rPr>
      </w:pPr>
      <w:r>
        <w:rPr>
          <w:color w:val="000000"/>
          <w:spacing w:val="0"/>
          <w:w w:val="100"/>
          <w:position w:val="0"/>
          <w:sz w:val="17"/>
          <w:szCs w:val="17"/>
        </w:rPr>
        <w:t>报告期内员工持股计划终止的情况</w:t>
      </w:r>
    </w:p>
    <w:p>
      <w:pPr>
        <w:pStyle w:val="Style24"/>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313" w:lineRule="exact"/>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3</w:t>
      </w:r>
      <w:bookmarkEnd w:id="377"/>
      <w:r>
        <w:rPr>
          <w:color w:val="000000"/>
          <w:spacing w:val="0"/>
          <w:w w:val="100"/>
          <w:position w:val="0"/>
        </w:rPr>
        <w:t>、其他员工激励措施</w:t>
      </w:r>
      <w:bookmarkEnd w:id="375"/>
      <w:bookmarkEnd w:id="376"/>
      <w:bookmarkEnd w:id="378"/>
    </w:p>
    <w:p>
      <w:pPr>
        <w:pStyle w:val="Style24"/>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313" w:lineRule="exact"/>
        <w:ind w:left="0" w:right="0" w:firstLine="0"/>
        <w:jc w:val="left"/>
        <w:rPr>
          <w:sz w:val="17"/>
          <w:szCs w:val="17"/>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的披露要求</w:t>
      </w:r>
    </w:p>
    <w:p>
      <w:pPr>
        <w:pStyle w:val="Style22"/>
        <w:keepNext/>
        <w:keepLines/>
        <w:widowControl w:val="0"/>
        <w:shd w:val="clear" w:color="auto" w:fill="auto"/>
        <w:bidi w:val="0"/>
        <w:spacing w:before="0" w:after="380" w:line="240" w:lineRule="auto"/>
        <w:ind w:left="0" w:right="0" w:firstLine="0"/>
        <w:jc w:val="left"/>
      </w:pPr>
      <w:bookmarkStart w:id="379" w:name="bookmark379"/>
      <w:bookmarkStart w:id="380" w:name="bookmark380"/>
      <w:bookmarkStart w:id="381" w:name="bookmark381"/>
      <w:r>
        <w:rPr>
          <w:color w:val="000000"/>
          <w:spacing w:val="0"/>
          <w:w w:val="100"/>
          <w:position w:val="0"/>
        </w:rPr>
        <w:t>十四、报告期内的内部控制制度建设及实施情况</w:t>
      </w:r>
      <w:bookmarkEnd w:id="379"/>
      <w:bookmarkEnd w:id="380"/>
      <w:bookmarkEnd w:id="381"/>
    </w:p>
    <w:p>
      <w:pPr>
        <w:pStyle w:val="Style28"/>
        <w:keepNext/>
        <w:keepLines/>
        <w:widowControl w:val="0"/>
        <w:shd w:val="clear" w:color="auto" w:fill="auto"/>
        <w:bidi w:val="0"/>
        <w:spacing w:before="0" w:after="2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、内部控制建设及实施情况</w:t>
      </w:r>
      <w:bookmarkEnd w:id="382"/>
      <w:bookmarkEnd w:id="383"/>
      <w:bookmarkEnd w:id="385"/>
    </w:p>
    <w:p>
      <w:pPr>
        <w:pStyle w:val="Style2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公司自建立各类规章制度以来，每年都会按照经营业务及组织构架调整以及国家机关颁布的相关法规和指引要求进行修订与 完善工作。目前公司内部规章制度有十九大类（内部控制、内部审计制度、财务管理制度、采购管理制度、行政管理制度、 人力资源管理制度、保密制度、市场管理制度、营销管理制度、商务管理制度、交付管理制度、产品管理制度、咨询管理制 度、管理层会议制度、印章管理制度、知识产权管理制度、资质管理制度、档案管理制度、流程管理制度），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年相关内 控部门对以下制度《对外投资管理制度》、《关联交易管理办法》、《控股（参股）子公司管理办法》、《控股股东和实际 控制人行为规范》、《募集资金管理制度》、《独立董事制度》、《信息披露管理制度》、《投资者关系管理制度》、《公 司对外担保管理制度》、《重大事项内部报告制度》、《内部审计制度》、《财务统一管理制度》、《采购管理制度》、《行 政管理制度》、《人力资源管理制度》、《营销管理制度》、《商务管理制度》、《印章管理制度》等按照深圳证券交易所 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号一创业板上市公司规范运作要求，进行修订与完善工作。持续不断地优化内部控制，使之更 好地符合公司实际经营情况并更合理地控制各种风险。</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年将对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年执行内控制度不足之处，进一步进行修订完善工作， 为公司可持续发展经营提供保障。</w:t>
      </w:r>
    </w:p>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年公司进行董事会监事会进行改选，调整了战略、审计和薪资委员会成员，调整组织构架中高管的人员配备，由原董事 长兼任财务总监改为任命董磊为财务总监（公告编号：</w:t>
      </w:r>
      <w:r>
        <w:rPr>
          <w:rFonts w:ascii="Times New Roman" w:eastAsia="Times New Roman" w:hAnsi="Times New Roman" w:cs="Times New Roman"/>
          <w:color w:val="000000"/>
          <w:spacing w:val="0"/>
          <w:w w:val="100"/>
          <w:position w:val="0"/>
          <w:sz w:val="18"/>
          <w:szCs w:val="18"/>
        </w:rPr>
        <w:t>2021-079</w:t>
      </w:r>
      <w:r>
        <w:rPr>
          <w:color w:val="000000"/>
          <w:spacing w:val="0"/>
          <w:w w:val="100"/>
          <w:position w:val="0"/>
          <w:sz w:val="17"/>
          <w:szCs w:val="17"/>
        </w:rPr>
        <w:t>）</w:t>
      </w:r>
      <w:r>
        <w:rPr>
          <w:color w:val="000000"/>
          <w:spacing w:val="0"/>
          <w:w w:val="100"/>
          <w:position w:val="0"/>
          <w:sz w:val="17"/>
          <w:szCs w:val="17"/>
        </w:rPr>
        <w:t>，避免权职过去集中，形成各司其职、各负其责、相互制 约、相互协调的工作机制。</w:t>
      </w:r>
    </w:p>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年公司坚持采用开源节流经营策略，人力资源管理重点是解决人员过剩和确保关键岗位人员到岗。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年根据战略发展 及分解计划，在选拔高级管理人员是按照因事设岗、以岗选人、以最大可能实现选聘人员胜任岗位职责要求；招聘过程能按 照诚信为先原则，流程做到计划公开，岗位公开，要求公开。入职环节做到把控风险、流程规范，做到入职当天报道材料齐 全，当天签订劳动合同，并发放《员工手册》、《入职指南》等材料。员工辞职在</w:t>
      </w:r>
      <w:r>
        <w:rPr>
          <w:rFonts w:ascii="Times New Roman" w:eastAsia="Times New Roman" w:hAnsi="Times New Roman" w:cs="Times New Roman"/>
          <w:color w:val="000000"/>
          <w:spacing w:val="0"/>
          <w:w w:val="100"/>
          <w:position w:val="0"/>
          <w:sz w:val="18"/>
          <w:szCs w:val="18"/>
        </w:rPr>
        <w:t>OA</w:t>
      </w:r>
      <w:r>
        <w:rPr>
          <w:color w:val="000000"/>
          <w:spacing w:val="0"/>
          <w:w w:val="100"/>
          <w:position w:val="0"/>
          <w:sz w:val="17"/>
          <w:szCs w:val="17"/>
        </w:rPr>
        <w:t>系统按照《审批权限及时间节点指引》 执行，并在最后一步收取辞职信等纸质材料，由于有比较合理的退出机制，在人员退出过程中，没有发生损毁企业声誉的诉 讼案例，对于核心管理人员离职，进行离任审计工作。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年企业文化建设方面存在薄弱环节，个别关键岗位人员管理不善， 导致核心人员流失</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年全年交付给客户的项目虽然没有发生安全事故，但交付过程中，各类安全隐患时有发生，墨菲法则告诉我们，只要有 存在安全隐患，事故总会发生，只是早晚、大小、轻重而已，公司各级管理人员要加强了解与掌握本公司项目交付实际情况 和安全生产管理现状，持续不断改进安全生产管理工作。</w:t>
      </w:r>
    </w:p>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年按照公司《财务统一管理制度》，严格执行筹资、投资、资金管控中的授权、批准、审验制度，加强资金活动中集中 归口管理、明确筹资、投资、资金运营等环节中职责权限和岗位分离要求，定期和不定期对检查与评价资金活动情况，保证 资金安全运行。公司财务总监负责公司资金活动中日常管理，参与投融资方案的可运行研究。对子公司的资金活动采用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一 </w:t>
      </w:r>
      <w:r>
        <w:rPr>
          <w:color w:val="000000"/>
          <w:spacing w:val="0"/>
          <w:w w:val="100"/>
          <w:position w:val="0"/>
          <w:sz w:val="17"/>
          <w:szCs w:val="17"/>
        </w:rPr>
        <w:t>枝笔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规定，确保子公司资金业务统一监管。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年公司主要通过银行借款方式筹资，公司通过与银行沟通洽谈，明确借款 规模、利率、期限、担保、还款安排及双方权利和义务、违约条款等达成一致后签约并按约履行，未发生违约情况。</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年公司投资项目主要是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交信北斗海南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交信北斗浙江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项目，公司按照深交所《企业内部控制应用指引》第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号相关规定 进行操作。资金营运主要发挥预算管理制度，统筹协调各业务单元的资金需求，每月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次的经营会议中对预算执行情况、计 划收款完成情况、质保金回收情况进行综合分析与评价，发现的异常情况，能及时采取措施进行妥善处理，加强收款管理工 作，做好资金在销售、采购、生产等环节综合平衡，提升资金运行效率。同时也提出生产成本统计存在中的问题，例如项目 验收时间与设备出入库时间存在矛盾，个别项目验收报告没有客户盖章等现象。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年公司主要为哪几个项目进行担保，公 司按照深交所《企业内部控制应用指引》第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号相关规定进行操作。公司财务报告及预算管理工作也是按照深交所《企业内 部控制应用指引》第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号相关规定进行操作</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年按照公司《采购管理制度》开展购买物资（业务外包）及支付采购货款活动，整个活动包括采购计划、申购、审批、 采购合同签约、出入库验收、采购付款、年终的供应商评价工作等环节职责和审批权限，建立设备服务价格库，开展二次采 购管理检查与评价工作，对采购管理中的销售合同甲方指定供应商、公司内部变更单、个别时间内采购入库与采购岗位不相 容规定执行不到位等现象提出整改意见，公司设备（服务）采购活动总体能满足公司生产经营需要。</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公司《行政管理制度》明确固定资产管理采用预算管理、固定资产保管明确责任人、每季度开展盘点工作，公司对固定资产 建立目录库，目录库反映固定资产的来源、验收人、使用地点、责任部门和责任人、固定资产运转、维护与维修、折旧及盘 点等相关内容。目录库也存在资产分类偏粗、个别低值易耗商品与固定资产混淆在一起等现象。</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《公司营销管理》制度约束了各业务单元出售公司产品（服务）及收取销售款项全过程活动。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年公司有明确的营销管理 业务流程和相关营销管理制度、明确销售、发货和收款等环节的职责和审批权限，每年二次对营销管理工作开展检查与评价 工作，发现的个别销售合同审批权限违规、销售合同预付款与销售合同中的过程款没有区别对待问题、销售合同清单中未明 确却要申购等异常情况，提出整改意见。另外营销管理中对销售策略不当和市场预测不正确，也是未</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完成经营目标一 个重要因素。</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公司按照《商务管理制度》对公司各类商务合同开展管理工作，从合同拟定、审批、执行等环节按制度执行，平时采用抽查 方式检查商务合同管理情况及对商务合同履行情况进行评价，对抽查中发现的审批人的权限、合同未按时归档、商务合同凡 是对方是非体制内的单位履约风险等问题，提出整改意见。</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按照公司《印章管理制度》，通过对公司印章使用申请单、印章使用登记表等相关信息检，总体评价是公司印章管理绝大多 数是按照《公司印章管理制度》执行的，只是个别人在执行制度过程中不严谨，未严格按照《印章管理制度》执行，虽然没 有风险事故，但侧面也暴露制度执行者与编制部门制度认识差异，缺少制度宣贯，这样的问题已在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年公司印章管理制度 中予以完善。</w:t>
      </w:r>
    </w:p>
    <w:p>
      <w:pPr>
        <w:pStyle w:val="Style24"/>
        <w:keepNext w:val="0"/>
        <w:keepLines w:val="0"/>
        <w:widowControl w:val="0"/>
        <w:shd w:val="clear" w:color="auto" w:fill="auto"/>
        <w:bidi w:val="0"/>
        <w:spacing w:before="0" w:after="680" w:line="314" w:lineRule="exact"/>
        <w:ind w:left="0" w:right="0" w:firstLine="0"/>
        <w:jc w:val="both"/>
        <w:rPr>
          <w:sz w:val="17"/>
          <w:szCs w:val="17"/>
        </w:rPr>
      </w:pPr>
      <w:r>
        <w:rPr>
          <w:color w:val="000000"/>
          <w:spacing w:val="0"/>
          <w:w w:val="100"/>
          <w:position w:val="0"/>
          <w:sz w:val="17"/>
          <w:szCs w:val="17"/>
        </w:rPr>
        <w:t>公司从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年就建立信息化管理平台，每年根据公司经营的组织构架调整及相关制度的调整，也会及时开展对公司信息化管 理平台进行维护工作，在不定期的抽查中还是发现个别人员未按规定登记人工信息现象，虽然是个别人的行为，侧面反映公 司信息化管理系统在人工环境下全面实现自动内部控制功能有待提高。这将是公司信息化管理工作今后持续改进发放向。</w:t>
      </w:r>
    </w:p>
    <w:p>
      <w:pPr>
        <w:pStyle w:val="Style28"/>
        <w:keepNext/>
        <w:keepLines/>
        <w:widowControl w:val="0"/>
        <w:shd w:val="clear" w:color="auto" w:fill="auto"/>
        <w:bidi w:val="0"/>
        <w:spacing w:before="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、报告期内发现的内部控制重大缺陷的具体情况</w:t>
      </w:r>
      <w:bookmarkEnd w:id="386"/>
      <w:bookmarkEnd w:id="387"/>
      <w:bookmarkEnd w:id="389"/>
    </w:p>
    <w:p>
      <w:pPr>
        <w:pStyle w:val="Style24"/>
        <w:keepNext w:val="0"/>
        <w:keepLines w:val="0"/>
        <w:widowControl w:val="0"/>
        <w:shd w:val="clear" w:color="auto" w:fill="auto"/>
        <w:bidi w:val="0"/>
        <w:spacing w:before="0" w:after="3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color w:val="000000"/>
          <w:spacing w:val="0"/>
          <w:w w:val="100"/>
          <w:position w:val="0"/>
          <w:sz w:val="17"/>
          <w:szCs w:val="17"/>
        </w:rPr>
        <w:t>否</w:t>
      </w:r>
    </w:p>
    <w:p>
      <w:pPr>
        <w:pStyle w:val="Style22"/>
        <w:keepNext/>
        <w:keepLines/>
        <w:widowControl w:val="0"/>
        <w:shd w:val="clear" w:color="auto" w:fill="auto"/>
        <w:bidi w:val="0"/>
        <w:spacing w:before="0" w:after="340" w:line="240" w:lineRule="auto"/>
        <w:ind w:left="0" w:right="0" w:firstLine="0"/>
        <w:jc w:val="both"/>
      </w:pPr>
      <w:bookmarkStart w:id="390" w:name="bookmark390"/>
      <w:bookmarkStart w:id="391" w:name="bookmark391"/>
      <w:bookmarkStart w:id="392" w:name="bookmark392"/>
      <w:r>
        <w:rPr>
          <w:color w:val="000000"/>
          <w:spacing w:val="0"/>
          <w:w w:val="100"/>
          <w:position w:val="0"/>
        </w:rPr>
        <w:t>十五、公司报告期内对子公司的管理控制情况</w:t>
      </w:r>
      <w:bookmarkEnd w:id="390"/>
      <w:bookmarkEnd w:id="391"/>
      <w:bookmarkEnd w:id="392"/>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整合中遇到的问 题</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已采取的解决措 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后续解决计划</w:t>
            </w:r>
          </w:p>
        </w:tc>
      </w:tr>
      <w:tr>
        <w:trPr>
          <w:trHeight w:val="9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交信北斗浙江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通过与黑曜石与 交信北斗科技共 同投资成立交信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公司提议并召开 了交信北斗（浙 江）科技有限公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106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北斗浙江，并服 务于公司战略的 实现。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司第一次股东 会，选举了公司 董事和监事，并 成立了交信北斗 浙江公司第一届 董事会。交信北 斗浙江第一届董 事会第一次会议 上选举了交信北 斗浙江公司董事 会董事长、副总 经理、主持工作 的副总经理以及 财务总监人选。 在交信北斗浙江 第一届董事会第 二次会议上，交 信北斗浙江的董 事听取了交信北 斗浙江公司经营 管理层汇报《关 于公司全年工作 计划的议案》、</w:t>
            </w:r>
          </w:p>
          <w:p>
            <w:pPr>
              <w:pStyle w:val="Style18"/>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《关于公司组织 架构的议案》、</w:t>
            </w:r>
          </w:p>
          <w:p>
            <w:pPr>
              <w:pStyle w:val="Style18"/>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《关于公司年度 财务预算方案的 议案》、《关于公 司薪酬管理体系 和激励奖罚方案 的议案》和《关 于公司关键管理 制度的议案》等 相关工作报告。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交信北斗海南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通过增资交信北 斗海南，并实现 组织架构的更 新。服务于公司 未来发展的战 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公司提议并召开 了交信北斗（海 南）科技有限公 司第一次股东 会，改选了公司 董事和监事，并 修订了公司章 程。交信北斗海 南公司第一届董 事会第四次会议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81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上改选了交信北 斗海南公司副总 经理、选举了主 持工作的副总经 理以及财务总监 人选。在交信北 斗海南第一届董 事会第五次会议 上，交信北斗海 南公司的董事听 取了交信北斗海 南公司经营管理 层汇报《关于公 司全年工作计划 的议案》、《关于 公司组织架构的 议案》、《关于公 司年度财务预算 方案的议案》、</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《关于公司薪酬 管理体系和激励 奖罚方案的议 案》和《关于公 司关键管理制度 的议案》等相关 工作报告。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r>
        <w:rPr>
          <w:color w:val="000000"/>
          <w:spacing w:val="0"/>
          <w:w w:val="100"/>
          <w:position w:val="0"/>
        </w:rPr>
        <w:t>十六、内部控制自我评价报告或内部控制审计报告</w:t>
      </w:r>
      <w:bookmarkEnd w:id="393"/>
      <w:bookmarkEnd w:id="394"/>
      <w:bookmarkEnd w:id="395"/>
    </w:p>
    <w:p>
      <w:pPr>
        <w:pStyle w:val="Style28"/>
        <w:keepNext/>
        <w:keepLines/>
        <w:widowControl w:val="0"/>
        <w:shd w:val="clear" w:color="auto" w:fill="auto"/>
        <w:bidi w:val="0"/>
        <w:spacing w:before="0" w:after="32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、内控自我评价报告</w:t>
      </w:r>
      <w:bookmarkEnd w:id="396"/>
      <w:bookmarkEnd w:id="397"/>
      <w:bookmarkEnd w:id="399"/>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tcBorders>
              <w:top w:val="single" w:sz="4"/>
              <w:left w:val="single" w:sz="4"/>
            </w:tcBorders>
            <w:shd w:val="clear" w:color="auto" w:fill="FFFFFF"/>
            <w:vAlign w:val="top"/>
          </w:tcPr>
          <w:p>
            <w:pPr>
              <w:widowControl w:val="0"/>
              <w:rPr>
                <w:sz w:val="10"/>
                <w:szCs w:val="10"/>
              </w:rPr>
            </w:pPr>
          </w:p>
        </w:tc>
      </w:tr>
    </w:tbl>
    <w:p>
      <w:pPr>
        <w:widowControl w:val="0"/>
        <w:spacing w:after="79" w:line="1" w:lineRule="exact"/>
      </w:pP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w:t>
      </w:r>
      <w:r>
        <w:rPr>
          <w:color w:val="000000"/>
          <w:spacing w:val="0"/>
          <w:w w:val="100"/>
          <w:position w:val="0"/>
        </w:rPr>
        <w:t>(</w:t>
      </w:r>
      <w:r>
        <w:fldChar w:fldCharType="begin"/>
      </w:r>
      <w:r>
        <w:rPr/>
        <w:instrText> HYPERLINK "http://www.cninfb" </w:instrText>
      </w:r>
      <w:r>
        <w:fldChar w:fldCharType="separate"/>
      </w:r>
      <w:r>
        <w:rPr>
          <w:rFonts w:ascii="Times New Roman" w:eastAsia="Times New Roman" w:hAnsi="Times New Roman" w:cs="Times New Roman"/>
          <w:color w:val="000000"/>
          <w:spacing w:val="0"/>
          <w:w w:val="100"/>
          <w:position w:val="0"/>
          <w:sz w:val="18"/>
          <w:szCs w:val="18"/>
        </w:rPr>
        <w:t>http://www.cninfb</w:t>
      </w:r>
      <w:r>
        <w:fldChar w:fldCharType="end"/>
      </w:r>
      <w:r>
        <w:rPr>
          <w:rFonts w:ascii="Times New Roman" w:eastAsia="Times New Roman" w:hAnsi="Times New Roman" w:cs="Times New Roman"/>
          <w:color w:val="000000"/>
          <w:spacing w:val="0"/>
          <w:w w:val="100"/>
          <w:position w:val="0"/>
          <w:sz w:val="18"/>
          <w:szCs w:val="18"/>
        </w:rPr>
        <w:t xml:space="preserve"> .com.cn</w:t>
      </w:r>
      <w:r>
        <w:rPr>
          <w:color w:val="000000"/>
          <w:spacing w:val="0"/>
          <w:w w:val="100"/>
          <w:position w:val="0"/>
        </w:rPr>
        <w:t>)披露的</w:t>
      </w:r>
    </w:p>
    <w:tbl>
      <w:tblPr>
        <w:tblOverlap w:val="never"/>
        <w:jc w:val="center"/>
        <w:tblLayout w:type="fixed"/>
      </w:tblPr>
      <w:tblGrid>
        <w:gridCol w:w="3197"/>
        <w:gridCol w:w="3326"/>
        <w:gridCol w:w="3058"/>
      </w:tblGrid>
      <w:tr>
        <w:trPr>
          <w:trHeight w:val="40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年度内部控制自我评价报告》(公告编号：</w:t>
            </w:r>
            <w:r>
              <w:rPr>
                <w:rFonts w:ascii="Times New Roman" w:eastAsia="Times New Roman" w:hAnsi="Times New Roman" w:cs="Times New Roman"/>
                <w:color w:val="000000"/>
                <w:spacing w:val="0"/>
                <w:w w:val="100"/>
                <w:position w:val="0"/>
                <w:sz w:val="18"/>
                <w:szCs w:val="18"/>
              </w:rPr>
              <w:t>2022-032</w:t>
            </w:r>
            <w:r>
              <w:rPr>
                <w:color w:val="000000"/>
                <w:spacing w:val="0"/>
                <w:w w:val="100"/>
                <w:position w:val="0"/>
                <w:sz w:val="17"/>
                <w:szCs w:val="17"/>
              </w:rPr>
              <w:t>)。</w:t>
            </w:r>
          </w:p>
        </w:tc>
        <w:tc>
          <w:tcPr>
            <w:tcBorders>
              <w:lef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纳入评价范围单位营业收入占公司合并</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财务报表营业总收入的比例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、重大缺陷：公司董事、监事和高级管理</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公司确定的非财务报告内部控制缺陷</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人员的舞弊行为；公司更正已公布的财务 报告；注册会计师发现的却未被公司内部 控制识别的当期财务报告中的重大报错； 审计委员会和内审部对公司的对外财务报 告和财务报告内部控制监督无效。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 缺陷：未依照公认会计准则选择和应用会 计政策；未建立反舞弊程序和控制措施； 对于非常规或特殊交易的账务处理没有建 立相应的控制机制或没有实施且没有相应 的补偿性控制；对于期末财务报告过程的 控制存在一项或多项缺陷且不能合理保证 编制的财务报表达到真实、准确的目标。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一般缺陷：指除上述重大缺陷和重要缺陷 之外的其他控制缺陷。</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评价的定性标准如下，出现以下情形 的，可认定为重大缺陷，其他情形按影 响程度分别确定为重要缺陷或一般缺 陷：⑴违反国家法律法规或规范性文 件；⑵重大决策程序不科学；⑶制度缺 失可能导致系统性失效；⑷重大或重要 缺陷不能得到整改；⑸其他对公司负面 影响重大的情形。</w:t>
            </w:r>
          </w:p>
        </w:tc>
      </w:tr>
      <w:tr>
        <w:trPr>
          <w:trHeight w:val="321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、重大缺陷：考虑补偿性控制措施和实际 偏差率后，该缺陷总体影响水平高于重要 性水平（营业收入的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 考虑补偿性控制措施和实际偏差率后，该 缺陷总体影响水平低于重要性水平（营业 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），但高于一般性水平（营业 收入的</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、一般缺陷：考虑补偿性 控制措施和实际偏差率后，该缺陷总体影 响水平低于一般性水平（营业收入的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、重大缺陷：非财务报告内部控制缺 陷导致的直接财产损失金额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、重要缺陷：</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7"/>
                <w:szCs w:val="17"/>
              </w:rPr>
              <w:t>非财务报 告内部控制缺陷导致的直接财产损失 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、一般缺陷：非财 务报告内部控制缺陷导致的直接财产 损失金额＜</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万元。</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28"/>
        <w:keepNext/>
        <w:keepLines/>
        <w:widowControl w:val="0"/>
        <w:shd w:val="clear" w:color="auto" w:fill="auto"/>
        <w:bidi w:val="0"/>
        <w:spacing w:before="0" w:after="280" w:line="240" w:lineRule="auto"/>
        <w:ind w:left="0" w:right="0" w:firstLine="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、内部控制审计报告或鉴证报告</w:t>
      </w:r>
      <w:bookmarkEnd w:id="400"/>
      <w:bookmarkEnd w:id="401"/>
      <w:bookmarkEnd w:id="403"/>
    </w:p>
    <w:p>
      <w:pPr>
        <w:pStyle w:val="Style24"/>
        <w:keepNext w:val="0"/>
        <w:keepLines w:val="0"/>
        <w:widowControl w:val="0"/>
        <w:shd w:val="clear" w:color="auto" w:fill="auto"/>
        <w:bidi w:val="0"/>
        <w:spacing w:before="0" w:after="340" w:line="322" w:lineRule="exact"/>
        <w:ind w:left="0" w:right="0" w:firstLine="0"/>
        <w:jc w:val="both"/>
        <w:rPr>
          <w:sz w:val="17"/>
          <w:szCs w:val="17"/>
        </w:rPr>
      </w:pPr>
      <w:r>
        <w:rPr>
          <w:color w:val="000000"/>
          <w:spacing w:val="0"/>
          <w:w w:val="100"/>
          <w:position w:val="0"/>
          <w:sz w:val="17"/>
          <w:szCs w:val="17"/>
        </w:rPr>
        <w:t>不适用</w:t>
      </w:r>
    </w:p>
    <w:p>
      <w:pPr>
        <w:pStyle w:val="Style22"/>
        <w:keepNext/>
        <w:keepLines/>
        <w:widowControl w:val="0"/>
        <w:shd w:val="clear" w:color="auto" w:fill="auto"/>
        <w:bidi w:val="0"/>
        <w:spacing w:before="0" w:after="280" w:line="240" w:lineRule="auto"/>
        <w:ind w:left="0" w:right="0" w:firstLine="0"/>
        <w:jc w:val="both"/>
      </w:pPr>
      <w:bookmarkStart w:id="404" w:name="bookmark404"/>
      <w:bookmarkStart w:id="405" w:name="bookmark405"/>
      <w:bookmarkStart w:id="406" w:name="bookmark406"/>
      <w:r>
        <w:rPr>
          <w:color w:val="000000"/>
          <w:spacing w:val="0"/>
          <w:w w:val="100"/>
          <w:position w:val="0"/>
        </w:rPr>
        <w:t>十七、上市公司治理专项行动自查问题整改情况</w:t>
      </w:r>
      <w:bookmarkEnd w:id="404"/>
      <w:bookmarkEnd w:id="405"/>
      <w:bookmarkEnd w:id="406"/>
    </w:p>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年上市公司治理专项行动检查中，发现内控制度执行问题所涉及的范围包括制度执行与建设、验收与归档、销售收款及 时性、销售合同管理、项目管理、采购管理等，主要问题如下：</w:t>
      </w:r>
    </w:p>
    <w:p>
      <w:pPr>
        <w:pStyle w:val="Style24"/>
        <w:keepNext w:val="0"/>
        <w:keepLines w:val="0"/>
        <w:widowControl w:val="0"/>
        <w:shd w:val="clear" w:color="auto" w:fill="auto"/>
        <w:tabs>
          <w:tab w:pos="334" w:val="left"/>
        </w:tabs>
        <w:bidi w:val="0"/>
        <w:spacing w:before="0" w:after="0" w:line="322" w:lineRule="exact"/>
        <w:ind w:left="0" w:right="0" w:firstLine="0"/>
        <w:jc w:val="both"/>
        <w:rPr>
          <w:sz w:val="17"/>
          <w:szCs w:val="17"/>
        </w:rPr>
      </w:pPr>
      <w:bookmarkStart w:id="407" w:name="bookmark407"/>
      <w:r>
        <w:rPr>
          <w:rFonts w:ascii="Times New Roman" w:eastAsia="Times New Roman" w:hAnsi="Times New Roman" w:cs="Times New Roman"/>
          <w:color w:val="000000"/>
          <w:spacing w:val="0"/>
          <w:w w:val="100"/>
          <w:position w:val="0"/>
          <w:sz w:val="18"/>
          <w:szCs w:val="18"/>
        </w:rPr>
        <w:t>1</w:t>
      </w:r>
      <w:bookmarkEnd w:id="407"/>
      <w:r>
        <w:rPr>
          <w:color w:val="000000"/>
          <w:spacing w:val="0"/>
          <w:w w:val="100"/>
          <w:position w:val="0"/>
          <w:sz w:val="17"/>
          <w:szCs w:val="17"/>
        </w:rPr>
        <w:t>、</w:t>
        <w:tab/>
        <w:t>运营管理：应收款管理责任落实不够到位，尤其是质量保证金到期未落实责任人收款；售前资料、销售合同逾期归档等</w:t>
      </w:r>
    </w:p>
    <w:p>
      <w:pPr>
        <w:pStyle w:val="Style24"/>
        <w:keepNext w:val="0"/>
        <w:keepLines w:val="0"/>
        <w:widowControl w:val="0"/>
        <w:shd w:val="clear" w:color="auto" w:fill="auto"/>
        <w:tabs>
          <w:tab w:pos="354" w:val="left"/>
        </w:tabs>
        <w:bidi w:val="0"/>
        <w:spacing w:before="0" w:after="0" w:line="322" w:lineRule="exact"/>
        <w:ind w:left="0" w:right="0" w:firstLine="0"/>
        <w:jc w:val="both"/>
        <w:rPr>
          <w:sz w:val="17"/>
          <w:szCs w:val="17"/>
        </w:rPr>
      </w:pPr>
      <w:bookmarkStart w:id="408" w:name="bookmark408"/>
      <w:r>
        <w:rPr>
          <w:rFonts w:ascii="Times New Roman" w:eastAsia="Times New Roman" w:hAnsi="Times New Roman" w:cs="Times New Roman"/>
          <w:color w:val="000000"/>
          <w:spacing w:val="0"/>
          <w:w w:val="100"/>
          <w:position w:val="0"/>
          <w:sz w:val="18"/>
          <w:szCs w:val="18"/>
        </w:rPr>
        <w:t>2</w:t>
      </w:r>
      <w:bookmarkEnd w:id="408"/>
      <w:r>
        <w:rPr>
          <w:color w:val="000000"/>
          <w:spacing w:val="0"/>
          <w:w w:val="100"/>
          <w:position w:val="0"/>
          <w:sz w:val="17"/>
          <w:szCs w:val="17"/>
        </w:rPr>
        <w:t>、</w:t>
        <w:tab/>
        <w:t>销售管理：销售合同流转评审过程中存在违反审批权限情况；</w:t>
      </w:r>
    </w:p>
    <w:p>
      <w:pPr>
        <w:pStyle w:val="Style24"/>
        <w:keepNext w:val="0"/>
        <w:keepLines w:val="0"/>
        <w:widowControl w:val="0"/>
        <w:shd w:val="clear" w:color="auto" w:fill="auto"/>
        <w:tabs>
          <w:tab w:pos="354" w:val="left"/>
        </w:tabs>
        <w:bidi w:val="0"/>
        <w:spacing w:before="0" w:after="0" w:line="322" w:lineRule="exact"/>
        <w:ind w:left="0" w:right="0" w:firstLine="0"/>
        <w:jc w:val="both"/>
        <w:rPr>
          <w:sz w:val="17"/>
          <w:szCs w:val="17"/>
        </w:rPr>
      </w:pPr>
      <w:bookmarkStart w:id="409" w:name="bookmark409"/>
      <w:r>
        <w:rPr>
          <w:rFonts w:ascii="Times New Roman" w:eastAsia="Times New Roman" w:hAnsi="Times New Roman" w:cs="Times New Roman"/>
          <w:color w:val="000000"/>
          <w:spacing w:val="0"/>
          <w:w w:val="100"/>
          <w:position w:val="0"/>
          <w:sz w:val="18"/>
          <w:szCs w:val="18"/>
        </w:rPr>
        <w:t>3</w:t>
      </w:r>
      <w:bookmarkEnd w:id="409"/>
      <w:r>
        <w:rPr>
          <w:color w:val="000000"/>
          <w:spacing w:val="0"/>
          <w:w w:val="100"/>
          <w:position w:val="0"/>
          <w:sz w:val="17"/>
          <w:szCs w:val="17"/>
        </w:rPr>
        <w:t>、</w:t>
        <w:tab/>
        <w:t>项目管理：验收报告签字盖章及落款时间存在不完整现象、项目过程文档逾期归档</w:t>
      </w:r>
    </w:p>
    <w:p>
      <w:pPr>
        <w:pStyle w:val="Style24"/>
        <w:keepNext w:val="0"/>
        <w:keepLines w:val="0"/>
        <w:widowControl w:val="0"/>
        <w:shd w:val="clear" w:color="auto" w:fill="auto"/>
        <w:tabs>
          <w:tab w:pos="354" w:val="left"/>
        </w:tabs>
        <w:bidi w:val="0"/>
        <w:spacing w:before="0" w:after="0" w:line="322" w:lineRule="exact"/>
        <w:ind w:left="0" w:right="0" w:firstLine="0"/>
        <w:jc w:val="both"/>
        <w:rPr>
          <w:sz w:val="17"/>
          <w:szCs w:val="17"/>
        </w:rPr>
      </w:pPr>
      <w:bookmarkStart w:id="410" w:name="bookmark410"/>
      <w:r>
        <w:rPr>
          <w:rFonts w:ascii="Times New Roman" w:eastAsia="Times New Roman" w:hAnsi="Times New Roman" w:cs="Times New Roman"/>
          <w:color w:val="000000"/>
          <w:spacing w:val="0"/>
          <w:w w:val="100"/>
          <w:position w:val="0"/>
          <w:sz w:val="18"/>
          <w:szCs w:val="18"/>
        </w:rPr>
        <w:t>4</w:t>
      </w:r>
      <w:bookmarkEnd w:id="410"/>
      <w:r>
        <w:rPr>
          <w:color w:val="000000"/>
          <w:spacing w:val="0"/>
          <w:w w:val="100"/>
          <w:position w:val="0"/>
          <w:sz w:val="17"/>
          <w:szCs w:val="17"/>
        </w:rPr>
        <w:t>、</w:t>
        <w:tab/>
        <w:t>采购管理：部分采购项目存在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增项变更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未取得合同甲方书面确认的现象；设备采购入库与出库时间与项目验收时间有 出入；</w:t>
      </w:r>
    </w:p>
    <w:p>
      <w:pPr>
        <w:pStyle w:val="Style24"/>
        <w:keepNext w:val="0"/>
        <w:keepLines w:val="0"/>
        <w:widowControl w:val="0"/>
        <w:shd w:val="clear" w:color="auto" w:fill="auto"/>
        <w:bidi w:val="0"/>
        <w:spacing w:before="0" w:after="0" w:line="322" w:lineRule="exact"/>
        <w:ind w:left="0" w:right="0" w:firstLine="0"/>
        <w:jc w:val="both"/>
        <w:rPr>
          <w:sz w:val="17"/>
          <w:szCs w:val="17"/>
        </w:rPr>
        <w:sectPr>
          <w:footnotePr>
            <w:pos w:val="pageBottom"/>
            <w:numFmt w:val="decimal"/>
            <w:numRestart w:val="continuous"/>
          </w:footnotePr>
          <w:pgSz w:w="11900" w:h="16840"/>
          <w:pgMar w:top="1364" w:right="1007" w:bottom="1441" w:left="1029" w:header="0" w:footer="3" w:gutter="0"/>
          <w:cols w:space="720"/>
          <w:noEndnote/>
          <w:rtlGutter w:val="0"/>
          <w:docGrid w:linePitch="360"/>
        </w:sectPr>
      </w:pPr>
      <w:r>
        <w:rPr>
          <w:color w:val="000000"/>
          <w:spacing w:val="0"/>
          <w:w w:val="100"/>
          <w:position w:val="0"/>
          <w:sz w:val="17"/>
          <w:szCs w:val="17"/>
        </w:rPr>
        <w:t xml:space="preserve">通过上市公司治理专项行动检查与跟踪整改，发现的内部控制风险问题都大部分已整改、相应内控部门已出台规定并实施纠 </w:t>
      </w:r>
      <w:r>
        <w:rPr>
          <w:color w:val="000000"/>
          <w:spacing w:val="0"/>
          <w:w w:val="100"/>
          <w:position w:val="0"/>
          <w:sz w:val="17"/>
          <w:szCs w:val="17"/>
        </w:rPr>
        <w:t>正措施，并将进一步在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年制度修订工作过程中加以完善。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年公司发布对各子公司进行内部审计管理办法，要求各子 公司制定内部控制度应，并且要求包含相关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追责条款匚使内部控制工作得到落实，减少营私舞弊风险，提高内部控制制度 执行的有效性。</w:t>
      </w:r>
    </w:p>
    <w:p>
      <w:pPr>
        <w:pStyle w:val="Style10"/>
        <w:keepNext/>
        <w:keepLines/>
        <w:widowControl w:val="0"/>
        <w:shd w:val="clear" w:color="auto" w:fill="auto"/>
        <w:bidi w:val="0"/>
        <w:spacing w:before="580" w:line="240" w:lineRule="auto"/>
        <w:ind w:left="0" w:right="0" w:firstLine="0"/>
        <w:jc w:val="center"/>
      </w:pPr>
      <w:bookmarkStart w:id="411" w:name="bookmark411"/>
      <w:bookmarkStart w:id="412" w:name="bookmark412"/>
      <w:bookmarkStart w:id="413" w:name="bookmark413"/>
      <w:r>
        <w:rPr>
          <w:color w:val="000000"/>
          <w:spacing w:val="0"/>
          <w:w w:val="100"/>
          <w:position w:val="0"/>
        </w:rPr>
        <w:t>第五节环境和社会责任</w:t>
      </w:r>
      <w:bookmarkEnd w:id="411"/>
      <w:bookmarkEnd w:id="412"/>
      <w:bookmarkEnd w:id="413"/>
    </w:p>
    <w:p>
      <w:pPr>
        <w:pStyle w:val="Style22"/>
        <w:keepNext/>
        <w:keepLines/>
        <w:widowControl w:val="0"/>
        <w:shd w:val="clear" w:color="auto" w:fill="auto"/>
        <w:bidi w:val="0"/>
        <w:spacing w:before="0" w:after="380" w:line="240" w:lineRule="auto"/>
        <w:ind w:left="0" w:right="0" w:firstLine="260"/>
        <w:jc w:val="left"/>
      </w:pPr>
      <w:bookmarkStart w:id="414" w:name="bookmark414"/>
      <w:bookmarkStart w:id="415" w:name="bookmark415"/>
      <w:bookmarkStart w:id="416" w:name="bookmark416"/>
      <w:bookmarkStart w:id="417" w:name="bookmark417"/>
      <w:r>
        <w:rPr>
          <w:color w:val="000000"/>
          <w:spacing w:val="0"/>
          <w:w w:val="100"/>
          <w:position w:val="0"/>
        </w:rPr>
        <w:t>、重大环保问题</w:t>
      </w:r>
      <w:bookmarkEnd w:id="415"/>
      <w:bookmarkEnd w:id="416"/>
      <w:bookmarkEnd w:id="417"/>
      <w:bookmarkEnd w:id="414"/>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上市公司及其子公司是否属于环境保护部门公布的重点排污单位</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4"/>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公司的整改措施</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参照重点排污单位披露的其他环境信息</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无</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在报告期内为减少其碳排放所采取的措施及效果</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未披露其他环境信息的原因</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无</w:t>
      </w:r>
    </w:p>
    <w:p>
      <w:pPr>
        <w:pStyle w:val="Style22"/>
        <w:keepNext/>
        <w:keepLines/>
        <w:widowControl w:val="0"/>
        <w:shd w:val="clear" w:color="auto" w:fill="auto"/>
        <w:tabs>
          <w:tab w:pos="517" w:val="left"/>
        </w:tabs>
        <w:bidi w:val="0"/>
        <w:spacing w:before="0" w:after="38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二</w:t>
      </w:r>
      <w:bookmarkEnd w:id="420"/>
      <w:r>
        <w:rPr>
          <w:color w:val="000000"/>
          <w:spacing w:val="0"/>
          <w:w w:val="100"/>
          <w:position w:val="0"/>
        </w:rPr>
        <w:t>、</w:t>
        <w:tab/>
        <w:t>社会责任情况</w:t>
      </w:r>
      <w:bookmarkEnd w:id="418"/>
      <w:bookmarkEnd w:id="419"/>
      <w:bookmarkEnd w:id="421"/>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三</w:t>
      </w:r>
      <w:bookmarkEnd w:id="424"/>
      <w:r>
        <w:rPr>
          <w:color w:val="000000"/>
          <w:spacing w:val="0"/>
          <w:w w:val="100"/>
          <w:position w:val="0"/>
        </w:rPr>
        <w:t>、</w:t>
        <w:tab/>
        <w:t>巩固拓展脱贫攻坚成果、乡村振兴的情况</w:t>
      </w:r>
      <w:bookmarkEnd w:id="422"/>
      <w:bookmarkEnd w:id="423"/>
      <w:bookmarkEnd w:id="425"/>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不适用</w:t>
      </w:r>
      <w:r>
        <w:br w:type="page"/>
      </w:r>
    </w:p>
    <w:p>
      <w:pPr>
        <w:pStyle w:val="Style10"/>
        <w:keepNext/>
        <w:keepLines/>
        <w:widowControl w:val="0"/>
        <w:shd w:val="clear" w:color="auto" w:fill="auto"/>
        <w:bidi w:val="0"/>
        <w:spacing w:before="0" w:after="520" w:line="240" w:lineRule="auto"/>
        <w:ind w:left="0" w:right="0" w:firstLine="0"/>
        <w:jc w:val="center"/>
      </w:pPr>
      <w:bookmarkStart w:id="426" w:name="bookmark426"/>
      <w:bookmarkStart w:id="427" w:name="bookmark427"/>
      <w:bookmarkStart w:id="428" w:name="bookmark428"/>
      <w:r>
        <w:rPr>
          <w:color w:val="000000"/>
          <w:spacing w:val="0"/>
          <w:w w:val="100"/>
          <w:position w:val="0"/>
        </w:rPr>
        <w:t>第六节重要事项</w:t>
      </w:r>
      <w:bookmarkEnd w:id="426"/>
      <w:bookmarkEnd w:id="427"/>
      <w:bookmarkEnd w:id="428"/>
    </w:p>
    <w:p>
      <w:pPr>
        <w:pStyle w:val="Style22"/>
        <w:keepNext/>
        <w:keepLines/>
        <w:widowControl w:val="0"/>
        <w:shd w:val="clear" w:color="auto" w:fill="auto"/>
        <w:bidi w:val="0"/>
        <w:spacing w:before="0" w:after="340" w:line="240" w:lineRule="auto"/>
        <w:ind w:left="0" w:right="0" w:firstLine="0"/>
        <w:jc w:val="left"/>
      </w:pPr>
      <w:bookmarkStart w:id="429" w:name="bookmark429"/>
      <w:bookmarkStart w:id="430" w:name="bookmark430"/>
      <w:bookmarkStart w:id="431" w:name="bookmark431"/>
      <w:bookmarkStart w:id="432" w:name="bookmark432"/>
      <w:bookmarkStart w:id="433" w:name="bookmark433"/>
      <w:r>
        <w:rPr>
          <w:color w:val="000000"/>
          <w:spacing w:val="0"/>
          <w:w w:val="100"/>
          <w:position w:val="0"/>
        </w:rPr>
        <w:t>一</w:t>
      </w:r>
      <w:bookmarkEnd w:id="432"/>
      <w:r>
        <w:rPr>
          <w:color w:val="000000"/>
          <w:spacing w:val="0"/>
          <w:w w:val="100"/>
          <w:position w:val="0"/>
        </w:rPr>
        <w:t>、承诺事项履行情况</w:t>
      </w:r>
      <w:bookmarkEnd w:id="430"/>
      <w:bookmarkEnd w:id="431"/>
      <w:bookmarkEnd w:id="433"/>
      <w:bookmarkEnd w:id="429"/>
    </w:p>
    <w:p>
      <w:pPr>
        <w:pStyle w:val="Style28"/>
        <w:keepNext/>
        <w:keepLines/>
        <w:widowControl w:val="0"/>
        <w:shd w:val="clear" w:color="auto" w:fill="auto"/>
        <w:bidi w:val="0"/>
        <w:spacing w:before="0" w:after="340" w:line="307" w:lineRule="exact"/>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、公司实际控制人、股东、关联方、收购人以及公司等承诺相关方在报告期内履行完毕及截至报告期末 尚未履行完毕的承诺事项</w:t>
      </w:r>
      <w:bookmarkEnd w:id="434"/>
      <w:bookmarkEnd w:id="435"/>
      <w:bookmarkEnd w:id="437"/>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履行情况</w:t>
            </w:r>
          </w:p>
        </w:tc>
      </w:tr>
      <w:tr>
        <w:trPr>
          <w:trHeight w:val="15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交通运输通</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信信息集团</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有限公司将</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按照法律、法</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规及上市公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220" w:after="120" w:line="240" w:lineRule="auto"/>
              <w:ind w:left="0" w:right="0" w:firstLine="0"/>
              <w:jc w:val="left"/>
              <w:rPr>
                <w:sz w:val="17"/>
                <w:szCs w:val="17"/>
              </w:rPr>
            </w:pPr>
            <w:r>
              <w:rPr>
                <w:color w:val="000000"/>
                <w:spacing w:val="0"/>
                <w:w w:val="100"/>
                <w:position w:val="0"/>
                <w:sz w:val="17"/>
                <w:szCs w:val="17"/>
              </w:rPr>
              <w:t>交通运输通</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信信息集团</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left w:val="single" w:sz="4"/>
            </w:tcBorders>
            <w:shd w:val="clear" w:color="auto" w:fill="FFFFFF"/>
            <w:vAlign w:val="top"/>
          </w:tcPr>
          <w:p>
            <w:pPr>
              <w:pStyle w:val="Style18"/>
              <w:keepNext w:val="0"/>
              <w:keepLines w:val="0"/>
              <w:widowControl w:val="0"/>
              <w:shd w:val="clear" w:color="auto" w:fill="auto"/>
              <w:bidi w:val="0"/>
              <w:spacing w:before="100" w:after="0" w:line="314" w:lineRule="exact"/>
              <w:ind w:left="0" w:right="0" w:firstLine="0"/>
              <w:jc w:val="left"/>
              <w:rPr>
                <w:sz w:val="17"/>
                <w:szCs w:val="17"/>
              </w:rPr>
            </w:pPr>
            <w:r>
              <w:rPr>
                <w:color w:val="000000"/>
                <w:spacing w:val="0"/>
                <w:w w:val="100"/>
                <w:position w:val="0"/>
                <w:sz w:val="17"/>
                <w:szCs w:val="17"/>
              </w:rPr>
              <w:t>保证上市公 司独立性的 承诺</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司的公司章 程依法行使 股东权利，保 证上市公司 在资产、人 员、财务、业 务和机构等 方面的独立 性。</w:t>
            </w:r>
          </w:p>
        </w:tc>
        <w:tc>
          <w:tcPr>
            <w:tcBorders>
              <w:left w:val="single" w:sz="4"/>
            </w:tcBorders>
            <w:shd w:val="clear" w:color="auto" w:fill="FFFFFF"/>
            <w:vAlign w:val="top"/>
          </w:tcPr>
          <w:p>
            <w:pPr>
              <w:pStyle w:val="Style18"/>
              <w:keepNext w:val="0"/>
              <w:keepLines w:val="0"/>
              <w:widowControl w:val="0"/>
              <w:shd w:val="clear" w:color="auto" w:fill="auto"/>
              <w:bidi w:val="0"/>
              <w:spacing w:before="26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left w:val="single" w:sz="4"/>
            </w:tcBorders>
            <w:shd w:val="clear" w:color="auto" w:fill="FFFFFF"/>
            <w:vAlign w:val="top"/>
          </w:tcPr>
          <w:p>
            <w:pPr>
              <w:pStyle w:val="Style18"/>
              <w:keepNext w:val="0"/>
              <w:keepLines w:val="0"/>
              <w:widowControl w:val="0"/>
              <w:shd w:val="clear" w:color="auto" w:fill="auto"/>
              <w:bidi w:val="0"/>
              <w:spacing w:before="26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540" w:after="0" w:line="240" w:lineRule="auto"/>
              <w:ind w:left="0" w:right="0" w:firstLine="0"/>
              <w:jc w:val="left"/>
              <w:rPr>
                <w:sz w:val="17"/>
                <w:szCs w:val="17"/>
              </w:rPr>
            </w:pPr>
            <w:r>
              <w:rPr>
                <w:color w:val="000000"/>
                <w:spacing w:val="0"/>
                <w:w w:val="100"/>
                <w:position w:val="0"/>
                <w:sz w:val="17"/>
                <w:szCs w:val="17"/>
              </w:rPr>
              <w:t>正常履行</w:t>
            </w:r>
          </w:p>
        </w:tc>
      </w:tr>
      <w:tr>
        <w:trPr>
          <w:trHeight w:val="619" w:hRule="exact"/>
        </w:trPr>
        <w:tc>
          <w:tcPr>
            <w:tcBorders>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收购报告书或权益变动报告书中所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上市公司保</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持现有业务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tcBorders>
              <w:left w:val="single" w:sz="4"/>
              <w:bottom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 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 xml:space="preserve">年度 各年度经审 计后的归属 母公司股东 的净利润均 为正数。否 则，上海中信 电子发展有 限公司及张 曙华应当在 上市公司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年度和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年度各 年度报告公 告之日起的</w:t>
            </w: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日内将亏 损的金额全 部一次性向 上市公司进 行现金补偿， 但因不可抗 力等原因造 成的亏损。上 海中信电子 发展有限公 司及张曙华 无需补偿。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不谋求上市 公司实际控 制人地位的 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在交信北斗</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（嘉兴）股权 投资有限公 司严格履行 本协议及《表 决权委托协 议》的前提 下，自股份交 割日起至交 信北斗（嘉 兴）股权投资 有限公司的 实际控制人 被认定为上 市公司实际 控制人或者 交信北斗（嘉 兴）股权投资 有限公司认 可的第三方 被认定为上 市公司实际 控制人期间， 上海中信电 子发展有限 公司、张曙华 不得以任何 方式谋求或 协助任何第 三方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交信北 斗（嘉兴）股 权投资有限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公司认可的 第三方除外</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谋求上市公 司的实际控 制人地位，包 括不得将所 持上市公司 股份转让给 可能谋求控 制权的任何 第三方，但因 第三方隐瞒 了其谋求上 市公司实际 控制人地位 的情形除外。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交通运输通</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信信息集团</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关于避免同</w:t>
            </w:r>
          </w:p>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业竞争的承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 交通运输通 信信息集团 有限公司及 交通运输通 信信息集团 有限公司控 制的企业未 从事与上市 公司及其所 控制企业主 营业务相同 或相似并构 成竞争的业 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交通运 输通信信息 集团有限公 司在取得上 市公司控制 权期间，将采 取合法及有 效的措施，促 使交通运输 通信信息集 团有限公司 及控制的企 业不以任何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形式从事与 上市公司主 营业务相同 或相似并构 成或可能构 成竞争的业 务，并且保证 不进行其他 任何损害上 市公司及其 他股东合法 权益的活动。</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交通运输通 信信息集团 有限公司在 取得上市公 司控制权期 间，如交通运 输通信信息 集团有限公 司及控制的 企业有任何 商业机会可 从事任何可 能会与上市 公司构成竞 争的业务，交 通运输通信 信息集团有 限公司将按 照上市公司 的书面要求， 将该等商业 机会让与上 市公司，以避 免与上市公 司存在同业 竞争。交通运 输通信信息 集团有限公 司将利用对 所控制的其 他企业的控 制权，促使该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等企业按照 同样的标准 遵守上述承 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交通运 输通信信息 集团有限公 司保证严格 履行本承诺 函中各项承 诺，如因违反 该等承诺并 因此给上市 公司造成损 失的，交通运 输通信信息 集团有限公 司将承担相 应的赔偿责 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上述承 诺自承诺函 签署之日起 生效，至交通 运输通信信 息集团有限 公司不再作 为上市公司 实际控制人 时终止。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交通运输通</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信信息集团</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关于规范关</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联交易的承</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交通运输通 信信息集团 有限公司及 交通运输通 信信息集团 有限公司控 制的企业不 会利用上市 公司控制权 地位及重大 影响，谋求上 市公司及其 控股子公司 在业务合作 等方面给予 交通运输通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信信息集团 有限公司及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或交通运输 通信信息集 团有限公司 控制的企业 优于市场第 三方的权利， 或谋求与上 市公司及其 控股子公司 达成交易的 优先权利，损 害上市公司 及其他股东 的合法利益。 交通运输通 信信息集团 有限公司及 交通运输通 信信息集团 有限公司控 制的企业不 以拆借、占用 或由上市公 司及其控股 子公司代垫 款项、代偿债 务等方式挪 用、侵占上市 公司资金、资 产及其他资 源。</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对于交 通运输通信 信息集团有 限公司及交 通运输通信 信息集团有 限公司控制 的企业与上 市公司及其 控股子公司 之间有合理 理由确需发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生的一切交 易行为，均将 严格遵守市 场原则，本着 平等互利、等 价有偿的一 般原则，公平 合理地进行。</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sz w:val="17"/>
                <w:szCs w:val="17"/>
              </w:rPr>
              <w:t>交通运输通 信信息集团 有限公司及 交通运输通 信信息集团 有限公司控 制的企业之 间的关联交 易将严格遵 守上市公司 章程、关联交 易管理制度 等规定履行 必要的法定 程序。在上市 公司权力机 构审议有关 关联交易事 项时，主动依 法回避。</w:t>
            </w:r>
            <w:r>
              <w:rPr>
                <w:rFonts w:ascii="Times New Roman" w:eastAsia="Times New Roman" w:hAnsi="Times New Roman" w:cs="Times New Roman"/>
                <w:color w:val="000000"/>
                <w:spacing w:val="0"/>
                <w:w w:val="100"/>
                <w:position w:val="0"/>
              </w:rPr>
              <w:t>4.</w:t>
            </w:r>
          </w:p>
          <w:p>
            <w:pPr>
              <w:pStyle w:val="Style18"/>
              <w:keepNext w:val="0"/>
              <w:keepLines w:val="0"/>
              <w:widowControl w:val="0"/>
              <w:shd w:val="clear" w:color="auto" w:fill="auto"/>
              <w:bidi w:val="0"/>
              <w:spacing w:before="0" w:after="0" w:line="312" w:lineRule="exact"/>
              <w:ind w:left="0" w:right="0" w:firstLine="440"/>
              <w:jc w:val="left"/>
              <w:rPr>
                <w:sz w:val="17"/>
                <w:szCs w:val="17"/>
              </w:rPr>
            </w:pPr>
            <w:r>
              <w:rPr>
                <w:color w:val="000000"/>
                <w:spacing w:val="0"/>
                <w:w w:val="100"/>
                <w:position w:val="0"/>
                <w:sz w:val="17"/>
                <w:szCs w:val="17"/>
              </w:rPr>
              <w:t>交通运 输通信信息 集团有限公 司保证不通 过关联交易 取得任何不 正当的利益 或使上市公 司及其控股 子公司承担 任何不正当 的义务。如果 因违反上述 承诺导致上 市公司或其 控股子公司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损失或利用 关联交易侵 占上市公司 或其控股子 公司利益的， 上市公司及 其控股子公 司的损失由 交通运输通 信信息集团 有限公司承 担。</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上述承 诺在交通运 输通信信息 集团有限公 司及交通运 输通信信息 集团有限公 司控制的企 业构成《上市 公司信息披 露管理办法》</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《企业会计 准则第</w:t>
            </w:r>
            <w:r>
              <w:rPr>
                <w:rFonts w:ascii="Times New Roman" w:eastAsia="Times New Roman" w:hAnsi="Times New Roman" w:cs="Times New Roman"/>
                <w:color w:val="000000"/>
                <w:spacing w:val="0"/>
                <w:w w:val="100"/>
                <w:position w:val="0"/>
                <w:sz w:val="18"/>
                <w:szCs w:val="18"/>
              </w:rPr>
              <w:t>36</w:t>
            </w:r>
            <w:r>
              <w:rPr>
                <w:i/>
                <w:iCs/>
                <w:color w:val="000000"/>
                <w:spacing w:val="0"/>
                <w:w w:val="100"/>
                <w:position w:val="0"/>
                <w:sz w:val="19"/>
                <w:szCs w:val="19"/>
              </w:rPr>
              <w:t>号</w:t>
            </w:r>
            <w:r>
              <w:rPr>
                <w:i/>
                <w:iCs/>
                <w:color w:val="000000"/>
                <w:spacing w:val="0"/>
                <w:w w:val="100"/>
                <w:position w:val="0"/>
                <w:sz w:val="17"/>
                <w:szCs w:val="17"/>
              </w:rPr>
              <w:t xml:space="preserve">- </w:t>
            </w:r>
            <w:r>
              <w:rPr>
                <w:color w:val="000000"/>
                <w:spacing w:val="0"/>
                <w:w w:val="100"/>
                <w:position w:val="0"/>
                <w:sz w:val="17"/>
                <w:szCs w:val="17"/>
              </w:rPr>
              <w:t>关联方披露》</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《深圳证券 交易所创业 板股票上市 规则》规定的 上市公司的 关联方期间 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交信北斗（嘉 兴）股权投资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保证上市公 司独立性的 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交信北斗（嘉 兴）股权投资 有限公司将 按照法律、法 规及上市公 司的公司章 程依法行使 股东权利，保 证上市公司 在资产、人 员、财务、业 务和机构等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方面的独立 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交信北斗（嘉 兴）股权投资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关于避免同</w:t>
            </w:r>
          </w:p>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业竞争的承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交信北斗</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（嘉兴）股权 投资有限公 司及其控制 的企业不会 利用上市公 司控制权地 位及重大影 响，谋求上市 公司及控股 子公司在业 务合作等方 面给予交信 北斗（嘉兴） 股权投资有 限公司及关 联方优于市 场第三方的 权利，或谋求 与上市公司 及控股子公 司达成交易 的优先权利， 损害上市公 司及其他股 东的合法利 益。交信北斗</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（嘉兴）股权 投资有限公 司及其控制 的企业将严 格避免向上 市公司及其 控股子公司 拆借占用上 市公司及其 控股子公司 资金或采取 由上市公司 及其控股子 公司代垫款、 代偿债务等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方式侵占上 市公司资金。</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对于交信北 斗（嘉兴）股 权投资有限 公司及其控 制的企业与 上市公司及 其控股子公 司之间必需 的一切交易 行为，均将严 格遵守市场 原则，本着平 等互利、等价 有偿的一般 原则，公平合 理地进行。</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交信北斗（嘉 兴）股权投资 有限公司及 其控股子公 司之间的关 联交易将严 格遵守上市 公司章程、关 联交易管理 制度等规定 履行必要的 法定程序。在 上市公司权 力机构审议 有关关联交 易事项时主 动依法履行 回避义务。</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交信北斗（嘉 兴）股权投资 有限公司保 证严格履行 本承诺函中 各项承诺，如 因违反该等 承诺并因此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给上市公司 造成损失的， 交信北斗（嘉 兴）股权投资 有限公司将 承担相应的 赔偿责任。</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上述承诺在 交信北斗（嘉 兴）股权投资 有限公司及 其控制的企 业构成上市 公司的关联 方期间持续 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交通运输通 信信息集团 上海股权投 资基金管理</w:t>
            </w:r>
          </w:p>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保证上市公 司独立性的 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交通运输通 信信息集团 上海股权投 资基金管理 有限公司将 按照法律、法 规及上市公 司的公司章 程依法行使 股东权利，保 证上市公司 在资产、人 员、财务、业 务和机构等 方面的独立 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交通运输通 信信息集团 上海股权投 资基金管理</w:t>
            </w:r>
          </w:p>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关于避免同</w:t>
            </w:r>
          </w:p>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业竞争的承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 起，交通运输 通信信息集 团上海股权 投资基金管 理有限公司 及控制的企 业未从事与 上市公司及 其所控制企 业主营业务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相同或相似 并构成竞争 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交 通运输通信 信息集团上 海股权投资 基金管理有 限公司在取 得上市公司 控制权期间， 将采取合法 及有效的措 施，促使交通 运输通信信 息集团上海 股权投资基 金管理有限 公司及其控 制的企业不 以任何形式 从事与上市 公司主营业 务相同或相 似并构成或 可能构成竞 争的业务，并 且保证不进 行其他任何 损害上市公 司及其他股 东合法权益 的活动。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交 通运输通信 信息集团上 海股权投资 基金管理有 限公司在取 得上市公司 控制权期间， 如交通运输 通信信息集 团上海股权 投资基金管 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及其控制的 企业有任何 商业机会可 从事任何可 能会与上市 公司构成竞 争的业务，交 通运输通信 信息集团上 海股权投资 基金管理有 限公司将按 照上市公司 的书面要求， 将该等商业 机会让与上 市公司，以避 免与上市公 司存在同业 竞争。交通运 输通信信息 集团上海股 权投资基金 管理有限公 司将利用对 所控制的其 他企业的控 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促使该 等企业按照 同样的标准 遵守上述承 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交通运 输通信信息 集团上海股 权投资基金 管理有限公 司保证严格 履行本承诺 函中各项承 诺，如因违反 该等承诺并 因此给上市 公司造成损 失的，交通运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输通信信息 集团上海股 权投资基金 管理有限公 司将承担相 应的赔偿责 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上述承 诺自承诺函 签署之日起 生效，至交通 运输通信信 息集团上海 股权投资基 金管理有限 公司按照相 关法律法规 及股票上市 等规则的规 定不再对上 市公司存在 控制关系之 日时终止。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交通运输通 信信息集团 上海股权投 资基金管理</w:t>
            </w:r>
          </w:p>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关于规范关</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联交易的承</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交通运输通 信信息集团 上海股权投 资基金管理 有限公司及 其控制的企 业不会利用 上市公司控 制权地位及 重大影响，谋 求上市公司 及控股子公 司在业务合 作等方面给 予交通运输 通信信息集 团上海股权 投资基金管 理有限公司 及关联方优 于市场第三 方的权利，或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谋求与上市 公司及控股 子公司达成 交易的优先 权利，损害上 市公司及其 他股东的合 法利益。交通 运输通信信 息集团上海 股权投资基 金管理有限 公司及其控 制的企业将 严格避免向 上市公司及 其控股子公 司拆借占用 上市公司及 其控股子公 司资金或采 取由上市公 司及其控股 子公司代垫 款、代偿债务 等方式侵占 上市公司资 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对于交 通运输通信 信息集团上 海股权投资 基金管理有 限公司及其 控制的企业 与上市公司 及其控股子 公司之间必 需的一切交 易行为，均将 严格遵守市 场原则，本着 平等互利、等 价有偿的一 般原则，公平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合理地进行。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交通运输通 信信息集团 上海股权投 资基金管理 有限公司及 其控股子公 司之间的关 联交易将严 格遵守上市 公司章程、关 联交易管理 制度等规定 履行必要的 法定程序。在 上市公司权 力机构审议 有关关联交 易事项时主 动依法履行 回避义务。</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交通运输通 信信息集团 上海股权投 资基金管理 有限公司保 证严格履行 本承诺函中</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各项承诺，如 因违反该等 承诺并因此 给上市公司 造成损失的， 交通运输通 信信息集团 上海股权投 资基金管理 有限公司将 承担相应的 赔偿责任。</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上述承诺在 交通运输通 信信息集团 上海股权投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资基金管理 有限公司及 其控制的企 业构成上市 公司的关联 方期间持续 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交信北斗（嘉 兴）股权投资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sz w:val="17"/>
                <w:szCs w:val="17"/>
              </w:rPr>
              <w:t>收购方交信 北斗已承诺 本次交易完 成后</w:t>
            </w:r>
            <w:r>
              <w:rPr>
                <w:rFonts w:ascii="Times New Roman" w:eastAsia="Times New Roman" w:hAnsi="Times New Roman" w:cs="Times New Roman"/>
                <w:color w:val="000000"/>
                <w:spacing w:val="0"/>
                <w:w w:val="100"/>
                <w:position w:val="0"/>
              </w:rPr>
              <w:t>18</w:t>
            </w:r>
            <w:r>
              <w:rPr>
                <w:color w:val="000000"/>
                <w:spacing w:val="0"/>
                <w:w w:val="100"/>
                <w:position w:val="0"/>
                <w:sz w:val="17"/>
                <w:szCs w:val="17"/>
              </w:rPr>
              <w:t>个月 内，不转让其 已拥有权益 的股份。</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r>
        <w:trPr>
          <w:trHeight w:val="94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上海中信电</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子发展有限</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不谋求上市 公司实际控 制人地位的 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自《股份转让 协议》项下标 的股份完成 过户登记之 日起，中信电 子、张曙华及 关联方（包括 未来可能产 生的关联方） 不会以任何 方式增持上 市公司股份。 本公司及张 曙华不会以 任何方式谋 求上市公司 的实际控制 权，亦不会以 达成一致行 动、接受表决 权委托、征集 股东投票权 等方式单独、 共同或协助 除交信北斗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或其指定 主体外的其 他任何第三 方谋求上市 公司的实际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控制权，包括 不得将所持 上市公司股 份转让给可 能谋求上市 公司控制权 的任何其他 第三方。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李志卿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刘理 洲</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杨安荣</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股份减持承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自信息发展 股票在深圳 证券交易所 创业板上市 之日起十二 个月后，本人 在担任公司 的董事、监 事、高级管理 人员期间，每 年转让的股 份不超过本 人所持有信 息发展股份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 离职后半年 内，不转让本 人所持有的 信息发展股 份；本人在信 息发展首次 公开发行股 票上市之日 起六个月内 申报离职的， 自申报离职 之日起十八 个月内不转 让本人直接 持有的信息 发展股份；在 信息发展首 次公开发行 股票上市之 日起第七个</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月至第十二 个月之间申 报离职的，自 申报离职之 日起十二个 月内不转让 本人直接持 有的信息发 展股份。发行 人上市后六 个月内如发 行人股票连 续二十个交 易日的收盘 价（指复权后 的价格，下 同）均低于发 行价，或者上 市后六个月 期末收盘价 低于发行价， 本人持有的 发行人公开 发行股份前 已发行的股 份的锁定期 限将自动延 长六个月。在 延长锁定期 内，不转让或 者委托他人 管理其直接 或者间接持 有的发行人 公开发行股 票前已发行 的股份，也不 由发行人回 购其直接或 者间接持有 的发行人公 开发行股票 前已发行的 股份。本人不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因职务变更 或离职等主 观原因而放 弃履行此承 诺。本人所持 发行人公开 发行股份前 已发行的股 份在上述锁 定期期满后 两年内减持， 本人承诺减 持价格（指复 权后的价格） 不低于发行 价，若低于发 行价的，本人 的减持所得 收入归发行 人所有。本人 不因职务变 更或离职等 主观原因而 放弃履行此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上海中信电</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子发展有限</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关于同业竞</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争、关联交</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易、资金占用</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方面的承诺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i/>
                <w:iCs/>
                <w:color w:val="000000"/>
                <w:spacing w:val="0"/>
                <w:w w:val="100"/>
                <w:position w:val="0"/>
                <w:sz w:val="17"/>
                <w:szCs w:val="17"/>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 目前没有、将 来也不直接 或间接从事 与发行人及 其控股或实 际控制的子 公司现有及 将来从事的 业务构成同 业竞争的任 何活动，并愿 意对违反上 述承诺而给 发行人造成 的经济损失 承担赔偿责 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）对于 本公司直接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和间接控制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控股的其他 企业，本公司 将通过派出 机构和人员 （包括但不</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限于董事、总 经理等）以及 本公司在该 等企业中的 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控制地 位，保证该等 企业履行本 承诺函中与 本公司相同 的义务，保证 该等企业不 与发行人进 行同业竞争， 本公司并愿 意对违反上 述承诺而给 发行人造成 的经济损失 承担全部连 带的赔偿责 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）在本 公司及本公 司所控制的 其他公司与 发行人存在 关联关系期 间或本公司 构成发行人 的控股股东 期间，本承诺 函对本公司 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关于同业竞</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争、关联交</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易、资金占用</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方面的承诺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①本人目前 没有、将来也 不直接或间 接从事与发 行人及其控 股或实际控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制的子公司 现有及将来 从事的业务 构成同业竞 争的任何活 动，并愿意对 违反上述承 诺而给发行 人造成的经 济损失承担 赔偿责任。② 对于本人直 接和间接控 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控股的其 他企业，本人 将通过派出 机构和人员</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（包括但不 限于董事、总 经理等）以及 本人在该等 企业中的控 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控制地位， 保证该等企 业履行本承 诺函中与本 人相同的义 务，保证该等 企业不与发 行人进行同 业竞争，本人 并愿意对违 反上述承诺 而给发行人 造成的经济 损失承担全 部连带的赔 偿责任。③在 本人及本人 所控制的其 他公司与发 行人存在关 联关系期间 或本人构成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sz w:val="17"/>
                <w:szCs w:val="17"/>
              </w:rPr>
              <w:t>发行人的实 际控制人期 间，本承诺函 对本人持续 有效。</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上海中信电</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子发展有限</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关于同业竞</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争、关联交</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易、资金占用</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方面的承诺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i/>
                <w:iCs/>
                <w:color w:val="000000"/>
                <w:spacing w:val="0"/>
                <w:w w:val="100"/>
                <w:position w:val="0"/>
                <w:sz w:val="17"/>
                <w:szCs w:val="17"/>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）除已经 向相关中介 机构书面披 露的关联交 易以外，本公 司以及下属 全资、控股子 公司及其他 可实际控制 企业（以下简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附属企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）与信息发 展之间现时 不存在其他 任何依照法 律法规和中 国证监会的 有关规定应 披露而未披 露的关联交 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）在本 公司作为信 息发展控股 股东期间，本 公司及附属 企业将尽量 避免、减少与 信息发展发 生关联交易。 如因客观情 况导致必要 的关联交易 无法避免的， 本公司及附 属企业将严 格遵守法律 法规及中国 证监会和《上 海中信信息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发展股份有 限公司章 程》、《上海中 信信息发展 股份有限公 司关联交易 管理办法》等 相关制度的 规定，按照公 平、公允、合 理、通常的商 业准则进行。</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）本公司 承诺不利用 信息发展控 股股东地位， 损害信息发 展及其他股 东的合法利 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）若本 公司从事与 发行人的业 务有竞争或 可能构成竞 争的业务或 活动，本公司 将转让竞业 业务，停止竞 业活动，或由 发行人收购 相关业务或 活动的成果； 若本公司不 停止已存在 的或潜在的 侵害，或本公 司与发行人 的关联交易 中未按照公 平、公开、公 正的原则给 发行人造成 损失，由发行 人将预计损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sz w:val="17"/>
                <w:szCs w:val="17"/>
              </w:rPr>
              <w:t>失从当年或 以后年度分 配给本公司 的分红中扣 除</w:t>
            </w:r>
            <w:r>
              <w:rPr>
                <w:color w:val="000000"/>
                <w:spacing w:val="0"/>
                <w:w w:val="100"/>
                <w:position w:val="0"/>
              </w:rPr>
              <w:t>，</w:t>
            </w:r>
            <w:r>
              <w:rPr>
                <w:color w:val="000000"/>
                <w:spacing w:val="0"/>
                <w:w w:val="100"/>
                <w:position w:val="0"/>
                <w:sz w:val="17"/>
                <w:szCs w:val="17"/>
              </w:rPr>
              <w:t>并归发行 人所有。本公 司以直接和 间接所持发 行人的全部 股份对上述 承诺提供连 带责任保证 担保。</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关于同业竞</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争、关联交</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易、资金占用</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方面的承诺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rPr>
                <w:sz w:val="17"/>
                <w:szCs w:val="17"/>
              </w:rPr>
            </w:pPr>
            <w:r>
              <w:rPr>
                <w:i/>
                <w:iCs/>
                <w:color w:val="000000"/>
                <w:spacing w:val="0"/>
                <w:w w:val="100"/>
                <w:position w:val="0"/>
                <w:sz w:val="17"/>
                <w:szCs w:val="17"/>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）除已经 向相关中介 机构书面披 露的关联交 易以外，本人 以及下属全 资、控股子公 司及其他可 实际控制企 业（以下简称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附属企业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与信息发展 之间现时不 存在其他任 何依照法律 法规和中国 证监会的有 关规定应披 露而未披露 的关联交易。</w:t>
            </w:r>
          </w:p>
          <w:p>
            <w:pPr>
              <w:pStyle w:val="Style18"/>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）在本人 作为信息发 展实际控制 人期间，本人 及附属企业 将尽量避免、 减少与信息 发展发生关 联交易。如因 客观情况导 致必要的关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联交易无法 避免的，本人 及附属企业 将严格遵守 法律法规及 中国证监会 和《上海中信 信息发展股 份有限公司 章程》、《上海 中信信息发 展股份有限 公司关联交 易管理办法》 等相关制度 的规定，按照 公平、公允、 合理、通常的 商业准则进 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 承诺不利用 信息发展实 际控制人及 股东地位，损 害信息发展 及其他股东 的合法利益。</w:t>
            </w:r>
          </w:p>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）若本人 从事与发行 人的业务有 竞争或可能 构成竞争的 业务或活动， 本人将转让 竞业业务，停 止竞业活动， 或由发行人 收购相关业 务或活动的 成果；若本人 不停止已存 在的或潜在 的侵害，或本 人与发行人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6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40" w:line="312" w:lineRule="exact"/>
              <w:ind w:left="0" w:right="0" w:firstLine="0"/>
              <w:jc w:val="both"/>
              <w:rPr>
                <w:sz w:val="17"/>
                <w:szCs w:val="17"/>
              </w:rPr>
            </w:pPr>
            <w:r>
              <w:rPr>
                <w:color w:val="000000"/>
                <w:spacing w:val="0"/>
                <w:w w:val="100"/>
                <w:position w:val="0"/>
                <w:sz w:val="17"/>
                <w:szCs w:val="17"/>
              </w:rPr>
              <w:t>的关联交易 中未按照公 平、公开、公 正的原则给 发行人造成 损失，由发行 人将预计损 失从当年或 以后年度分 配给本人的 分红中扣除， 并归发行人 所有。本人以 直接和间接 所持发行人 的全部股份 对上述承诺 提供连带责 任保证担保。</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持股计划存 续期为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 月、锁定期最 长</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 xml:space="preserve">个月， 自公司公告 最后一笔标 的股票过户 至持股计划 名下之日起 算。本员工持 股计划所获 标的股票分 二期解锁，解 锁时点分别 为自公司公 告最后一笔 标的股票过 户至本员工 持股计划名 下之日起满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个月，最长锁 定期为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月，每期解锁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 xml:space="preserve">的标的股票 比例分别为 </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 各年度具体 解锁比例和 数量根据公 司业绩指标 和持有人职 位调整计算 确定。第一个 解锁期</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年公司净利 润不低于 </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7"/>
                <w:szCs w:val="17"/>
              </w:rPr>
              <w:t xml:space="preserve">万元。第 二个解锁期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年公司 净利润不低 于</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其他对公司中小股东所作承诺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徐云蔚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 xml:space="preserve">本人在担任 公司的董事、 监事、高级管 理人员期间， 每年转让的 股份不超过 本人所持有 信息发展股 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；离职后 半年内，不转 让本人所持 有的信息发 展股份。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r>
        <w:trPr>
          <w:trHeight w:val="380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上海中信电</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子发展有限</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年年 度股东大会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日通过之 日起，中信电 子承诺，其所 持剩余信息 发展股份在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年度将 不再减持，且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年度不 减持且自</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722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sz w:val="17"/>
                <w:szCs w:val="17"/>
              </w:rPr>
              <w:t>年起中 信电子继续 遵守首发时 的承诺，即</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在 张曙华持有 中信电子的 股份期间且 担任公司的 董事或高管 期间，中信电 子每年转让 的股份不超 过其所持有 中信信息</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信 息发展</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股份 总数的</w:t>
            </w:r>
            <w:r>
              <w:rPr>
                <w:rFonts w:ascii="Times New Roman" w:eastAsia="Times New Roman" w:hAnsi="Times New Roman" w:cs="Times New Roman"/>
                <w:color w:val="000000"/>
                <w:spacing w:val="0"/>
                <w:w w:val="100"/>
                <w:position w:val="0"/>
              </w:rPr>
              <w:t xml:space="preserve">25%; </w:t>
            </w:r>
            <w:r>
              <w:rPr>
                <w:color w:val="000000"/>
                <w:spacing w:val="0"/>
                <w:w w:val="100"/>
                <w:position w:val="0"/>
                <w:sz w:val="17"/>
                <w:szCs w:val="17"/>
              </w:rPr>
              <w:t>离职后半年 内，中信电子 不转让其所 持有的中信 信息</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信息发 展</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股份。</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39" w:line="1" w:lineRule="exact"/>
      </w:pPr>
    </w:p>
    <w:p>
      <w:pPr>
        <w:pStyle w:val="Style28"/>
        <w:keepNext/>
        <w:keepLines/>
        <w:widowControl w:val="0"/>
        <w:shd w:val="clear" w:color="auto" w:fill="auto"/>
        <w:bidi w:val="0"/>
        <w:spacing w:before="0" w:line="322" w:lineRule="exact"/>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、公司资产或项目存在盈利预测，且报告期仍处在盈利预测期间，公司就资产或项目达到原盈利预测及 其原因做出说明</w:t>
      </w:r>
      <w:bookmarkEnd w:id="438"/>
      <w:bookmarkEnd w:id="439"/>
      <w:bookmarkEnd w:id="441"/>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二</w:t>
      </w:r>
      <w:bookmarkEnd w:id="444"/>
      <w:r>
        <w:rPr>
          <w:color w:val="000000"/>
          <w:spacing w:val="0"/>
          <w:w w:val="100"/>
          <w:position w:val="0"/>
        </w:rPr>
        <w:t>、</w:t>
        <w:tab/>
        <w:t>控股股东及其他关联方对上市公司的非经营性占用资金情况</w:t>
      </w:r>
      <w:bookmarkEnd w:id="442"/>
      <w:bookmarkEnd w:id="443"/>
      <w:bookmarkEnd w:id="445"/>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公司报告期不存在控股股东及其他关联方对上市公司的非经营性占用资金。</w:t>
      </w:r>
    </w:p>
    <w:p>
      <w:pPr>
        <w:pStyle w:val="Style22"/>
        <w:keepNext/>
        <w:keepLines/>
        <w:widowControl w:val="0"/>
        <w:shd w:val="clear" w:color="auto" w:fill="auto"/>
        <w:tabs>
          <w:tab w:pos="517" w:val="left"/>
        </w:tabs>
        <w:bidi w:val="0"/>
        <w:spacing w:before="0" w:after="38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三</w:t>
      </w:r>
      <w:bookmarkEnd w:id="448"/>
      <w:r>
        <w:rPr>
          <w:color w:val="000000"/>
          <w:spacing w:val="0"/>
          <w:w w:val="100"/>
          <w:position w:val="0"/>
        </w:rPr>
        <w:t>、</w:t>
        <w:tab/>
        <w:t>违规对外担保情况</w:t>
      </w:r>
      <w:bookmarkEnd w:id="446"/>
      <w:bookmarkEnd w:id="447"/>
      <w:bookmarkEnd w:id="449"/>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公司报告期无违规对外担保情况。</w:t>
      </w:r>
    </w:p>
    <w:p>
      <w:pPr>
        <w:pStyle w:val="Style22"/>
        <w:keepNext/>
        <w:keepLines/>
        <w:widowControl w:val="0"/>
        <w:shd w:val="clear" w:color="auto" w:fill="auto"/>
        <w:tabs>
          <w:tab w:pos="498" w:val="left"/>
        </w:tabs>
        <w:bidi w:val="0"/>
        <w:spacing w:before="0" w:after="38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四</w:t>
      </w:r>
      <w:bookmarkEnd w:id="452"/>
      <w:r>
        <w:rPr>
          <w:color w:val="000000"/>
          <w:spacing w:val="0"/>
          <w:w w:val="100"/>
          <w:position w:val="0"/>
        </w:rPr>
        <w:t>、</w:t>
        <w:tab/>
        <w:t>董事会对最近一期</w:t>
      </w:r>
      <w:r>
        <w:rPr>
          <w:color w:val="000000"/>
          <w:spacing w:val="0"/>
          <w:w w:val="100"/>
          <w:position w:val="0"/>
          <w:sz w:val="18"/>
          <w:szCs w:val="18"/>
        </w:rPr>
        <w:t>“</w:t>
      </w:r>
      <w:r>
        <w:rPr>
          <w:color w:val="000000"/>
          <w:spacing w:val="0"/>
          <w:w w:val="100"/>
          <w:position w:val="0"/>
        </w:rPr>
        <w:t>非标准审计报告</w:t>
      </w:r>
      <w:r>
        <w:rPr>
          <w:color w:val="000000"/>
          <w:spacing w:val="0"/>
          <w:w w:val="100"/>
          <w:position w:val="0"/>
          <w:sz w:val="18"/>
          <w:szCs w:val="18"/>
        </w:rPr>
        <w:t>”</w:t>
      </w:r>
      <w:r>
        <w:rPr>
          <w:color w:val="000000"/>
          <w:spacing w:val="0"/>
          <w:w w:val="100"/>
          <w:position w:val="0"/>
        </w:rPr>
        <w:t>相关情况的说明</w:t>
      </w:r>
      <w:bookmarkEnd w:id="450"/>
      <w:bookmarkEnd w:id="451"/>
      <w:bookmarkEnd w:id="453"/>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五</w:t>
      </w:r>
      <w:bookmarkEnd w:id="456"/>
      <w:r>
        <w:rPr>
          <w:color w:val="000000"/>
          <w:spacing w:val="0"/>
          <w:w w:val="100"/>
          <w:position w:val="0"/>
        </w:rPr>
        <w:t>、</w:t>
        <w:tab/>
        <w:t>董事会、监事会、独立董事（如有）对会计师事务所本报告期</w:t>
      </w:r>
      <w:r>
        <w:rPr>
          <w:color w:val="000000"/>
          <w:spacing w:val="0"/>
          <w:w w:val="100"/>
          <w:position w:val="0"/>
          <w:sz w:val="18"/>
          <w:szCs w:val="18"/>
        </w:rPr>
        <w:t>“</w:t>
      </w:r>
      <w:r>
        <w:rPr>
          <w:color w:val="000000"/>
          <w:spacing w:val="0"/>
          <w:w w:val="100"/>
          <w:position w:val="0"/>
        </w:rPr>
        <w:t>非标准审计报告</w:t>
      </w:r>
      <w:r>
        <w:rPr>
          <w:color w:val="000000"/>
          <w:spacing w:val="0"/>
          <w:w w:val="100"/>
          <w:position w:val="0"/>
          <w:sz w:val="18"/>
          <w:szCs w:val="18"/>
        </w:rPr>
        <w:t>”</w:t>
      </w:r>
      <w:r>
        <w:rPr>
          <w:color w:val="000000"/>
          <w:spacing w:val="0"/>
          <w:w w:val="100"/>
          <w:position w:val="0"/>
        </w:rPr>
        <w:t>的说明</w:t>
      </w:r>
      <w:bookmarkEnd w:id="454"/>
      <w:bookmarkEnd w:id="455"/>
      <w:bookmarkEnd w:id="457"/>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六</w:t>
      </w:r>
      <w:bookmarkEnd w:id="460"/>
      <w:r>
        <w:rPr>
          <w:color w:val="000000"/>
          <w:spacing w:val="0"/>
          <w:w w:val="100"/>
          <w:position w:val="0"/>
        </w:rPr>
        <w:t>、</w:t>
        <w:tab/>
        <w:t>董事会关于报告期会计政策、会计估计变更或重大会计差错更正的说明</w:t>
      </w:r>
      <w:bookmarkEnd w:id="458"/>
      <w:bookmarkEnd w:id="459"/>
      <w:bookmarkEnd w:id="461"/>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七</w:t>
      </w:r>
      <w:bookmarkEnd w:id="464"/>
      <w:r>
        <w:rPr>
          <w:color w:val="000000"/>
          <w:spacing w:val="0"/>
          <w:w w:val="100"/>
          <w:position w:val="0"/>
        </w:rPr>
        <w:t>、</w:t>
        <w:tab/>
        <w:t>与上年度财务报告相比，合并报表范围发生变化的情况说明</w:t>
      </w:r>
      <w:bookmarkEnd w:id="462"/>
      <w:bookmarkEnd w:id="463"/>
      <w:bookmarkEnd w:id="465"/>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公司报告期无合并报表范围发生变化的情况。</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八</w:t>
      </w:r>
      <w:bookmarkEnd w:id="468"/>
      <w:r>
        <w:rPr>
          <w:color w:val="000000"/>
          <w:spacing w:val="0"/>
          <w:w w:val="100"/>
          <w:position w:val="0"/>
        </w:rPr>
        <w:t>、</w:t>
        <w:tab/>
        <w:t>聘任、解聘会计师事务所情况</w:t>
      </w:r>
      <w:bookmarkEnd w:id="466"/>
      <w:bookmarkEnd w:id="467"/>
      <w:bookmarkEnd w:id="469"/>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任家虎、吴海燕</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是否改聘会计师事务所</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聘请内部控制审计会计师事务所、财务顾问或保荐人情况</w:t>
      </w:r>
    </w:p>
    <w:p>
      <w:pPr>
        <w:pStyle w:val="Style24"/>
        <w:keepNext w:val="0"/>
        <w:keepLines w:val="0"/>
        <w:widowControl w:val="0"/>
        <w:numPr>
          <w:ilvl w:val="0"/>
          <w:numId w:val="9"/>
        </w:numPr>
        <w:shd w:val="clear" w:color="auto" w:fill="auto"/>
        <w:tabs>
          <w:tab w:pos="282" w:val="left"/>
        </w:tabs>
        <w:bidi w:val="0"/>
        <w:spacing w:before="0" w:after="380" w:line="240" w:lineRule="auto"/>
        <w:ind w:left="0" w:right="0" w:firstLine="0"/>
        <w:jc w:val="left"/>
        <w:rPr>
          <w:sz w:val="17"/>
          <w:szCs w:val="17"/>
        </w:rPr>
      </w:pPr>
      <w:bookmarkStart w:id="470" w:name="bookmark470"/>
      <w:bookmarkEnd w:id="470"/>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2"/>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九</w:t>
      </w:r>
      <w:bookmarkEnd w:id="473"/>
      <w:r>
        <w:rPr>
          <w:color w:val="000000"/>
          <w:spacing w:val="0"/>
          <w:w w:val="100"/>
          <w:position w:val="0"/>
        </w:rPr>
        <w:t>、年度报告披露后面临退市情况</w:t>
      </w:r>
      <w:bookmarkEnd w:id="471"/>
      <w:bookmarkEnd w:id="472"/>
      <w:bookmarkEnd w:id="474"/>
    </w:p>
    <w:p>
      <w:pPr>
        <w:pStyle w:val="Style24"/>
        <w:keepNext w:val="0"/>
        <w:keepLines w:val="0"/>
        <w:widowControl w:val="0"/>
        <w:numPr>
          <w:ilvl w:val="0"/>
          <w:numId w:val="9"/>
        </w:numPr>
        <w:shd w:val="clear" w:color="auto" w:fill="auto"/>
        <w:tabs>
          <w:tab w:pos="282" w:val="left"/>
        </w:tabs>
        <w:bidi w:val="0"/>
        <w:spacing w:before="0" w:after="380" w:line="240" w:lineRule="auto"/>
        <w:ind w:left="0" w:right="0" w:firstLine="0"/>
        <w:jc w:val="left"/>
        <w:rPr>
          <w:sz w:val="17"/>
          <w:szCs w:val="17"/>
        </w:rPr>
      </w:pPr>
      <w:bookmarkStart w:id="475" w:name="bookmark475"/>
      <w:bookmarkEnd w:id="475"/>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2"/>
        <w:keepNext/>
        <w:keepLines/>
        <w:widowControl w:val="0"/>
        <w:shd w:val="clear" w:color="auto" w:fill="auto"/>
        <w:bidi w:val="0"/>
        <w:spacing w:before="0" w:after="380" w:line="240" w:lineRule="auto"/>
        <w:ind w:left="0" w:right="0" w:firstLine="0"/>
        <w:jc w:val="left"/>
      </w:pPr>
      <w:bookmarkStart w:id="476" w:name="bookmark476"/>
      <w:bookmarkStart w:id="477" w:name="bookmark477"/>
      <w:bookmarkStart w:id="478" w:name="bookmark478"/>
      <w:r>
        <w:rPr>
          <w:color w:val="000000"/>
          <w:spacing w:val="0"/>
          <w:w w:val="100"/>
          <w:position w:val="0"/>
        </w:rPr>
        <w:t>十、破产重整相关事项</w:t>
      </w:r>
      <w:bookmarkEnd w:id="476"/>
      <w:bookmarkEnd w:id="477"/>
      <w:bookmarkEnd w:id="478"/>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公司报告期未发生破产重整相关事项。</w:t>
      </w:r>
    </w:p>
    <w:p>
      <w:pPr>
        <w:pStyle w:val="Style22"/>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r>
        <w:rPr>
          <w:color w:val="000000"/>
          <w:spacing w:val="0"/>
          <w:w w:val="100"/>
          <w:position w:val="0"/>
        </w:rPr>
        <w:t>十一、重大诉讼、仲裁事项</w:t>
      </w:r>
      <w:bookmarkEnd w:id="479"/>
      <w:bookmarkEnd w:id="480"/>
      <w:bookmarkEnd w:id="481"/>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本年度公司无重大诉讼、仲裁事项。</w:t>
      </w:r>
    </w:p>
    <w:p>
      <w:pPr>
        <w:pStyle w:val="Style22"/>
        <w:keepNext/>
        <w:keepLines/>
        <w:widowControl w:val="0"/>
        <w:shd w:val="clear" w:color="auto" w:fill="auto"/>
        <w:bidi w:val="0"/>
        <w:spacing w:before="0" w:after="380" w:line="240" w:lineRule="auto"/>
        <w:ind w:left="0" w:right="0" w:firstLine="0"/>
        <w:jc w:val="left"/>
      </w:pPr>
      <w:bookmarkStart w:id="482" w:name="bookmark482"/>
      <w:bookmarkStart w:id="483" w:name="bookmark483"/>
      <w:bookmarkStart w:id="484" w:name="bookmark484"/>
      <w:r>
        <w:rPr>
          <w:color w:val="000000"/>
          <w:spacing w:val="0"/>
          <w:w w:val="100"/>
          <w:position w:val="0"/>
        </w:rPr>
        <w:t>十二、处罚及整改情况</w:t>
      </w:r>
      <w:bookmarkEnd w:id="482"/>
      <w:bookmarkEnd w:id="483"/>
      <w:bookmarkEnd w:id="484"/>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公司报告期不存在处罚及整改情况。</w:t>
      </w:r>
    </w:p>
    <w:p>
      <w:pPr>
        <w:pStyle w:val="Style22"/>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r>
        <w:rPr>
          <w:color w:val="000000"/>
          <w:spacing w:val="0"/>
          <w:w w:val="100"/>
          <w:position w:val="0"/>
        </w:rPr>
        <w:t>十三、公司及其控股股东、实际控制人的诚信状况</w:t>
      </w:r>
      <w:bookmarkEnd w:id="485"/>
      <w:bookmarkEnd w:id="486"/>
      <w:bookmarkEnd w:id="487"/>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r>
        <w:rPr>
          <w:color w:val="000000"/>
          <w:spacing w:val="0"/>
          <w:w w:val="100"/>
          <w:position w:val="0"/>
        </w:rPr>
        <w:t>十四、重大关联交易</w:t>
      </w:r>
      <w:bookmarkEnd w:id="488"/>
      <w:bookmarkEnd w:id="489"/>
      <w:bookmarkEnd w:id="490"/>
    </w:p>
    <w:p>
      <w:pPr>
        <w:pStyle w:val="Style28"/>
        <w:keepNext/>
        <w:keepLines/>
        <w:widowControl w:val="0"/>
        <w:shd w:val="clear" w:color="auto" w:fill="auto"/>
        <w:tabs>
          <w:tab w:pos="368" w:val="left"/>
        </w:tabs>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w:t>
        <w:tab/>
        <w:t>与日常经营相关的关联交易</w:t>
      </w:r>
      <w:bookmarkEnd w:id="491"/>
      <w:bookmarkEnd w:id="492"/>
      <w:bookmarkEnd w:id="494"/>
    </w:p>
    <w:p>
      <w:pPr>
        <w:pStyle w:val="Style24"/>
        <w:keepNext w:val="0"/>
        <w:keepLines w:val="0"/>
        <w:widowControl w:val="0"/>
        <w:numPr>
          <w:ilvl w:val="0"/>
          <w:numId w:val="9"/>
        </w:numPr>
        <w:shd w:val="clear" w:color="auto" w:fill="auto"/>
        <w:tabs>
          <w:tab w:pos="282" w:val="left"/>
        </w:tabs>
        <w:bidi w:val="0"/>
        <w:spacing w:before="0" w:after="140" w:line="240" w:lineRule="auto"/>
        <w:ind w:left="0" w:right="0" w:firstLine="0"/>
        <w:jc w:val="left"/>
        <w:rPr>
          <w:sz w:val="17"/>
          <w:szCs w:val="17"/>
        </w:rPr>
      </w:pPr>
      <w:bookmarkStart w:id="495" w:name="bookmark495"/>
      <w:bookmarkEnd w:id="495"/>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公司报告期未发生与日常经营相关的关联交易。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bookmarkEnd w:id="498"/>
      <w:r>
        <w:rPr>
          <w:color w:val="000000"/>
          <w:spacing w:val="0"/>
          <w:w w:val="100"/>
          <w:position w:val="0"/>
        </w:rPr>
        <w:t>、</w:t>
        <w:tab/>
        <w:t>资产或股权收购、出售发生的关联交易</w:t>
      </w:r>
      <w:bookmarkEnd w:id="496"/>
      <w:bookmarkEnd w:id="497"/>
      <w:bookmarkEnd w:id="499"/>
    </w:p>
    <w:p>
      <w:pPr>
        <w:pStyle w:val="Style24"/>
        <w:keepNext w:val="0"/>
        <w:keepLines w:val="0"/>
        <w:widowControl w:val="0"/>
        <w:numPr>
          <w:ilvl w:val="0"/>
          <w:numId w:val="9"/>
        </w:numPr>
        <w:shd w:val="clear" w:color="auto" w:fill="auto"/>
        <w:tabs>
          <w:tab w:pos="282" w:val="left"/>
        </w:tabs>
        <w:bidi w:val="0"/>
        <w:spacing w:before="0" w:after="140" w:line="240" w:lineRule="auto"/>
        <w:ind w:left="0" w:right="0" w:firstLine="0"/>
        <w:jc w:val="left"/>
        <w:rPr>
          <w:sz w:val="17"/>
          <w:szCs w:val="17"/>
        </w:rPr>
      </w:pPr>
      <w:bookmarkStart w:id="500" w:name="bookmark500"/>
      <w:bookmarkEnd w:id="500"/>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公司报告期未发生资产或股权收购、出售的关联交易。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3</w:t>
      </w:r>
      <w:bookmarkEnd w:id="503"/>
      <w:r>
        <w:rPr>
          <w:color w:val="000000"/>
          <w:spacing w:val="0"/>
          <w:w w:val="100"/>
          <w:position w:val="0"/>
        </w:rPr>
        <w:t>、</w:t>
        <w:tab/>
        <w:t>共同对外投资的关联交易</w:t>
      </w:r>
      <w:bookmarkEnd w:id="501"/>
      <w:bookmarkEnd w:id="502"/>
      <w:bookmarkEnd w:id="504"/>
    </w:p>
    <w:p>
      <w:pPr>
        <w:pStyle w:val="Style24"/>
        <w:keepNext w:val="0"/>
        <w:keepLines w:val="0"/>
        <w:widowControl w:val="0"/>
        <w:numPr>
          <w:ilvl w:val="0"/>
          <w:numId w:val="9"/>
        </w:numPr>
        <w:shd w:val="clear" w:color="auto" w:fill="auto"/>
        <w:tabs>
          <w:tab w:pos="282" w:val="left"/>
        </w:tabs>
        <w:bidi w:val="0"/>
        <w:spacing w:before="0" w:after="140" w:line="240" w:lineRule="auto"/>
        <w:ind w:left="0" w:right="0" w:firstLine="0"/>
        <w:jc w:val="left"/>
        <w:rPr>
          <w:sz w:val="17"/>
          <w:szCs w:val="17"/>
        </w:rPr>
      </w:pPr>
      <w:bookmarkStart w:id="505" w:name="bookmark505"/>
      <w:bookmarkEnd w:id="505"/>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4</w:t>
      </w:r>
      <w:bookmarkEnd w:id="508"/>
      <w:r>
        <w:rPr>
          <w:color w:val="000000"/>
          <w:spacing w:val="0"/>
          <w:w w:val="100"/>
          <w:position w:val="0"/>
        </w:rPr>
        <w:t>、</w:t>
        <w:tab/>
        <w:t>关联债权债务往来</w:t>
      </w:r>
      <w:bookmarkEnd w:id="506"/>
      <w:bookmarkEnd w:id="507"/>
      <w:bookmarkEnd w:id="509"/>
    </w:p>
    <w:p>
      <w:pPr>
        <w:pStyle w:val="Style24"/>
        <w:keepNext w:val="0"/>
        <w:keepLines w:val="0"/>
        <w:widowControl w:val="0"/>
        <w:numPr>
          <w:ilvl w:val="0"/>
          <w:numId w:val="9"/>
        </w:numPr>
        <w:shd w:val="clear" w:color="auto" w:fill="auto"/>
        <w:tabs>
          <w:tab w:pos="282" w:val="left"/>
        </w:tabs>
        <w:bidi w:val="0"/>
        <w:spacing w:before="0" w:after="140" w:line="240" w:lineRule="auto"/>
        <w:ind w:left="0" w:right="0" w:firstLine="0"/>
        <w:jc w:val="left"/>
        <w:rPr>
          <w:sz w:val="17"/>
          <w:szCs w:val="17"/>
        </w:rPr>
      </w:pPr>
      <w:bookmarkStart w:id="510" w:name="bookmark510"/>
      <w:bookmarkEnd w:id="510"/>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公司报告期不存在关联债权债务往来。</w:t>
      </w:r>
    </w:p>
    <w:p>
      <w:pPr>
        <w:pStyle w:val="Style28"/>
        <w:keepNext/>
        <w:keepLines/>
        <w:widowControl w:val="0"/>
        <w:shd w:val="clear" w:color="auto" w:fill="auto"/>
        <w:tabs>
          <w:tab w:pos="378" w:val="left"/>
        </w:tabs>
        <w:bidi w:val="0"/>
        <w:spacing w:before="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5</w:t>
      </w:r>
      <w:bookmarkEnd w:id="513"/>
      <w:r>
        <w:rPr>
          <w:color w:val="000000"/>
          <w:spacing w:val="0"/>
          <w:w w:val="100"/>
          <w:position w:val="0"/>
        </w:rPr>
        <w:t>、</w:t>
        <w:tab/>
        <w:t>与存在关联关系的财务公司的往来情况</w:t>
      </w:r>
      <w:bookmarkEnd w:id="511"/>
      <w:bookmarkEnd w:id="512"/>
      <w:bookmarkEnd w:id="514"/>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 xml:space="preserve">不适用 </w:t>
      </w:r>
      <w:r>
        <w:rPr>
          <w:color w:val="000000"/>
          <w:spacing w:val="0"/>
          <w:w w:val="100"/>
          <w:position w:val="0"/>
          <w:sz w:val="17"/>
          <w:szCs w:val="17"/>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6</w:t>
      </w:r>
      <w:bookmarkEnd w:id="517"/>
      <w:r>
        <w:rPr>
          <w:color w:val="000000"/>
          <w:spacing w:val="0"/>
          <w:w w:val="100"/>
          <w:position w:val="0"/>
        </w:rPr>
        <w:t>、</w:t>
        <w:tab/>
        <w:t>公司控股的财务公司与关联方的往来情况</w:t>
      </w:r>
      <w:bookmarkEnd w:id="515"/>
      <w:bookmarkEnd w:id="516"/>
      <w:bookmarkEnd w:id="518"/>
    </w:p>
    <w:p>
      <w:pPr>
        <w:pStyle w:val="Style24"/>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317" w:lineRule="exact"/>
        <w:ind w:left="0" w:right="0" w:firstLine="0"/>
        <w:jc w:val="left"/>
        <w:rPr>
          <w:sz w:val="17"/>
          <w:szCs w:val="17"/>
        </w:rPr>
      </w:pPr>
      <w:r>
        <w:rPr>
          <w:color w:val="000000"/>
          <w:spacing w:val="0"/>
          <w:w w:val="100"/>
          <w:position w:val="0"/>
          <w:sz w:val="17"/>
          <w:szCs w:val="17"/>
        </w:rPr>
        <w:t>公司控股的财务公司与关联方之间不存在存款、贷款、授信或其他金融业务。</w:t>
      </w:r>
    </w:p>
    <w:p>
      <w:pPr>
        <w:pStyle w:val="Style28"/>
        <w:keepNext/>
        <w:keepLines/>
        <w:widowControl w:val="0"/>
        <w:shd w:val="clear" w:color="auto" w:fill="auto"/>
        <w:tabs>
          <w:tab w:pos="373" w:val="left"/>
        </w:tabs>
        <w:bidi w:val="0"/>
        <w:spacing w:before="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7</w:t>
      </w:r>
      <w:bookmarkEnd w:id="521"/>
      <w:r>
        <w:rPr>
          <w:color w:val="000000"/>
          <w:spacing w:val="0"/>
          <w:w w:val="100"/>
          <w:position w:val="0"/>
        </w:rPr>
        <w:t>、</w:t>
        <w:tab/>
        <w:t>其他重大关联交易</w:t>
      </w:r>
      <w:bookmarkEnd w:id="519"/>
      <w:bookmarkEnd w:id="520"/>
      <w:bookmarkEnd w:id="522"/>
    </w:p>
    <w:p>
      <w:pPr>
        <w:pStyle w:val="Style24"/>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在报告期内，公司与交信北斗科技有限公司、黑曜石企业管理合伙企业（有限合伙）共同出资成立交信北斗（浙江）科技有 限公司。</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公司对交信北斗（海南）科技有限公司增资，成为新的实际控制人。</w:t>
      </w:r>
    </w:p>
    <w:p>
      <w:pPr>
        <w:pStyle w:val="Style24"/>
        <w:keepNext w:val="0"/>
        <w:keepLines w:val="0"/>
        <w:widowControl w:val="0"/>
        <w:shd w:val="clear" w:color="auto" w:fill="auto"/>
        <w:bidi w:val="0"/>
        <w:spacing w:before="0" w:after="80" w:line="317" w:lineRule="exact"/>
        <w:ind w:left="0" w:right="0" w:firstLine="0"/>
        <w:jc w:val="left"/>
        <w:rPr>
          <w:sz w:val="17"/>
          <w:szCs w:val="17"/>
        </w:rPr>
      </w:pPr>
      <w:r>
        <w:rPr>
          <w:color w:val="000000"/>
          <w:spacing w:val="0"/>
          <w:w w:val="100"/>
          <w:position w:val="0"/>
          <w:sz w:val="17"/>
          <w:szCs w:val="17"/>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关于公司对外增资控股交信北斗（海南）科 技有限公司暨关联交易的公告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关于公司对外投资设立交通运输北斗应用 科技有限公司暨关联交易的公告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关于对外增资控股交信北斗（海南）科技有 限公司暨关联交易的进展公告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关于对外投资设立交信北斗（浙江）科技有 限公司暨关联交易的进展公告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523" w:name="bookmark523"/>
      <w:bookmarkStart w:id="524" w:name="bookmark524"/>
      <w:bookmarkStart w:id="525" w:name="bookmark525"/>
      <w:r>
        <w:rPr>
          <w:color w:val="000000"/>
          <w:spacing w:val="0"/>
          <w:w w:val="100"/>
          <w:position w:val="0"/>
        </w:rPr>
        <w:t>十五、重大合同及其履行情况</w:t>
      </w:r>
      <w:bookmarkEnd w:id="523"/>
      <w:bookmarkEnd w:id="524"/>
      <w:bookmarkEnd w:id="525"/>
    </w:p>
    <w:p>
      <w:pPr>
        <w:pStyle w:val="Style28"/>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、托管、承包、租赁事项情况</w:t>
      </w:r>
      <w:bookmarkEnd w:id="526"/>
      <w:bookmarkEnd w:id="527"/>
      <w:bookmarkEnd w:id="529"/>
    </w:p>
    <w:p>
      <w:pPr>
        <w:pStyle w:val="Style51"/>
        <w:keepNext/>
        <w:keepLines/>
        <w:widowControl w:val="0"/>
        <w:shd w:val="clear" w:color="auto" w:fill="auto"/>
        <w:tabs>
          <w:tab w:pos="493" w:val="left"/>
        </w:tabs>
        <w:bidi w:val="0"/>
        <w:spacing w:before="0" w:after="38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0"/>
      <w:bookmarkEnd w:id="531"/>
      <w:bookmarkEnd w:id="533"/>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公司报告期不存在托管情况。</w:t>
      </w:r>
    </w:p>
    <w:p>
      <w:pPr>
        <w:pStyle w:val="Style51"/>
        <w:keepNext/>
        <w:keepLines/>
        <w:widowControl w:val="0"/>
        <w:shd w:val="clear" w:color="auto" w:fill="auto"/>
        <w:tabs>
          <w:tab w:pos="493" w:val="left"/>
        </w:tabs>
        <w:bidi w:val="0"/>
        <w:spacing w:before="0" w:after="380" w:line="240" w:lineRule="auto"/>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w:t>
      </w:r>
      <w:bookmarkEnd w:id="53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4"/>
      <w:bookmarkEnd w:id="535"/>
      <w:bookmarkEnd w:id="537"/>
    </w:p>
    <w:p>
      <w:pPr>
        <w:pStyle w:val="Style24"/>
        <w:keepNext w:val="0"/>
        <w:keepLines w:val="0"/>
        <w:widowControl w:val="0"/>
        <w:numPr>
          <w:ilvl w:val="0"/>
          <w:numId w:val="9"/>
        </w:numPr>
        <w:shd w:val="clear" w:color="auto" w:fill="auto"/>
        <w:tabs>
          <w:tab w:pos="320" w:val="left"/>
        </w:tabs>
        <w:bidi w:val="0"/>
        <w:spacing w:before="0" w:after="140" w:line="240" w:lineRule="auto"/>
        <w:ind w:left="0" w:right="0" w:firstLine="0"/>
        <w:jc w:val="left"/>
        <w:rPr>
          <w:sz w:val="17"/>
          <w:szCs w:val="17"/>
        </w:rPr>
      </w:pPr>
      <w:bookmarkStart w:id="538" w:name="bookmark538"/>
      <w:bookmarkEnd w:id="538"/>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公司报告期不存在承包情况。</w:t>
      </w:r>
    </w:p>
    <w:p>
      <w:pPr>
        <w:pStyle w:val="Style51"/>
        <w:keepNext/>
        <w:keepLines/>
        <w:widowControl w:val="0"/>
        <w:shd w:val="clear" w:color="auto" w:fill="auto"/>
        <w:tabs>
          <w:tab w:pos="493" w:val="left"/>
        </w:tabs>
        <w:bidi w:val="0"/>
        <w:spacing w:before="0" w:after="38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39"/>
      <w:bookmarkEnd w:id="540"/>
      <w:bookmarkEnd w:id="542"/>
    </w:p>
    <w:p>
      <w:pPr>
        <w:pStyle w:val="Style24"/>
        <w:keepNext w:val="0"/>
        <w:keepLines w:val="0"/>
        <w:widowControl w:val="0"/>
        <w:numPr>
          <w:ilvl w:val="0"/>
          <w:numId w:val="9"/>
        </w:numPr>
        <w:shd w:val="clear" w:color="auto" w:fill="auto"/>
        <w:tabs>
          <w:tab w:pos="320" w:val="left"/>
        </w:tabs>
        <w:bidi w:val="0"/>
        <w:spacing w:before="0" w:after="140" w:line="240" w:lineRule="auto"/>
        <w:ind w:left="0" w:right="0" w:firstLine="0"/>
        <w:jc w:val="left"/>
        <w:rPr>
          <w:sz w:val="17"/>
          <w:szCs w:val="17"/>
        </w:rPr>
      </w:pPr>
      <w:bookmarkStart w:id="543" w:name="bookmark543"/>
      <w:bookmarkEnd w:id="543"/>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公司报告期不存在租赁情况。</w:t>
      </w:r>
      <w:r>
        <w:br w:type="page"/>
      </w:r>
    </w:p>
    <w:p>
      <w:pPr>
        <w:pStyle w:val="Style28"/>
        <w:keepNext/>
        <w:keepLines/>
        <w:widowControl w:val="0"/>
        <w:shd w:val="clear" w:color="auto" w:fill="auto"/>
        <w:bidi w:val="0"/>
        <w:spacing w:before="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、重大担保</w:t>
      </w:r>
      <w:bookmarkEnd w:id="544"/>
      <w:bookmarkEnd w:id="545"/>
      <w:bookmarkEnd w:id="547"/>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担保额度</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相关公告</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担保物（如</w:t>
            </w:r>
          </w:p>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反担保</w:t>
            </w:r>
          </w:p>
          <w:p>
            <w:pPr>
              <w:pStyle w:val="Style18"/>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情况</w:t>
            </w:r>
          </w:p>
          <w:p>
            <w:pPr>
              <w:pStyle w:val="Style18"/>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（如</w:t>
            </w:r>
          </w:p>
          <w:p>
            <w:pPr>
              <w:pStyle w:val="Style18"/>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是否为关</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33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担保额度</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相关公告</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担保物（如</w:t>
            </w:r>
          </w:p>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反担保</w:t>
            </w:r>
          </w:p>
          <w:p>
            <w:pPr>
              <w:pStyle w:val="Style18"/>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情况</w:t>
            </w:r>
          </w:p>
          <w:p>
            <w:pPr>
              <w:pStyle w:val="Style18"/>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（如</w:t>
            </w:r>
          </w:p>
          <w:p>
            <w:pPr>
              <w:pStyle w:val="Style18"/>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是否为关</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上海信联</w:t>
            </w:r>
          </w:p>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信息发展</w:t>
            </w:r>
          </w:p>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股份有限 公司、张曙 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165,000,00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28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上海信联</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信息发展</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股份有限</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公司、上海</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信联智谷</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信息科技</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有限公司、</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张曙华、庞</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一般保证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33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担保额度</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相关公告</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担保物（如</w:t>
            </w:r>
          </w:p>
          <w:p>
            <w:pPr>
              <w:pStyle w:val="Style18"/>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反担保</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情况</w:t>
            </w:r>
          </w:p>
          <w:p>
            <w:pPr>
              <w:pStyle w:val="Style18"/>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（如</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是否为关</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pStyle w:val="Style28"/>
        <w:keepNext/>
        <w:keepLines/>
        <w:widowControl w:val="0"/>
        <w:shd w:val="clear" w:color="auto" w:fill="auto"/>
        <w:tabs>
          <w:tab w:pos="378" w:val="left"/>
        </w:tabs>
        <w:bidi w:val="0"/>
        <w:spacing w:before="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委托他人进行现金资产管理情况</w:t>
      </w:r>
      <w:bookmarkEnd w:id="548"/>
      <w:bookmarkEnd w:id="549"/>
      <w:bookmarkEnd w:id="551"/>
    </w:p>
    <w:p>
      <w:pPr>
        <w:pStyle w:val="Style51"/>
        <w:keepNext/>
        <w:keepLines/>
        <w:widowControl w:val="0"/>
        <w:shd w:val="clear" w:color="auto" w:fill="auto"/>
        <w:tabs>
          <w:tab w:pos="493" w:val="left"/>
        </w:tabs>
        <w:bidi w:val="0"/>
        <w:spacing w:before="0" w:after="38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52"/>
      <w:bookmarkEnd w:id="553"/>
      <w:bookmarkEnd w:id="555"/>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公司报告期不存在委托理财。</w:t>
      </w:r>
    </w:p>
    <w:p>
      <w:pPr>
        <w:pStyle w:val="Style51"/>
        <w:keepNext/>
        <w:keepLines/>
        <w:widowControl w:val="0"/>
        <w:shd w:val="clear" w:color="auto" w:fill="auto"/>
        <w:tabs>
          <w:tab w:pos="493" w:val="left"/>
        </w:tabs>
        <w:bidi w:val="0"/>
        <w:spacing w:before="0" w:after="38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w:t>
      </w:r>
      <w:bookmarkEnd w:id="55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56"/>
      <w:bookmarkEnd w:id="557"/>
      <w:bookmarkEnd w:id="559"/>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公司报告期不存在委托贷款。</w:t>
      </w:r>
    </w:p>
    <w:p>
      <w:pPr>
        <w:pStyle w:val="Style28"/>
        <w:keepNext/>
        <w:keepLines/>
        <w:widowControl w:val="0"/>
        <w:shd w:val="clear" w:color="auto" w:fill="auto"/>
        <w:tabs>
          <w:tab w:pos="378" w:val="left"/>
        </w:tabs>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4</w:t>
      </w:r>
      <w:bookmarkEnd w:id="562"/>
      <w:r>
        <w:rPr>
          <w:color w:val="000000"/>
          <w:spacing w:val="0"/>
          <w:w w:val="100"/>
          <w:position w:val="0"/>
        </w:rPr>
        <w:t>、</w:t>
        <w:tab/>
        <w:t>其他重大合同</w:t>
      </w:r>
      <w:bookmarkEnd w:id="560"/>
      <w:bookmarkEnd w:id="561"/>
      <w:bookmarkEnd w:id="563"/>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公司报告期不存在其他重大合同。</w:t>
      </w:r>
    </w:p>
    <w:p>
      <w:pPr>
        <w:pStyle w:val="Style22"/>
        <w:keepNext/>
        <w:keepLines/>
        <w:widowControl w:val="0"/>
        <w:shd w:val="clear" w:color="auto" w:fill="auto"/>
        <w:bidi w:val="0"/>
        <w:spacing w:before="0" w:after="380" w:line="240" w:lineRule="auto"/>
        <w:ind w:left="0" w:right="0" w:firstLine="0"/>
        <w:jc w:val="left"/>
      </w:pPr>
      <w:bookmarkStart w:id="564" w:name="bookmark564"/>
      <w:bookmarkStart w:id="565" w:name="bookmark565"/>
      <w:bookmarkStart w:id="566" w:name="bookmark566"/>
      <w:r>
        <w:rPr>
          <w:color w:val="000000"/>
          <w:spacing w:val="0"/>
          <w:w w:val="100"/>
          <w:position w:val="0"/>
        </w:rPr>
        <w:t>十六、其他重大事项的说明</w:t>
      </w:r>
      <w:bookmarkEnd w:id="564"/>
      <w:bookmarkEnd w:id="565"/>
      <w:bookmarkEnd w:id="566"/>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公司报告期不存在需要说明的其他重大事项。</w:t>
      </w:r>
    </w:p>
    <w:p>
      <w:pPr>
        <w:pStyle w:val="Style22"/>
        <w:keepNext/>
        <w:keepLines/>
        <w:widowControl w:val="0"/>
        <w:shd w:val="clear" w:color="auto" w:fill="auto"/>
        <w:bidi w:val="0"/>
        <w:spacing w:before="0" w:after="380" w:line="240" w:lineRule="auto"/>
        <w:ind w:left="0" w:right="0" w:firstLine="0"/>
        <w:jc w:val="left"/>
      </w:pPr>
      <w:bookmarkStart w:id="567" w:name="bookmark567"/>
      <w:bookmarkStart w:id="568" w:name="bookmark568"/>
      <w:bookmarkStart w:id="569" w:name="bookmark569"/>
      <w:r>
        <w:rPr>
          <w:color w:val="000000"/>
          <w:spacing w:val="0"/>
          <w:w w:val="100"/>
          <w:position w:val="0"/>
        </w:rPr>
        <w:t>十七、公司子公司重大事项</w:t>
      </w:r>
      <w:bookmarkEnd w:id="567"/>
      <w:bookmarkEnd w:id="568"/>
      <w:bookmarkEnd w:id="569"/>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r>
        <w:br w:type="page"/>
      </w:r>
    </w:p>
    <w:p>
      <w:pPr>
        <w:pStyle w:val="Style10"/>
        <w:keepNext/>
        <w:keepLines/>
        <w:widowControl w:val="0"/>
        <w:shd w:val="clear" w:color="auto" w:fill="auto"/>
        <w:bidi w:val="0"/>
        <w:spacing w:before="0" w:line="240" w:lineRule="auto"/>
        <w:ind w:left="0" w:right="0" w:firstLine="0"/>
        <w:jc w:val="center"/>
      </w:pPr>
      <w:bookmarkStart w:id="570" w:name="bookmark570"/>
      <w:bookmarkStart w:id="571" w:name="bookmark571"/>
      <w:bookmarkStart w:id="572" w:name="bookmark572"/>
      <w:r>
        <w:rPr>
          <w:color w:val="000000"/>
          <w:spacing w:val="0"/>
          <w:w w:val="100"/>
          <w:position w:val="0"/>
        </w:rPr>
        <w:t>第七节股份变动及股东情况</w:t>
      </w:r>
      <w:bookmarkEnd w:id="570"/>
      <w:bookmarkEnd w:id="571"/>
      <w:bookmarkEnd w:id="572"/>
    </w:p>
    <w:p>
      <w:pPr>
        <w:pStyle w:val="Style22"/>
        <w:keepNext/>
        <w:keepLines/>
        <w:widowControl w:val="0"/>
        <w:shd w:val="clear" w:color="auto" w:fill="auto"/>
        <w:bidi w:val="0"/>
        <w:spacing w:before="0" w:after="380" w:line="240" w:lineRule="auto"/>
        <w:ind w:left="0" w:right="0" w:firstLine="0"/>
        <w:jc w:val="left"/>
      </w:pPr>
      <w:bookmarkStart w:id="573" w:name="bookmark573"/>
      <w:bookmarkStart w:id="574" w:name="bookmark574"/>
      <w:bookmarkStart w:id="575" w:name="bookmark575"/>
      <w:bookmarkStart w:id="576" w:name="bookmark576"/>
      <w:bookmarkStart w:id="577" w:name="bookmark577"/>
      <w:r>
        <w:rPr>
          <w:color w:val="000000"/>
          <w:spacing w:val="0"/>
          <w:w w:val="100"/>
          <w:position w:val="0"/>
        </w:rPr>
        <w:t>一</w:t>
      </w:r>
      <w:bookmarkEnd w:id="576"/>
      <w:r>
        <w:rPr>
          <w:color w:val="000000"/>
          <w:spacing w:val="0"/>
          <w:w w:val="100"/>
          <w:position w:val="0"/>
        </w:rPr>
        <w:t>、股份变动情况</w:t>
      </w:r>
      <w:bookmarkEnd w:id="574"/>
      <w:bookmarkEnd w:id="575"/>
      <w:bookmarkEnd w:id="577"/>
      <w:bookmarkEnd w:id="573"/>
    </w:p>
    <w:p>
      <w:pPr>
        <w:pStyle w:val="Style28"/>
        <w:keepNext/>
        <w:keepLines/>
        <w:widowControl w:val="0"/>
        <w:shd w:val="clear" w:color="auto" w:fill="auto"/>
        <w:bidi w:val="0"/>
        <w:spacing w:before="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、股份变动情况</w:t>
      </w:r>
      <w:bookmarkEnd w:id="578"/>
      <w:bookmarkEnd w:id="579"/>
      <w:bookmarkEnd w:id="581"/>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32,229,91</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-11,945,3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-11,945,3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20,284,51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32,229,91</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-11,945,3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-11,945,3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20,284,51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32,229,91</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172,905,4</w:t>
            </w:r>
          </w:p>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11,945,39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11,945,39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184,850,8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172,905,4</w:t>
            </w:r>
          </w:p>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11,945,39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11,945,39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184,850,8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205,135,3</w:t>
            </w:r>
          </w:p>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205,135,3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股份变动的原因</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股份变动的批准情况</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股份变动的过户情况</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公司认为必要或证券监管机构要求披露的其他内容</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8"/>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、限售股份变动情况</w:t>
      </w:r>
      <w:bookmarkEnd w:id="582"/>
      <w:bookmarkEnd w:id="583"/>
      <w:bookmarkEnd w:id="585"/>
    </w:p>
    <w:p>
      <w:pPr>
        <w:pStyle w:val="Style24"/>
        <w:keepNext w:val="0"/>
        <w:keepLines w:val="0"/>
        <w:widowControl w:val="0"/>
        <w:shd w:val="clear" w:color="auto" w:fill="auto"/>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拟解除限售日 期</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27,015,359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6,743,850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20,271,509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每年第一个交 易日解锁</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直到高挂锁定 期止</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杨安荣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2,450,789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2,450,789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已解除限售</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刘理洲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1,504,785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1,504,785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已解除限售</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李志卿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1,178,313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1,178,313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已解除限售</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张元利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已解除限售</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已解除限售</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徐云蔚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每年第一个交 易日解锁</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直到高挂锁定 期止</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易江南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每年第一个交 易日解锁</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直到高挂锁定 期止</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32,229,916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11,945,397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20,284,519</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both"/>
      </w:pPr>
      <w:bookmarkStart w:id="586" w:name="bookmark586"/>
      <w:bookmarkStart w:id="587" w:name="bookmark587"/>
      <w:bookmarkStart w:id="588" w:name="bookmark588"/>
      <w:bookmarkStart w:id="589" w:name="bookmark589"/>
      <w:r>
        <w:rPr>
          <w:color w:val="000000"/>
          <w:spacing w:val="0"/>
          <w:w w:val="100"/>
          <w:position w:val="0"/>
        </w:rPr>
        <w:t>二</w:t>
      </w:r>
      <w:bookmarkEnd w:id="588"/>
      <w:r>
        <w:rPr>
          <w:color w:val="000000"/>
          <w:spacing w:val="0"/>
          <w:w w:val="100"/>
          <w:position w:val="0"/>
        </w:rPr>
        <w:t>、证券发行与上市情况</w:t>
      </w:r>
      <w:bookmarkEnd w:id="586"/>
      <w:bookmarkEnd w:id="587"/>
      <w:bookmarkEnd w:id="589"/>
    </w:p>
    <w:p>
      <w:pPr>
        <w:pStyle w:val="Style28"/>
        <w:keepNext/>
        <w:keepLines/>
        <w:widowControl w:val="0"/>
        <w:shd w:val="clear" w:color="auto" w:fill="auto"/>
        <w:tabs>
          <w:tab w:pos="368" w:val="left"/>
        </w:tabs>
        <w:bidi w:val="0"/>
        <w:spacing w:before="0" w:line="240" w:lineRule="auto"/>
        <w:ind w:left="0" w:right="0" w:firstLine="0"/>
        <w:jc w:val="both"/>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w:t>
        <w:tab/>
        <w:t>报告期内证券发行（不含优先股）情况</w:t>
      </w:r>
      <w:bookmarkEnd w:id="590"/>
      <w:bookmarkEnd w:id="591"/>
      <w:bookmarkEnd w:id="593"/>
    </w:p>
    <w:p>
      <w:pPr>
        <w:pStyle w:val="Style24"/>
        <w:keepNext w:val="0"/>
        <w:keepLines w:val="0"/>
        <w:widowControl w:val="0"/>
        <w:numPr>
          <w:ilvl w:val="0"/>
          <w:numId w:val="9"/>
        </w:numPr>
        <w:shd w:val="clear" w:color="auto" w:fill="auto"/>
        <w:tabs>
          <w:tab w:pos="282" w:val="left"/>
        </w:tabs>
        <w:bidi w:val="0"/>
        <w:spacing w:before="0" w:after="380" w:line="240" w:lineRule="auto"/>
        <w:ind w:left="0" w:right="0" w:firstLine="0"/>
        <w:jc w:val="both"/>
        <w:rPr>
          <w:sz w:val="17"/>
          <w:szCs w:val="17"/>
        </w:rPr>
      </w:pPr>
      <w:bookmarkStart w:id="594" w:name="bookmark594"/>
      <w:bookmarkEnd w:id="594"/>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2</w:t>
      </w:r>
      <w:bookmarkEnd w:id="597"/>
      <w:r>
        <w:rPr>
          <w:color w:val="000000"/>
          <w:spacing w:val="0"/>
          <w:w w:val="100"/>
          <w:position w:val="0"/>
        </w:rPr>
        <w:t>、</w:t>
        <w:tab/>
        <w:t>公司股份总数及股东结构的变动、公司资产和负债结构的变动情况说明</w:t>
      </w:r>
      <w:bookmarkEnd w:id="595"/>
      <w:bookmarkEnd w:id="596"/>
      <w:bookmarkEnd w:id="598"/>
    </w:p>
    <w:p>
      <w:pPr>
        <w:pStyle w:val="Style24"/>
        <w:keepNext w:val="0"/>
        <w:keepLines w:val="0"/>
        <w:widowControl w:val="0"/>
        <w:numPr>
          <w:ilvl w:val="0"/>
          <w:numId w:val="9"/>
        </w:numPr>
        <w:shd w:val="clear" w:color="auto" w:fill="auto"/>
        <w:tabs>
          <w:tab w:pos="282" w:val="left"/>
        </w:tabs>
        <w:bidi w:val="0"/>
        <w:spacing w:before="0" w:after="340" w:line="240" w:lineRule="auto"/>
        <w:ind w:left="0" w:right="0" w:firstLine="0"/>
        <w:jc w:val="both"/>
        <w:rPr>
          <w:sz w:val="17"/>
          <w:szCs w:val="17"/>
        </w:rPr>
      </w:pPr>
      <w:bookmarkStart w:id="599" w:name="bookmark599"/>
      <w:bookmarkEnd w:id="599"/>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r>
        <w:br w:type="page"/>
      </w:r>
    </w:p>
    <w:p>
      <w:pPr>
        <w:pStyle w:val="Style28"/>
        <w:keepNext/>
        <w:keepLines/>
        <w:widowControl w:val="0"/>
        <w:shd w:val="clear" w:color="auto" w:fill="auto"/>
        <w:bidi w:val="0"/>
        <w:spacing w:before="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3</w:t>
      </w:r>
      <w:bookmarkEnd w:id="602"/>
      <w:r>
        <w:rPr>
          <w:color w:val="000000"/>
          <w:spacing w:val="0"/>
          <w:w w:val="100"/>
          <w:position w:val="0"/>
        </w:rPr>
        <w:t>、现存的内部职工股情况</w:t>
      </w:r>
      <w:bookmarkEnd w:id="600"/>
      <w:bookmarkEnd w:id="601"/>
      <w:bookmarkEnd w:id="603"/>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bidi w:val="0"/>
        <w:spacing w:before="0" w:after="38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三</w:t>
      </w:r>
      <w:bookmarkEnd w:id="606"/>
      <w:r>
        <w:rPr>
          <w:color w:val="000000"/>
          <w:spacing w:val="0"/>
          <w:w w:val="100"/>
          <w:position w:val="0"/>
        </w:rPr>
        <w:t>、股东和实际控制人情况</w:t>
      </w:r>
      <w:bookmarkEnd w:id="604"/>
      <w:bookmarkEnd w:id="605"/>
      <w:bookmarkEnd w:id="607"/>
    </w:p>
    <w:p>
      <w:pPr>
        <w:pStyle w:val="Style28"/>
        <w:keepNext/>
        <w:keepLines/>
        <w:widowControl w:val="0"/>
        <w:shd w:val="clear" w:color="auto" w:fill="auto"/>
        <w:bidi w:val="0"/>
        <w:spacing w:before="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、公司股东数量及持股情况</w:t>
      </w:r>
      <w:bookmarkEnd w:id="608"/>
      <w:bookmarkEnd w:id="609"/>
      <w:bookmarkEnd w:id="611"/>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989"/>
        <w:gridCol w:w="979"/>
        <w:gridCol w:w="763"/>
        <w:gridCol w:w="869"/>
        <w:gridCol w:w="869"/>
        <w:gridCol w:w="869"/>
        <w:gridCol w:w="758"/>
        <w:gridCol w:w="878"/>
        <w:gridCol w:w="864"/>
        <w:gridCol w:w="869"/>
        <w:gridCol w:w="874"/>
      </w:tblGrid>
      <w:tr>
        <w:trPr>
          <w:trHeight w:val="228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报告期末普</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通股股东总</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13,970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年度报 告披露 日前上 一月末 普通股 股东总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20,125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 表决权恢 复的优先</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股股东总 数（如有）</w:t>
            </w:r>
          </w:p>
          <w:p>
            <w:pPr>
              <w:pStyle w:val="Style18"/>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（参见注</w:t>
            </w:r>
          </w:p>
          <w:p>
            <w:pPr>
              <w:pStyle w:val="Style18"/>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持有特别 表决权股 份的股东 总数（如 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增减变动</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持有无 限售条 件的股 份数量</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上海中信电</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子发展有限</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27,394,345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-20,042,99</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27,394,3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22,688,679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20,271,509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2,417,17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18,971,000</w:t>
            </w:r>
          </w:p>
        </w:tc>
      </w:tr>
      <w:tr>
        <w:trPr>
          <w:trHeight w:val="28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交通运输通 信信息集团 上海股权投 资基金管理 有限公司一</w:t>
            </w:r>
          </w:p>
          <w:p>
            <w:pPr>
              <w:pStyle w:val="Style18"/>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交信北斗</w:t>
            </w:r>
          </w:p>
          <w:p>
            <w:pPr>
              <w:pStyle w:val="Style18"/>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（嘉兴）股 权投资有限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19,692,999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19,692,999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19,692,9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福建胜奇投</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7,003,606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7,003,606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7,003,60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闽侯快马投</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资合伙企业</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（普通合</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3,890,044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3,890,044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3,890,04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浙江永安资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9"/>
        <w:gridCol w:w="979"/>
        <w:gridCol w:w="763"/>
        <w:gridCol w:w="869"/>
        <w:gridCol w:w="869"/>
        <w:gridCol w:w="869"/>
        <w:gridCol w:w="758"/>
        <w:gridCol w:w="1742"/>
        <w:gridCol w:w="1742"/>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本管理有限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杨安荣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2,000,78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1,603,706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1,603,706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1,603,70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刘理洲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1,499,785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1,499,78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王木胜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1,474,792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1,474,79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339"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上述股东关联关系或一 致行动的说明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除上海中信电子发展有限公司和张曙华属一致行动人，福建胜奇投资有限公司和闽侯快马投资合 伙企业（普通合伙）属一致行动人以外。公司未曾知悉前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名无限售流通股股东之间，以及前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名股东之间存在关联关系或属于《上市公司股东持股变动信息披 露管理办法》规定的一致行动人。</w:t>
            </w:r>
          </w:p>
        </w:tc>
      </w:tr>
      <w:tr>
        <w:trPr>
          <w:trHeight w:val="1027"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 表决权、放弃表决权情况 的说明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中信电子将其所持有的信息发展</w:t>
            </w:r>
            <w:r>
              <w:rPr>
                <w:rFonts w:ascii="Times New Roman" w:eastAsia="Times New Roman" w:hAnsi="Times New Roman" w:cs="Times New Roman"/>
                <w:color w:val="000000"/>
                <w:spacing w:val="0"/>
                <w:w w:val="100"/>
                <w:position w:val="0"/>
                <w:sz w:val="18"/>
                <w:szCs w:val="18"/>
              </w:rPr>
              <w:t>27,394,345</w:t>
            </w:r>
            <w:r>
              <w:rPr>
                <w:color w:val="000000"/>
                <w:spacing w:val="0"/>
                <w:w w:val="100"/>
                <w:position w:val="0"/>
                <w:sz w:val="17"/>
                <w:szCs w:val="17"/>
              </w:rPr>
              <w:t>股股份所对应的股东表决权委托给交信北斗行使。</w:t>
            </w:r>
          </w:p>
        </w:tc>
      </w:tr>
      <w:tr>
        <w:trPr>
          <w:trHeight w:val="1022"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上海中信电子发展有限 公司</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27,394,345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27,394,345</w:t>
            </w:r>
          </w:p>
        </w:tc>
      </w:tr>
      <w:tr>
        <w:trPr>
          <w:trHeight w:val="1339"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交通运输通信信息集团 上海股权投资基金管理 有限公司一交信北斗（嘉 兴）股权投资有限公司</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19,692,999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19,692,999</w:t>
            </w: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福建胜奇投资有限公司</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7,003,606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7,003,606</w:t>
            </w: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闽侯快马投资合伙企业</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（普通合伙）</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3,890,044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3,890,044</w:t>
            </w:r>
          </w:p>
        </w:tc>
      </w:tr>
      <w:tr>
        <w:trPr>
          <w:trHeight w:val="71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浙江永安资本管理有限 公司</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2,690,000</w:t>
            </w:r>
          </w:p>
        </w:tc>
      </w:tr>
      <w:tr>
        <w:trPr>
          <w:trHeight w:val="413"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gridSpan w:val="5"/>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2,417,170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2,417,170</w:t>
            </w:r>
          </w:p>
        </w:tc>
      </w:tr>
    </w:tbl>
    <w:p>
      <w:pPr>
        <w:spacing w:lineRule="exact" w:line="1"/>
        <w:rPr>
          <w:sz w:val="2"/>
          <w:szCs w:val="2"/>
        </w:rPr>
      </w:pPr>
      <w:r>
        <w:br w:type="page"/>
      </w:r>
    </w:p>
    <w:tbl>
      <w:tblPr>
        <w:tblOverlap w:val="never"/>
        <w:jc w:val="center"/>
        <w:tblLayout w:type="fixed"/>
      </w:tblPr>
      <w:tblGrid>
        <w:gridCol w:w="1968"/>
        <w:gridCol w:w="4128"/>
        <w:gridCol w:w="1742"/>
        <w:gridCol w:w="1742"/>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杨安荣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2,000,789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1,603,706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刘理洲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1,499,785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王木胜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1,474,792</w:t>
            </w:r>
          </w:p>
        </w:tc>
      </w:tr>
      <w:tr>
        <w:trPr>
          <w:trHeight w:val="165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名股东之间关联关系或 一致行动的说明</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除上海中信电子发展有限公司和张曙华属一致行动人，福建胜奇投资有限公司和闽侯快马投资合 伙企业（普通合伙）属一致行动人以外。公司未曾知悉前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名无限售流通股股东之间，以及前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名股东之间存在关联关系或属于《上市公司股东持股变动信息披 露管理办法》规定的一致行动人。</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参与融资融券业务股东</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情况说明（如有）（参见</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上海中信电子发展有限公司通过投资者信用证券账户持有</w:t>
            </w:r>
            <w:r>
              <w:rPr>
                <w:rFonts w:ascii="Times New Roman" w:eastAsia="Times New Roman" w:hAnsi="Times New Roman" w:cs="Times New Roman"/>
                <w:color w:val="000000"/>
                <w:spacing w:val="0"/>
                <w:w w:val="100"/>
                <w:position w:val="0"/>
                <w:sz w:val="18"/>
                <w:szCs w:val="18"/>
              </w:rPr>
              <w:t>23,400,000</w:t>
            </w:r>
            <w:r>
              <w:rPr>
                <w:color w:val="000000"/>
                <w:spacing w:val="0"/>
                <w:w w:val="100"/>
                <w:position w:val="0"/>
                <w:sz w:val="17"/>
                <w:szCs w:val="17"/>
              </w:rPr>
              <w:t>股；浙江永安资本管理有限 公司通过投资者信用证券账户持有</w:t>
            </w:r>
            <w:r>
              <w:rPr>
                <w:rFonts w:ascii="Times New Roman" w:eastAsia="Times New Roman" w:hAnsi="Times New Roman" w:cs="Times New Roman"/>
                <w:color w:val="000000"/>
                <w:spacing w:val="0"/>
                <w:w w:val="100"/>
                <w:position w:val="0"/>
                <w:sz w:val="18"/>
                <w:szCs w:val="18"/>
              </w:rPr>
              <w:t>2,690,000</w:t>
            </w:r>
            <w:r>
              <w:rPr>
                <w:color w:val="000000"/>
                <w:spacing w:val="0"/>
                <w:w w:val="100"/>
                <w:position w:val="0"/>
                <w:sz w:val="17"/>
                <w:szCs w:val="17"/>
              </w:rPr>
              <w:t>股；王木胜通过投资者信用证券账户持有</w:t>
            </w:r>
            <w:r>
              <w:rPr>
                <w:rFonts w:ascii="Times New Roman" w:eastAsia="Times New Roman" w:hAnsi="Times New Roman" w:cs="Times New Roman"/>
                <w:color w:val="000000"/>
                <w:spacing w:val="0"/>
                <w:w w:val="100"/>
                <w:position w:val="0"/>
                <w:sz w:val="18"/>
                <w:szCs w:val="18"/>
              </w:rPr>
              <w:t>62,450</w:t>
            </w:r>
            <w:r>
              <w:rPr>
                <w:color w:val="000000"/>
                <w:spacing w:val="0"/>
                <w:w w:val="100"/>
                <w:position w:val="0"/>
                <w:sz w:val="17"/>
                <w:szCs w:val="17"/>
              </w:rPr>
              <w:t>股。</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公司是否具有表决权差异安排</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名无限售条件普通股股东在报告期内是否进行约定购回交易</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名无限售条件普通股股东在报告期内未进行约定购回交易。</w:t>
      </w:r>
    </w:p>
    <w:p>
      <w:pPr>
        <w:pStyle w:val="Style28"/>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、公司控股股东情况</w:t>
      </w:r>
      <w:bookmarkEnd w:id="612"/>
      <w:bookmarkEnd w:id="613"/>
      <w:bookmarkEnd w:id="615"/>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控股股东性质：控股主体性质不明确</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控股股东类型：法人</w:t>
      </w:r>
    </w:p>
    <w:tbl>
      <w:tblPr>
        <w:tblOverlap w:val="never"/>
        <w:jc w:val="center"/>
        <w:tblLayout w:type="fixed"/>
      </w:tblPr>
      <w:tblGrid>
        <w:gridCol w:w="2203"/>
        <w:gridCol w:w="1790"/>
        <w:gridCol w:w="1594"/>
        <w:gridCol w:w="1757"/>
        <w:gridCol w:w="2237"/>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交通运输通信信息集团上 海股权投资基金管理有限 公司一交信北斗（嘉兴）股 权投资有限公司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91330402MA2JFEGH</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一般项目：股权投资（除依 法须经批准的项目外，凭营 业执照依法自主开展经营活 动）。</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控股股东报告期内变更</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新控股股东名称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交通运输通信信息集团上海股权投资基金管理有限公司一交 信北斗（嘉兴）股权投资有限公司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指定网站查询索引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指定网站披露日期</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3</w:t>
      </w:r>
      <w:bookmarkEnd w:id="618"/>
      <w:r>
        <w:rPr>
          <w:color w:val="000000"/>
          <w:spacing w:val="0"/>
          <w:w w:val="100"/>
          <w:position w:val="0"/>
        </w:rPr>
        <w:t>、公司实际控制人及其一致行动人</w:t>
      </w:r>
      <w:bookmarkEnd w:id="616"/>
      <w:bookmarkEnd w:id="617"/>
      <w:bookmarkEnd w:id="619"/>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实际控制人性质：境内其他机构</w:t>
      </w:r>
    </w:p>
    <w:p>
      <w:pPr>
        <w:pStyle w:val="Style24"/>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实际控制人类型：法人</w:t>
      </w:r>
    </w:p>
    <w:tbl>
      <w:tblPr>
        <w:tblOverlap w:val="never"/>
        <w:jc w:val="center"/>
        <w:tblLayout w:type="fixed"/>
      </w:tblPr>
      <w:tblGrid>
        <w:gridCol w:w="2203"/>
        <w:gridCol w:w="1790"/>
        <w:gridCol w:w="1435"/>
        <w:gridCol w:w="1594"/>
        <w:gridCol w:w="255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72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交通运输通信信息集团有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徐鹏展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1994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91110108102050746</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第一类基础电信业务中的卫星 移动通信业务、卫星固定通信业 务（全国）（基础电信业务经营 许可证有效期至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日）；国内甚小口径终端 地球站通信业务（全国）、互联 网数据中心业务（不含互联网 资源协作服务）（机房所在地为 北京、上海）、互联网接入服务 业务（北京、上海）、信息服务 业务（不含互联网信息服务）</w:t>
            </w:r>
          </w:p>
          <w:p>
            <w:pPr>
              <w:pStyle w:val="Style18"/>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（全国）（增值电信业务经营许 可证有效期至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日）；技术开发、技术转让、 技术咨询、技术服务；销售通 讯设备；应用软件服务；基础软 件服务；维修仪器仪表。（企业 依法自主选择经营项目，开展经 营活动；依法须经批准的项目， 经相关部门批准后依批准的内 容开展经营活动；不得从事本 市产业政策禁止和限制类项目 的经营活动。）</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实际控制人报告期内变更</w:t>
      </w:r>
    </w:p>
    <w:p>
      <w:pPr>
        <w:pStyle w:val="Style24"/>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原实际控制人名称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新实际控制人名称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交通运输通信信息集团有限公司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变更日期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指定网站查询索引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指定网站披露日期</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r>
        <w:br w:type="page"/>
      </w:r>
    </w:p>
    <w:tbl>
      <w:tblPr>
        <w:tblOverlap w:val="never"/>
        <w:jc w:val="center"/>
        <w:tblLayout w:type="fixed"/>
      </w:tblPr>
      <w:tblGrid>
        <w:gridCol w:w="1320"/>
        <w:gridCol w:w="451"/>
        <w:gridCol w:w="648"/>
      </w:tblGrid>
      <w:tr>
        <w:trPr>
          <w:trHeight w:val="3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SimHei" w:eastAsia="SimHei" w:hAnsi="SimHei" w:cs="SimHei"/>
                <w:color w:val="7D7D7D"/>
                <w:spacing w:val="0"/>
                <w:w w:val="100"/>
                <w:position w:val="0"/>
                <w:sz w:val="9"/>
                <w:szCs w:val="9"/>
              </w:rPr>
              <w:t>实际控制人</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SimHei" w:eastAsia="SimHei" w:hAnsi="SimHei" w:cs="SimHei"/>
                <w:color w:val="979797"/>
                <w:spacing w:val="0"/>
                <w:w w:val="100"/>
                <w:position w:val="0"/>
                <w:sz w:val="8"/>
                <w:szCs w:val="8"/>
              </w:rPr>
              <w:t>■mtnua-K；</w:t>
            </w:r>
          </w:p>
        </w:tc>
        <w:tc>
          <w:tcPr>
            <w:tcBorders>
              <w:top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color w:val="979797"/>
                <w:spacing w:val="0"/>
                <w:w w:val="100"/>
                <w:position w:val="0"/>
                <w:sz w:val="9"/>
                <w:szCs w:val="9"/>
              </w:rPr>
              <w:t>■anfisoas</w:t>
            </w:r>
          </w:p>
        </w:tc>
        <w:tc>
          <w:tcPr>
            <w:tcBorders>
              <w:top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9"/>
                <w:szCs w:val="9"/>
              </w:rPr>
            </w:pPr>
            <w:r>
              <w:rPr>
                <w:rFonts w:ascii="SimHei" w:eastAsia="SimHei" w:hAnsi="SimHei" w:cs="SimHei"/>
                <w:color w:val="7D7D7D"/>
                <w:spacing w:val="0"/>
                <w:w w:val="100"/>
                <w:position w:val="0"/>
                <w:sz w:val="9"/>
                <w:szCs w:val="9"/>
              </w:rPr>
              <w:t>割械东</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0"/>
                <w:szCs w:val="10"/>
              </w:rPr>
            </w:pPr>
            <w:r>
              <w:rPr>
                <w:rFonts w:ascii="Arial" w:eastAsia="Arial" w:hAnsi="Arial" w:cs="Arial"/>
                <w:color w:val="000000"/>
                <w:spacing w:val="0"/>
                <w:w w:val="100"/>
                <w:position w:val="0"/>
                <w:sz w:val="10"/>
                <w:szCs w:val="10"/>
              </w:rPr>
              <w:t xml:space="preserve">1 </w:t>
            </w:r>
            <w:r>
              <w:rPr>
                <w:rFonts w:ascii="Arial" w:eastAsia="Arial" w:hAnsi="Arial" w:cs="Arial"/>
                <w:color w:val="000000"/>
                <w:spacing w:val="0"/>
                <w:w w:val="100"/>
                <w:position w:val="0"/>
                <w:sz w:val="10"/>
                <w:szCs w:val="10"/>
              </w:rPr>
              <w:t>n-W</w:t>
            </w:r>
          </w:p>
        </w:tc>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SimHei" w:eastAsia="SimHei" w:hAnsi="SimHei" w:cs="SimHei"/>
                <w:color w:val="979797"/>
                <w:spacing w:val="0"/>
                <w:w w:val="100"/>
                <w:position w:val="0"/>
                <w:sz w:val="8"/>
                <w:szCs w:val="8"/>
              </w:rPr>
              <w:t>上</w:t>
            </w:r>
            <w:r>
              <w:rPr>
                <w:rFonts w:ascii="Arial" w:eastAsia="Arial" w:hAnsi="Arial" w:cs="Arial"/>
                <w:color w:val="979797"/>
                <w:spacing w:val="0"/>
                <w:w w:val="100"/>
                <w:position w:val="0"/>
                <w:sz w:val="9"/>
                <w:szCs w:val="9"/>
              </w:rPr>
              <w:t>w</w:t>
            </w:r>
            <w:r>
              <w:rPr>
                <w:rFonts w:ascii="SimHei" w:eastAsia="SimHei" w:hAnsi="SimHei" w:cs="SimHei"/>
                <w:color w:val="979797"/>
                <w:spacing w:val="0"/>
                <w:w w:val="100"/>
                <w:position w:val="0"/>
                <w:sz w:val="8"/>
                <w:szCs w:val="8"/>
              </w:rPr>
              <w:t>也皿夜</w:t>
            </w: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实际控制人通过信托或其他资产管理方式控制公司</w:t>
      </w:r>
    </w:p>
    <w:p>
      <w:pPr>
        <w:pStyle w:val="Style24"/>
        <w:keepNext w:val="0"/>
        <w:keepLines w:val="0"/>
        <w:widowControl w:val="0"/>
        <w:shd w:val="clear" w:color="auto" w:fill="auto"/>
        <w:bidi w:val="0"/>
        <w:spacing w:before="0" w:after="3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8"/>
        <w:keepNext/>
        <w:keepLines/>
        <w:widowControl w:val="0"/>
        <w:shd w:val="clear" w:color="auto" w:fill="auto"/>
        <w:bidi w:val="0"/>
        <w:spacing w:before="0" w:after="36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4</w:t>
      </w:r>
      <w:bookmarkEnd w:id="622"/>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0"/>
      <w:bookmarkEnd w:id="621"/>
      <w:bookmarkEnd w:id="623"/>
    </w:p>
    <w:p>
      <w:pPr>
        <w:pStyle w:val="Style24"/>
        <w:keepNext w:val="0"/>
        <w:keepLines w:val="0"/>
        <w:widowControl w:val="0"/>
        <w:shd w:val="clear" w:color="auto" w:fill="auto"/>
        <w:bidi w:val="0"/>
        <w:spacing w:before="0" w:after="3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8"/>
        <w:keepNext/>
        <w:keepLines/>
        <w:widowControl w:val="0"/>
        <w:shd w:val="clear" w:color="auto" w:fill="auto"/>
        <w:bidi w:val="0"/>
        <w:spacing w:before="0" w:after="36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5</w:t>
      </w:r>
      <w:bookmarkEnd w:id="626"/>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4"/>
      <w:bookmarkEnd w:id="625"/>
      <w:bookmarkEnd w:id="627"/>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82"/>
        <w:gridCol w:w="1819"/>
        <w:gridCol w:w="1411"/>
        <w:gridCol w:w="1637"/>
        <w:gridCol w:w="2131"/>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主要经营业务或管理活动</w:t>
            </w:r>
          </w:p>
        </w:tc>
      </w:tr>
      <w:tr>
        <w:trPr>
          <w:trHeight w:val="352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上海中信电子发展有限公司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商务咨询、企业管理咨询， 科学信息咨询（不得从事 经纪），计算机软硬件、系 统集成，网络工程，电子、 信息科技领域内的技术开 发、技术转让、技术咨询、 技术服务，计算机软硬件、 网络工程设备的销售，数 据处理。【依法须经批准的 项目，经相关部门批准后 方可开展经营活动】</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6</w:t>
      </w:r>
      <w:bookmarkEnd w:id="630"/>
      <w:r>
        <w:rPr>
          <w:color w:val="000000"/>
          <w:spacing w:val="0"/>
          <w:w w:val="100"/>
          <w:position w:val="0"/>
        </w:rPr>
        <w:t>、控股股东、实际控制人、重组方及其他承诺主体股份限制减持情况</w:t>
      </w:r>
      <w:bookmarkEnd w:id="628"/>
      <w:bookmarkEnd w:id="629"/>
      <w:bookmarkEnd w:id="631"/>
    </w:p>
    <w:p>
      <w:pPr>
        <w:pStyle w:val="Style24"/>
        <w:keepNext w:val="0"/>
        <w:keepLines w:val="0"/>
        <w:widowControl w:val="0"/>
        <w:shd w:val="clear" w:color="auto" w:fill="auto"/>
        <w:bidi w:val="0"/>
        <w:spacing w:before="0" w:after="3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2"/>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四</w:t>
      </w:r>
      <w:bookmarkEnd w:id="634"/>
      <w:r>
        <w:rPr>
          <w:color w:val="000000"/>
          <w:spacing w:val="0"/>
          <w:w w:val="100"/>
          <w:position w:val="0"/>
        </w:rPr>
        <w:t>、股份回购在报告期的具体实施情况</w:t>
      </w:r>
      <w:bookmarkEnd w:id="632"/>
      <w:bookmarkEnd w:id="633"/>
      <w:bookmarkEnd w:id="635"/>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股份回购的实施进展情况</w:t>
      </w:r>
    </w:p>
    <w:p>
      <w:pPr>
        <w:pStyle w:val="Style24"/>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不适用</w:t>
      </w:r>
    </w:p>
    <w:tbl>
      <w:tblPr>
        <w:tblOverlap w:val="never"/>
        <w:jc w:val="center"/>
        <w:tblLayout w:type="fixed"/>
      </w:tblPr>
      <w:tblGrid>
        <w:gridCol w:w="1205"/>
        <w:gridCol w:w="1200"/>
        <w:gridCol w:w="1195"/>
        <w:gridCol w:w="1195"/>
        <w:gridCol w:w="1190"/>
        <w:gridCol w:w="1195"/>
        <w:gridCol w:w="1195"/>
        <w:gridCol w:w="1205"/>
      </w:tblGrid>
      <w:tr>
        <w:trPr>
          <w:trHeight w:val="131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方案披露时间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拟回购股份数</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占总股本的比 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拟回购金额</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拟回购期间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回购用途</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已回购数量</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已回购数量占</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股权激励计划</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所涉及的标的</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股票的比例</w:t>
            </w:r>
          </w:p>
        </w:tc>
      </w:tr>
    </w:tbl>
    <w:tbl>
      <w:tblPr>
        <w:tblOverlap w:val="never"/>
        <w:jc w:val="center"/>
        <w:tblLayout w:type="fixed"/>
      </w:tblPr>
      <w:tblGrid>
        <w:gridCol w:w="1205"/>
        <w:gridCol w:w="1200"/>
        <w:gridCol w:w="1195"/>
        <w:gridCol w:w="1195"/>
        <w:gridCol w:w="1190"/>
        <w:gridCol w:w="1195"/>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（如有）</w:t>
            </w:r>
          </w:p>
        </w:tc>
      </w:tr>
      <w:tr>
        <w:trPr>
          <w:trHeight w:val="322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回购资金总额 不超过（含） 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 xml:space="preserve">万 元，且不低于 （含）人民币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万元，回 购股份价格不 超过（含）人 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0.5471%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员工持股计划</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1,122,200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4"/>
        <w:keepNext w:val="0"/>
        <w:keepLines w:val="0"/>
        <w:widowControl w:val="0"/>
        <w:shd w:val="clear" w:color="auto" w:fill="auto"/>
        <w:bidi w:val="0"/>
        <w:spacing w:before="0" w:after="0" w:line="312" w:lineRule="exact"/>
        <w:ind w:left="0" w:right="0" w:firstLine="300"/>
        <w:jc w:val="both"/>
        <w:rPr>
          <w:sz w:val="17"/>
          <w:szCs w:val="17"/>
        </w:rPr>
      </w:pPr>
      <w:r>
        <w:rPr>
          <w:color w:val="000000"/>
          <w:spacing w:val="0"/>
          <w:w w:val="100"/>
          <w:position w:val="0"/>
          <w:sz w:val="17"/>
          <w:szCs w:val="17"/>
        </w:rPr>
        <w:t>第一期员工持股计划</w:t>
      </w:r>
    </w:p>
    <w:p>
      <w:pPr>
        <w:pStyle w:val="Style2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上海信联信息发展股份有限公司（以下简称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日召开第四届董事会第四十次 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年年度股东大会，审议通过了《关于公司第一期员工持股计划（草案）及其摘要的议案》、《关于公司第一期员 工持股计划管理办法的议案》以及《关于提请股东大会授权董事会办理员工持股计划相关事宜的议案》，具体内容详见公司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日刊登在巨潮资讯网上的相关公告。</w:t>
      </w:r>
    </w:p>
    <w:p>
      <w:pPr>
        <w:pStyle w:val="Style2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根据《关于上市公司实施员工持股计划试点的指导意见》、《深圳证券交易所上市公司信息披露指引第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w:t>
      </w:r>
      <w:r>
        <w:rPr>
          <w:color w:val="000000"/>
          <w:spacing w:val="0"/>
          <w:w w:val="100"/>
          <w:position w:val="0"/>
          <w:sz w:val="18"/>
          <w:szCs w:val="18"/>
        </w:rPr>
        <w:t>一</w:t>
      </w:r>
      <w:r>
        <w:rPr>
          <w:color w:val="000000"/>
          <w:spacing w:val="0"/>
          <w:w w:val="100"/>
          <w:position w:val="0"/>
          <w:sz w:val="17"/>
          <w:szCs w:val="17"/>
        </w:rPr>
        <w:t>员工持股 计划》等相关规定，现将公司第一期员工持股计划实施进展情况公告如下：公司于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日召开第四届董事会第十九 次会议审议通过了《关于回购公司股份的议案》，该议案已经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日召开的公司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年第六次临时股东大会审议通 过。公司回购股份资金总额为人民币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万元，价格不超过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股，回购股份方式为深圳证券交易所集中竞价 交易方式或其他法律法规允许的方式，回购实施期限自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日止。</w:t>
      </w:r>
    </w:p>
    <w:p>
      <w:pPr>
        <w:pStyle w:val="Style2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日，公司通过股份回购专用账户以集中竞价交易方式累计回购股份</w:t>
      </w:r>
      <w:r>
        <w:rPr>
          <w:rFonts w:ascii="Times New Roman" w:eastAsia="Times New Roman" w:hAnsi="Times New Roman" w:cs="Times New Roman"/>
          <w:color w:val="000000"/>
          <w:spacing w:val="0"/>
          <w:w w:val="100"/>
          <w:position w:val="0"/>
          <w:sz w:val="18"/>
          <w:szCs w:val="18"/>
        </w:rPr>
        <w:t>1,122,200</w:t>
      </w:r>
      <w:r>
        <w:rPr>
          <w:color w:val="000000"/>
          <w:spacing w:val="0"/>
          <w:w w:val="100"/>
          <w:position w:val="0"/>
          <w:sz w:val="17"/>
          <w:szCs w:val="17"/>
        </w:rPr>
        <w:t xml:space="preserve">股，占公司总股本的 </w:t>
      </w:r>
      <w:r>
        <w:rPr>
          <w:rFonts w:ascii="Times New Roman" w:eastAsia="Times New Roman" w:hAnsi="Times New Roman" w:cs="Times New Roman"/>
          <w:color w:val="000000"/>
          <w:spacing w:val="0"/>
          <w:w w:val="100"/>
          <w:position w:val="0"/>
          <w:sz w:val="18"/>
          <w:szCs w:val="18"/>
        </w:rPr>
        <w:t>0.5471%</w:t>
      </w:r>
      <w:r>
        <w:rPr>
          <w:color w:val="000000"/>
          <w:spacing w:val="0"/>
          <w:w w:val="100"/>
          <w:position w:val="0"/>
          <w:sz w:val="17"/>
          <w:szCs w:val="17"/>
        </w:rPr>
        <w:t>，最高成交价为</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股，最低成交价为</w:t>
      </w:r>
      <w:r>
        <w:rPr>
          <w:rFonts w:ascii="Times New Roman" w:eastAsia="Times New Roman" w:hAnsi="Times New Roman" w:cs="Times New Roman"/>
          <w:color w:val="000000"/>
          <w:spacing w:val="0"/>
          <w:w w:val="100"/>
          <w:position w:val="0"/>
          <w:sz w:val="18"/>
          <w:szCs w:val="18"/>
        </w:rPr>
        <w:t>14.81</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股，支付的总金额为</w:t>
      </w:r>
      <w:r>
        <w:rPr>
          <w:rFonts w:ascii="Times New Roman" w:eastAsia="Times New Roman" w:hAnsi="Times New Roman" w:cs="Times New Roman"/>
          <w:color w:val="000000"/>
          <w:spacing w:val="0"/>
          <w:w w:val="100"/>
          <w:position w:val="0"/>
          <w:sz w:val="18"/>
          <w:szCs w:val="18"/>
        </w:rPr>
        <w:t>20,001,619.4</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元（不含交易费用），公司本 次股份回购计划已经实施完毕。本次员工持股计划</w:t>
      </w:r>
      <w:r>
        <w:rPr>
          <w:rFonts w:ascii="Times New Roman" w:eastAsia="Times New Roman" w:hAnsi="Times New Roman" w:cs="Times New Roman"/>
          <w:color w:val="000000"/>
          <w:spacing w:val="0"/>
          <w:w w:val="100"/>
          <w:position w:val="0"/>
          <w:sz w:val="18"/>
          <w:szCs w:val="18"/>
        </w:rPr>
        <w:t>1,122,200</w:t>
      </w:r>
      <w:r>
        <w:rPr>
          <w:color w:val="000000"/>
          <w:spacing w:val="0"/>
          <w:w w:val="100"/>
          <w:position w:val="0"/>
          <w:sz w:val="17"/>
          <w:szCs w:val="17"/>
        </w:rPr>
        <w:t>股股票来源为上述已回购的股份。</w:t>
      </w:r>
    </w:p>
    <w:p>
      <w:pPr>
        <w:pStyle w:val="Style24"/>
        <w:keepNext w:val="0"/>
        <w:keepLines w:val="0"/>
        <w:widowControl w:val="0"/>
        <w:shd w:val="clear" w:color="auto" w:fill="auto"/>
        <w:bidi w:val="0"/>
        <w:spacing w:before="0" w:after="0" w:line="31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日，公司收到中国证券登记结算有限责任公司深圳分公司的《证券过户登记确认书》，公司回购专用证券 账户中所持有的</w:t>
      </w:r>
      <w:r>
        <w:rPr>
          <w:rFonts w:ascii="Times New Roman" w:eastAsia="Times New Roman" w:hAnsi="Times New Roman" w:cs="Times New Roman"/>
          <w:color w:val="000000"/>
          <w:spacing w:val="0"/>
          <w:w w:val="100"/>
          <w:position w:val="0"/>
          <w:sz w:val="18"/>
          <w:szCs w:val="18"/>
        </w:rPr>
        <w:t>1,122,200</w:t>
      </w:r>
      <w:r>
        <w:rPr>
          <w:color w:val="000000"/>
          <w:spacing w:val="0"/>
          <w:w w:val="100"/>
          <w:position w:val="0"/>
          <w:sz w:val="17"/>
          <w:szCs w:val="17"/>
        </w:rPr>
        <w:t>股信息发展股票已于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日非交易过户至公司员工持股计划专户（证券账户名称：上海信联 信息发展股份有限公司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第一期员工持股计划），过户价格为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股，过户股数为</w:t>
      </w:r>
      <w:r>
        <w:rPr>
          <w:rFonts w:ascii="Times New Roman" w:eastAsia="Times New Roman" w:hAnsi="Times New Roman" w:cs="Times New Roman"/>
          <w:color w:val="000000"/>
          <w:spacing w:val="0"/>
          <w:w w:val="100"/>
          <w:position w:val="0"/>
          <w:sz w:val="18"/>
          <w:szCs w:val="18"/>
        </w:rPr>
        <w:t>1,122,200</w:t>
      </w:r>
      <w:r>
        <w:rPr>
          <w:color w:val="000000"/>
          <w:spacing w:val="0"/>
          <w:w w:val="100"/>
          <w:position w:val="0"/>
          <w:sz w:val="17"/>
          <w:szCs w:val="17"/>
        </w:rPr>
        <w:t>股。依据员工持股计划草案，本 员工持股计划的存续期为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个月，自公司公告最后一笔标的股票过户至本员工持股计划名下之日起算（即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日起 算）。本员工持股计划通过非交易过户等法律法规许可的方式所获标的股票，公司公告最后一笔标的股票过户至本员工持股 计划名下之日起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个月后开始分期解锁，锁定期最长</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w:t>
      </w:r>
    </w:p>
    <w:p>
      <w:pPr>
        <w:pStyle w:val="Style24"/>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年公司业绩考核指标未达成，故其中</w:t>
      </w:r>
      <w:r>
        <w:rPr>
          <w:rFonts w:ascii="Times New Roman" w:eastAsia="Times New Roman" w:hAnsi="Times New Roman" w:cs="Times New Roman"/>
          <w:color w:val="000000"/>
          <w:spacing w:val="0"/>
          <w:w w:val="100"/>
          <w:position w:val="0"/>
          <w:sz w:val="18"/>
          <w:szCs w:val="18"/>
        </w:rPr>
        <w:t>561,100</w:t>
      </w:r>
      <w:r>
        <w:rPr>
          <w:color w:val="000000"/>
          <w:spacing w:val="0"/>
          <w:w w:val="100"/>
          <w:position w:val="0"/>
          <w:sz w:val="17"/>
          <w:szCs w:val="17"/>
        </w:rPr>
        <w:t>股已由管理委员会收回，但尚处在锁定期内。</w:t>
      </w:r>
    </w:p>
    <w:p>
      <w:pPr>
        <w:pStyle w:val="Style24"/>
        <w:keepNext w:val="0"/>
        <w:keepLines w:val="0"/>
        <w:widowControl w:val="0"/>
        <w:shd w:val="clear" w:color="auto" w:fill="auto"/>
        <w:bidi w:val="0"/>
        <w:spacing w:before="0" w:after="0" w:line="312" w:lineRule="exact"/>
        <w:ind w:left="0" w:right="0" w:firstLine="380"/>
        <w:jc w:val="both"/>
        <w:rPr>
          <w:sz w:val="17"/>
          <w:szCs w:val="17"/>
        </w:rPr>
        <w:sectPr>
          <w:footnotePr>
            <w:pos w:val="pageBottom"/>
            <w:numFmt w:val="decimal"/>
            <w:numRestart w:val="continuous"/>
          </w:footnotePr>
          <w:pgSz w:w="11900" w:h="16840"/>
          <w:pgMar w:top="1388" w:right="1131" w:bottom="1460" w:left="1074" w:header="0" w:footer="3" w:gutter="0"/>
          <w:cols w:space="720"/>
          <w:noEndnote/>
          <w:rtlGutter w:val="0"/>
          <w:docGrid w:linePitch="360"/>
        </w:sectPr>
      </w:pPr>
      <w:r>
        <w:rPr>
          <w:color w:val="000000"/>
          <w:spacing w:val="0"/>
          <w:w w:val="100"/>
          <w:position w:val="0"/>
          <w:sz w:val="17"/>
          <w:szCs w:val="17"/>
        </w:rPr>
        <w:t>截至报告期末，公司第一期员工持股计划尚未出售所持股票，共计持有</w:t>
      </w:r>
      <w:r>
        <w:rPr>
          <w:rFonts w:ascii="Times New Roman" w:eastAsia="Times New Roman" w:hAnsi="Times New Roman" w:cs="Times New Roman"/>
          <w:color w:val="000000"/>
          <w:spacing w:val="0"/>
          <w:w w:val="100"/>
          <w:position w:val="0"/>
          <w:sz w:val="18"/>
          <w:szCs w:val="18"/>
        </w:rPr>
        <w:t>1,122,200</w:t>
      </w:r>
      <w:r>
        <w:rPr>
          <w:color w:val="000000"/>
          <w:spacing w:val="0"/>
          <w:w w:val="100"/>
          <w:position w:val="0"/>
          <w:sz w:val="17"/>
          <w:szCs w:val="17"/>
        </w:rPr>
        <w:t>股，尚处于存续期内。</w:t>
      </w:r>
    </w:p>
    <w:p>
      <w:pPr>
        <w:pStyle w:val="Style10"/>
        <w:keepNext/>
        <w:keepLines/>
        <w:widowControl w:val="0"/>
        <w:shd w:val="clear" w:color="auto" w:fill="auto"/>
        <w:bidi w:val="0"/>
        <w:spacing w:before="0" w:after="560" w:line="240" w:lineRule="auto"/>
        <w:ind w:left="0" w:right="0" w:firstLine="0"/>
        <w:jc w:val="center"/>
      </w:pPr>
      <w:bookmarkStart w:id="636" w:name="bookmark636"/>
      <w:bookmarkStart w:id="637" w:name="bookmark637"/>
      <w:bookmarkStart w:id="638" w:name="bookmark638"/>
      <w:r>
        <w:rPr>
          <w:color w:val="000000"/>
          <w:spacing w:val="0"/>
          <w:w w:val="100"/>
          <w:position w:val="0"/>
        </w:rPr>
        <w:t>第八节优先股相关情况</w:t>
      </w:r>
      <w:bookmarkEnd w:id="636"/>
      <w:bookmarkEnd w:id="637"/>
      <w:bookmarkEnd w:id="638"/>
    </w:p>
    <w:p>
      <w:pPr>
        <w:pStyle w:val="Style24"/>
        <w:keepNext w:val="0"/>
        <w:keepLines w:val="0"/>
        <w:widowControl w:val="0"/>
        <w:shd w:val="clear" w:color="auto" w:fill="auto"/>
        <w:bidi w:val="0"/>
        <w:spacing w:before="0" w:after="140" w:line="240" w:lineRule="auto"/>
        <w:ind w:left="0" w:right="0" w:firstLine="0"/>
        <w:jc w:val="left"/>
        <w:rPr>
          <w:sz w:val="17"/>
          <w:szCs w:val="17"/>
        </w:rPr>
      </w:pPr>
      <w:bookmarkStart w:id="639" w:name="bookmark639"/>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bookmarkEnd w:id="639"/>
    </w:p>
    <w:p>
      <w:pPr>
        <w:pStyle w:val="Style24"/>
        <w:keepNext w:val="0"/>
        <w:keepLines w:val="0"/>
        <w:widowControl w:val="0"/>
        <w:shd w:val="clear" w:color="auto" w:fill="auto"/>
        <w:bidi w:val="0"/>
        <w:spacing w:before="0" w:after="360" w:line="240" w:lineRule="auto"/>
        <w:ind w:left="0" w:right="0" w:firstLine="0"/>
        <w:jc w:val="left"/>
        <w:rPr>
          <w:sz w:val="17"/>
          <w:szCs w:val="17"/>
        </w:rPr>
        <w:sectPr>
          <w:footnotePr>
            <w:pos w:val="pageBottom"/>
            <w:numFmt w:val="decimal"/>
            <w:numRestart w:val="continuous"/>
          </w:footnotePr>
          <w:pgSz w:w="11900" w:h="16840"/>
          <w:pgMar w:top="1978" w:right="1097" w:bottom="1978" w:left="1107" w:header="0" w:footer="3" w:gutter="0"/>
          <w:cols w:space="720"/>
          <w:noEndnote/>
          <w:rtlGutter w:val="0"/>
          <w:docGrid w:linePitch="360"/>
        </w:sectPr>
      </w:pPr>
      <w:r>
        <w:rPr>
          <w:color w:val="000000"/>
          <w:spacing w:val="0"/>
          <w:w w:val="100"/>
          <w:position w:val="0"/>
          <w:sz w:val="17"/>
          <w:szCs w:val="17"/>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40" w:name="bookmark640"/>
      <w:bookmarkStart w:id="641" w:name="bookmark641"/>
      <w:bookmarkStart w:id="642" w:name="bookmark642"/>
      <w:r>
        <w:rPr>
          <w:color w:val="000000"/>
          <w:spacing w:val="0"/>
          <w:w w:val="100"/>
          <w:position w:val="0"/>
        </w:rPr>
        <w:t>第九节债券相关情况</w:t>
      </w:r>
      <w:bookmarkEnd w:id="640"/>
      <w:bookmarkEnd w:id="641"/>
      <w:bookmarkEnd w:id="642"/>
    </w:p>
    <w:p>
      <w:pPr>
        <w:pStyle w:val="Style24"/>
        <w:keepNext w:val="0"/>
        <w:keepLines w:val="0"/>
        <w:widowControl w:val="0"/>
        <w:shd w:val="clear" w:color="auto" w:fill="auto"/>
        <w:bidi w:val="0"/>
        <w:spacing w:before="0" w:after="0" w:line="240" w:lineRule="auto"/>
        <w:ind w:left="0" w:right="0" w:firstLine="0"/>
        <w:jc w:val="left"/>
        <w:rPr>
          <w:sz w:val="17"/>
          <w:szCs w:val="17"/>
        </w:rPr>
        <w:sectPr>
          <w:footnotePr>
            <w:pos w:val="pageBottom"/>
            <w:numFmt w:val="decimal"/>
            <w:numRestart w:val="continuous"/>
          </w:footnotePr>
          <w:pgSz w:w="11900" w:h="16840"/>
          <w:pgMar w:top="1935" w:right="1097" w:bottom="1935" w:left="1107" w:header="0" w:footer="3" w:gutter="0"/>
          <w:cols w:space="720"/>
          <w:noEndnote/>
          <w:rtlGutter w:val="0"/>
          <w:docGrid w:linePitch="360"/>
        </w:sectPr>
      </w:pPr>
      <w:bookmarkStart w:id="643" w:name="bookmark643"/>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color w:val="000000"/>
          <w:spacing w:val="0"/>
          <w:w w:val="100"/>
          <w:position w:val="0"/>
          <w:sz w:val="18"/>
          <w:szCs w:val="18"/>
        </w:rPr>
        <w:t>寸</w:t>
      </w:r>
      <w:r>
        <w:rPr>
          <w:color w:val="000000"/>
          <w:spacing w:val="0"/>
          <w:w w:val="100"/>
          <w:position w:val="0"/>
          <w:sz w:val="17"/>
          <w:szCs w:val="17"/>
        </w:rPr>
        <w:t>不适用</w:t>
      </w:r>
      <w:bookmarkEnd w:id="643"/>
    </w:p>
    <w:p>
      <w:pPr>
        <w:pStyle w:val="Style10"/>
        <w:keepNext/>
        <w:keepLines/>
        <w:widowControl w:val="0"/>
        <w:shd w:val="clear" w:color="auto" w:fill="auto"/>
        <w:bidi w:val="0"/>
        <w:spacing w:before="780" w:after="520" w:line="240" w:lineRule="auto"/>
        <w:ind w:left="0" w:right="0" w:firstLine="0"/>
        <w:jc w:val="center"/>
      </w:pPr>
      <w:bookmarkStart w:id="644" w:name="bookmark644"/>
      <w:bookmarkStart w:id="645" w:name="bookmark645"/>
      <w:bookmarkStart w:id="646" w:name="bookmark646"/>
      <w:r>
        <w:rPr>
          <w:color w:val="000000"/>
          <w:spacing w:val="0"/>
          <w:w w:val="100"/>
          <w:position w:val="0"/>
        </w:rPr>
        <w:t>第十节财务报告</w:t>
      </w:r>
      <w:bookmarkEnd w:id="644"/>
      <w:bookmarkEnd w:id="645"/>
      <w:bookmarkEnd w:id="646"/>
    </w:p>
    <w:p>
      <w:pPr>
        <w:pStyle w:val="Style41"/>
        <w:keepNext w:val="0"/>
        <w:keepLines w:val="0"/>
        <w:widowControl w:val="0"/>
        <w:shd w:val="clear" w:color="auto" w:fill="auto"/>
        <w:bidi w:val="0"/>
        <w:spacing w:before="0" w:after="0" w:line="240" w:lineRule="auto"/>
        <w:ind w:left="0" w:right="0" w:firstLine="0"/>
        <w:jc w:val="left"/>
        <w:rPr>
          <w:sz w:val="22"/>
          <w:szCs w:val="22"/>
        </w:rPr>
      </w:pPr>
      <w:bookmarkStart w:id="647" w:name="bookmark647"/>
      <w:bookmarkStart w:id="648" w:name="bookmark648"/>
      <w:r>
        <w:rPr>
          <w:b/>
          <w:bCs/>
          <w:color w:val="000000"/>
          <w:spacing w:val="0"/>
          <w:w w:val="100"/>
          <w:position w:val="0"/>
          <w:sz w:val="22"/>
          <w:szCs w:val="22"/>
        </w:rPr>
        <w:t>一、审计报告</w:t>
      </w:r>
      <w:bookmarkEnd w:id="648"/>
      <w:bookmarkEnd w:id="647"/>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ZA12310</w:t>
            </w:r>
            <w:r>
              <w:rPr>
                <w:color w:val="000000"/>
                <w:spacing w:val="0"/>
                <w:w w:val="100"/>
                <w:position w:val="0"/>
                <w:sz w:val="17"/>
                <w:szCs w:val="17"/>
              </w:rPr>
              <w:t>号</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任家虎、吴海燕</w:t>
            </w:r>
          </w:p>
        </w:tc>
      </w:tr>
    </w:tbl>
    <w:p>
      <w:pPr>
        <w:pStyle w:val="Style41"/>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12"/>
        <w:keepNext w:val="0"/>
        <w:keepLines w:val="0"/>
        <w:widowControl w:val="0"/>
        <w:shd w:val="clear" w:color="auto" w:fill="auto"/>
        <w:bidi w:val="0"/>
        <w:spacing w:before="0" w:after="940" w:line="623" w:lineRule="exact"/>
        <w:ind w:left="0" w:right="0" w:firstLine="0"/>
        <w:jc w:val="left"/>
      </w:pPr>
      <w:r>
        <w:rPr>
          <w:color w:val="000000"/>
          <w:spacing w:val="0"/>
          <w:w w:val="100"/>
          <w:position w:val="0"/>
        </w:rPr>
        <w:t>上海信联信息发展股份有限公司全体股东：</w:t>
      </w:r>
    </w:p>
    <w:p>
      <w:pPr>
        <w:pStyle w:val="Style12"/>
        <w:keepNext w:val="0"/>
        <w:keepLines w:val="0"/>
        <w:widowControl w:val="0"/>
        <w:shd w:val="clear" w:color="auto" w:fill="auto"/>
        <w:bidi w:val="0"/>
        <w:spacing w:before="0" w:after="0" w:line="502" w:lineRule="auto"/>
        <w:ind w:left="0" w:right="0" w:firstLine="940"/>
        <w:jc w:val="left"/>
      </w:pPr>
      <w:r>
        <w:rPr>
          <w:rFonts w:ascii="Arial" w:eastAsia="Arial" w:hAnsi="Arial" w:cs="Arial"/>
          <w:b w:val="0"/>
          <w:bCs w:val="0"/>
          <w:color w:val="000000"/>
          <w:spacing w:val="0"/>
          <w:w w:val="100"/>
          <w:position w:val="0"/>
        </w:rPr>
        <w:t>1.</w:t>
      </w:r>
      <w:r>
        <w:rPr>
          <w:color w:val="000000"/>
          <w:spacing w:val="0"/>
          <w:w w:val="100"/>
          <w:position w:val="0"/>
        </w:rPr>
        <w:t>审计意见</w:t>
      </w:r>
    </w:p>
    <w:p>
      <w:pPr>
        <w:pStyle w:val="Style12"/>
        <w:keepNext w:val="0"/>
        <w:keepLines w:val="0"/>
        <w:widowControl w:val="0"/>
        <w:shd w:val="clear" w:color="auto" w:fill="auto"/>
        <w:bidi w:val="0"/>
        <w:spacing w:before="0" w:after="0" w:line="623" w:lineRule="exact"/>
        <w:ind w:left="380" w:right="0"/>
        <w:jc w:val="both"/>
      </w:pPr>
      <w:r>
        <w:rPr>
          <w:b w:val="0"/>
          <w:bCs w:val="0"/>
          <w:color w:val="000000"/>
          <w:spacing w:val="0"/>
          <w:w w:val="100"/>
          <w:position w:val="0"/>
        </w:rPr>
        <w:t>我们审计了上海信联信息发展股份有限公司（以下简称信息发展公司） 财务报表，包括</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日的合并及母公司资产负债表，</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年度的合 并及母公司利润表、合并及母公司现金流量表、合并及母公司所有者权益变 动表以及相关财务报表附注。</w:t>
      </w:r>
    </w:p>
    <w:p>
      <w:pPr>
        <w:pStyle w:val="Style12"/>
        <w:keepNext w:val="0"/>
        <w:keepLines w:val="0"/>
        <w:widowControl w:val="0"/>
        <w:shd w:val="clear" w:color="auto" w:fill="auto"/>
        <w:bidi w:val="0"/>
        <w:spacing w:before="0" w:after="940" w:line="623" w:lineRule="exact"/>
        <w:ind w:left="380" w:right="0"/>
        <w:jc w:val="both"/>
      </w:pPr>
      <w:r>
        <w:rPr>
          <w:b w:val="0"/>
          <w:bCs w:val="0"/>
          <w:color w:val="000000"/>
          <w:spacing w:val="0"/>
          <w:w w:val="100"/>
          <w:position w:val="0"/>
        </w:rPr>
        <w:t>我们认为，后附的财务报表在所有重大方面按照企业会计准则的规定编 制，公允反映了信息发展公司</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 xml:space="preserve">日的合并及母公司财务状况以及 </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年度的合并及母公司经营成果和现金流量。</w:t>
      </w:r>
    </w:p>
    <w:p>
      <w:pPr>
        <w:pStyle w:val="Style12"/>
        <w:keepNext w:val="0"/>
        <w:keepLines w:val="0"/>
        <w:widowControl w:val="0"/>
        <w:shd w:val="clear" w:color="auto" w:fill="auto"/>
        <w:bidi w:val="0"/>
        <w:spacing w:before="0" w:after="0" w:line="499" w:lineRule="auto"/>
        <w:ind w:left="0" w:right="0" w:firstLine="940"/>
        <w:jc w:val="left"/>
      </w:pPr>
      <w:r>
        <w:rPr>
          <w:rFonts w:ascii="Arial" w:eastAsia="Arial" w:hAnsi="Arial" w:cs="Arial"/>
          <w:b w:val="0"/>
          <w:bCs w:val="0"/>
          <w:color w:val="000000"/>
          <w:spacing w:val="0"/>
          <w:w w:val="100"/>
          <w:position w:val="0"/>
        </w:rPr>
        <w:t>1.</w:t>
      </w:r>
      <w:r>
        <w:rPr>
          <w:color w:val="000000"/>
          <w:spacing w:val="0"/>
          <w:w w:val="100"/>
          <w:position w:val="0"/>
        </w:rPr>
        <w:t>形成审计意见的基础</w:t>
      </w:r>
    </w:p>
    <w:p>
      <w:pPr>
        <w:pStyle w:val="Style12"/>
        <w:keepNext w:val="0"/>
        <w:keepLines w:val="0"/>
        <w:widowControl w:val="0"/>
        <w:shd w:val="clear" w:color="auto" w:fill="auto"/>
        <w:bidi w:val="0"/>
        <w:spacing w:before="0" w:after="960" w:line="622" w:lineRule="exact"/>
        <w:ind w:left="380" w:right="0"/>
        <w:jc w:val="both"/>
      </w:pPr>
      <w:r>
        <w:rPr>
          <w:b w:val="0"/>
          <w:bCs w:val="0"/>
          <w:color w:val="000000"/>
          <w:spacing w:val="0"/>
          <w:w w:val="100"/>
          <w:position w:val="0"/>
        </w:rPr>
        <w:t xml:space="preserve">我们按照中国注册会计师审计准则的规定执行了审计工作。审计报告的 </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注册会计师对财务报表审计的责任</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 xml:space="preserve">部分进一步阐述了我们在这些准则下的 责任。按照中国注册会计师职业道德守则，我们独立于信息发展公司，并履 </w:t>
      </w:r>
      <w:r>
        <w:rPr>
          <w:b w:val="0"/>
          <w:bCs w:val="0"/>
          <w:color w:val="000000"/>
          <w:spacing w:val="0"/>
          <w:w w:val="100"/>
          <w:position w:val="0"/>
        </w:rPr>
        <w:t>行了职业道德方面的其他责任。我们相信，我们获取的审计证据是充分、适 当的，为发表审计意见提供了基础。</w:t>
      </w:r>
    </w:p>
    <w:p>
      <w:pPr>
        <w:pStyle w:val="Style12"/>
        <w:keepNext w:val="0"/>
        <w:keepLines w:val="0"/>
        <w:widowControl w:val="0"/>
        <w:shd w:val="clear" w:color="auto" w:fill="auto"/>
        <w:bidi w:val="0"/>
        <w:spacing w:before="0" w:after="0" w:line="497" w:lineRule="auto"/>
        <w:ind w:left="0" w:right="0"/>
        <w:jc w:val="left"/>
      </w:pPr>
      <w:r>
        <w:rPr>
          <w:rFonts w:ascii="Arial" w:eastAsia="Arial" w:hAnsi="Arial" w:cs="Arial"/>
          <w:b w:val="0"/>
          <w:bCs w:val="0"/>
          <w:color w:val="000000"/>
          <w:spacing w:val="0"/>
          <w:w w:val="100"/>
          <w:position w:val="0"/>
        </w:rPr>
        <w:t>1.</w:t>
      </w:r>
      <w:r>
        <w:rPr>
          <w:color w:val="000000"/>
          <w:spacing w:val="0"/>
          <w:w w:val="100"/>
          <w:position w:val="0"/>
        </w:rPr>
        <w:t>关键审计事项</w:t>
      </w:r>
    </w:p>
    <w:p>
      <w:pPr>
        <w:pStyle w:val="Style12"/>
        <w:keepNext w:val="0"/>
        <w:keepLines w:val="0"/>
        <w:widowControl w:val="0"/>
        <w:shd w:val="clear" w:color="auto" w:fill="auto"/>
        <w:bidi w:val="0"/>
        <w:spacing w:before="0" w:after="960" w:line="619" w:lineRule="exact"/>
        <w:ind w:left="0" w:right="0" w:firstLine="600"/>
        <w:jc w:val="both"/>
      </w:pPr>
      <w:r>
        <w:rPr>
          <w:b w:val="0"/>
          <w:bCs w:val="0"/>
          <w:color w:val="000000"/>
          <w:spacing w:val="0"/>
          <w:w w:val="100"/>
          <w:position w:val="0"/>
        </w:rPr>
        <w:t>关键审计事项是我们根据职业判断，认为对本期财务报表审计最为重要的 事项。这些事项的应对以对财务报表整体进行审计并形成审计意见为背景，我 们不对这些事项单独发表意见。</w:t>
      </w:r>
    </w:p>
    <w:p>
      <w:pPr>
        <w:pStyle w:val="Style12"/>
        <w:keepNext w:val="0"/>
        <w:keepLines w:val="0"/>
        <w:widowControl w:val="0"/>
        <w:shd w:val="clear" w:color="auto" w:fill="auto"/>
        <w:bidi w:val="0"/>
        <w:spacing w:before="0" w:after="140" w:line="240" w:lineRule="auto"/>
        <w:ind w:left="0" w:right="0" w:firstLine="600"/>
        <w:jc w:val="both"/>
      </w:pPr>
      <w:r>
        <w:rPr>
          <w:b w:val="0"/>
          <w:bCs w:val="0"/>
          <w:color w:val="000000"/>
          <w:spacing w:val="0"/>
          <w:w w:val="100"/>
          <w:position w:val="0"/>
        </w:rPr>
        <w:t>我们在审计中识别出的关键审计事项汇总如下:</w:t>
      </w:r>
    </w:p>
    <w:tbl>
      <w:tblPr>
        <w:tblOverlap w:val="never"/>
        <w:jc w:val="left"/>
        <w:tblLayout w:type="fixed"/>
      </w:tblPr>
      <w:tblGrid>
        <w:gridCol w:w="3984"/>
        <w:gridCol w:w="4373"/>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关键审计事项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3"/>
                <w:szCs w:val="13"/>
              </w:rPr>
              <w:t>该事项在审计中是如何应对的</w:t>
            </w:r>
          </w:p>
        </w:tc>
      </w:tr>
      <w:tr>
        <w:trPr>
          <w:trHeight w:val="35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（一）收入确认</w:t>
            </w:r>
          </w:p>
        </w:tc>
      </w:tr>
      <w:tr>
        <w:trPr>
          <w:trHeight w:val="565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收入确认的会计政策详情及收入的分析请参阅合并财务报表 附注</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三、重要会计政策和会计估计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注释（二十四）所述的 会计政策及</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五、合并财务报表项目附注</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注释（三十四）。 信息发展公司已确认</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年度的收入为人民币</w:t>
            </w:r>
            <w:r>
              <w:rPr>
                <w:rFonts w:ascii="Times New Roman" w:eastAsia="Times New Roman" w:hAnsi="Times New Roman" w:cs="Times New Roman"/>
                <w:color w:val="000000"/>
                <w:spacing w:val="0"/>
                <w:w w:val="100"/>
                <w:position w:val="0"/>
                <w:sz w:val="15"/>
                <w:szCs w:val="15"/>
              </w:rPr>
              <w:t>43,658.74</w:t>
            </w:r>
            <w:r>
              <w:rPr>
                <w:color w:val="000000"/>
                <w:spacing w:val="0"/>
                <w:w w:val="100"/>
                <w:position w:val="0"/>
                <w:sz w:val="14"/>
                <w:szCs w:val="14"/>
              </w:rPr>
              <w:t>万 元，主要包括应用软件开发与销售、技术支持与服务、系统 集成项目业务收入。</w:t>
            </w:r>
          </w:p>
          <w:p>
            <w:pPr>
              <w:pStyle w:val="Style18"/>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应用软件开发与销售，是按照合同约定、在项目实施完成并 经对方验收合格后确认收入的实现。技术支持与服务，是按 合同约定的服务期限或经用户确认后确认收入的实现。系统 集成业务，是根据合同的约定，在系统集成项目中的软件产 品和外购硬件（原材料、设备等）已交付给客户，系统已按 合同约定的条件完成安装调试，通过客户验收完成后确认收 入的实现。</w:t>
            </w:r>
          </w:p>
          <w:p>
            <w:pPr>
              <w:pStyle w:val="Style18"/>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因为收入是信息发展公司的主要业绩指标之一，且涉及管理 层判断，我们将收入确认识别为关键审计事项。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rPr>
                <w:sz w:val="14"/>
                <w:szCs w:val="14"/>
              </w:rPr>
            </w:pPr>
            <w:r>
              <w:rPr>
                <w:color w:val="000000"/>
                <w:spacing w:val="0"/>
                <w:w w:val="100"/>
                <w:position w:val="0"/>
                <w:sz w:val="14"/>
                <w:szCs w:val="14"/>
              </w:rPr>
              <w:t>与收入确认相关的审计程序包括以下程序：</w:t>
            </w:r>
          </w:p>
          <w:p>
            <w:pPr>
              <w:pStyle w:val="Style18"/>
              <w:keepNext w:val="0"/>
              <w:keepLines w:val="0"/>
              <w:widowControl w:val="0"/>
              <w:shd w:val="clear" w:color="auto" w:fill="auto"/>
              <w:tabs>
                <w:tab w:pos="240" w:val="left"/>
              </w:tabs>
              <w:bidi w:val="0"/>
              <w:spacing w:before="0" w:after="0" w:line="315" w:lineRule="exact"/>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tab/>
              <w:t>了解和评价管理层与收入确认相关的关键内部控制的设计和运 行有效性，确定其可依赖；</w:t>
            </w:r>
          </w:p>
          <w:p>
            <w:pPr>
              <w:pStyle w:val="Style18"/>
              <w:keepNext w:val="0"/>
              <w:keepLines w:val="0"/>
              <w:widowControl w:val="0"/>
              <w:shd w:val="clear" w:color="auto" w:fill="auto"/>
              <w:tabs>
                <w:tab w:pos="221" w:val="left"/>
              </w:tabs>
              <w:bidi w:val="0"/>
              <w:spacing w:before="0" w:after="0" w:line="315" w:lineRule="exact"/>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tab/>
              <w:t>根据不同收入类别，选取样本检查销售合同，识别公司履行合 同中的履约义务相关的合同条款与条件，评价收入确认时点是否符 合企业会计准则的要求；</w:t>
            </w:r>
          </w:p>
          <w:p>
            <w:pPr>
              <w:pStyle w:val="Style18"/>
              <w:keepNext w:val="0"/>
              <w:keepLines w:val="0"/>
              <w:widowControl w:val="0"/>
              <w:shd w:val="clear" w:color="auto" w:fill="auto"/>
              <w:tabs>
                <w:tab w:pos="226" w:val="left"/>
              </w:tabs>
              <w:bidi w:val="0"/>
              <w:spacing w:before="0" w:after="0" w:line="315" w:lineRule="exact"/>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tab/>
              <w:t>按项目类别对收入和成本执行分析程序，包括：本期收入、成 本、毛利波动分析，以及与上期比较分析；主要项目本期收入、成 本、毛利率的具体分析等，判断是否出现异常波动的情况；</w:t>
            </w:r>
          </w:p>
          <w:p>
            <w:pPr>
              <w:pStyle w:val="Style18"/>
              <w:keepNext w:val="0"/>
              <w:keepLines w:val="0"/>
              <w:widowControl w:val="0"/>
              <w:shd w:val="clear" w:color="auto" w:fill="auto"/>
              <w:bidi w:val="0"/>
              <w:spacing w:before="0" w:after="0" w:line="315" w:lineRule="exact"/>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 对本年记录的收入交易选取样本，核对销售合同、审批单、验 收单、项目进度状态、回款凭证等资料，检查已确认收入的真实性， 评价相关收入确认是否符合公司收入确认的会计政策；</w:t>
            </w:r>
          </w:p>
          <w:p>
            <w:pPr>
              <w:pStyle w:val="Style18"/>
              <w:keepNext w:val="0"/>
              <w:keepLines w:val="0"/>
              <w:widowControl w:val="0"/>
              <w:shd w:val="clear" w:color="auto" w:fill="auto"/>
              <w:tabs>
                <w:tab w:pos="226" w:val="left"/>
              </w:tabs>
              <w:bidi w:val="0"/>
              <w:spacing w:before="0" w:after="0" w:line="315" w:lineRule="exact"/>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w:t>
              <w:tab/>
              <w:t>结合应收账款函证，一并执行收入的函证程序，检查已确认的 收入的真实性和准确性；</w:t>
            </w:r>
          </w:p>
          <w:p>
            <w:pPr>
              <w:pStyle w:val="Style18"/>
              <w:keepNext w:val="0"/>
              <w:keepLines w:val="0"/>
              <w:widowControl w:val="0"/>
              <w:shd w:val="clear" w:color="auto" w:fill="auto"/>
              <w:tabs>
                <w:tab w:pos="221" w:val="left"/>
              </w:tabs>
              <w:bidi w:val="0"/>
              <w:spacing w:before="0" w:after="0" w:line="315" w:lineRule="exact"/>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4"/>
                <w:szCs w:val="14"/>
              </w:rPr>
              <w:t>、</w:t>
              <w:tab/>
              <w:t>针对可能出现的完整性风险，我们实施了具有针对性的审计程 序，包括但不限于：在增加收入完整性测试样本的基础上，针对资 产负债表日前后确认的销售收入执行截止性测试，以评估销售收入 是否在恰当的会计期间确认。</w:t>
            </w:r>
          </w:p>
        </w:tc>
      </w:tr>
      <w:tr>
        <w:trPr>
          <w:trHeight w:val="35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（二）存货-项目实施成本的存在性及完整性</w:t>
            </w:r>
          </w:p>
        </w:tc>
      </w:tr>
      <w:tr>
        <w:trPr>
          <w:trHeight w:val="16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请参阅财务报表财务报表附注</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三、公司重要会计政策、会计 估计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注释（十一）所述的会计政策及附注</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五、合并财务报 表项目附注</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注释（五）。</w:t>
            </w:r>
          </w:p>
          <w:p>
            <w:pPr>
              <w:pStyle w:val="Style18"/>
              <w:keepNext w:val="0"/>
              <w:keepLines w:val="0"/>
              <w:widowControl w:val="0"/>
              <w:shd w:val="clear" w:color="auto" w:fill="auto"/>
              <w:bidi w:val="0"/>
              <w:spacing w:before="0" w:after="0" w:line="312" w:lineRule="exact"/>
              <w:ind w:left="0" w:right="0" w:firstLine="0"/>
              <w:jc w:val="both"/>
              <w:rPr>
                <w:sz w:val="14"/>
                <w:szCs w:val="14"/>
              </w:rPr>
            </w:pPr>
            <w:r>
              <w:rPr>
                <w:color w:val="000000"/>
                <w:spacing w:val="0"/>
                <w:w w:val="100"/>
                <w:position w:val="0"/>
                <w:sz w:val="14"/>
                <w:szCs w:val="14"/>
              </w:rPr>
              <w:t>于</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4"/>
                <w:szCs w:val="14"/>
              </w:rPr>
              <w:t>日，信息发展公司存货中项目实施成本的账 面价值为人民币</w:t>
            </w:r>
            <w:r>
              <w:rPr>
                <w:rFonts w:ascii="Times New Roman" w:eastAsia="Times New Roman" w:hAnsi="Times New Roman" w:cs="Times New Roman"/>
                <w:color w:val="000000"/>
                <w:spacing w:val="0"/>
                <w:w w:val="100"/>
                <w:position w:val="0"/>
                <w:sz w:val="15"/>
                <w:szCs w:val="15"/>
              </w:rPr>
              <w:t>6,856.43</w:t>
            </w:r>
            <w:r>
              <w:rPr>
                <w:color w:val="000000"/>
                <w:spacing w:val="0"/>
                <w:w w:val="100"/>
                <w:position w:val="0"/>
                <w:sz w:val="14"/>
                <w:szCs w:val="14"/>
              </w:rPr>
              <w:t>万元，占报表总资产的</w:t>
            </w:r>
            <w:r>
              <w:rPr>
                <w:rFonts w:ascii="Times New Roman" w:eastAsia="Times New Roman" w:hAnsi="Times New Roman" w:cs="Times New Roman"/>
                <w:color w:val="000000"/>
                <w:spacing w:val="0"/>
                <w:w w:val="100"/>
                <w:position w:val="0"/>
                <w:sz w:val="15"/>
                <w:szCs w:val="15"/>
              </w:rPr>
              <w:t>7.01%</w:t>
            </w: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我们就存货</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项目实施成本的存在性和完整性实施的审计程序包</w:t>
            </w:r>
          </w:p>
          <w:p>
            <w:pPr>
              <w:pStyle w:val="Style18"/>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括：</w:t>
            </w:r>
          </w:p>
          <w:p>
            <w:pPr>
              <w:pStyle w:val="Style18"/>
              <w:keepNext w:val="0"/>
              <w:keepLines w:val="0"/>
              <w:widowControl w:val="0"/>
              <w:shd w:val="clear" w:color="auto" w:fill="auto"/>
              <w:tabs>
                <w:tab w:pos="230" w:val="left"/>
              </w:tabs>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tab/>
              <w:t>了解并测试信息发展公司存货管理的内部控制，包括采购和销</w:t>
            </w:r>
          </w:p>
          <w:p>
            <w:pPr>
              <w:pStyle w:val="Style18"/>
              <w:keepNext w:val="0"/>
              <w:keepLines w:val="0"/>
              <w:widowControl w:val="0"/>
              <w:shd w:val="clear" w:color="auto" w:fill="auto"/>
              <w:bidi w:val="0"/>
              <w:spacing w:before="0" w:after="140" w:line="240" w:lineRule="auto"/>
              <w:ind w:left="0" w:right="0" w:firstLine="0"/>
              <w:jc w:val="both"/>
              <w:rPr>
                <w:sz w:val="14"/>
                <w:szCs w:val="14"/>
              </w:rPr>
            </w:pPr>
            <w:r>
              <w:rPr>
                <w:color w:val="000000"/>
                <w:spacing w:val="0"/>
                <w:w w:val="100"/>
                <w:position w:val="0"/>
                <w:sz w:val="14"/>
                <w:szCs w:val="14"/>
              </w:rPr>
              <w:t>售等；</w:t>
            </w:r>
          </w:p>
          <w:p>
            <w:pPr>
              <w:pStyle w:val="Style18"/>
              <w:keepNext w:val="0"/>
              <w:keepLines w:val="0"/>
              <w:widowControl w:val="0"/>
              <w:shd w:val="clear" w:color="auto" w:fill="auto"/>
              <w:tabs>
                <w:tab w:pos="202" w:val="left"/>
              </w:tabs>
              <w:bidi w:val="0"/>
              <w:spacing w:before="0" w:after="14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tab/>
              <w:t>询问被审计单位营销人员、项目负责人等以了解有关项目实施</w:t>
            </w:r>
          </w:p>
        </w:tc>
      </w:tr>
    </w:tbl>
    <w:p>
      <w:pPr>
        <w:widowControl w:val="0"/>
        <w:spacing w:line="1" w:lineRule="exact"/>
      </w:pPr>
    </w:p>
    <w:tbl>
      <w:tblPr>
        <w:tblOverlap w:val="never"/>
        <w:jc w:val="left"/>
        <w:tblLayout w:type="fixed"/>
      </w:tblPr>
      <w:tblGrid>
        <w:gridCol w:w="3984"/>
        <w:gridCol w:w="4373"/>
      </w:tblGrid>
      <w:tr>
        <w:trPr>
          <w:trHeight w:val="223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4" w:lineRule="exact"/>
              <w:ind w:left="0" w:right="0" w:firstLine="0"/>
              <w:jc w:val="left"/>
              <w:rPr>
                <w:sz w:val="14"/>
                <w:szCs w:val="14"/>
              </w:rPr>
            </w:pPr>
            <w:r>
              <w:rPr>
                <w:color w:val="000000"/>
                <w:spacing w:val="0"/>
                <w:w w:val="100"/>
                <w:position w:val="0"/>
                <w:sz w:val="14"/>
                <w:szCs w:val="14"/>
              </w:rPr>
              <w:t>信息发展公司的存货</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项目实施成本主要是尚未完工验收的项 目已发生成本，其存在性和完整性存在重大错报风险，我们 将信息发展公司存货</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项目实施成本的存在性和完整性识别为 关键审计事项。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成本的情况；</w:t>
            </w:r>
          </w:p>
          <w:p>
            <w:pPr>
              <w:pStyle w:val="Style18"/>
              <w:keepNext w:val="0"/>
              <w:keepLines w:val="0"/>
              <w:widowControl w:val="0"/>
              <w:shd w:val="clear" w:color="auto" w:fill="auto"/>
              <w:tabs>
                <w:tab w:pos="206" w:val="left"/>
              </w:tabs>
              <w:bidi w:val="0"/>
              <w:spacing w:before="0" w:after="0" w:line="317"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tab/>
              <w:t>对客户实施访谈等方法，评价项目实施成本存在的合理性；</w:t>
            </w:r>
          </w:p>
          <w:p>
            <w:pPr>
              <w:pStyle w:val="Style18"/>
              <w:keepNext w:val="0"/>
              <w:keepLines w:val="0"/>
              <w:widowControl w:val="0"/>
              <w:shd w:val="clear" w:color="auto" w:fill="auto"/>
              <w:tabs>
                <w:tab w:pos="226" w:val="left"/>
              </w:tabs>
              <w:bidi w:val="0"/>
              <w:spacing w:before="0" w:after="0" w:line="317"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tab/>
              <w:t>分析项目实施成本的构成内容，将材料成本与相关采购合同勾 稽，检查人工成本与制造费用的核算与分配，判断项目成本是否已 正确归集；</w:t>
            </w:r>
          </w:p>
          <w:p>
            <w:pPr>
              <w:pStyle w:val="Style18"/>
              <w:keepNext w:val="0"/>
              <w:keepLines w:val="0"/>
              <w:widowControl w:val="0"/>
              <w:shd w:val="clear" w:color="auto" w:fill="auto"/>
              <w:tabs>
                <w:tab w:pos="221" w:val="left"/>
              </w:tabs>
              <w:bidi w:val="0"/>
              <w:spacing w:before="0" w:after="0" w:line="317"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w:t>
              <w:tab/>
              <w:t>对期末按项目归集的项目实施成本，对比相应的已签约项目合 同金额，以判断项目实施成本的存在性和完整性。</w:t>
            </w:r>
          </w:p>
        </w:tc>
      </w:tr>
      <w:tr>
        <w:trPr>
          <w:trHeight w:val="35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rPr>
              <w:t>（三）应收账款的可收回性</w:t>
            </w:r>
          </w:p>
        </w:tc>
      </w:tr>
      <w:tr>
        <w:trPr>
          <w:trHeight w:val="28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0" w:lineRule="exact"/>
              <w:ind w:left="0" w:right="0" w:firstLine="0"/>
              <w:jc w:val="left"/>
              <w:rPr>
                <w:sz w:val="14"/>
                <w:szCs w:val="14"/>
              </w:rPr>
            </w:pPr>
            <w:r>
              <w:rPr>
                <w:color w:val="000000"/>
                <w:spacing w:val="0"/>
                <w:w w:val="100"/>
                <w:position w:val="0"/>
                <w:sz w:val="14"/>
                <w:szCs w:val="14"/>
              </w:rPr>
              <w:t>请参阅财务报表附注</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三、公司重要会计政策、会计估计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注 释（十）所述的会计政策及</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4"/>
                <w:szCs w:val="14"/>
              </w:rPr>
              <w:t>五、合并财务报表项目附注'注 释（二）。</w:t>
            </w:r>
          </w:p>
          <w:p>
            <w:pPr>
              <w:pStyle w:val="Style18"/>
              <w:keepNext w:val="0"/>
              <w:keepLines w:val="0"/>
              <w:widowControl w:val="0"/>
              <w:shd w:val="clear" w:color="auto" w:fill="auto"/>
              <w:bidi w:val="0"/>
              <w:spacing w:before="0" w:after="0" w:line="310" w:lineRule="exact"/>
              <w:ind w:left="0" w:right="0" w:firstLine="0"/>
              <w:jc w:val="left"/>
              <w:rPr>
                <w:sz w:val="14"/>
                <w:szCs w:val="14"/>
              </w:rPr>
            </w:pPr>
            <w:r>
              <w:rPr>
                <w:color w:val="000000"/>
                <w:spacing w:val="0"/>
                <w:w w:val="100"/>
                <w:position w:val="0"/>
                <w:sz w:val="14"/>
                <w:szCs w:val="14"/>
              </w:rPr>
              <w:t>于</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4"/>
                <w:szCs w:val="14"/>
              </w:rPr>
              <w:t>日，信息发展公司应收账款余额为</w:t>
            </w:r>
            <w:r>
              <w:rPr>
                <w:rFonts w:ascii="Times New Roman" w:eastAsia="Times New Roman" w:hAnsi="Times New Roman" w:cs="Times New Roman"/>
                <w:color w:val="000000"/>
                <w:spacing w:val="0"/>
                <w:w w:val="100"/>
                <w:position w:val="0"/>
                <w:sz w:val="15"/>
                <w:szCs w:val="15"/>
              </w:rPr>
              <w:t xml:space="preserve">36,824.31 </w:t>
            </w:r>
            <w:r>
              <w:rPr>
                <w:color w:val="000000"/>
                <w:spacing w:val="0"/>
                <w:w w:val="100"/>
                <w:position w:val="0"/>
                <w:sz w:val="14"/>
                <w:szCs w:val="14"/>
              </w:rPr>
              <w:t>万元、坏账准备为</w:t>
            </w:r>
            <w:r>
              <w:rPr>
                <w:rFonts w:ascii="Times New Roman" w:eastAsia="Times New Roman" w:hAnsi="Times New Roman" w:cs="Times New Roman"/>
                <w:color w:val="000000"/>
                <w:spacing w:val="0"/>
                <w:w w:val="100"/>
                <w:position w:val="0"/>
                <w:sz w:val="15"/>
                <w:szCs w:val="15"/>
              </w:rPr>
              <w:t>10,264.47</w:t>
            </w:r>
            <w:r>
              <w:rPr>
                <w:color w:val="000000"/>
                <w:spacing w:val="0"/>
                <w:w w:val="100"/>
                <w:position w:val="0"/>
                <w:sz w:val="14"/>
                <w:szCs w:val="14"/>
              </w:rPr>
              <w:t>万元。</w:t>
            </w:r>
          </w:p>
          <w:p>
            <w:pPr>
              <w:pStyle w:val="Style18"/>
              <w:keepNext w:val="0"/>
              <w:keepLines w:val="0"/>
              <w:widowControl w:val="0"/>
              <w:shd w:val="clear" w:color="auto" w:fill="auto"/>
              <w:bidi w:val="0"/>
              <w:spacing w:before="0" w:after="0" w:line="310" w:lineRule="exact"/>
              <w:ind w:left="0" w:right="0" w:firstLine="0"/>
              <w:jc w:val="left"/>
              <w:rPr>
                <w:sz w:val="14"/>
                <w:szCs w:val="14"/>
              </w:rPr>
            </w:pPr>
            <w:r>
              <w:rPr>
                <w:color w:val="000000"/>
                <w:spacing w:val="0"/>
                <w:w w:val="100"/>
                <w:position w:val="0"/>
                <w:sz w:val="14"/>
                <w:szCs w:val="14"/>
              </w:rPr>
              <w:t>由于信息发展公司管理层在确定应收账款预计可收回金额时 需要运用重大会计估计和判断，且影响金额重大，为此我们 确定应收账款的可收回性为关键审计事项。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我们就应收账款的可收回性实施的审计程序包括：</w:t>
            </w:r>
          </w:p>
          <w:p>
            <w:pPr>
              <w:pStyle w:val="Style18"/>
              <w:keepNext w:val="0"/>
              <w:keepLines w:val="0"/>
              <w:widowControl w:val="0"/>
              <w:shd w:val="clear" w:color="auto" w:fill="auto"/>
              <w:tabs>
                <w:tab w:pos="240" w:val="left"/>
              </w:tabs>
              <w:bidi w:val="0"/>
              <w:spacing w:before="0" w:after="0" w:line="307"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4"/>
                <w:szCs w:val="14"/>
              </w:rPr>
              <w:t>、</w:t>
              <w:tab/>
              <w:t>了解、评估并测试管理层对应收账款的账龄分析以及确定应收 账款坏账准备相关的内部控制；</w:t>
            </w:r>
          </w:p>
          <w:p>
            <w:pPr>
              <w:pStyle w:val="Style18"/>
              <w:keepNext w:val="0"/>
              <w:keepLines w:val="0"/>
              <w:widowControl w:val="0"/>
              <w:shd w:val="clear" w:color="auto" w:fill="auto"/>
              <w:tabs>
                <w:tab w:pos="226" w:val="left"/>
              </w:tabs>
              <w:bidi w:val="0"/>
              <w:spacing w:before="0" w:after="0" w:line="307"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4"/>
                <w:szCs w:val="14"/>
              </w:rPr>
              <w:t>、</w:t>
              <w:tab/>
              <w:t>复核管理层对应收账款进行减值测试的相关考虑及客观证据，</w:t>
            </w:r>
          </w:p>
          <w:p>
            <w:pPr>
              <w:pStyle w:val="Style18"/>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关注管理层是否充分识别已发生减值的项目；</w:t>
            </w:r>
          </w:p>
          <w:p>
            <w:pPr>
              <w:pStyle w:val="Style18"/>
              <w:keepNext w:val="0"/>
              <w:keepLines w:val="0"/>
              <w:widowControl w:val="0"/>
              <w:shd w:val="clear" w:color="auto" w:fill="auto"/>
              <w:tabs>
                <w:tab w:pos="221" w:val="left"/>
              </w:tabs>
              <w:bidi w:val="0"/>
              <w:spacing w:before="0" w:after="0" w:line="307"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4"/>
                <w:szCs w:val="14"/>
              </w:rPr>
              <w:t>、</w:t>
              <w:tab/>
              <w:t>对于管理层按照信用风险特征组合计提坏账准备的应收账款，</w:t>
            </w:r>
          </w:p>
          <w:p>
            <w:pPr>
              <w:pStyle w:val="Style18"/>
              <w:keepNext w:val="0"/>
              <w:keepLines w:val="0"/>
              <w:widowControl w:val="0"/>
              <w:shd w:val="clear" w:color="auto" w:fill="auto"/>
              <w:bidi w:val="0"/>
              <w:spacing w:before="0" w:after="0" w:line="307" w:lineRule="exact"/>
              <w:ind w:left="0" w:right="0" w:firstLine="0"/>
              <w:jc w:val="left"/>
              <w:rPr>
                <w:sz w:val="14"/>
                <w:szCs w:val="14"/>
              </w:rPr>
            </w:pPr>
            <w:r>
              <w:rPr>
                <w:color w:val="000000"/>
                <w:spacing w:val="0"/>
                <w:w w:val="100"/>
                <w:position w:val="0"/>
                <w:sz w:val="14"/>
                <w:szCs w:val="14"/>
              </w:rPr>
              <w:t>评价管理层确定的坏账准备计提比例是否合理；</w:t>
            </w:r>
          </w:p>
          <w:p>
            <w:pPr>
              <w:pStyle w:val="Style18"/>
              <w:keepNext w:val="0"/>
              <w:keepLines w:val="0"/>
              <w:widowControl w:val="0"/>
              <w:shd w:val="clear" w:color="auto" w:fill="auto"/>
              <w:tabs>
                <w:tab w:pos="226" w:val="left"/>
              </w:tabs>
              <w:bidi w:val="0"/>
              <w:spacing w:before="0" w:after="0" w:line="307"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4"/>
                <w:szCs w:val="14"/>
              </w:rPr>
              <w:t>、</w:t>
              <w:tab/>
              <w:t>实施函证程序，并将函证结果与管理层记录的金额进行核对；</w:t>
            </w:r>
          </w:p>
          <w:p>
            <w:pPr>
              <w:pStyle w:val="Style18"/>
              <w:keepNext w:val="0"/>
              <w:keepLines w:val="0"/>
              <w:widowControl w:val="0"/>
              <w:shd w:val="clear" w:color="auto" w:fill="auto"/>
              <w:tabs>
                <w:tab w:pos="226" w:val="left"/>
              </w:tabs>
              <w:bidi w:val="0"/>
              <w:spacing w:before="0" w:after="0" w:line="307" w:lineRule="exact"/>
              <w:ind w:left="0" w:right="0" w:firstLine="0"/>
              <w:jc w:val="left"/>
              <w:rPr>
                <w:sz w:val="14"/>
                <w:szCs w:val="14"/>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4"/>
                <w:szCs w:val="14"/>
              </w:rPr>
              <w:t>、</w:t>
              <w:tab/>
              <w:t>结合期后回款情况检查，评价管理层坏账准备计提的合理性。</w:t>
            </w:r>
          </w:p>
        </w:tc>
      </w:tr>
    </w:tbl>
    <w:p>
      <w:pPr>
        <w:widowControl w:val="0"/>
        <w:spacing w:after="479" w:line="1" w:lineRule="exact"/>
      </w:pPr>
    </w:p>
    <w:p>
      <w:pPr>
        <w:pStyle w:val="Style12"/>
        <w:keepNext w:val="0"/>
        <w:keepLines w:val="0"/>
        <w:widowControl w:val="0"/>
        <w:shd w:val="clear" w:color="auto" w:fill="auto"/>
        <w:bidi w:val="0"/>
        <w:spacing w:before="0" w:after="0" w:line="624" w:lineRule="exact"/>
        <w:ind w:left="0" w:right="0" w:firstLine="940"/>
        <w:jc w:val="both"/>
      </w:pPr>
      <w:r>
        <w:rPr>
          <w:rFonts w:ascii="Arial" w:eastAsia="Arial" w:hAnsi="Arial" w:cs="Arial"/>
          <w:b w:val="0"/>
          <w:bCs w:val="0"/>
          <w:color w:val="000000"/>
          <w:spacing w:val="0"/>
          <w:w w:val="100"/>
          <w:position w:val="0"/>
        </w:rPr>
        <w:t>1.</w:t>
      </w:r>
      <w:r>
        <w:rPr>
          <w:color w:val="000000"/>
          <w:spacing w:val="0"/>
          <w:w w:val="100"/>
          <w:position w:val="0"/>
        </w:rPr>
        <w:t>其他信息</w:t>
      </w:r>
    </w:p>
    <w:p>
      <w:pPr>
        <w:pStyle w:val="Style12"/>
        <w:keepNext w:val="0"/>
        <w:keepLines w:val="0"/>
        <w:widowControl w:val="0"/>
        <w:shd w:val="clear" w:color="auto" w:fill="auto"/>
        <w:bidi w:val="0"/>
        <w:spacing w:before="0" w:after="0" w:line="624" w:lineRule="exact"/>
        <w:ind w:left="360" w:right="0"/>
        <w:jc w:val="both"/>
      </w:pPr>
      <w:r>
        <w:rPr>
          <w:b w:val="0"/>
          <w:bCs w:val="0"/>
          <w:color w:val="000000"/>
          <w:spacing w:val="0"/>
          <w:w w:val="100"/>
          <w:position w:val="0"/>
        </w:rPr>
        <w:t>信息发展公司管理层（以下简称管理层）对其他信息负责。其他信息包 括信息发展公司</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年年度报告中涵盖的信息，但不包括财务报表和我们的 审计报告。</w:t>
      </w:r>
    </w:p>
    <w:p>
      <w:pPr>
        <w:pStyle w:val="Style12"/>
        <w:keepNext w:val="0"/>
        <w:keepLines w:val="0"/>
        <w:widowControl w:val="0"/>
        <w:shd w:val="clear" w:color="auto" w:fill="auto"/>
        <w:bidi w:val="0"/>
        <w:spacing w:before="0" w:after="0" w:line="624" w:lineRule="exact"/>
        <w:ind w:left="360" w:right="0"/>
        <w:jc w:val="both"/>
      </w:pPr>
      <w:r>
        <w:rPr>
          <w:b w:val="0"/>
          <w:bCs w:val="0"/>
          <w:color w:val="000000"/>
          <w:spacing w:val="0"/>
          <w:w w:val="100"/>
          <w:position w:val="0"/>
        </w:rPr>
        <w:t>我们对财务报表发表的审计意见不涵盖其他信息，我们也不对其他信息 发表任何形式的鉴证结论。</w:t>
      </w:r>
    </w:p>
    <w:p>
      <w:pPr>
        <w:pStyle w:val="Style12"/>
        <w:keepNext w:val="0"/>
        <w:keepLines w:val="0"/>
        <w:widowControl w:val="0"/>
        <w:shd w:val="clear" w:color="auto" w:fill="auto"/>
        <w:bidi w:val="0"/>
        <w:spacing w:before="0" w:after="0" w:line="624" w:lineRule="exact"/>
        <w:ind w:left="360" w:right="0"/>
        <w:jc w:val="both"/>
      </w:pPr>
      <w:r>
        <w:rPr>
          <w:b w:val="0"/>
          <w:bCs w:val="0"/>
          <w:color w:val="000000"/>
          <w:spacing w:val="0"/>
          <w:w w:val="100"/>
          <w:position w:val="0"/>
        </w:rPr>
        <w:t>结合我们对财务报表的审计，我们的责任是阅读其他信息，在此过程中， 考虑其他信息是否与财务报表或我们在审计过程中了解到的情况存在重大不 一致或者似乎存在重大错报。</w:t>
      </w:r>
    </w:p>
    <w:p>
      <w:pPr>
        <w:pStyle w:val="Style12"/>
        <w:keepNext w:val="0"/>
        <w:keepLines w:val="0"/>
        <w:widowControl w:val="0"/>
        <w:shd w:val="clear" w:color="auto" w:fill="auto"/>
        <w:bidi w:val="0"/>
        <w:spacing w:before="0" w:after="0" w:line="624" w:lineRule="exact"/>
        <w:ind w:left="360" w:right="0"/>
        <w:jc w:val="both"/>
      </w:pPr>
      <w:r>
        <w:rPr>
          <w:b w:val="0"/>
          <w:bCs w:val="0"/>
          <w:color w:val="000000"/>
          <w:spacing w:val="0"/>
          <w:w w:val="100"/>
          <w:position w:val="0"/>
        </w:rPr>
        <w:t>基于我们已执行的工作，如果我们确定其他信息存在重大错报，我们应 当报告该事实。在这方面，我们无任何事项需要报告。</w:t>
      </w:r>
    </w:p>
    <w:p>
      <w:pPr>
        <w:pStyle w:val="Style12"/>
        <w:keepNext w:val="0"/>
        <w:keepLines w:val="0"/>
        <w:widowControl w:val="0"/>
        <w:shd w:val="clear" w:color="auto" w:fill="auto"/>
        <w:bidi w:val="0"/>
        <w:spacing w:before="0" w:after="0" w:line="620" w:lineRule="exact"/>
        <w:ind w:left="0" w:right="0" w:firstLine="940"/>
        <w:jc w:val="both"/>
      </w:pPr>
      <w:r>
        <w:rPr>
          <w:rFonts w:ascii="Arial" w:eastAsia="Arial" w:hAnsi="Arial" w:cs="Arial"/>
          <w:b w:val="0"/>
          <w:bCs w:val="0"/>
          <w:color w:val="000000"/>
          <w:spacing w:val="0"/>
          <w:w w:val="100"/>
          <w:position w:val="0"/>
        </w:rPr>
        <w:t>1.</w:t>
      </w:r>
      <w:r>
        <w:rPr>
          <w:color w:val="000000"/>
          <w:spacing w:val="0"/>
          <w:w w:val="100"/>
          <w:position w:val="0"/>
        </w:rPr>
        <w:t>管理层和治理层对财务报表的责任</w:t>
      </w:r>
    </w:p>
    <w:p>
      <w:pPr>
        <w:pStyle w:val="Style12"/>
        <w:keepNext w:val="0"/>
        <w:keepLines w:val="0"/>
        <w:widowControl w:val="0"/>
        <w:shd w:val="clear" w:color="auto" w:fill="auto"/>
        <w:bidi w:val="0"/>
        <w:spacing w:before="0" w:after="0" w:line="620" w:lineRule="exact"/>
        <w:ind w:left="360" w:right="0" w:firstLine="600"/>
        <w:jc w:val="both"/>
      </w:pPr>
      <w:r>
        <w:rPr>
          <w:b w:val="0"/>
          <w:bCs w:val="0"/>
          <w:color w:val="000000"/>
          <w:spacing w:val="0"/>
          <w:w w:val="100"/>
          <w:position w:val="0"/>
        </w:rPr>
        <w:t>管理层负责按照企业会计准则的规定编制财务报表，使其实现公允反映， 并设计、执行和维护必要的内部控制，以使财务报表不存在由于舞弊或错误 导致的重大错报。</w:t>
      </w:r>
    </w:p>
    <w:p>
      <w:pPr>
        <w:pStyle w:val="Style12"/>
        <w:keepNext w:val="0"/>
        <w:keepLines w:val="0"/>
        <w:widowControl w:val="0"/>
        <w:shd w:val="clear" w:color="auto" w:fill="auto"/>
        <w:bidi w:val="0"/>
        <w:spacing w:before="0" w:after="0" w:line="620" w:lineRule="exact"/>
        <w:ind w:left="360" w:right="0" w:firstLine="600"/>
        <w:jc w:val="both"/>
      </w:pPr>
      <w:r>
        <w:rPr>
          <w:b w:val="0"/>
          <w:bCs w:val="0"/>
          <w:color w:val="000000"/>
          <w:spacing w:val="0"/>
          <w:w w:val="100"/>
          <w:position w:val="0"/>
        </w:rPr>
        <w:t>在编制财务报表时，管理层负责评估信息发展公司的持续经营能力，披 露与持续经营相关的事项（如适用），并运用持续经营假设，除非计划进行 清算、终止运营或别无其他现实的选择。</w:t>
      </w:r>
    </w:p>
    <w:p>
      <w:pPr>
        <w:pStyle w:val="Style12"/>
        <w:keepNext w:val="0"/>
        <w:keepLines w:val="0"/>
        <w:widowControl w:val="0"/>
        <w:shd w:val="clear" w:color="auto" w:fill="auto"/>
        <w:bidi w:val="0"/>
        <w:spacing w:before="0" w:after="620" w:line="620" w:lineRule="exact"/>
        <w:ind w:left="0" w:right="0" w:firstLine="940"/>
        <w:jc w:val="both"/>
      </w:pPr>
      <w:r>
        <w:rPr>
          <w:b w:val="0"/>
          <w:bCs w:val="0"/>
          <w:color w:val="000000"/>
          <w:spacing w:val="0"/>
          <w:w w:val="100"/>
          <w:position w:val="0"/>
        </w:rPr>
        <w:t>治理层负责监督信息发展公司的财务报告过程。</w:t>
      </w:r>
    </w:p>
    <w:p>
      <w:pPr>
        <w:pStyle w:val="Style12"/>
        <w:keepNext w:val="0"/>
        <w:keepLines w:val="0"/>
        <w:widowControl w:val="0"/>
        <w:shd w:val="clear" w:color="auto" w:fill="auto"/>
        <w:bidi w:val="0"/>
        <w:spacing w:before="0" w:after="0" w:line="625" w:lineRule="exact"/>
        <w:ind w:left="0" w:right="0"/>
        <w:jc w:val="both"/>
      </w:pPr>
      <w:r>
        <w:rPr>
          <w:rFonts w:ascii="Arial" w:eastAsia="Arial" w:hAnsi="Arial" w:cs="Arial"/>
          <w:b w:val="0"/>
          <w:bCs w:val="0"/>
          <w:color w:val="000000"/>
          <w:spacing w:val="0"/>
          <w:w w:val="100"/>
          <w:position w:val="0"/>
        </w:rPr>
        <w:t>1.</w:t>
      </w:r>
      <w:r>
        <w:rPr>
          <w:color w:val="000000"/>
          <w:spacing w:val="0"/>
          <w:w w:val="100"/>
          <w:position w:val="0"/>
        </w:rPr>
        <w:t>注册会计师对财务报表审计的责任</w:t>
      </w:r>
    </w:p>
    <w:p>
      <w:pPr>
        <w:pStyle w:val="Style12"/>
        <w:keepNext w:val="0"/>
        <w:keepLines w:val="0"/>
        <w:widowControl w:val="0"/>
        <w:shd w:val="clear" w:color="auto" w:fill="auto"/>
        <w:bidi w:val="0"/>
        <w:spacing w:before="0" w:after="0" w:line="625" w:lineRule="exact"/>
        <w:ind w:left="0" w:right="0" w:firstLine="600"/>
        <w:jc w:val="both"/>
      </w:pPr>
      <w:r>
        <w:rPr>
          <w:b w:val="0"/>
          <w:bCs w:val="0"/>
          <w:color w:val="000000"/>
          <w:spacing w:val="0"/>
          <w:w w:val="100"/>
          <w:position w:val="0"/>
        </w:rPr>
        <w:t>我们的目标是对财务报表整体是否不存在由于舞弊或错误导致的重大错报 获取合理保证，并出具包含审计意见的审计报告。合理保证是高水平的保证， 但并不能保证按照审计准则执行的审计在某一重大错报存在时总能发现。错报 可能由于舞弊或错误导致，如果合理预期错报单独或汇总起来可能影响财务报 表使用者依据财务报表作出的经济决策，则通常认为错报是重大的。</w:t>
      </w:r>
    </w:p>
    <w:p>
      <w:pPr>
        <w:pStyle w:val="Style12"/>
        <w:keepNext w:val="0"/>
        <w:keepLines w:val="0"/>
        <w:widowControl w:val="0"/>
        <w:shd w:val="clear" w:color="auto" w:fill="auto"/>
        <w:bidi w:val="0"/>
        <w:spacing w:before="0" w:after="0" w:line="625" w:lineRule="exact"/>
        <w:ind w:left="0" w:right="0" w:firstLine="600"/>
        <w:jc w:val="both"/>
      </w:pPr>
      <w:r>
        <w:rPr>
          <w:b w:val="0"/>
          <w:bCs w:val="0"/>
          <w:color w:val="000000"/>
          <w:spacing w:val="0"/>
          <w:w w:val="100"/>
          <w:position w:val="0"/>
        </w:rPr>
        <w:t>在按照审计准则执行审计工作的过程中，我们运用职业判断，并保持职业 怀疑。同时，我们也执行以下工作：</w:t>
      </w:r>
    </w:p>
    <w:p>
      <w:pPr>
        <w:pStyle w:val="Style12"/>
        <w:keepNext w:val="0"/>
        <w:keepLines w:val="0"/>
        <w:widowControl w:val="0"/>
        <w:shd w:val="clear" w:color="auto" w:fill="auto"/>
        <w:bidi w:val="0"/>
        <w:spacing w:before="0" w:after="0" w:line="625" w:lineRule="exact"/>
        <w:ind w:left="0" w:right="0" w:firstLine="600"/>
        <w:jc w:val="both"/>
      </w:pPr>
      <w:bookmarkStart w:id="649" w:name="bookmark649"/>
      <w:r>
        <w:rPr>
          <w:b w:val="0"/>
          <w:bCs w:val="0"/>
          <w:color w:val="000000"/>
          <w:spacing w:val="0"/>
          <w:w w:val="100"/>
          <w:position w:val="0"/>
        </w:rPr>
        <w:t>（</w:t>
      </w:r>
      <w:bookmarkEnd w:id="649"/>
      <w:r>
        <w:rPr>
          <w:b w:val="0"/>
          <w:bCs w:val="0"/>
          <w:color w:val="000000"/>
          <w:spacing w:val="0"/>
          <w:w w:val="100"/>
          <w:position w:val="0"/>
        </w:rPr>
        <w:t xml:space="preserve">一）识别和评估由于舞弊或错误导致的财务报表重大错报风险，设计和 实施审计程序以应对这些风险，并获取充分、适当的审计证据，作为发表审计 意见的基础。由于舞弊可能涉及串通、伪造、故意遗漏、虚假陈述或凌驾于内 部控制之上，未能发现由于舞弊导致的重大错报的风险高于未能发现由于错误 </w:t>
      </w:r>
      <w:r>
        <w:rPr>
          <w:b w:val="0"/>
          <w:bCs w:val="0"/>
          <w:color w:val="000000"/>
          <w:spacing w:val="0"/>
          <w:w w:val="100"/>
          <w:position w:val="0"/>
        </w:rPr>
        <w:t>导致的重大错报的风险。</w:t>
      </w:r>
    </w:p>
    <w:p>
      <w:pPr>
        <w:pStyle w:val="Style12"/>
        <w:keepNext w:val="0"/>
        <w:keepLines w:val="0"/>
        <w:widowControl w:val="0"/>
        <w:shd w:val="clear" w:color="auto" w:fill="auto"/>
        <w:tabs>
          <w:tab w:pos="1392" w:val="left"/>
        </w:tabs>
        <w:bidi w:val="0"/>
        <w:spacing w:before="0" w:after="0" w:line="624" w:lineRule="exact"/>
        <w:ind w:left="0" w:right="0"/>
        <w:jc w:val="both"/>
      </w:pPr>
      <w:bookmarkStart w:id="650" w:name="bookmark650"/>
      <w:r>
        <w:rPr>
          <w:b w:val="0"/>
          <w:bCs w:val="0"/>
          <w:color w:val="000000"/>
          <w:spacing w:val="0"/>
          <w:w w:val="100"/>
          <w:position w:val="0"/>
        </w:rPr>
        <w:t>（</w:t>
      </w:r>
      <w:bookmarkEnd w:id="650"/>
      <w:r>
        <w:rPr>
          <w:b w:val="0"/>
          <w:bCs w:val="0"/>
          <w:color w:val="000000"/>
          <w:spacing w:val="0"/>
          <w:w w:val="100"/>
          <w:position w:val="0"/>
        </w:rPr>
        <w:t>二）</w:t>
        <w:tab/>
        <w:t>了解与审计相关的内部控制，以设计恰当的审计程序。</w:t>
      </w:r>
    </w:p>
    <w:p>
      <w:pPr>
        <w:pStyle w:val="Style12"/>
        <w:keepNext w:val="0"/>
        <w:keepLines w:val="0"/>
        <w:widowControl w:val="0"/>
        <w:shd w:val="clear" w:color="auto" w:fill="auto"/>
        <w:tabs>
          <w:tab w:pos="1438" w:val="left"/>
        </w:tabs>
        <w:bidi w:val="0"/>
        <w:spacing w:before="0" w:after="0" w:line="624" w:lineRule="exact"/>
        <w:ind w:left="0" w:right="0"/>
        <w:jc w:val="both"/>
      </w:pPr>
      <w:bookmarkStart w:id="651" w:name="bookmark651"/>
      <w:r>
        <w:rPr>
          <w:b w:val="0"/>
          <w:bCs w:val="0"/>
          <w:color w:val="000000"/>
          <w:spacing w:val="0"/>
          <w:w w:val="100"/>
          <w:position w:val="0"/>
        </w:rPr>
        <w:t>（</w:t>
      </w:r>
      <w:bookmarkEnd w:id="651"/>
      <w:r>
        <w:rPr>
          <w:b w:val="0"/>
          <w:bCs w:val="0"/>
          <w:color w:val="000000"/>
          <w:spacing w:val="0"/>
          <w:w w:val="100"/>
          <w:position w:val="0"/>
        </w:rPr>
        <w:t>三）</w:t>
        <w:tab/>
        <w:t>评价管理层选用会计政策的恰当性和作出会计估计及相关披露的合 理性。</w:t>
      </w:r>
    </w:p>
    <w:p>
      <w:pPr>
        <w:pStyle w:val="Style12"/>
        <w:keepNext w:val="0"/>
        <w:keepLines w:val="0"/>
        <w:widowControl w:val="0"/>
        <w:shd w:val="clear" w:color="auto" w:fill="auto"/>
        <w:tabs>
          <w:tab w:pos="1438" w:val="left"/>
        </w:tabs>
        <w:bidi w:val="0"/>
        <w:spacing w:before="0" w:after="0" w:line="624" w:lineRule="exact"/>
        <w:ind w:left="0" w:right="0"/>
        <w:jc w:val="both"/>
      </w:pPr>
      <w:bookmarkStart w:id="652" w:name="bookmark652"/>
      <w:r>
        <w:rPr>
          <w:b w:val="0"/>
          <w:bCs w:val="0"/>
          <w:color w:val="000000"/>
          <w:spacing w:val="0"/>
          <w:w w:val="100"/>
          <w:position w:val="0"/>
        </w:rPr>
        <w:t>（</w:t>
      </w:r>
      <w:bookmarkEnd w:id="652"/>
      <w:r>
        <w:rPr>
          <w:b w:val="0"/>
          <w:bCs w:val="0"/>
          <w:color w:val="000000"/>
          <w:spacing w:val="0"/>
          <w:w w:val="100"/>
          <w:position w:val="0"/>
        </w:rPr>
        <w:t>四）</w:t>
        <w:tab/>
        <w:t>对管理层使用持续经营假设的恰当性得出结论。同时，根据获取的 审计证据，就可能导致对信息发展公司持续经营能力产生重大疑虑的事项或情 况是否存在重大不确定性得出结论。如果我们得出结论认为存在重大不确定性， 审计准则要求我们在审计报告中提请报表使用者注意财务报表中的相关披露； 如果披露不充分，我们应当发表非无保留意见。我们的结论基于截至审计报告 日可获得的信息。然而，未来的事项或情况可能导致信息发展公司不能持续经 营。</w:t>
      </w:r>
    </w:p>
    <w:p>
      <w:pPr>
        <w:pStyle w:val="Style12"/>
        <w:keepNext w:val="0"/>
        <w:keepLines w:val="0"/>
        <w:widowControl w:val="0"/>
        <w:shd w:val="clear" w:color="auto" w:fill="auto"/>
        <w:tabs>
          <w:tab w:pos="1443" w:val="left"/>
        </w:tabs>
        <w:bidi w:val="0"/>
        <w:spacing w:before="0" w:after="0" w:line="624" w:lineRule="exact"/>
        <w:ind w:left="0" w:right="0"/>
        <w:jc w:val="both"/>
      </w:pPr>
      <w:bookmarkStart w:id="653" w:name="bookmark653"/>
      <w:r>
        <w:rPr>
          <w:b w:val="0"/>
          <w:bCs w:val="0"/>
          <w:color w:val="000000"/>
          <w:spacing w:val="0"/>
          <w:w w:val="100"/>
          <w:position w:val="0"/>
        </w:rPr>
        <w:t>（</w:t>
      </w:r>
      <w:bookmarkEnd w:id="653"/>
      <w:r>
        <w:rPr>
          <w:b w:val="0"/>
          <w:bCs w:val="0"/>
          <w:color w:val="000000"/>
          <w:spacing w:val="0"/>
          <w:w w:val="100"/>
          <w:position w:val="0"/>
        </w:rPr>
        <w:t>五）</w:t>
        <w:tab/>
        <w:t>评价财务报表的总体列报（包括披露）、结构和内容，并评价财务 报表是否公允反映相关交易和事项。</w:t>
      </w:r>
    </w:p>
    <w:p>
      <w:pPr>
        <w:pStyle w:val="Style12"/>
        <w:keepNext w:val="0"/>
        <w:keepLines w:val="0"/>
        <w:widowControl w:val="0"/>
        <w:shd w:val="clear" w:color="auto" w:fill="auto"/>
        <w:tabs>
          <w:tab w:pos="1438" w:val="left"/>
        </w:tabs>
        <w:bidi w:val="0"/>
        <w:spacing w:before="0" w:after="0" w:line="624" w:lineRule="exact"/>
        <w:ind w:left="0" w:right="0"/>
        <w:jc w:val="both"/>
      </w:pPr>
      <w:bookmarkStart w:id="654" w:name="bookmark654"/>
      <w:r>
        <w:rPr>
          <w:b w:val="0"/>
          <w:bCs w:val="0"/>
          <w:color w:val="000000"/>
          <w:spacing w:val="0"/>
          <w:w w:val="100"/>
          <w:position w:val="0"/>
        </w:rPr>
        <w:t>（</w:t>
      </w:r>
      <w:bookmarkEnd w:id="654"/>
      <w:r>
        <w:rPr>
          <w:b w:val="0"/>
          <w:bCs w:val="0"/>
          <w:color w:val="000000"/>
          <w:spacing w:val="0"/>
          <w:w w:val="100"/>
          <w:position w:val="0"/>
        </w:rPr>
        <w:t>六）</w:t>
        <w:tab/>
        <w:t>就信息发展公司中实体或业务活动的财务信息获取充分、适当的审 计证据，以对合并财务报表发表审计意见。我们负责指导、监督和执行集团审 计，并对审计意见承担全部责任。</w:t>
      </w:r>
    </w:p>
    <w:p>
      <w:pPr>
        <w:pStyle w:val="Style12"/>
        <w:keepNext w:val="0"/>
        <w:keepLines w:val="0"/>
        <w:widowControl w:val="0"/>
        <w:shd w:val="clear" w:color="auto" w:fill="auto"/>
        <w:bidi w:val="0"/>
        <w:spacing w:before="0" w:after="0" w:line="624" w:lineRule="exact"/>
        <w:ind w:left="0" w:right="0"/>
        <w:jc w:val="both"/>
      </w:pPr>
      <w:r>
        <w:rPr>
          <w:b w:val="0"/>
          <w:bCs w:val="0"/>
          <w:color w:val="000000"/>
          <w:spacing w:val="0"/>
          <w:w w:val="100"/>
          <w:position w:val="0"/>
        </w:rPr>
        <w:t>我们与治理层就计划的审计范围、时间安排和重大审计发现等事项进行沟 通，包括沟通我们在审计中识别出的值得关注的内部控制缺陷。</w:t>
      </w:r>
    </w:p>
    <w:p>
      <w:pPr>
        <w:pStyle w:val="Style12"/>
        <w:keepNext w:val="0"/>
        <w:keepLines w:val="0"/>
        <w:widowControl w:val="0"/>
        <w:shd w:val="clear" w:color="auto" w:fill="auto"/>
        <w:bidi w:val="0"/>
        <w:spacing w:before="0" w:after="0" w:line="624" w:lineRule="exact"/>
        <w:ind w:left="0" w:right="0"/>
        <w:jc w:val="both"/>
      </w:pPr>
      <w:r>
        <w:rPr>
          <w:b w:val="0"/>
          <w:bCs w:val="0"/>
          <w:color w:val="000000"/>
          <w:spacing w:val="0"/>
          <w:w w:val="100"/>
          <w:position w:val="0"/>
        </w:rPr>
        <w:t>我们还就已遵守与独立性相关的职业道德要求向治理层提供声明，并与治 理层沟通可能被合理认为影响我们独立性的所有关系和其他事项，以及相关的 防范措施（如适用）。</w:t>
      </w:r>
    </w:p>
    <w:p>
      <w:pPr>
        <w:pStyle w:val="Style12"/>
        <w:keepNext w:val="0"/>
        <w:keepLines w:val="0"/>
        <w:widowControl w:val="0"/>
        <w:shd w:val="clear" w:color="auto" w:fill="auto"/>
        <w:bidi w:val="0"/>
        <w:spacing w:before="0" w:after="1240" w:line="624" w:lineRule="exact"/>
        <w:ind w:left="0" w:right="0"/>
        <w:jc w:val="both"/>
      </w:pPr>
      <w:r>
        <w:rPr>
          <w:b w:val="0"/>
          <w:bCs w:val="0"/>
          <w:color w:val="000000"/>
          <w:spacing w:val="0"/>
          <w:w w:val="100"/>
          <w:position w:val="0"/>
        </w:rPr>
        <w:t xml:space="preserve">从与治理层沟通过的事项中，我们确定哪些事项对本期财务报表审计最为 </w:t>
      </w:r>
      <w:r>
        <w:rPr>
          <w:b w:val="0"/>
          <w:bCs w:val="0"/>
          <w:color w:val="000000"/>
          <w:spacing w:val="0"/>
          <w:w w:val="100"/>
          <w:position w:val="0"/>
        </w:rPr>
        <w:t>重要，因而构成关键审计事项。我们在审计报告中描述这些事项，除非法律法 规禁止公开披露这些事项，或在极少数情形下，如果合理预期在审计报告中沟 通某事项造成的负面后果超过在公众利益方面产生的益处，我们确定不应在审 计报告中沟通该事项。</w:t>
      </w:r>
    </w:p>
    <w:p>
      <w:pPr>
        <w:pStyle w:val="Style12"/>
        <w:keepNext w:val="0"/>
        <w:keepLines w:val="0"/>
        <w:widowControl w:val="0"/>
        <w:shd w:val="clear" w:color="auto" w:fill="auto"/>
        <w:bidi w:val="0"/>
        <w:spacing w:before="0" w:after="0" w:line="624" w:lineRule="exact"/>
        <w:ind w:left="0" w:right="0"/>
        <w:jc w:val="left"/>
      </w:pPr>
      <w:r>
        <w:rPr>
          <w:color w:val="000000"/>
          <w:spacing w:val="0"/>
          <w:w w:val="100"/>
          <w:position w:val="0"/>
        </w:rPr>
        <w:t>立信会计师事务所中国注册会计师：</w:t>
      </w:r>
    </w:p>
    <w:p>
      <w:pPr>
        <w:pStyle w:val="Style12"/>
        <w:keepNext w:val="0"/>
        <w:keepLines w:val="0"/>
        <w:widowControl w:val="0"/>
        <w:shd w:val="clear" w:color="auto" w:fill="auto"/>
        <w:tabs>
          <w:tab w:pos="3546" w:val="left"/>
        </w:tabs>
        <w:bidi w:val="0"/>
        <w:spacing w:before="0" w:after="4680" w:line="624" w:lineRule="exact"/>
        <w:ind w:left="0" w:right="0"/>
        <w:jc w:val="left"/>
      </w:pPr>
      <w:r>
        <w:rPr>
          <w:color w:val="000000"/>
          <w:spacing w:val="0"/>
          <w:w w:val="100"/>
          <w:position w:val="0"/>
        </w:rPr>
        <w:t>（特殊普通合伙）</w:t>
        <w:tab/>
        <w:t>（项目合伙人）</w:t>
      </w:r>
    </w:p>
    <w:p>
      <w:pPr>
        <w:pStyle w:val="Style12"/>
        <w:keepNext w:val="0"/>
        <w:keepLines w:val="0"/>
        <w:widowControl w:val="0"/>
        <w:shd w:val="clear" w:color="auto" w:fill="auto"/>
        <w:bidi w:val="0"/>
        <w:spacing w:before="0" w:after="1560" w:line="240" w:lineRule="auto"/>
        <w:ind w:left="0" w:right="0" w:firstLine="0"/>
        <w:jc w:val="center"/>
      </w:pPr>
      <w:r>
        <w:rPr>
          <w:color w:val="000000"/>
          <w:spacing w:val="0"/>
          <w:w w:val="100"/>
          <w:position w:val="0"/>
        </w:rPr>
        <w:t>中国注册会计师:</w:t>
      </w:r>
    </w:p>
    <w:p>
      <w:pPr>
        <w:pStyle w:val="Style12"/>
        <w:keepNext w:val="0"/>
        <w:keepLines w:val="0"/>
        <w:widowControl w:val="0"/>
        <w:shd w:val="clear" w:color="auto" w:fill="auto"/>
        <w:tabs>
          <w:tab w:pos="3110" w:val="left"/>
        </w:tabs>
        <w:bidi w:val="0"/>
        <w:spacing w:before="0" w:after="0" w:line="240" w:lineRule="auto"/>
        <w:ind w:left="0" w:right="0" w:firstLine="84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上海</w:t>
        <w:tab/>
        <w:t>二</w:t>
      </w:r>
      <w:r>
        <w:rPr>
          <w:rFonts w:ascii="Times New Roman" w:eastAsia="Times New Roman" w:hAnsi="Times New Roman" w:cs="Times New Roman"/>
          <w:color w:val="000000"/>
          <w:spacing w:val="0"/>
          <w:w w:val="100"/>
          <w:position w:val="0"/>
          <w:sz w:val="28"/>
          <w:szCs w:val="28"/>
        </w:rPr>
        <w:t>O</w:t>
      </w:r>
      <w:r>
        <w:rPr>
          <w:color w:val="000000"/>
          <w:spacing w:val="0"/>
          <w:w w:val="100"/>
          <w:position w:val="0"/>
        </w:rPr>
        <w:t>二二年四月二十六日</w:t>
      </w:r>
      <w:r>
        <w:br w:type="page"/>
      </w:r>
    </w:p>
    <w:p>
      <w:pPr>
        <w:pStyle w:val="Style22"/>
        <w:keepNext/>
        <w:keepLines/>
        <w:widowControl w:val="0"/>
        <w:shd w:val="clear" w:color="auto" w:fill="auto"/>
        <w:bidi w:val="0"/>
        <w:spacing w:before="0" w:after="380" w:line="240" w:lineRule="auto"/>
        <w:ind w:left="0" w:right="0" w:firstLine="0"/>
        <w:jc w:val="left"/>
      </w:pPr>
      <w:bookmarkStart w:id="655" w:name="bookmark655"/>
      <w:bookmarkStart w:id="656" w:name="bookmark656"/>
      <w:bookmarkStart w:id="657" w:name="bookmark657"/>
      <w:r>
        <w:rPr>
          <w:color w:val="000000"/>
          <w:spacing w:val="0"/>
          <w:w w:val="100"/>
          <w:position w:val="0"/>
        </w:rPr>
        <w:t>二、财务报表</w:t>
      </w:r>
      <w:bookmarkEnd w:id="655"/>
      <w:bookmarkEnd w:id="656"/>
      <w:bookmarkEnd w:id="657"/>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财务附注中报表的单位为：元</w:t>
      </w:r>
    </w:p>
    <w:p>
      <w:pPr>
        <w:pStyle w:val="Style28"/>
        <w:keepNext/>
        <w:keepLines/>
        <w:widowControl w:val="0"/>
        <w:shd w:val="clear" w:color="auto" w:fill="auto"/>
        <w:bidi w:val="0"/>
        <w:spacing w:before="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color w:val="000000"/>
          <w:spacing w:val="0"/>
          <w:w w:val="100"/>
          <w:position w:val="0"/>
        </w:rPr>
        <w:t>、合并资产负债表</w:t>
      </w:r>
      <w:bookmarkEnd w:id="658"/>
      <w:bookmarkEnd w:id="659"/>
      <w:bookmarkEnd w:id="661"/>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编制单位：上海信联信息发展股份有限公司</w:t>
      </w:r>
    </w:p>
    <w:p>
      <w:pPr>
        <w:pStyle w:val="Style18"/>
        <w:keepNext w:val="0"/>
        <w:keepLines w:val="0"/>
        <w:widowControl w:val="0"/>
        <w:shd w:val="clear" w:color="auto" w:fill="auto"/>
        <w:bidi w:val="0"/>
        <w:spacing w:before="0" w:after="14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p>
      <w:pPr>
        <w:pStyle w:val="Style24"/>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103,331,692.34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108,601,727.52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265,598,380.09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334,874,982.11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11,628,347.61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48,843,719.85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20,325,493.04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31,335,157.70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2,351,368.33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68,884,706.80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90,819,942.34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12,896,269.93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15,587,730.28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8,030,160.00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26,235.79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482,691,125.60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638,093,587.16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103,371,340.27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20,902,700.00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14,796,700.00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285,608,954.15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8,444,004.81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280,615,550.62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5,684,105.38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30,101,480.11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32,277,510.87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10,737,367.68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10,737,367.68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38,794,192.70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48,416,168.92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495,200,140.29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395,287,302.90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977,891,265.89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1,033,380,890.06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150,291,888.89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169,826,416.44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33,799,683.12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180,772,140.52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136,702,539.47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92,697,970.06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137,141,688.82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12,643,505.54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12,389,069.34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49,514,527.89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42,297,068.20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99,822,038.08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25,983,915.06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276,018.65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23,504,857.56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80,211,397.26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8,057,612.96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11,857,343.89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617,304,541.50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650,209,121.60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132,600,000.00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874,623.19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6,615,833.33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48,518,000.00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2,735,175.02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277,835.02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142,825,631.54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88,795,835.02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760,130,173.04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739,004,956.62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205,135,376.00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205,135,376.00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46,810,718.94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48,711,445.18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20,005,180.20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20,005,180.20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21,201,618.43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21,201,618.43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-100,325,570.51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-19,805,785.83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152,816,962.66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235,237,473.58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64,944,130.19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59,138,459.86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217,761,092.85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294,375,933.44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977,891,265.89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1,033,380,890.06</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8" behindDoc="0" locked="0" layoutInCell="1" allowOverlap="1">
                <wp:simplePos x="0" y="0"/>
                <wp:positionH relativeFrom="page">
                  <wp:posOffset>702945</wp:posOffset>
                </wp:positionH>
                <wp:positionV relativeFrom="margin">
                  <wp:posOffset>2198370</wp:posOffset>
                </wp:positionV>
                <wp:extent cx="1054735" cy="149225"/>
                <wp:wrapTopAndBottom/>
                <wp:docPr id="23" name="Shape 2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法定代表人：张曙华</w:t>
                            </w:r>
                          </w:p>
                        </w:txbxContent>
                      </wps:txbx>
                      <wps:bodyPr wrap="none" lIns="0" tIns="0" rIns="0" bIns="0">
                        <a:noAutoFit/>
                      </wps:bodyPr>
                    </wps:wsp>
                  </a:graphicData>
                </a:graphic>
              </wp:anchor>
            </w:drawing>
          </mc:Choice>
          <mc:Fallback>
            <w:pict>
              <v:shape id="_x0000_s1049" type="#_x0000_t202" style="position:absolute;margin-left:55.350000000000001pt;margin-top:173.09999999999999pt;width:83.049999999999997pt;height:11.75pt;z-index:-125829365;mso-wrap-distance-left:9.pt;mso-wrap-distance-top:12.pt;mso-wrap-distance-right:405.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法定代表人：张曙华</w:t>
                      </w:r>
                    </w:p>
                  </w:txbxContent>
                </v:textbox>
                <w10:wrap type="topAndBottom" anchorx="page" anchory="margin"/>
              </v:shape>
            </w:pict>
          </mc:Fallback>
        </mc:AlternateContent>
      </w:r>
      <w:r>
        <mc:AlternateContent>
          <mc:Choice Requires="wps">
            <w:drawing>
              <wp:anchor distT="152400" distB="3175" distL="2403475" distR="2519045" simplePos="0" relativeHeight="125829390" behindDoc="0" locked="0" layoutInCell="1" allowOverlap="1">
                <wp:simplePos x="0" y="0"/>
                <wp:positionH relativeFrom="page">
                  <wp:posOffset>2992120</wp:posOffset>
                </wp:positionH>
                <wp:positionV relativeFrom="margin">
                  <wp:posOffset>2198370</wp:posOffset>
                </wp:positionV>
                <wp:extent cx="1393190" cy="146050"/>
                <wp:wrapTopAndBottom/>
                <wp:docPr id="25" name="Shape 2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主管会计工作负责人：赵艳</w:t>
                            </w:r>
                          </w:p>
                        </w:txbxContent>
                      </wps:txbx>
                      <wps:bodyPr wrap="none" lIns="0" tIns="0" rIns="0" bIns="0">
                        <a:noAutoFit/>
                      </wps:bodyPr>
                    </wps:wsp>
                  </a:graphicData>
                </a:graphic>
              </wp:anchor>
            </w:drawing>
          </mc:Choice>
          <mc:Fallback>
            <w:pict>
              <v:shape id="_x0000_s1051" type="#_x0000_t202" style="position:absolute;margin-left:235.59999999999999pt;margin-top:173.09999999999999pt;width:109.7pt;height:11.5pt;z-index:-125829363;mso-wrap-distance-left:189.25pt;mso-wrap-distance-top:12.pt;mso-wrap-distance-right:198.34999999999999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主管会计工作负责人：赵艳</w:t>
                      </w:r>
                    </w:p>
                  </w:txbxContent>
                </v:textbox>
                <w10:wrap type="topAndBottom" anchorx="page" anchory="margin"/>
              </v:shape>
            </w:pict>
          </mc:Fallback>
        </mc:AlternateContent>
      </w:r>
      <w:r>
        <mc:AlternateContent>
          <mc:Choice Requires="wps">
            <w:drawing>
              <wp:anchor distT="152400" distB="0" distL="5027930" distR="114300" simplePos="0" relativeHeight="125829392" behindDoc="0" locked="0" layoutInCell="1" allowOverlap="1">
                <wp:simplePos x="0" y="0"/>
                <wp:positionH relativeFrom="page">
                  <wp:posOffset>5616575</wp:posOffset>
                </wp:positionH>
                <wp:positionV relativeFrom="margin">
                  <wp:posOffset>2198370</wp:posOffset>
                </wp:positionV>
                <wp:extent cx="1173480" cy="149225"/>
                <wp:wrapTopAndBottom/>
                <wp:docPr id="27" name="Shape 27"/>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会计机构负责人：赵艳</w:t>
                            </w:r>
                          </w:p>
                        </w:txbxContent>
                      </wps:txbx>
                      <wps:bodyPr wrap="none" lIns="0" tIns="0" rIns="0" bIns="0">
                        <a:noAutoFit/>
                      </wps:bodyPr>
                    </wps:wsp>
                  </a:graphicData>
                </a:graphic>
              </wp:anchor>
            </w:drawing>
          </mc:Choice>
          <mc:Fallback>
            <w:pict>
              <v:shape id="_x0000_s1053" type="#_x0000_t202" style="position:absolute;margin-left:442.25pt;margin-top:173.09999999999999pt;width:92.400000000000006pt;height:11.75pt;z-index:-125829361;mso-wrap-distance-left:395.90000000000003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会计机构负责人：赵艳</w:t>
                      </w:r>
                    </w:p>
                  </w:txbxContent>
                </v:textbox>
                <w10:wrap type="topAndBottom" anchorx="page" anchory="margin"/>
              </v:shape>
            </w:pict>
          </mc:Fallback>
        </mc:AlternateContent>
      </w: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2</w:t>
      </w:r>
      <w:bookmarkEnd w:id="664"/>
      <w:r>
        <w:rPr>
          <w:color w:val="000000"/>
          <w:spacing w:val="0"/>
          <w:w w:val="100"/>
          <w:position w:val="0"/>
        </w:rPr>
        <w:t>、母公司资产负债表</w:t>
      </w:r>
      <w:bookmarkEnd w:id="662"/>
      <w:bookmarkEnd w:id="663"/>
      <w:bookmarkEnd w:id="665"/>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52,270,480.97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75,345,145.35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210,599,360.59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303,025,596.65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162,968,928.27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49,076,125.42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17,087,145.55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128,426,926.23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1,338,015.53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2,397,996.11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25,455,457.17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69,667,426.89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11,556,746.79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13,860,124.17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8,030,160.00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479,938,119.34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647,431,504.71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216,171,340.27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110,100,000.00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3,785,166.37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4,927,680.05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3,469,093.88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4,023,066.64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5,649,637.53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29,752,450.49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39,790,906.12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257,201,117.65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160,468,223.70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737,139,236.99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807,899,728.41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130,279,805.56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149,807,109.59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43,799,683.12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138,460,192.05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135,758,402.88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51,712,638.30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88,666,623.60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3,796,317.87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9,056,754.59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35,014,683.91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37,142,259.83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206,926,242.39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117,824,567.59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14,915,381.24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4,902,368.90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6,802,871.99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596,007,630.22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588,858,273.19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42,593,000.00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48,800,000.00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42,593,000.00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644,807,630.22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631,451,273.19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205,135,376.00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205,135,376.00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25,967,146.32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27,867,872.56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20,005,180.20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20,005,180.20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21,201,618.43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21,201,618.43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-139,967,353.78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-57,751,231.57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92,331,606.77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176,448,455.22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737,139,236.99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807,899,728.41</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3</w:t>
      </w:r>
      <w:bookmarkEnd w:id="668"/>
      <w:r>
        <w:rPr>
          <w:color w:val="000000"/>
          <w:spacing w:val="0"/>
          <w:w w:val="100"/>
          <w:position w:val="0"/>
        </w:rPr>
        <w:t>、合并利润表</w:t>
      </w:r>
      <w:bookmarkEnd w:id="666"/>
      <w:bookmarkEnd w:id="667"/>
      <w:bookmarkEnd w:id="669"/>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421,887,031.72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571,998,524.56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421,887,031.72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571,998,524.56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495,367,814.28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639,590,351.80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317,802,105.22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437,243,767.37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920"/>
              <w:jc w:val="left"/>
              <w:rPr>
                <w:sz w:val="17"/>
                <w:szCs w:val="17"/>
              </w:rPr>
            </w:pPr>
            <w:r>
              <w:rPr>
                <w:color w:val="000000"/>
                <w:spacing w:val="0"/>
                <w:w w:val="100"/>
                <w:position w:val="0"/>
                <w:sz w:val="17"/>
                <w:szCs w:val="17"/>
              </w:rPr>
              <w:t>提取保险责任合同准备金</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3,899,607.08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4,054,794.89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48,047,234.38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55,802,218.71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66,274,500.81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68,563,023.43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44,434,765.67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58,022,569.69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14,909,601.12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15,903,977.71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14,784,910.92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18,260,859.20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130,289.08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3,202,554.47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52,698,007.32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12,840,492.36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-728,659.73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740"/>
              <w:jc w:val="left"/>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-728,659.73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4,421,062.87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-37,226,603.82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-7,393,866.91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-7,446,249.85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-8,097,811.60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44,160.85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111,689.43</w:t>
            </w: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-60,034,127.79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-65,410,261.09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1,226,355.53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1,249,459.26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-61,258,983.32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-66,651,420.35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13,455,131.03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-4,716,638.31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-74,714,114.35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-61,934,782.04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-74,714,114.35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-61,934,782.04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-80,519,784.68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-63,858,650.62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5,805,670.33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1,923,868.58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20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-74,714,114.35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-61,934,782.04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-80,519,784.68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-63,858,650.62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5,805,670.33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1,923,868.58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本期发生同一控制下企业合并的，被合并方在合并前实现的净利润为：元，上期被合并方实现的净利润为：元。</w:t>
      </w:r>
    </w:p>
    <w:p>
      <w:pPr>
        <w:pStyle w:val="Style24"/>
        <w:keepNext w:val="0"/>
        <w:keepLines w:val="0"/>
        <w:widowControl w:val="0"/>
        <w:shd w:val="clear" w:color="auto" w:fill="auto"/>
        <w:tabs>
          <w:tab w:pos="3600" w:val="left"/>
          <w:tab w:pos="7709" w:val="left"/>
        </w:tabs>
        <w:bidi w:val="0"/>
        <w:spacing w:before="0" w:after="400" w:line="240" w:lineRule="auto"/>
        <w:ind w:left="0" w:right="0" w:firstLine="0"/>
        <w:jc w:val="left"/>
        <w:rPr>
          <w:sz w:val="17"/>
          <w:szCs w:val="17"/>
        </w:rPr>
      </w:pPr>
      <w:r>
        <w:rPr>
          <w:color w:val="000000"/>
          <w:spacing w:val="0"/>
          <w:w w:val="100"/>
          <w:position w:val="0"/>
          <w:sz w:val="17"/>
          <w:szCs w:val="17"/>
        </w:rPr>
        <w:t>法定代表人：张曙华</w:t>
        <w:tab/>
        <w:t>主管会计工作负责人：赵艳</w:t>
        <w:tab/>
        <w:t>会计机构负责人：赵艳</w:t>
      </w:r>
    </w:p>
    <w:p>
      <w:pPr>
        <w:pStyle w:val="Style28"/>
        <w:keepNext/>
        <w:keepLines/>
        <w:widowControl w:val="0"/>
        <w:shd w:val="clear" w:color="auto" w:fill="auto"/>
        <w:bidi w:val="0"/>
        <w:spacing w:before="0" w:after="40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4</w:t>
      </w:r>
      <w:bookmarkEnd w:id="672"/>
      <w:r>
        <w:rPr>
          <w:color w:val="000000"/>
          <w:spacing w:val="0"/>
          <w:w w:val="100"/>
          <w:position w:val="0"/>
        </w:rPr>
        <w:t>、母公司利润表</w:t>
      </w:r>
      <w:bookmarkEnd w:id="670"/>
      <w:bookmarkEnd w:id="671"/>
      <w:bookmarkEnd w:id="673"/>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249,091,680.24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457,444,944.70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235,397,401.35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401,284,426.56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779,951.99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988,687.26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14,825,780.74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44,182,556.55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45,755,320.49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52,265,089.42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16,693,461.45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30,638,689.71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11,429,018.64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11,553,220.65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12,632,218.35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13,428,155.97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1,370,236.66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2,644,704.07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47,438,862.01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10,563,207.81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-728,659.73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-728,659.73</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-375,637.13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-34,882,328.44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-6,585,011.06</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-7,055,990.82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-8,015,074.67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111,689.43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-70,973,210.55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-87,468,551.07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1,185,355.53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1,228,809.26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-72,157,066.08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-88,690,060.33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10,059,056.13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-3,355,057.54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-82,216,122.21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-85,335,002.79</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-82,216,122.21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-85,335,002.79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-82,216,122.21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-85,335,002.79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5</w:t>
      </w:r>
      <w:bookmarkEnd w:id="676"/>
      <w:r>
        <w:rPr>
          <w:color w:val="000000"/>
          <w:spacing w:val="0"/>
          <w:w w:val="100"/>
          <w:position w:val="0"/>
        </w:rPr>
        <w:t>、合并现金流量表</w:t>
      </w:r>
      <w:bookmarkEnd w:id="674"/>
      <w:bookmarkEnd w:id="675"/>
      <w:bookmarkEnd w:id="677"/>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470,573,350.51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562,479,832.15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64,194,110.15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79,407,082.13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534,767,460.66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641,886,914.28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216,990,623.65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326,411,362.02</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168,891,572.89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168,700,425.68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21,286,533.43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16,862,898.89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88,838,209.70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105,452,629.33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496,006,939.67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617,427,315.92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38,760,520.99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24,459,598.36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12,300,000.00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2,351,368.33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25,643,181.71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243,094.77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2,408,548.33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38,186,276.48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8,635,418.84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27,412,972.91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15,182,500.00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23,635,418.84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42,595,472.91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-21,226,870.51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-4,409,196.43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380"/>
              <w:jc w:val="both"/>
              <w:rPr>
                <w:sz w:val="17"/>
                <w:szCs w:val="17"/>
              </w:rPr>
            </w:pPr>
            <w:r>
              <w:rPr>
                <w:color w:val="000000"/>
                <w:spacing w:val="0"/>
                <w:w w:val="100"/>
                <w:position w:val="0"/>
                <w:sz w:val="17"/>
                <w:szCs w:val="17"/>
              </w:rPr>
              <w:t>其中：子公司吸收少数股东投资</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521,480,000.00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229,500,000.00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1,122,200.00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521,480,000.00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230,802,200.00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509,480,000.00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347,000,000.00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15,265,117.58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17,441,799.71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12,035,364.87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536,780,482.45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364,591,799.71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-15,300,482.45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-133,789,599.71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2,233,168.03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-113,739,197.78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90,223,990.32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203,963,188.10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92,457,158.35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90,223,990.32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6</w:t>
      </w:r>
      <w:bookmarkEnd w:id="680"/>
      <w:r>
        <w:rPr>
          <w:color w:val="000000"/>
          <w:spacing w:val="0"/>
          <w:w w:val="100"/>
          <w:position w:val="0"/>
        </w:rPr>
        <w:t>、母公司现金流量表</w:t>
      </w:r>
      <w:bookmarkEnd w:id="678"/>
      <w:bookmarkEnd w:id="679"/>
      <w:bookmarkEnd w:id="681"/>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303,731,646.36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441,589,412.16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56,799,415.27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60,058,410.20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360,531,061.63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501,647,822.36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346,182,151.85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321,679,129.59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69,292,512.39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98,368,373.76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12,793,098.59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5,310,775.05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61,618,469.27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85,803,334.83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489,886,232.10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511,161,613.23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-129,355,170.47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-9,513,790.87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2,351,368.33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25,643,181.71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16,892,025.28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243,094.77</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144,243,393.61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29,186,276.48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1,167,290.02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4,335,808.81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57,700,000.00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45,290,000.00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58,867,290.02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49,625,808.81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85,376,103.59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-20,439,532.33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424,580,000.00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1,122,200.00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424,580,000.00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240,122,200.00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383,080,000.00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309,500,000.00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9,421,589.83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9,187,364.59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6,290,967.71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398,792,557.54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318,837,364.59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25,787,442.46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-78,715,164.59</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-18,191,624.42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-108,668,487.79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60,593,483.15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169,261,970.94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42,401,858.73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60,593,483.15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7</w:t>
      </w:r>
      <w:bookmarkEnd w:id="684"/>
      <w:r>
        <w:rPr>
          <w:color w:val="000000"/>
          <w:spacing w:val="0"/>
          <w:w w:val="100"/>
          <w:position w:val="0"/>
        </w:rPr>
        <w:t>、合并所有者权益变动表</w:t>
      </w:r>
      <w:bookmarkEnd w:id="682"/>
      <w:bookmarkEnd w:id="683"/>
      <w:bookmarkEnd w:id="685"/>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本期金额</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58"/>
        <w:gridCol w:w="7147"/>
        <w:gridCol w:w="586"/>
        <w:gridCol w:w="586"/>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资本</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综合</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专项</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未分</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配利</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股东</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者权</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益合</w:t>
            </w:r>
          </w:p>
          <w:p>
            <w:pPr>
              <w:pStyle w:val="Style18"/>
              <w:keepNext w:val="0"/>
              <w:keepLines w:val="0"/>
              <w:widowControl w:val="0"/>
              <w:shd w:val="clear" w:color="auto" w:fill="auto"/>
              <w:bidi w:val="0"/>
              <w:spacing w:before="0" w:after="100" w:line="240" w:lineRule="auto"/>
              <w:ind w:left="0" w:right="180" w:firstLine="0"/>
              <w:jc w:val="right"/>
              <w:rPr>
                <w:sz w:val="17"/>
                <w:szCs w:val="17"/>
              </w:rPr>
            </w:pPr>
            <w:r>
              <w:rPr>
                <w:color w:val="000000"/>
                <w:spacing w:val="0"/>
                <w:w w:val="100"/>
                <w:position w:val="0"/>
                <w:sz w:val="17"/>
                <w:szCs w:val="17"/>
              </w:rPr>
              <w:t>计</w:t>
            </w:r>
          </w:p>
        </w:tc>
      </w:tr>
      <w:tr>
        <w:trPr>
          <w:trHeight w:val="71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205,1</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35,37</w:t>
            </w:r>
          </w:p>
          <w:p>
            <w:pPr>
              <w:pStyle w:val="Style18"/>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48,711 </w:t>
            </w:r>
            <w:r>
              <w:rPr>
                <w:rFonts w:ascii="Times New Roman" w:eastAsia="Times New Roman" w:hAnsi="Times New Roman" w:cs="Times New Roman"/>
                <w:color w:val="000000"/>
                <w:spacing w:val="0"/>
                <w:w w:val="100"/>
                <w:position w:val="0"/>
              </w:rPr>
              <w:t>,445.1</w:t>
            </w:r>
          </w:p>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20,005 </w:t>
            </w:r>
            <w:r>
              <w:rPr>
                <w:rFonts w:ascii="Times New Roman" w:eastAsia="Times New Roman" w:hAnsi="Times New Roman" w:cs="Times New Roman"/>
                <w:color w:val="000000"/>
                <w:spacing w:val="0"/>
                <w:w w:val="100"/>
                <w:position w:val="0"/>
              </w:rPr>
              <w:t xml:space="preserve">,180.2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21,201 </w:t>
            </w:r>
            <w:r>
              <w:rPr>
                <w:rFonts w:ascii="Times New Roman" w:eastAsia="Times New Roman" w:hAnsi="Times New Roman" w:cs="Times New Roman"/>
                <w:color w:val="000000"/>
                <w:spacing w:val="0"/>
                <w:w w:val="100"/>
                <w:position w:val="0"/>
              </w:rPr>
              <w:t xml:space="preserve">,618.4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-19,80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5,785.</w:t>
            </w:r>
          </w:p>
          <w:p>
            <w:pPr>
              <w:pStyle w:val="Style18"/>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235,23</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7,473.</w:t>
            </w:r>
          </w:p>
          <w:p>
            <w:pPr>
              <w:pStyle w:val="Style18"/>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59,138</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,459.8</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294,37</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5,933.</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740"/>
              <w:jc w:val="both"/>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205,1</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35,37</w:t>
            </w:r>
          </w:p>
          <w:p>
            <w:pPr>
              <w:pStyle w:val="Style18"/>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48,711 </w:t>
            </w:r>
            <w:r>
              <w:rPr>
                <w:rFonts w:ascii="Times New Roman" w:eastAsia="Times New Roman" w:hAnsi="Times New Roman" w:cs="Times New Roman"/>
                <w:color w:val="000000"/>
                <w:spacing w:val="0"/>
                <w:w w:val="100"/>
                <w:position w:val="0"/>
              </w:rPr>
              <w:t xml:space="preserve">,445.1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20,005 </w:t>
            </w:r>
            <w:r>
              <w:rPr>
                <w:rFonts w:ascii="Times New Roman" w:eastAsia="Times New Roman" w:hAnsi="Times New Roman" w:cs="Times New Roman"/>
                <w:color w:val="000000"/>
                <w:spacing w:val="0"/>
                <w:w w:val="100"/>
                <w:position w:val="0"/>
              </w:rPr>
              <w:t xml:space="preserve">,180.2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21,201 </w:t>
            </w:r>
            <w:r>
              <w:rPr>
                <w:rFonts w:ascii="Times New Roman" w:eastAsia="Times New Roman" w:hAnsi="Times New Roman" w:cs="Times New Roman"/>
                <w:color w:val="000000"/>
                <w:spacing w:val="0"/>
                <w:w w:val="100"/>
                <w:position w:val="0"/>
              </w:rPr>
              <w:t xml:space="preserve">,618.4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-19,80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5,785.</w:t>
            </w:r>
          </w:p>
          <w:p>
            <w:pPr>
              <w:pStyle w:val="Style18"/>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235,23</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7,473.</w:t>
            </w:r>
          </w:p>
          <w:p>
            <w:pPr>
              <w:pStyle w:val="Style18"/>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59,138 </w:t>
            </w:r>
            <w:r>
              <w:rPr>
                <w:rFonts w:ascii="Times New Roman" w:eastAsia="Times New Roman" w:hAnsi="Times New Roman" w:cs="Times New Roman"/>
                <w:color w:val="000000"/>
                <w:spacing w:val="0"/>
                <w:w w:val="100"/>
                <w:position w:val="0"/>
              </w:rPr>
              <w:t xml:space="preserve">,459.8 </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294,37</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5,933.</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-1,900,</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-80,51</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9,784.</w:t>
            </w:r>
          </w:p>
          <w:p>
            <w:pPr>
              <w:pStyle w:val="Style18"/>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-82,42 0,510.</w:t>
            </w:r>
          </w:p>
          <w:p>
            <w:pPr>
              <w:pStyle w:val="Style18"/>
              <w:keepNext w:val="0"/>
              <w:keepLines w:val="0"/>
              <w:widowControl w:val="0"/>
              <w:shd w:val="clear" w:color="auto" w:fill="auto"/>
              <w:bidi w:val="0"/>
              <w:spacing w:before="0" w:after="0"/>
              <w:ind w:left="0" w:right="0" w:firstLine="380"/>
              <w:jc w:val="both"/>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5,805,</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-76,61</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4,840.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-80,51</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9,784.</w:t>
            </w:r>
          </w:p>
          <w:p>
            <w:pPr>
              <w:pStyle w:val="Style18"/>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-80,51</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9,784.</w:t>
            </w:r>
          </w:p>
          <w:p>
            <w:pPr>
              <w:pStyle w:val="Style18"/>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5,805,</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-74,71</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4,114.</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-1,900,</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-1,900,</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726.24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-1,900,</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-1,900,</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 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205,1</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35,37</w:t>
            </w:r>
          </w:p>
          <w:p>
            <w:pPr>
              <w:pStyle w:val="Style18"/>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46,810 </w:t>
            </w:r>
            <w:r>
              <w:rPr>
                <w:rFonts w:ascii="Times New Roman" w:eastAsia="Times New Roman" w:hAnsi="Times New Roman" w:cs="Times New Roman"/>
                <w:color w:val="000000"/>
                <w:spacing w:val="0"/>
                <w:w w:val="100"/>
                <w:position w:val="0"/>
              </w:rPr>
              <w:t xml:space="preserve">,718.9 </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20,005 </w:t>
            </w:r>
            <w:r>
              <w:rPr>
                <w:rFonts w:ascii="Times New Roman" w:eastAsia="Times New Roman" w:hAnsi="Times New Roman" w:cs="Times New Roman"/>
                <w:color w:val="000000"/>
                <w:spacing w:val="0"/>
                <w:w w:val="100"/>
                <w:position w:val="0"/>
              </w:rPr>
              <w:t xml:space="preserve">,180.2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21,201 </w:t>
            </w:r>
            <w:r>
              <w:rPr>
                <w:rFonts w:ascii="Times New Roman" w:eastAsia="Times New Roman" w:hAnsi="Times New Roman" w:cs="Times New Roman"/>
                <w:color w:val="000000"/>
                <w:spacing w:val="0"/>
                <w:w w:val="100"/>
                <w:position w:val="0"/>
              </w:rPr>
              <w:t xml:space="preserve">,618.4 </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-100,3</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25,570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152,81</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6,962.</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 xml:space="preserve">64,944 </w:t>
            </w:r>
            <w:r>
              <w:rPr>
                <w:rFonts w:ascii="Times New Roman" w:eastAsia="Times New Roman" w:hAnsi="Times New Roman" w:cs="Times New Roman"/>
                <w:color w:val="000000"/>
                <w:spacing w:val="0"/>
                <w:w w:val="100"/>
                <w:position w:val="0"/>
              </w:rPr>
              <w:t>,130.1</w:t>
            </w:r>
          </w:p>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217,76</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1,092.</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少数股</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所有者</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权益合</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综合</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专项</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未分</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配利</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205,1</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35,37</w:t>
            </w:r>
          </w:p>
          <w:p>
            <w:pPr>
              <w:pStyle w:val="Style18"/>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46,810 </w:t>
            </w:r>
            <w:r>
              <w:rPr>
                <w:rFonts w:ascii="Times New Roman" w:eastAsia="Times New Roman" w:hAnsi="Times New Roman" w:cs="Times New Roman"/>
                <w:color w:val="000000"/>
                <w:spacing w:val="0"/>
                <w:w w:val="100"/>
                <w:position w:val="0"/>
              </w:rPr>
              <w:t xml:space="preserve">,718.9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20,005 </w:t>
            </w:r>
            <w:r>
              <w:rPr>
                <w:rFonts w:ascii="Times New Roman" w:eastAsia="Times New Roman" w:hAnsi="Times New Roman" w:cs="Times New Roman"/>
                <w:color w:val="000000"/>
                <w:spacing w:val="0"/>
                <w:w w:val="100"/>
                <w:position w:val="0"/>
              </w:rPr>
              <w:t xml:space="preserve">,180.2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21,201 </w:t>
            </w:r>
            <w:r>
              <w:rPr>
                <w:rFonts w:ascii="Times New Roman" w:eastAsia="Times New Roman" w:hAnsi="Times New Roman" w:cs="Times New Roman"/>
                <w:color w:val="000000"/>
                <w:spacing w:val="0"/>
                <w:w w:val="100"/>
                <w:position w:val="0"/>
              </w:rPr>
              <w:t xml:space="preserve">,618.4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44,052 </w:t>
            </w:r>
            <w:r>
              <w:rPr>
                <w:rFonts w:ascii="Times New Roman" w:eastAsia="Times New Roman" w:hAnsi="Times New Roman" w:cs="Times New Roman"/>
                <w:color w:val="000000"/>
                <w:spacing w:val="0"/>
                <w:w w:val="100"/>
                <w:position w:val="0"/>
              </w:rPr>
              <w:t xml:space="preserve">,864.7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297,19</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5,397.</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57,034,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354,229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,989.24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205,1</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35,37</w:t>
            </w:r>
          </w:p>
          <w:p>
            <w:pPr>
              <w:pStyle w:val="Style18"/>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46,810 </w:t>
            </w:r>
            <w:r>
              <w:rPr>
                <w:rFonts w:ascii="Times New Roman" w:eastAsia="Times New Roman" w:hAnsi="Times New Roman" w:cs="Times New Roman"/>
                <w:color w:val="000000"/>
                <w:spacing w:val="0"/>
                <w:w w:val="100"/>
                <w:position w:val="0"/>
              </w:rPr>
              <w:t xml:space="preserve">,718.9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20,005 </w:t>
            </w:r>
            <w:r>
              <w:rPr>
                <w:rFonts w:ascii="Times New Roman" w:eastAsia="Times New Roman" w:hAnsi="Times New Roman" w:cs="Times New Roman"/>
                <w:color w:val="000000"/>
                <w:spacing w:val="0"/>
                <w:w w:val="100"/>
                <w:position w:val="0"/>
              </w:rPr>
              <w:t xml:space="preserve">,180.2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21,201 </w:t>
            </w:r>
            <w:r>
              <w:rPr>
                <w:rFonts w:ascii="Times New Roman" w:eastAsia="Times New Roman" w:hAnsi="Times New Roman" w:cs="Times New Roman"/>
                <w:color w:val="000000"/>
                <w:spacing w:val="0"/>
                <w:w w:val="100"/>
                <w:position w:val="0"/>
              </w:rPr>
              <w:t xml:space="preserve">,618.4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44,052 </w:t>
            </w:r>
            <w:r>
              <w:rPr>
                <w:rFonts w:ascii="Times New Roman" w:eastAsia="Times New Roman" w:hAnsi="Times New Roman" w:cs="Times New Roman"/>
                <w:color w:val="000000"/>
                <w:spacing w:val="0"/>
                <w:w w:val="100"/>
                <w:position w:val="0"/>
              </w:rPr>
              <w:t xml:space="preserve">,864.7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297,19</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5,397.</w:t>
            </w:r>
          </w:p>
          <w:p>
            <w:pPr>
              <w:pStyle w:val="Style18"/>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57,034,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354,229</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,989.24</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3"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-63,85</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8,650.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-61,95</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7,924.</w:t>
            </w:r>
          </w:p>
          <w:p>
            <w:pPr>
              <w:pStyle w:val="Style18"/>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2,103,8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-59,854</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,055.80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-63,85</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8,650.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-63,85</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8,650.</w:t>
            </w:r>
          </w:p>
          <w:p>
            <w:pPr>
              <w:pStyle w:val="Style18"/>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1,923,8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-61,934</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,782.04</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2,080,7</w:t>
            </w:r>
          </w:p>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26.24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1,900,7</w:t>
            </w:r>
          </w:p>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18"/>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（四）所有者</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205,1</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35,37</w:t>
            </w:r>
          </w:p>
          <w:p>
            <w:pPr>
              <w:pStyle w:val="Style18"/>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48,711 </w:t>
            </w:r>
            <w:r>
              <w:rPr>
                <w:rFonts w:ascii="Times New Roman" w:eastAsia="Times New Roman" w:hAnsi="Times New Roman" w:cs="Times New Roman"/>
                <w:color w:val="000000"/>
                <w:spacing w:val="0"/>
                <w:w w:val="100"/>
                <w:position w:val="0"/>
              </w:rPr>
              <w:t xml:space="preserve">,445.1 </w:t>
            </w: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20,005 </w:t>
            </w:r>
            <w:r>
              <w:rPr>
                <w:rFonts w:ascii="Times New Roman" w:eastAsia="Times New Roman" w:hAnsi="Times New Roman" w:cs="Times New Roman"/>
                <w:color w:val="000000"/>
                <w:spacing w:val="0"/>
                <w:w w:val="100"/>
                <w:position w:val="0"/>
              </w:rPr>
              <w:t xml:space="preserve">,180.2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21,201 </w:t>
            </w:r>
            <w:r>
              <w:rPr>
                <w:rFonts w:ascii="Times New Roman" w:eastAsia="Times New Roman" w:hAnsi="Times New Roman" w:cs="Times New Roman"/>
                <w:color w:val="000000"/>
                <w:spacing w:val="0"/>
                <w:w w:val="100"/>
                <w:position w:val="0"/>
              </w:rPr>
              <w:t xml:space="preserve">,618.4 </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-19,80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5,785.</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235,23</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7,473.</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59,138,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294,375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,933.44</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8</w:t>
      </w:r>
      <w:bookmarkEnd w:id="688"/>
      <w:r>
        <w:rPr>
          <w:color w:val="000000"/>
          <w:spacing w:val="0"/>
          <w:w w:val="100"/>
          <w:position w:val="0"/>
        </w:rPr>
        <w:t>、母公司所有者权益变动表</w:t>
      </w:r>
      <w:bookmarkEnd w:id="686"/>
      <w:bookmarkEnd w:id="687"/>
      <w:bookmarkEnd w:id="689"/>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本期金额</w:t>
      </w:r>
    </w:p>
    <w:p>
      <w:pPr>
        <w:pStyle w:val="Style24"/>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205,13</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5,376.0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27,867,8</w:t>
            </w:r>
          </w:p>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20,005,1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21,201,6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-57,751</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176,448,4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205,13</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5,376.0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27,867,8</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20,005,1</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21,201,6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-57,751</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176,448,4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55.22</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-1,900,7</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-82,216</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-84,116,84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-82,216</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-82,216,12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-1,900,7</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-1,900,726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-1,900,7</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-1,900,726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205,13</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5,376.0</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25,967,1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20,005,1</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21,201,6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-139,96</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7,353.7</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92,331,60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205,13</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5,376.</w:t>
            </w:r>
          </w:p>
          <w:p>
            <w:pPr>
              <w:pStyle w:val="Style18"/>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25,967,</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20,005,1</w:t>
            </w:r>
          </w:p>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21,201,</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618.43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36,152,91</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268,451,87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400"/>
              <w:jc w:val="both"/>
              <w:rPr>
                <w:sz w:val="17"/>
                <w:szCs w:val="17"/>
              </w:rPr>
            </w:pPr>
            <w:r>
              <w:rPr>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-8,569,14</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-8,569,143.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205,13</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5,376.</w:t>
            </w:r>
          </w:p>
          <w:p>
            <w:pPr>
              <w:pStyle w:val="Style18"/>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25,967,</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20,005,1</w:t>
            </w:r>
          </w:p>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21,201,</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618.43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27,583,77</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259,882,73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1,900,7</w:t>
            </w:r>
          </w:p>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-85,335,0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-83,434,276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-85,335,0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-85,335,002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1,900,7</w:t>
            </w:r>
          </w:p>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1,900,726.2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1,900,7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1,900,726.2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205,13</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5,376.</w:t>
            </w:r>
          </w:p>
          <w:p>
            <w:pPr>
              <w:pStyle w:val="Style18"/>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27,867,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20,005,1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21,201,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-57,751,2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176,448,45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r>
    </w:tbl>
    <w:p>
      <w:pPr>
        <w:pStyle w:val="Style22"/>
        <w:keepNext/>
        <w:keepLines/>
        <w:widowControl w:val="0"/>
        <w:shd w:val="clear" w:color="auto" w:fill="auto"/>
        <w:bidi w:val="0"/>
        <w:spacing w:before="0" w:after="300" w:line="240" w:lineRule="auto"/>
        <w:ind w:left="0" w:right="0" w:firstLine="0"/>
        <w:jc w:val="both"/>
      </w:pPr>
      <w:bookmarkStart w:id="690" w:name="bookmark690"/>
      <w:bookmarkStart w:id="691" w:name="bookmark691"/>
      <w:bookmarkStart w:id="692" w:name="bookmark692"/>
      <w:r>
        <w:rPr>
          <w:color w:val="000000"/>
          <w:spacing w:val="0"/>
          <w:w w:val="100"/>
          <w:position w:val="0"/>
        </w:rPr>
        <w:t>三、公司基本情况</w:t>
      </w:r>
      <w:bookmarkEnd w:id="690"/>
      <w:bookmarkEnd w:id="691"/>
      <w:bookmarkEnd w:id="692"/>
    </w:p>
    <w:p>
      <w:pPr>
        <w:pStyle w:val="Style3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上海信联信息发展股份有限公司（原名为</w:t>
      </w:r>
      <w:r>
        <w:rPr>
          <w:rFonts w:ascii="Times New Roman" w:eastAsia="Times New Roman" w:hAnsi="Times New Roman" w:cs="Times New Roman"/>
          <w:color w:val="000000"/>
          <w:spacing w:val="0"/>
          <w:w w:val="100"/>
          <w:position w:val="0"/>
        </w:rPr>
        <w:t>“</w:t>
      </w:r>
      <w:r>
        <w:rPr>
          <w:color w:val="000000"/>
          <w:spacing w:val="0"/>
          <w:w w:val="100"/>
          <w:position w:val="0"/>
        </w:rPr>
        <w:t>上海中信信息发展股份有限公司</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年更名为上海 信联信息发展股份有限公司，以下简称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或'本公司</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日由上海中信信息发展 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）整体变更设立的股份有限公司。</w:t>
      </w:r>
    </w:p>
    <w:p>
      <w:pPr>
        <w:pStyle w:val="Style3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[2015]958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月公开发行人民币普 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1,670</w:t>
      </w:r>
      <w:r>
        <w:rPr>
          <w:color w:val="000000"/>
          <w:spacing w:val="0"/>
          <w:w w:val="100"/>
          <w:position w:val="0"/>
        </w:rPr>
        <w:t>万股，并于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日在深圳证券交易所创业板上市交易，股票简称：信息 发展，股票代码：</w:t>
      </w:r>
      <w:r>
        <w:rPr>
          <w:rFonts w:ascii="Times New Roman" w:eastAsia="Times New Roman" w:hAnsi="Times New Roman" w:cs="Times New Roman"/>
          <w:color w:val="000000"/>
          <w:spacing w:val="0"/>
          <w:w w:val="100"/>
          <w:position w:val="0"/>
        </w:rPr>
        <w:t>300469</w:t>
      </w:r>
      <w:r>
        <w:rPr>
          <w:color w:val="000000"/>
          <w:spacing w:val="0"/>
          <w:w w:val="100"/>
          <w:position w:val="0"/>
        </w:rPr>
        <w:t>。</w:t>
      </w:r>
    </w:p>
    <w:p>
      <w:pPr>
        <w:pStyle w:val="Style33"/>
        <w:keepNext w:val="0"/>
        <w:keepLines w:val="0"/>
        <w:widowControl w:val="0"/>
        <w:shd w:val="clear" w:color="auto" w:fill="auto"/>
        <w:bidi w:val="0"/>
        <w:spacing w:before="0" w:after="300" w:line="312" w:lineRule="exact"/>
        <w:ind w:left="720" w:right="0" w:firstLine="0"/>
        <w:jc w:val="both"/>
      </w:pPr>
      <w:r>
        <w:rPr>
          <w:color w:val="000000"/>
          <w:spacing w:val="0"/>
          <w:w w:val="100"/>
          <w:position w:val="0"/>
        </w:rPr>
        <w:t>上海中信电子发展有限公司（以下简称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中信电子勺及张曙华先生与交信北斗（嘉兴）股权投资有 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交信北斗</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日签署了《交信北斗（嘉兴）股权投资有限公司与 中信电子发展有限公司、张曙华关于上海信联信息发展股份有限公司的股份转让协议》（以下简 称</w:t>
      </w:r>
      <w:r>
        <w:rPr>
          <w:rFonts w:ascii="Times New Roman" w:eastAsia="Times New Roman" w:hAnsi="Times New Roman" w:cs="Times New Roman"/>
          <w:color w:val="000000"/>
          <w:spacing w:val="0"/>
          <w:w w:val="100"/>
          <w:position w:val="0"/>
        </w:rPr>
        <w:t>“</w:t>
      </w:r>
      <w:r>
        <w:rPr>
          <w:color w:val="000000"/>
          <w:spacing w:val="0"/>
          <w:w w:val="100"/>
          <w:position w:val="0"/>
        </w:rPr>
        <w:t>《股份转让协议》），同日中信电子与交信北斗签署了《表决权委托协议》。根据《股份转让 协议》和《表决权委托协议》，中信电子将其持有的公司</w:t>
      </w:r>
      <w:r>
        <w:rPr>
          <w:rFonts w:ascii="Times New Roman" w:eastAsia="Times New Roman" w:hAnsi="Times New Roman" w:cs="Times New Roman"/>
          <w:color w:val="000000"/>
          <w:spacing w:val="0"/>
          <w:w w:val="100"/>
          <w:position w:val="0"/>
        </w:rPr>
        <w:t>19,692,999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9.60%</w:t>
      </w:r>
      <w:r>
        <w:rPr>
          <w:color w:val="000000"/>
          <w:spacing w:val="0"/>
          <w:w w:val="100"/>
          <w:position w:val="0"/>
        </w:rPr>
        <w:t>） 转让给交信北斗；同时，根据《表决权委托协议》，中信电子将其持有的公司剩余</w:t>
      </w:r>
      <w:r>
        <w:rPr>
          <w:rFonts w:ascii="Times New Roman" w:eastAsia="Times New Roman" w:hAnsi="Times New Roman" w:cs="Times New Roman"/>
          <w:color w:val="000000"/>
          <w:spacing w:val="0"/>
          <w:w w:val="100"/>
          <w:position w:val="0"/>
        </w:rPr>
        <w:t>27,394,345</w:t>
      </w:r>
      <w:r>
        <w:rPr>
          <w:color w:val="000000"/>
          <w:spacing w:val="0"/>
          <w:w w:val="100"/>
          <w:position w:val="0"/>
        </w:rPr>
        <w:t>股股 份（占公司总股本的</w:t>
      </w:r>
      <w:r>
        <w:rPr>
          <w:rFonts w:ascii="Times New Roman" w:eastAsia="Times New Roman" w:hAnsi="Times New Roman" w:cs="Times New Roman"/>
          <w:color w:val="000000"/>
          <w:spacing w:val="0"/>
          <w:w w:val="100"/>
          <w:position w:val="0"/>
        </w:rPr>
        <w:t>13.35%</w:t>
      </w:r>
      <w:r>
        <w:rPr>
          <w:color w:val="000000"/>
          <w:spacing w:val="0"/>
          <w:w w:val="100"/>
          <w:position w:val="0"/>
        </w:rPr>
        <w:t>）所对应的股东表决权，自交割日即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日起委托给交信北斗 行使，委托期限三年。本次交易完成后，交信北斗持有本公司股份</w:t>
      </w:r>
      <w:r>
        <w:rPr>
          <w:rFonts w:ascii="Times New Roman" w:eastAsia="Times New Roman" w:hAnsi="Times New Roman" w:cs="Times New Roman"/>
          <w:color w:val="000000"/>
          <w:spacing w:val="0"/>
          <w:w w:val="100"/>
          <w:position w:val="0"/>
        </w:rPr>
        <w:t>19,692,999</w:t>
      </w:r>
      <w:r>
        <w:rPr>
          <w:color w:val="000000"/>
          <w:spacing w:val="0"/>
          <w:w w:val="100"/>
          <w:position w:val="0"/>
        </w:rPr>
        <w:t>股，持股比例为</w:t>
      </w:r>
      <w:r>
        <w:rPr>
          <w:rFonts w:ascii="Times New Roman" w:eastAsia="Times New Roman" w:hAnsi="Times New Roman" w:cs="Times New Roman"/>
          <w:color w:val="000000"/>
          <w:spacing w:val="0"/>
          <w:w w:val="100"/>
          <w:position w:val="0"/>
        </w:rPr>
        <w:t>9.60%</w:t>
      </w:r>
      <w:r>
        <w:rPr>
          <w:color w:val="000000"/>
          <w:spacing w:val="0"/>
          <w:w w:val="100"/>
          <w:position w:val="0"/>
        </w:rPr>
        <w:t>， 合计拥有公司</w:t>
      </w:r>
      <w:r>
        <w:rPr>
          <w:rFonts w:ascii="Times New Roman" w:eastAsia="Times New Roman" w:hAnsi="Times New Roman" w:cs="Times New Roman"/>
          <w:color w:val="000000"/>
          <w:spacing w:val="0"/>
          <w:w w:val="100"/>
          <w:position w:val="0"/>
        </w:rPr>
        <w:t>22.95%</w:t>
      </w:r>
      <w:r>
        <w:rPr>
          <w:color w:val="000000"/>
          <w:spacing w:val="0"/>
          <w:w w:val="100"/>
          <w:position w:val="0"/>
        </w:rPr>
        <w:t>的股份表决权，成为公司的控股股东。交信北斗系交通运输通信信息集团有 限公司控制的企业，交通运输通信信息集团有限公司成为公司实际控制人。</w:t>
      </w:r>
    </w:p>
    <w:p>
      <w:pPr>
        <w:pStyle w:val="Style33"/>
        <w:keepNext w:val="0"/>
        <w:keepLines w:val="0"/>
        <w:widowControl w:val="0"/>
        <w:shd w:val="clear" w:color="auto" w:fill="auto"/>
        <w:bidi w:val="0"/>
        <w:spacing w:before="0" w:after="0" w:line="310" w:lineRule="exact"/>
        <w:ind w:left="72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日，公司注册资本、实收资本（股本）为人民币</w:t>
      </w:r>
      <w:r>
        <w:rPr>
          <w:rFonts w:ascii="Times New Roman" w:eastAsia="Times New Roman" w:hAnsi="Times New Roman" w:cs="Times New Roman"/>
          <w:color w:val="000000"/>
          <w:spacing w:val="0"/>
          <w:w w:val="100"/>
          <w:position w:val="0"/>
        </w:rPr>
        <w:t>205,135,376</w:t>
      </w:r>
      <w:r>
        <w:rPr>
          <w:color w:val="000000"/>
          <w:spacing w:val="0"/>
          <w:w w:val="100"/>
          <w:position w:val="0"/>
        </w:rPr>
        <w:t>元。 本公司注册地址：上海市静安区江场三路</w:t>
      </w:r>
      <w:r>
        <w:rPr>
          <w:rFonts w:ascii="Times New Roman" w:eastAsia="Times New Roman" w:hAnsi="Times New Roman" w:cs="Times New Roman"/>
          <w:color w:val="000000"/>
          <w:spacing w:val="0"/>
          <w:w w:val="100"/>
          <w:position w:val="0"/>
        </w:rPr>
        <w:t>26</w:t>
      </w:r>
      <w:r>
        <w:rPr>
          <w:color w:val="000000"/>
          <w:spacing w:val="0"/>
          <w:w w:val="100"/>
          <w:position w:val="0"/>
        </w:rPr>
        <w:t>、</w:t>
      </w:r>
      <w:r>
        <w:rPr>
          <w:rFonts w:ascii="Times New Roman" w:eastAsia="Times New Roman" w:hAnsi="Times New Roman" w:cs="Times New Roman"/>
          <w:color w:val="000000"/>
          <w:spacing w:val="0"/>
          <w:w w:val="100"/>
          <w:position w:val="0"/>
        </w:rPr>
        <w:t>28</w:t>
      </w:r>
      <w:r>
        <w:rPr>
          <w:color w:val="000000"/>
          <w:spacing w:val="0"/>
          <w:w w:val="100"/>
          <w:position w:val="0"/>
        </w:rPr>
        <w:t>号</w:t>
      </w:r>
      <w:r>
        <w:rPr>
          <w:rFonts w:ascii="Times New Roman" w:eastAsia="Times New Roman" w:hAnsi="Times New Roman" w:cs="Times New Roman"/>
          <w:color w:val="000000"/>
          <w:spacing w:val="0"/>
          <w:w w:val="100"/>
          <w:position w:val="0"/>
        </w:rPr>
        <w:t>6</w:t>
      </w:r>
      <w:r>
        <w:rPr>
          <w:color w:val="000000"/>
          <w:spacing w:val="0"/>
          <w:w w:val="100"/>
          <w:position w:val="0"/>
        </w:rPr>
        <w:t>层，法定代表人：张曙华。</w:t>
      </w:r>
    </w:p>
    <w:p>
      <w:pPr>
        <w:pStyle w:val="Style33"/>
        <w:keepNext w:val="0"/>
        <w:keepLines w:val="0"/>
        <w:widowControl w:val="0"/>
        <w:shd w:val="clear" w:color="auto" w:fill="auto"/>
        <w:bidi w:val="0"/>
        <w:spacing w:before="0" w:after="640" w:line="310" w:lineRule="exact"/>
        <w:ind w:left="720" w:right="0" w:firstLine="0"/>
        <w:jc w:val="both"/>
      </w:pPr>
      <w:r>
        <w:rPr>
          <w:color w:val="000000"/>
          <w:spacing w:val="0"/>
          <w:w w:val="100"/>
          <w:position w:val="0"/>
        </w:rPr>
        <w:t>本公司属软件行业，经营范围主要包括：计算机软硬件、系统集成、网络工程、电子信息领域内 的</w:t>
      </w:r>
      <w:r>
        <w:rPr>
          <w:rFonts w:ascii="Times New Roman" w:eastAsia="Times New Roman" w:hAnsi="Times New Roman" w:cs="Times New Roman"/>
          <w:color w:val="000000"/>
          <w:spacing w:val="0"/>
          <w:w w:val="100"/>
          <w:position w:val="0"/>
        </w:rPr>
        <w:t>“</w:t>
      </w:r>
      <w:r>
        <w:rPr>
          <w:color w:val="000000"/>
          <w:spacing w:val="0"/>
          <w:w w:val="100"/>
          <w:position w:val="0"/>
        </w:rPr>
        <w:t>四技</w:t>
      </w:r>
      <w:r>
        <w:rPr>
          <w:rFonts w:ascii="Times New Roman" w:eastAsia="Times New Roman" w:hAnsi="Times New Roman" w:cs="Times New Roman"/>
          <w:color w:val="000000"/>
          <w:spacing w:val="0"/>
          <w:w w:val="100"/>
          <w:position w:val="0"/>
        </w:rPr>
        <w:t>”</w:t>
      </w:r>
      <w:r>
        <w:rPr>
          <w:color w:val="000000"/>
          <w:spacing w:val="0"/>
          <w:w w:val="100"/>
          <w:position w:val="0"/>
        </w:rPr>
        <w:t>服务，计算机软硬件，网络工程设备，公共安全防范工程设计及施工，建筑智能化工程设 计与施工，计算机数据处理。【依法须经批准的项目，经相关部门批准后方可开展经营活动】。 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日批准报出。</w:t>
      </w:r>
    </w:p>
    <w:p>
      <w:pPr>
        <w:pStyle w:val="Style33"/>
        <w:keepNext w:val="0"/>
        <w:keepLines w:val="0"/>
        <w:widowControl w:val="0"/>
        <w:shd w:val="clear" w:color="auto" w:fill="auto"/>
        <w:bidi w:val="0"/>
        <w:spacing w:before="0" w:after="640" w:line="317" w:lineRule="exact"/>
        <w:ind w:left="720" w:right="0" w:firstLine="0"/>
        <w:jc w:val="both"/>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 本报告期合并范围变化情况详见本附注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keepLines/>
        <w:widowControl w:val="0"/>
        <w:shd w:val="clear" w:color="auto" w:fill="auto"/>
        <w:bidi w:val="0"/>
        <w:spacing w:before="0" w:after="380" w:line="240" w:lineRule="auto"/>
        <w:ind w:left="0" w:right="0" w:firstLine="0"/>
        <w:jc w:val="both"/>
      </w:pPr>
      <w:bookmarkStart w:id="693" w:name="bookmark693"/>
      <w:bookmarkStart w:id="694" w:name="bookmark694"/>
      <w:bookmarkStart w:id="695" w:name="bookmark695"/>
      <w:bookmarkStart w:id="696" w:name="bookmark696"/>
      <w:r>
        <w:rPr>
          <w:color w:val="000000"/>
          <w:spacing w:val="0"/>
          <w:w w:val="100"/>
          <w:position w:val="0"/>
        </w:rPr>
        <w:t>四</w:t>
      </w:r>
      <w:bookmarkEnd w:id="695"/>
      <w:r>
        <w:rPr>
          <w:color w:val="000000"/>
          <w:spacing w:val="0"/>
          <w:w w:val="100"/>
          <w:position w:val="0"/>
        </w:rPr>
        <w:t>、财务报表的编制基础</w:t>
      </w:r>
      <w:bookmarkEnd w:id="693"/>
      <w:bookmarkEnd w:id="694"/>
      <w:bookmarkEnd w:id="696"/>
    </w:p>
    <w:p>
      <w:pPr>
        <w:pStyle w:val="Style28"/>
        <w:keepNext/>
        <w:keepLines/>
        <w:widowControl w:val="0"/>
        <w:shd w:val="clear" w:color="auto" w:fill="auto"/>
        <w:bidi w:val="0"/>
        <w:spacing w:before="0" w:after="180" w:line="329" w:lineRule="auto"/>
        <w:ind w:left="0" w:right="0" w:firstLine="0"/>
        <w:jc w:val="both"/>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bookmarkEnd w:id="699"/>
      <w:r>
        <w:rPr>
          <w:color w:val="000000"/>
          <w:spacing w:val="0"/>
          <w:w w:val="100"/>
          <w:position w:val="0"/>
        </w:rPr>
        <w:t>、编制基础</w:t>
      </w:r>
      <w:bookmarkEnd w:id="697"/>
      <w:bookmarkEnd w:id="698"/>
      <w:bookmarkEnd w:id="700"/>
    </w:p>
    <w:p>
      <w:pPr>
        <w:pStyle w:val="Style33"/>
        <w:keepNext w:val="0"/>
        <w:keepLines w:val="0"/>
        <w:widowControl w:val="0"/>
        <w:shd w:val="clear" w:color="auto" w:fill="auto"/>
        <w:bidi w:val="0"/>
        <w:spacing w:before="0" w:after="640" w:line="315" w:lineRule="exact"/>
        <w:ind w:left="720" w:right="0" w:firstLine="0"/>
        <w:jc w:val="both"/>
      </w:pPr>
      <w:r>
        <w:rPr>
          <w:color w:val="000000"/>
          <w:spacing w:val="0"/>
          <w:w w:val="100"/>
          <w:position w:val="0"/>
        </w:rPr>
        <w:t>本财务报表按照财政部颁布的《企业会计准则一基本准则》和各项具体会计准则、企业会计准 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 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号——财务报告的一般规定》的相关规 定编制。</w:t>
      </w:r>
    </w:p>
    <w:p>
      <w:pPr>
        <w:pStyle w:val="Style28"/>
        <w:keepNext/>
        <w:keepLines/>
        <w:widowControl w:val="0"/>
        <w:shd w:val="clear" w:color="auto" w:fill="auto"/>
        <w:bidi w:val="0"/>
        <w:spacing w:before="0" w:line="240" w:lineRule="auto"/>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2</w:t>
      </w:r>
      <w:bookmarkEnd w:id="703"/>
      <w:r>
        <w:rPr>
          <w:color w:val="000000"/>
          <w:spacing w:val="0"/>
          <w:w w:val="100"/>
          <w:position w:val="0"/>
        </w:rPr>
        <w:t>、持续经营</w:t>
      </w:r>
      <w:bookmarkEnd w:id="701"/>
      <w:bookmarkEnd w:id="702"/>
      <w:bookmarkEnd w:id="704"/>
    </w:p>
    <w:p>
      <w:pPr>
        <w:pStyle w:val="Style33"/>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本财务报表以持续经营为基础编制。</w:t>
      </w:r>
    </w:p>
    <w:p>
      <w:pPr>
        <w:pStyle w:val="Style22"/>
        <w:keepNext/>
        <w:keepLines/>
        <w:widowControl w:val="0"/>
        <w:shd w:val="clear" w:color="auto" w:fill="auto"/>
        <w:bidi w:val="0"/>
        <w:spacing w:before="0" w:line="240" w:lineRule="auto"/>
        <w:ind w:left="0" w:right="0" w:firstLine="0"/>
        <w:jc w:val="both"/>
      </w:pPr>
      <w:bookmarkStart w:id="705" w:name="bookmark705"/>
      <w:bookmarkStart w:id="706" w:name="bookmark706"/>
      <w:bookmarkStart w:id="707" w:name="bookmark707"/>
      <w:bookmarkStart w:id="708" w:name="bookmark708"/>
      <w:r>
        <w:rPr>
          <w:color w:val="000000"/>
          <w:spacing w:val="0"/>
          <w:w w:val="100"/>
          <w:position w:val="0"/>
        </w:rPr>
        <w:t>五</w:t>
      </w:r>
      <w:bookmarkEnd w:id="707"/>
      <w:r>
        <w:rPr>
          <w:color w:val="000000"/>
          <w:spacing w:val="0"/>
          <w:w w:val="100"/>
          <w:position w:val="0"/>
        </w:rPr>
        <w:t>、重要会计政策及会计估计</w:t>
      </w:r>
      <w:bookmarkEnd w:id="705"/>
      <w:bookmarkEnd w:id="706"/>
      <w:bookmarkEnd w:id="708"/>
    </w:p>
    <w:p>
      <w:pPr>
        <w:pStyle w:val="Style2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具体会计政策和会计估计提示：</w:t>
      </w:r>
    </w:p>
    <w:p>
      <w:pPr>
        <w:pStyle w:val="Style33"/>
        <w:keepNext w:val="0"/>
        <w:keepLines w:val="0"/>
        <w:widowControl w:val="0"/>
        <w:shd w:val="clear" w:color="auto" w:fill="auto"/>
        <w:bidi w:val="0"/>
        <w:spacing w:before="0" w:after="360" w:line="307" w:lineRule="exact"/>
        <w:ind w:left="0" w:right="0" w:firstLine="0"/>
        <w:jc w:val="both"/>
      </w:pPr>
      <w:r>
        <w:rPr>
          <w:color w:val="000000"/>
          <w:spacing w:val="0"/>
          <w:w w:val="100"/>
          <w:position w:val="0"/>
        </w:rPr>
        <w:t>以下披露内容已涵盖了本公司根据实际生产经营特点制定的具体会计政策和会计估计</w:t>
      </w:r>
    </w:p>
    <w:p>
      <w:pPr>
        <w:pStyle w:val="Style28"/>
        <w:keepNext/>
        <w:keepLines/>
        <w:widowControl w:val="0"/>
        <w:shd w:val="clear" w:color="auto" w:fill="auto"/>
        <w:bidi w:val="0"/>
        <w:spacing w:before="0" w:after="200" w:line="322" w:lineRule="auto"/>
        <w:ind w:left="0" w:right="0" w:firstLine="0"/>
        <w:jc w:val="both"/>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1</w:t>
      </w:r>
      <w:bookmarkEnd w:id="711"/>
      <w:r>
        <w:rPr>
          <w:color w:val="000000"/>
          <w:spacing w:val="0"/>
          <w:w w:val="100"/>
          <w:position w:val="0"/>
        </w:rPr>
        <w:t>、遵循企业会计准则的声明</w:t>
      </w:r>
      <w:bookmarkEnd w:id="709"/>
      <w:bookmarkEnd w:id="710"/>
      <w:bookmarkEnd w:id="712"/>
    </w:p>
    <w:p>
      <w:pPr>
        <w:pStyle w:val="Style33"/>
        <w:keepNext w:val="0"/>
        <w:keepLines w:val="0"/>
        <w:widowControl w:val="0"/>
        <w:shd w:val="clear" w:color="auto" w:fill="auto"/>
        <w:bidi w:val="0"/>
        <w:spacing w:before="0" w:after="680" w:line="307" w:lineRule="exact"/>
        <w:ind w:left="720" w:right="0" w:firstLine="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8"/>
        <w:keepNext/>
        <w:keepLines/>
        <w:widowControl w:val="0"/>
        <w:shd w:val="clear" w:color="auto" w:fill="auto"/>
        <w:tabs>
          <w:tab w:pos="378" w:val="left"/>
        </w:tabs>
        <w:bidi w:val="0"/>
        <w:spacing w:before="0" w:after="360" w:line="240" w:lineRule="auto"/>
        <w:ind w:left="0" w:right="0" w:firstLine="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2</w:t>
      </w:r>
      <w:bookmarkEnd w:id="715"/>
      <w:r>
        <w:rPr>
          <w:color w:val="000000"/>
          <w:spacing w:val="0"/>
          <w:w w:val="100"/>
          <w:position w:val="0"/>
        </w:rPr>
        <w:t>、</w:t>
        <w:tab/>
        <w:t>会计期间</w:t>
      </w:r>
      <w:bookmarkEnd w:id="713"/>
      <w:bookmarkEnd w:id="714"/>
      <w:bookmarkEnd w:id="716"/>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8"/>
        <w:keepNext/>
        <w:keepLines/>
        <w:widowControl w:val="0"/>
        <w:shd w:val="clear" w:color="auto" w:fill="auto"/>
        <w:tabs>
          <w:tab w:pos="378" w:val="left"/>
        </w:tabs>
        <w:bidi w:val="0"/>
        <w:spacing w:before="0" w:after="360" w:line="240" w:lineRule="auto"/>
        <w:ind w:left="0" w:right="0" w:firstLine="0"/>
        <w:jc w:val="both"/>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3</w:t>
      </w:r>
      <w:bookmarkEnd w:id="719"/>
      <w:r>
        <w:rPr>
          <w:color w:val="000000"/>
          <w:spacing w:val="0"/>
          <w:w w:val="100"/>
          <w:position w:val="0"/>
        </w:rPr>
        <w:t>、</w:t>
        <w:tab/>
        <w:t>营业周期</w:t>
      </w:r>
      <w:bookmarkEnd w:id="717"/>
      <w:bookmarkEnd w:id="718"/>
      <w:bookmarkEnd w:id="720"/>
    </w:p>
    <w:p>
      <w:pPr>
        <w:pStyle w:val="Style33"/>
        <w:keepNext w:val="0"/>
        <w:keepLines w:val="0"/>
        <w:widowControl w:val="0"/>
        <w:shd w:val="clear" w:color="auto" w:fill="auto"/>
        <w:bidi w:val="0"/>
        <w:spacing w:before="0" w:after="680" w:line="240" w:lineRule="auto"/>
        <w:ind w:left="0" w:right="0" w:firstLine="72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8"/>
        <w:keepNext/>
        <w:keepLines/>
        <w:widowControl w:val="0"/>
        <w:shd w:val="clear" w:color="auto" w:fill="auto"/>
        <w:bidi w:val="0"/>
        <w:spacing w:before="0" w:after="360" w:line="240" w:lineRule="auto"/>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4</w:t>
      </w:r>
      <w:bookmarkEnd w:id="723"/>
      <w:r>
        <w:rPr>
          <w:color w:val="000000"/>
          <w:spacing w:val="0"/>
          <w:w w:val="100"/>
          <w:position w:val="0"/>
        </w:rPr>
        <w:t>、记账本位币</w:t>
      </w:r>
      <w:bookmarkEnd w:id="721"/>
      <w:bookmarkEnd w:id="722"/>
      <w:bookmarkEnd w:id="724"/>
    </w:p>
    <w:p>
      <w:pPr>
        <w:pStyle w:val="Style33"/>
        <w:keepNext w:val="0"/>
        <w:keepLines w:val="0"/>
        <w:widowControl w:val="0"/>
        <w:shd w:val="clear" w:color="auto" w:fill="auto"/>
        <w:bidi w:val="0"/>
        <w:spacing w:before="0" w:after="600" w:line="240" w:lineRule="auto"/>
        <w:ind w:left="0" w:right="0" w:firstLine="720"/>
        <w:jc w:val="both"/>
      </w:pPr>
      <w:r>
        <w:rPr>
          <w:color w:val="000000"/>
          <w:spacing w:val="0"/>
          <w:w w:val="100"/>
          <w:position w:val="0"/>
        </w:rPr>
        <w:t>本公司采用人民币为记账本位币。</w:t>
      </w:r>
    </w:p>
    <w:p>
      <w:pPr>
        <w:pStyle w:val="Style28"/>
        <w:keepNext/>
        <w:keepLines/>
        <w:widowControl w:val="0"/>
        <w:shd w:val="clear" w:color="auto" w:fill="auto"/>
        <w:bidi w:val="0"/>
        <w:spacing w:before="0" w:after="300" w:line="313" w:lineRule="exact"/>
        <w:ind w:left="0" w:right="0" w:firstLine="0"/>
        <w:jc w:val="both"/>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5</w:t>
      </w:r>
      <w:bookmarkEnd w:id="727"/>
      <w:r>
        <w:rPr>
          <w:color w:val="000000"/>
          <w:spacing w:val="0"/>
          <w:w w:val="100"/>
          <w:position w:val="0"/>
        </w:rPr>
        <w:t>、同一控制下和非同一控制下企业合并的会计处理方法</w:t>
      </w:r>
      <w:bookmarkEnd w:id="725"/>
      <w:bookmarkEnd w:id="726"/>
      <w:bookmarkEnd w:id="728"/>
    </w:p>
    <w:p>
      <w:pPr>
        <w:pStyle w:val="Style3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同一控制下企业合并：合并方在企业合并中取得的资产和负债（包括最终控制方收购被合并方而 形成的商誉），按照合并日被合并方资产、负债在最终控制方合并财务报表中的账面价值为基础 计量。在合并中取得的净资产账面价值与支付的合并对价账面价值（或发行股份面值总额）的差 额，调整资本公积中的股本溢价，资本公积中的股本溢价不足冲减的，调整留存收益。</w:t>
      </w:r>
    </w:p>
    <w:p>
      <w:pPr>
        <w:pStyle w:val="Style3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非同一控制下企业合并：合并成本为购买方在购买日为取得被购买方的控制权而付出的资产、发 生或承担的负债以及发行的权益性证券的公允价值。合并成本大于合并中取得的被购买方可辨认 净资产公允价值份额的差额，确认为商誉；合并成本小于合并中取得的被购买方可辨认净资产公 允价值份额的差额，计入当期损益。在合并中取得的被购买方符合确认条件的各项可辨认资产、 负债及或有负债在购买日按公允价值计量。</w:t>
      </w:r>
    </w:p>
    <w:p>
      <w:pPr>
        <w:pStyle w:val="Style33"/>
        <w:keepNext w:val="0"/>
        <w:keepLines w:val="0"/>
        <w:widowControl w:val="0"/>
        <w:shd w:val="clear" w:color="auto" w:fill="auto"/>
        <w:bidi w:val="0"/>
        <w:spacing w:before="0" w:after="600" w:line="313" w:lineRule="exact"/>
        <w:ind w:left="720" w:right="0" w:firstLine="0"/>
        <w:jc w:val="both"/>
      </w:pPr>
      <w:r>
        <w:rPr>
          <w:color w:val="000000"/>
          <w:spacing w:val="0"/>
          <w:w w:val="100"/>
          <w:position w:val="0"/>
        </w:rPr>
        <w:t>为企业合并发生的直接相关费用于发生时计入当期损益；为企业合并而发行权益性证券或债务性 证券的交易费用，计入权益性证券或债务性证券的初始确认金额。</w:t>
      </w:r>
    </w:p>
    <w:p>
      <w:pPr>
        <w:pStyle w:val="Style28"/>
        <w:keepNext/>
        <w:keepLines/>
        <w:widowControl w:val="0"/>
        <w:shd w:val="clear" w:color="auto" w:fill="auto"/>
        <w:bidi w:val="0"/>
        <w:spacing w:before="0" w:after="300" w:line="312" w:lineRule="exact"/>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6</w:t>
      </w:r>
      <w:bookmarkEnd w:id="731"/>
      <w:r>
        <w:rPr>
          <w:color w:val="000000"/>
          <w:spacing w:val="0"/>
          <w:w w:val="100"/>
          <w:position w:val="0"/>
        </w:rPr>
        <w:t>、合并财务报表的编制方法</w:t>
      </w:r>
      <w:bookmarkEnd w:id="729"/>
      <w:bookmarkEnd w:id="730"/>
      <w:bookmarkEnd w:id="732"/>
    </w:p>
    <w:p>
      <w:pPr>
        <w:pStyle w:val="Style28"/>
        <w:keepNext/>
        <w:keepLines/>
        <w:widowControl w:val="0"/>
        <w:numPr>
          <w:ilvl w:val="0"/>
          <w:numId w:val="11"/>
        </w:numPr>
        <w:shd w:val="clear" w:color="auto" w:fill="auto"/>
        <w:bidi w:val="0"/>
        <w:spacing w:before="0" w:after="0" w:line="312" w:lineRule="exact"/>
        <w:ind w:left="0" w:right="0" w:firstLine="940"/>
        <w:jc w:val="both"/>
      </w:pPr>
      <w:bookmarkStart w:id="729" w:name="bookmark729"/>
      <w:bookmarkStart w:id="730" w:name="bookmark730"/>
      <w:bookmarkStart w:id="733" w:name="bookmark733"/>
      <w:bookmarkEnd w:id="733"/>
      <w:r>
        <w:rPr>
          <w:color w:val="000000"/>
          <w:spacing w:val="0"/>
          <w:w w:val="100"/>
          <w:position w:val="0"/>
        </w:rPr>
        <w:t>合并范围</w:t>
      </w:r>
      <w:bookmarkEnd w:id="729"/>
      <w:bookmarkEnd w:id="730"/>
    </w:p>
    <w:p>
      <w:pPr>
        <w:pStyle w:val="Style33"/>
        <w:keepNext w:val="0"/>
        <w:keepLines w:val="0"/>
        <w:widowControl w:val="0"/>
        <w:shd w:val="clear" w:color="auto" w:fill="auto"/>
        <w:bidi w:val="0"/>
        <w:spacing w:before="0" w:after="320" w:line="312" w:lineRule="exact"/>
        <w:ind w:left="1300" w:right="0" w:firstLine="0"/>
        <w:jc w:val="both"/>
      </w:pPr>
      <w:r>
        <w:rPr>
          <w:color w:val="000000"/>
          <w:spacing w:val="0"/>
          <w:w w:val="100"/>
          <w:position w:val="0"/>
        </w:rPr>
        <w:t xml:space="preserve">合并财务报表的合并范围以控制为基础确定，合并范围包括本公司及全部子公司。控制，是 指公司拥有对被投资方的权力，通过参与被投资方的相关活动而享有可变回报，并且有能力 </w:t>
      </w:r>
      <w:r>
        <w:rPr>
          <w:color w:val="000000"/>
          <w:spacing w:val="0"/>
          <w:w w:val="100"/>
          <w:position w:val="0"/>
        </w:rPr>
        <w:t>运用对被投资方的权力影响其回报金额。</w:t>
      </w:r>
    </w:p>
    <w:p>
      <w:pPr>
        <w:pStyle w:val="Style33"/>
        <w:keepNext w:val="0"/>
        <w:keepLines w:val="0"/>
        <w:widowControl w:val="0"/>
        <w:numPr>
          <w:ilvl w:val="0"/>
          <w:numId w:val="13"/>
        </w:numPr>
        <w:shd w:val="clear" w:color="auto" w:fill="auto"/>
        <w:bidi w:val="0"/>
        <w:spacing w:before="0" w:after="0" w:line="313" w:lineRule="exact"/>
        <w:ind w:left="0" w:right="0" w:firstLine="720"/>
        <w:jc w:val="left"/>
      </w:pPr>
      <w:bookmarkStart w:id="734" w:name="bookmark734"/>
      <w:bookmarkEnd w:id="734"/>
      <w:r>
        <w:rPr>
          <w:b/>
          <w:bCs/>
          <w:color w:val="000000"/>
          <w:spacing w:val="0"/>
          <w:w w:val="100"/>
          <w:position w:val="0"/>
        </w:rPr>
        <w:t>合并程序</w:t>
      </w:r>
    </w:p>
    <w:p>
      <w:pPr>
        <w:pStyle w:val="Style33"/>
        <w:keepNext w:val="0"/>
        <w:keepLines w:val="0"/>
        <w:widowControl w:val="0"/>
        <w:shd w:val="clear" w:color="auto" w:fill="auto"/>
        <w:bidi w:val="0"/>
        <w:spacing w:before="0" w:after="0" w:line="313" w:lineRule="exact"/>
        <w:ind w:left="1080" w:right="0" w:firstLine="0"/>
        <w:jc w:val="left"/>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 部交易的影响予以抵销。内部交易表明相关资产发生减值损失的，全额确认该部分损失。如 子公司采用的会计政策、会计期间与本公司不一致的，在编制合并财务报表时，按本公司的 会计政策、会计期间进行必要的调整。</w:t>
      </w:r>
    </w:p>
    <w:p>
      <w:pPr>
        <w:pStyle w:val="Style33"/>
        <w:keepNext w:val="0"/>
        <w:keepLines w:val="0"/>
        <w:widowControl w:val="0"/>
        <w:shd w:val="clear" w:color="auto" w:fill="auto"/>
        <w:bidi w:val="0"/>
        <w:spacing w:before="0" w:after="0" w:line="313" w:lineRule="exact"/>
        <w:ind w:left="1080" w:right="0" w:firstLine="0"/>
        <w:jc w:val="left"/>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 司少数股东分担的当期亏损超过了少数股东在该子公司期初所有者权益中所享有份额而形 成的余额，冲减少数股东权益。</w:t>
      </w:r>
    </w:p>
    <w:p>
      <w:pPr>
        <w:pStyle w:val="Style33"/>
        <w:keepNext w:val="0"/>
        <w:keepLines w:val="0"/>
        <w:widowControl w:val="0"/>
        <w:shd w:val="clear" w:color="auto" w:fill="auto"/>
        <w:tabs>
          <w:tab w:pos="1541" w:val="left"/>
        </w:tabs>
        <w:bidi w:val="0"/>
        <w:spacing w:before="0" w:after="0" w:line="313" w:lineRule="exact"/>
        <w:ind w:left="1080" w:right="0" w:firstLine="0"/>
        <w:jc w:val="left"/>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33"/>
        <w:keepNext w:val="0"/>
        <w:keepLines w:val="0"/>
        <w:widowControl w:val="0"/>
        <w:shd w:val="clear" w:color="auto" w:fill="auto"/>
        <w:bidi w:val="0"/>
        <w:spacing w:before="0" w:after="0" w:line="313" w:lineRule="exact"/>
        <w:ind w:left="1080" w:right="0" w:firstLine="0"/>
        <w:jc w:val="left"/>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 表的相关项目进行调整，视同合并后的报告主体自最终控制方开始控制时点起一直存在。</w:t>
      </w:r>
    </w:p>
    <w:p>
      <w:pPr>
        <w:pStyle w:val="Style33"/>
        <w:keepNext w:val="0"/>
        <w:keepLines w:val="0"/>
        <w:widowControl w:val="0"/>
        <w:shd w:val="clear" w:color="auto" w:fill="auto"/>
        <w:bidi w:val="0"/>
        <w:spacing w:before="0" w:after="0" w:line="313" w:lineRule="exact"/>
        <w:ind w:left="1080" w:right="0" w:firstLine="0"/>
        <w:jc w:val="left"/>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 日之间已确认有关损益、其他综合收益以及其他净资产变动，分别冲减比较报表期间的期初 留存收益或当期损益。</w:t>
      </w:r>
    </w:p>
    <w:p>
      <w:pPr>
        <w:pStyle w:val="Style33"/>
        <w:keepNext w:val="0"/>
        <w:keepLines w:val="0"/>
        <w:widowControl w:val="0"/>
        <w:shd w:val="clear" w:color="auto" w:fill="auto"/>
        <w:bidi w:val="0"/>
        <w:spacing w:before="0" w:after="0" w:line="313" w:lineRule="exact"/>
        <w:ind w:left="1080" w:right="0" w:firstLine="0"/>
        <w:jc w:val="left"/>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33"/>
        <w:keepNext w:val="0"/>
        <w:keepLines w:val="0"/>
        <w:widowControl w:val="0"/>
        <w:shd w:val="clear" w:color="auto" w:fill="auto"/>
        <w:bidi w:val="0"/>
        <w:spacing w:before="0" w:after="0" w:line="313" w:lineRule="exact"/>
        <w:ind w:left="1080" w:right="0" w:firstLine="0"/>
        <w:jc w:val="left"/>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 计入当期投资收益。购买日之前持有的被购买方的股权涉及的以后可重分类进损益的其他综 合收益、权益法核算下的其他所有者权益变动转为购买日所属当期投资收益。</w:t>
      </w:r>
    </w:p>
    <w:p>
      <w:pPr>
        <w:pStyle w:val="Style33"/>
        <w:keepNext w:val="0"/>
        <w:keepLines w:val="0"/>
        <w:widowControl w:val="0"/>
        <w:shd w:val="clear" w:color="auto" w:fill="auto"/>
        <w:tabs>
          <w:tab w:pos="1541" w:val="left"/>
        </w:tabs>
        <w:bidi w:val="0"/>
        <w:spacing w:before="0" w:after="0" w:line="313" w:lineRule="exact"/>
        <w:ind w:left="1080" w:right="0" w:firstLine="0"/>
        <w:jc w:val="left"/>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2</w:t>
      </w:r>
      <w:r>
        <w:rPr>
          <w:color w:val="000000"/>
          <w:spacing w:val="0"/>
          <w:w w:val="100"/>
          <w:position w:val="0"/>
        </w:rPr>
        <w:t>）</w:t>
        <w:tab/>
        <w:t>处置子公司</w:t>
      </w:r>
    </w:p>
    <w:p>
      <w:pPr>
        <w:pStyle w:val="Style33"/>
        <w:keepNext w:val="0"/>
        <w:keepLines w:val="0"/>
        <w:widowControl w:val="0"/>
        <w:numPr>
          <w:ilvl w:val="0"/>
          <w:numId w:val="15"/>
        </w:numPr>
        <w:shd w:val="clear" w:color="auto" w:fill="auto"/>
        <w:tabs>
          <w:tab w:pos="1445" w:val="left"/>
        </w:tabs>
        <w:bidi w:val="0"/>
        <w:spacing w:before="0" w:after="0" w:line="313" w:lineRule="exact"/>
        <w:ind w:left="1080" w:right="0" w:firstLine="0"/>
        <w:jc w:val="left"/>
      </w:pPr>
      <w:bookmarkStart w:id="737" w:name="bookmark737"/>
      <w:bookmarkEnd w:id="737"/>
      <w:r>
        <w:rPr>
          <w:color w:val="000000"/>
          <w:spacing w:val="0"/>
          <w:w w:val="100"/>
          <w:position w:val="0"/>
        </w:rPr>
        <w:t>一般处理方法</w:t>
      </w:r>
    </w:p>
    <w:p>
      <w:pPr>
        <w:pStyle w:val="Style33"/>
        <w:keepNext w:val="0"/>
        <w:keepLines w:val="0"/>
        <w:widowControl w:val="0"/>
        <w:shd w:val="clear" w:color="auto" w:fill="auto"/>
        <w:bidi w:val="0"/>
        <w:spacing w:before="0" w:after="0" w:line="313" w:lineRule="exact"/>
        <w:ind w:left="1080" w:right="0" w:firstLine="0"/>
        <w:jc w:val="left"/>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 之和，减去按原持股比例计算应享有原有子公司自购买日或合并日开始持续计算的净资产的 份额与商誉之和的差额，计入丧失控制权当期的投资收益。与原有子公司股权投资相关的以 后可重分类进损益的其他综合收益、权益法核算下的其他所有者权益变动，在丧失控制权时 转为当期投资收益。</w:t>
      </w:r>
    </w:p>
    <w:p>
      <w:pPr>
        <w:pStyle w:val="Style33"/>
        <w:keepNext w:val="0"/>
        <w:keepLines w:val="0"/>
        <w:widowControl w:val="0"/>
        <w:numPr>
          <w:ilvl w:val="0"/>
          <w:numId w:val="15"/>
        </w:numPr>
        <w:shd w:val="clear" w:color="auto" w:fill="auto"/>
        <w:tabs>
          <w:tab w:pos="1450" w:val="left"/>
        </w:tabs>
        <w:bidi w:val="0"/>
        <w:spacing w:before="0" w:after="0" w:line="313" w:lineRule="exact"/>
        <w:ind w:left="1080" w:right="0" w:firstLine="0"/>
        <w:jc w:val="left"/>
      </w:pPr>
      <w:bookmarkStart w:id="738" w:name="bookmark738"/>
      <w:bookmarkEnd w:id="738"/>
      <w:r>
        <w:rPr>
          <w:color w:val="000000"/>
          <w:spacing w:val="0"/>
          <w:w w:val="100"/>
          <w:position w:val="0"/>
        </w:rPr>
        <w:t>分步处置子公司</w:t>
      </w:r>
    </w:p>
    <w:p>
      <w:pPr>
        <w:pStyle w:val="Style33"/>
        <w:keepNext w:val="0"/>
        <w:keepLines w:val="0"/>
        <w:widowControl w:val="0"/>
        <w:shd w:val="clear" w:color="auto" w:fill="auto"/>
        <w:bidi w:val="0"/>
        <w:spacing w:before="0" w:after="0" w:line="313" w:lineRule="exact"/>
        <w:ind w:left="1080" w:right="0" w:firstLine="0"/>
        <w:jc w:val="left"/>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 子交易：</w:t>
      </w:r>
    </w:p>
    <w:p>
      <w:pPr>
        <w:pStyle w:val="Style33"/>
        <w:keepNext w:val="0"/>
        <w:keepLines w:val="0"/>
        <w:widowControl w:val="0"/>
        <w:numPr>
          <w:ilvl w:val="0"/>
          <w:numId w:val="17"/>
        </w:numPr>
        <w:shd w:val="clear" w:color="auto" w:fill="auto"/>
        <w:tabs>
          <w:tab w:pos="1474" w:val="left"/>
        </w:tabs>
        <w:bidi w:val="0"/>
        <w:spacing w:before="0" w:after="0" w:line="313" w:lineRule="exact"/>
        <w:ind w:left="1080" w:right="0" w:firstLine="0"/>
        <w:jc w:val="left"/>
      </w:pPr>
      <w:bookmarkStart w:id="739" w:name="bookmark739"/>
      <w:bookmarkEnd w:id="739"/>
      <w:r>
        <w:rPr>
          <w:color w:val="000000"/>
          <w:spacing w:val="0"/>
          <w:w w:val="100"/>
          <w:position w:val="0"/>
        </w:rPr>
        <w:t>这些交易是同时或者在考虑了彼此影响的情况下订立的；</w:t>
      </w:r>
    </w:p>
    <w:p>
      <w:pPr>
        <w:pStyle w:val="Style33"/>
        <w:keepNext w:val="0"/>
        <w:keepLines w:val="0"/>
        <w:widowControl w:val="0"/>
        <w:numPr>
          <w:ilvl w:val="0"/>
          <w:numId w:val="17"/>
        </w:numPr>
        <w:shd w:val="clear" w:color="auto" w:fill="auto"/>
        <w:tabs>
          <w:tab w:pos="1474" w:val="left"/>
        </w:tabs>
        <w:bidi w:val="0"/>
        <w:spacing w:before="0" w:after="0" w:line="313" w:lineRule="exact"/>
        <w:ind w:left="1080" w:right="0" w:firstLine="0"/>
        <w:jc w:val="left"/>
      </w:pPr>
      <w:bookmarkStart w:id="740" w:name="bookmark740"/>
      <w:bookmarkEnd w:id="740"/>
      <w:r>
        <w:rPr>
          <w:color w:val="000000"/>
          <w:spacing w:val="0"/>
          <w:w w:val="100"/>
          <w:position w:val="0"/>
        </w:rPr>
        <w:t>这些交易整体才能达成一项完整的商业结果；</w:t>
      </w:r>
    </w:p>
    <w:p>
      <w:pPr>
        <w:pStyle w:val="Style33"/>
        <w:keepNext w:val="0"/>
        <w:keepLines w:val="0"/>
        <w:widowControl w:val="0"/>
        <w:shd w:val="clear" w:color="auto" w:fill="auto"/>
        <w:bidi w:val="0"/>
        <w:spacing w:before="0" w:after="0" w:line="313" w:lineRule="exact"/>
        <w:ind w:left="1080" w:right="0" w:firstLine="0"/>
        <w:jc w:val="both"/>
      </w:pPr>
      <w:r>
        <w:rPr>
          <w:color w:val="000000"/>
          <w:spacing w:val="0"/>
          <w:w w:val="100"/>
          <w:position w:val="0"/>
        </w:rPr>
        <w:t>宙.一项交易的发生取决于其他至少一项交易的发生；</w:t>
      </w:r>
    </w:p>
    <w:p>
      <w:pPr>
        <w:pStyle w:val="Style33"/>
        <w:keepNext w:val="0"/>
        <w:keepLines w:val="0"/>
        <w:widowControl w:val="0"/>
        <w:shd w:val="clear" w:color="auto" w:fill="auto"/>
        <w:bidi w:val="0"/>
        <w:spacing w:before="0" w:after="0" w:line="313" w:lineRule="exact"/>
        <w:ind w:left="1080" w:right="0" w:firstLine="0"/>
        <w:jc w:val="both"/>
      </w:pPr>
      <w:r>
        <w:rPr>
          <w:rFonts w:ascii="Times New Roman" w:eastAsia="Times New Roman" w:hAnsi="Times New Roman" w:cs="Times New Roman"/>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bidi w:val="0"/>
        <w:spacing w:before="0" w:after="0" w:line="313" w:lineRule="exact"/>
        <w:ind w:left="1080" w:right="0" w:firstLine="0"/>
        <w:jc w:val="both"/>
      </w:pPr>
      <w:r>
        <w:rPr>
          <w:color w:val="000000"/>
          <w:spacing w:val="0"/>
          <w:w w:val="100"/>
          <w:position w:val="0"/>
        </w:rPr>
        <w:t xml:space="preserve">各项交易属于一揽子交易的，将各项交易作为一项处置子公司并丧失控制权的交易进行会计 处理；在丧失控制权之前每一次处置价款与处置投资对应的享有该子公司净资产份额的差额， </w:t>
      </w:r>
      <w:r>
        <w:rPr>
          <w:color w:val="000000"/>
          <w:spacing w:val="0"/>
          <w:w w:val="100"/>
          <w:position w:val="0"/>
        </w:rPr>
        <w:t>在合并财务报表中确认为其他综合收益，在丧失控制权时一并转入丧失控制权当期的损益。 各项交易不属于一揽子交易的，在丧失控制权之前，按不丧失控制权的情况下部分处置对子 公司的股权投资进行会计处理；在丧失控制权时，按处置子公司一般处理方法进行会计处理。</w:t>
      </w:r>
    </w:p>
    <w:p>
      <w:pPr>
        <w:pStyle w:val="Style33"/>
        <w:keepNext w:val="0"/>
        <w:keepLines w:val="0"/>
        <w:widowControl w:val="0"/>
        <w:shd w:val="clear" w:color="auto" w:fill="auto"/>
        <w:tabs>
          <w:tab w:pos="1788" w:val="left"/>
        </w:tabs>
        <w:bidi w:val="0"/>
        <w:spacing w:before="0" w:after="60" w:line="312" w:lineRule="exact"/>
        <w:ind w:left="1300" w:right="0" w:firstLine="0"/>
        <w:jc w:val="left"/>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33"/>
        <w:keepNext w:val="0"/>
        <w:keepLines w:val="0"/>
        <w:widowControl w:val="0"/>
        <w:shd w:val="clear" w:color="auto" w:fill="auto"/>
        <w:bidi w:val="0"/>
        <w:spacing w:before="0" w:after="0" w:line="312" w:lineRule="exact"/>
        <w:ind w:left="1300" w:right="0" w:firstLine="0"/>
        <w:jc w:val="left"/>
      </w:pPr>
      <w:r>
        <w:rPr>
          <w:color w:val="000000"/>
          <w:spacing w:val="0"/>
          <w:w w:val="100"/>
          <w:position w:val="0"/>
        </w:rPr>
        <w:t>因购买少数股权新取得的长期股权投资与按照新增持股比例计算应享有子公司自购买日或 合并日开始持续计算的净资产份额之间的差额，调整合并资产负债表中的资本公积中的股本 溢价，资本公积中的股本溢价不足冲减的，调整留存收益。</w:t>
      </w:r>
    </w:p>
    <w:p>
      <w:pPr>
        <w:pStyle w:val="Style33"/>
        <w:keepNext w:val="0"/>
        <w:keepLines w:val="0"/>
        <w:widowControl w:val="0"/>
        <w:shd w:val="clear" w:color="auto" w:fill="auto"/>
        <w:tabs>
          <w:tab w:pos="1788" w:val="left"/>
        </w:tabs>
        <w:bidi w:val="0"/>
        <w:spacing w:before="0" w:after="60" w:line="312" w:lineRule="exact"/>
        <w:ind w:left="1300" w:right="0" w:firstLine="0"/>
        <w:jc w:val="left"/>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33"/>
        <w:keepNext w:val="0"/>
        <w:keepLines w:val="0"/>
        <w:widowControl w:val="0"/>
        <w:shd w:val="clear" w:color="auto" w:fill="auto"/>
        <w:bidi w:val="0"/>
        <w:spacing w:before="0" w:after="1300" w:line="310" w:lineRule="exact"/>
        <w:ind w:left="1300" w:right="0" w:firstLine="0"/>
        <w:jc w:val="left"/>
      </w:pPr>
      <w:r>
        <w:rPr>
          <w:color w:val="000000"/>
          <w:spacing w:val="0"/>
          <w:w w:val="100"/>
          <w:position w:val="0"/>
        </w:rPr>
        <w:t>处置价款与处置长期股权投资相对应享有子公司自购买日或合并日开始持续计算的净资产 份额之间的差额，调整合并资产负债表中的资本公积中的股本溢价，资本公积中的股本溢价 不足冲减的，调整留存收益。</w:t>
      </w:r>
    </w:p>
    <w:p>
      <w:pPr>
        <w:pStyle w:val="Style28"/>
        <w:keepNext/>
        <w:keepLines/>
        <w:widowControl w:val="0"/>
        <w:shd w:val="clear" w:color="auto" w:fill="auto"/>
        <w:bidi w:val="0"/>
        <w:spacing w:before="0" w:after="360" w:line="240"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7</w:t>
      </w:r>
      <w:bookmarkEnd w:id="745"/>
      <w:r>
        <w:rPr>
          <w:color w:val="000000"/>
          <w:spacing w:val="0"/>
          <w:w w:val="100"/>
          <w:position w:val="0"/>
        </w:rPr>
        <w:t>、合营安排分类及共同经营会计处理方法</w:t>
      </w:r>
      <w:bookmarkEnd w:id="743"/>
      <w:bookmarkEnd w:id="744"/>
      <w:bookmarkEnd w:id="746"/>
    </w:p>
    <w:p>
      <w:pPr>
        <w:pStyle w:val="Style33"/>
        <w:keepNext w:val="0"/>
        <w:keepLines w:val="0"/>
        <w:widowControl w:val="0"/>
        <w:shd w:val="clear" w:color="auto" w:fill="auto"/>
        <w:bidi w:val="0"/>
        <w:spacing w:before="0" w:after="60" w:line="240" w:lineRule="auto"/>
        <w:ind w:left="0" w:right="0" w:firstLine="720"/>
        <w:jc w:val="both"/>
      </w:pPr>
      <w:r>
        <w:rPr>
          <w:color w:val="000000"/>
          <w:spacing w:val="0"/>
          <w:w w:val="100"/>
          <w:position w:val="0"/>
        </w:rPr>
        <w:t>合营安排分为共同经营和合营企业。</w:t>
      </w:r>
    </w:p>
    <w:p>
      <w:pPr>
        <w:pStyle w:val="Style33"/>
        <w:keepNext w:val="0"/>
        <w:keepLines w:val="0"/>
        <w:widowControl w:val="0"/>
        <w:shd w:val="clear" w:color="auto" w:fill="auto"/>
        <w:bidi w:val="0"/>
        <w:spacing w:before="0" w:after="60" w:line="240" w:lineRule="auto"/>
        <w:ind w:left="0" w:right="0" w:firstLine="720"/>
        <w:jc w:val="both"/>
      </w:pPr>
      <w:r>
        <w:rPr>
          <w:color w:val="000000"/>
          <w:spacing w:val="0"/>
          <w:w w:val="100"/>
          <w:position w:val="0"/>
        </w:rPr>
        <w:t>共同经营，是指合营方享有该安排相关资产且承担该安排相关负债的合营安排。</w:t>
      </w:r>
    </w:p>
    <w:p>
      <w:pPr>
        <w:pStyle w:val="Style33"/>
        <w:keepNext w:val="0"/>
        <w:keepLines w:val="0"/>
        <w:widowControl w:val="0"/>
        <w:shd w:val="clear" w:color="auto" w:fill="auto"/>
        <w:bidi w:val="0"/>
        <w:spacing w:before="0" w:after="60" w:line="240" w:lineRule="auto"/>
        <w:ind w:left="0" w:right="0" w:firstLine="720"/>
        <w:jc w:val="both"/>
      </w:pPr>
      <w:r>
        <w:rPr>
          <w:color w:val="000000"/>
          <w:spacing w:val="0"/>
          <w:w w:val="100"/>
          <w:position w:val="0"/>
        </w:rPr>
        <w:t>本公司确认与共同经营中利益份额相关的下列项目：</w:t>
      </w:r>
    </w:p>
    <w:p>
      <w:pPr>
        <w:pStyle w:val="Style33"/>
        <w:keepNext w:val="0"/>
        <w:keepLines w:val="0"/>
        <w:widowControl w:val="0"/>
        <w:shd w:val="clear" w:color="auto" w:fill="auto"/>
        <w:tabs>
          <w:tab w:pos="1208" w:val="left"/>
        </w:tabs>
        <w:bidi w:val="0"/>
        <w:spacing w:before="0" w:after="60" w:line="240" w:lineRule="auto"/>
        <w:ind w:left="0" w:right="0" w:firstLine="720"/>
        <w:jc w:val="both"/>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33"/>
        <w:keepNext w:val="0"/>
        <w:keepLines w:val="0"/>
        <w:widowControl w:val="0"/>
        <w:shd w:val="clear" w:color="auto" w:fill="auto"/>
        <w:tabs>
          <w:tab w:pos="1208" w:val="left"/>
        </w:tabs>
        <w:bidi w:val="0"/>
        <w:spacing w:before="0" w:after="60" w:line="240" w:lineRule="auto"/>
        <w:ind w:left="0" w:right="0" w:firstLine="72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33"/>
        <w:keepNext w:val="0"/>
        <w:keepLines w:val="0"/>
        <w:widowControl w:val="0"/>
        <w:shd w:val="clear" w:color="auto" w:fill="auto"/>
        <w:tabs>
          <w:tab w:pos="1208" w:val="left"/>
        </w:tabs>
        <w:bidi w:val="0"/>
        <w:spacing w:before="0" w:after="60" w:line="240" w:lineRule="auto"/>
        <w:ind w:left="0" w:right="0" w:firstLine="72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33"/>
        <w:keepNext w:val="0"/>
        <w:keepLines w:val="0"/>
        <w:widowControl w:val="0"/>
        <w:shd w:val="clear" w:color="auto" w:fill="auto"/>
        <w:tabs>
          <w:tab w:pos="1208" w:val="left"/>
        </w:tabs>
        <w:bidi w:val="0"/>
        <w:spacing w:before="0" w:after="60" w:line="240" w:lineRule="auto"/>
        <w:ind w:left="0" w:right="0" w:firstLine="72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33"/>
        <w:keepNext w:val="0"/>
        <w:keepLines w:val="0"/>
        <w:widowControl w:val="0"/>
        <w:shd w:val="clear" w:color="auto" w:fill="auto"/>
        <w:tabs>
          <w:tab w:pos="1208" w:val="left"/>
        </w:tabs>
        <w:bidi w:val="0"/>
        <w:spacing w:before="0" w:after="600" w:line="240" w:lineRule="auto"/>
        <w:ind w:left="0" w:right="0" w:firstLine="72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28"/>
        <w:keepNext/>
        <w:keepLines/>
        <w:widowControl w:val="0"/>
        <w:shd w:val="clear" w:color="auto" w:fill="auto"/>
        <w:bidi w:val="0"/>
        <w:spacing w:before="0" w:after="300" w:line="312" w:lineRule="exact"/>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8</w:t>
      </w:r>
      <w:bookmarkEnd w:id="754"/>
      <w:r>
        <w:rPr>
          <w:color w:val="000000"/>
          <w:spacing w:val="0"/>
          <w:w w:val="100"/>
          <w:position w:val="0"/>
        </w:rPr>
        <w:t>、现金及现金等价物的确定标准</w:t>
      </w:r>
      <w:bookmarkEnd w:id="752"/>
      <w:bookmarkEnd w:id="753"/>
      <w:bookmarkEnd w:id="755"/>
    </w:p>
    <w:p>
      <w:pPr>
        <w:pStyle w:val="Style33"/>
        <w:keepNext w:val="0"/>
        <w:keepLines w:val="0"/>
        <w:widowControl w:val="0"/>
        <w:shd w:val="clear" w:color="auto" w:fill="auto"/>
        <w:bidi w:val="0"/>
        <w:spacing w:before="0" w:after="600" w:line="312" w:lineRule="exact"/>
        <w:ind w:left="720" w:right="0" w:firstLine="0"/>
        <w:jc w:val="both"/>
      </w:pPr>
      <w:r>
        <w:rPr>
          <w:color w:val="000000"/>
          <w:spacing w:val="0"/>
          <w:w w:val="100"/>
          <w:position w:val="0"/>
        </w:rPr>
        <w:t>现金，是指本公司的库存现金以及可以随时用于支付的存款。现金等价物，是指本公司持有的期 限短、流动性强、易于转换为已知金额的现金、价值变动风险很小的投资。</w:t>
      </w:r>
    </w:p>
    <w:p>
      <w:pPr>
        <w:pStyle w:val="Style28"/>
        <w:keepNext/>
        <w:keepLines/>
        <w:widowControl w:val="0"/>
        <w:shd w:val="clear" w:color="auto" w:fill="auto"/>
        <w:bidi w:val="0"/>
        <w:spacing w:before="0" w:after="300" w:line="312" w:lineRule="exact"/>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9</w:t>
      </w:r>
      <w:bookmarkEnd w:id="758"/>
      <w:r>
        <w:rPr>
          <w:color w:val="000000"/>
          <w:spacing w:val="0"/>
          <w:w w:val="100"/>
          <w:position w:val="0"/>
        </w:rPr>
        <w:t>、外币业务和外币报表折算</w:t>
      </w:r>
      <w:bookmarkEnd w:id="756"/>
      <w:bookmarkEnd w:id="757"/>
      <w:bookmarkEnd w:id="759"/>
    </w:p>
    <w:p>
      <w:pPr>
        <w:pStyle w:val="Style33"/>
        <w:keepNext w:val="0"/>
        <w:keepLines w:val="0"/>
        <w:widowControl w:val="0"/>
        <w:shd w:val="clear" w:color="auto" w:fill="auto"/>
        <w:bidi w:val="0"/>
        <w:spacing w:before="0" w:after="0" w:line="312" w:lineRule="exact"/>
        <w:ind w:left="0" w:right="0" w:firstLine="720"/>
        <w:jc w:val="both"/>
      </w:pPr>
      <w:r>
        <w:rPr>
          <w:color w:val="000000"/>
          <w:spacing w:val="0"/>
          <w:w w:val="100"/>
          <w:position w:val="0"/>
        </w:rPr>
        <w:t>外币业务采用交易发生日的即期汇率作为折算汇率将外币金额折合成人民币记账。</w:t>
      </w:r>
    </w:p>
    <w:p>
      <w:pPr>
        <w:pStyle w:val="Style33"/>
        <w:keepNext w:val="0"/>
        <w:keepLines w:val="0"/>
        <w:widowControl w:val="0"/>
        <w:shd w:val="clear" w:color="auto" w:fill="auto"/>
        <w:bidi w:val="0"/>
        <w:spacing w:before="0" w:after="680" w:line="312" w:lineRule="exact"/>
        <w:ind w:left="720" w:right="0" w:firstLine="0"/>
        <w:jc w:val="both"/>
      </w:pPr>
      <w:r>
        <w:rPr>
          <w:color w:val="000000"/>
          <w:spacing w:val="0"/>
          <w:w w:val="100"/>
          <w:position w:val="0"/>
        </w:rPr>
        <w:t>资产负债表日外币货币性项目余额按资产负债表日即期汇率折算，由此产生的汇兑差额，除属于 与购建符合资本化条件的资产相关的外币专门借款产生的汇兑差额按照借款费用资本化的原则处 理外，均计入当期损益。</w:t>
      </w:r>
    </w:p>
    <w:p>
      <w:pPr>
        <w:pStyle w:val="Style28"/>
        <w:keepNext/>
        <w:keepLines/>
        <w:widowControl w:val="0"/>
        <w:shd w:val="clear" w:color="auto" w:fill="auto"/>
        <w:bidi w:val="0"/>
        <w:spacing w:before="0" w:after="3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60"/>
      <w:bookmarkEnd w:id="761"/>
      <w:bookmarkEnd w:id="763"/>
    </w:p>
    <w:p>
      <w:pPr>
        <w:pStyle w:val="Style33"/>
        <w:keepNext w:val="0"/>
        <w:keepLines w:val="0"/>
        <w:widowControl w:val="0"/>
        <w:shd w:val="clear" w:color="auto" w:fill="auto"/>
        <w:bidi w:val="0"/>
        <w:spacing w:before="0" w:after="60" w:line="240" w:lineRule="auto"/>
        <w:ind w:left="0" w:right="0" w:firstLine="720"/>
        <w:jc w:val="both"/>
      </w:pPr>
      <w:r>
        <w:rPr>
          <w:color w:val="000000"/>
          <w:spacing w:val="0"/>
          <w:w w:val="100"/>
          <w:position w:val="0"/>
        </w:rPr>
        <w:t>本公司在成为金融工具合同的一方时，确认一项金融资产、金融负债或权益工具。</w:t>
      </w:r>
    </w:p>
    <w:p>
      <w:pPr>
        <w:pStyle w:val="Style33"/>
        <w:keepNext w:val="0"/>
        <w:keepLines w:val="0"/>
        <w:widowControl w:val="0"/>
        <w:numPr>
          <w:ilvl w:val="0"/>
          <w:numId w:val="19"/>
        </w:numPr>
        <w:shd w:val="clear" w:color="auto" w:fill="auto"/>
        <w:bidi w:val="0"/>
        <w:spacing w:before="0" w:after="60" w:line="240" w:lineRule="auto"/>
        <w:ind w:left="0" w:right="0" w:firstLine="940"/>
        <w:jc w:val="both"/>
      </w:pPr>
      <w:bookmarkStart w:id="764" w:name="bookmark764"/>
      <w:bookmarkEnd w:id="764"/>
      <w:r>
        <w:rPr>
          <w:b/>
          <w:bCs/>
          <w:color w:val="000000"/>
          <w:spacing w:val="0"/>
          <w:w w:val="100"/>
          <w:position w:val="0"/>
        </w:rPr>
        <w:t>金融工具的分类</w:t>
      </w:r>
    </w:p>
    <w:p>
      <w:pPr>
        <w:pStyle w:val="Style33"/>
        <w:keepNext w:val="0"/>
        <w:keepLines w:val="0"/>
        <w:widowControl w:val="0"/>
        <w:shd w:val="clear" w:color="auto" w:fill="auto"/>
        <w:bidi w:val="0"/>
        <w:spacing w:before="0" w:after="300" w:line="314" w:lineRule="exact"/>
        <w:ind w:left="1300" w:right="0" w:firstLine="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 资产和以公允价值计量且其变动计入当期损益的金融资产。</w:t>
      </w:r>
    </w:p>
    <w:p>
      <w:pPr>
        <w:pStyle w:val="Style33"/>
        <w:keepNext w:val="0"/>
        <w:keepLines w:val="0"/>
        <w:widowControl w:val="0"/>
        <w:shd w:val="clear" w:color="auto" w:fill="auto"/>
        <w:bidi w:val="0"/>
        <w:spacing w:before="0" w:after="0" w:line="316" w:lineRule="exact"/>
        <w:ind w:left="1300" w:right="0" w:firstLine="0"/>
        <w:jc w:val="both"/>
      </w:pPr>
      <w:r>
        <w:rPr>
          <w:color w:val="000000"/>
          <w:spacing w:val="0"/>
          <w:w w:val="100"/>
          <w:position w:val="0"/>
        </w:rPr>
        <w:t>本公司将同时符合下列条件且未被指定为以公允价值计量且其变动计入当期损益的金融资 产，分类为以摊余成本计量的金融资产：</w:t>
      </w:r>
    </w:p>
    <w:p>
      <w:pPr>
        <w:pStyle w:val="Style33"/>
        <w:keepNext w:val="0"/>
        <w:keepLines w:val="0"/>
        <w:widowControl w:val="0"/>
        <w:shd w:val="clear" w:color="auto" w:fill="auto"/>
        <w:bidi w:val="0"/>
        <w:spacing w:before="0" w:after="0" w:line="316" w:lineRule="exact"/>
        <w:ind w:left="1300" w:right="0" w:firstLine="0"/>
        <w:jc w:val="both"/>
      </w:pPr>
      <w:r>
        <w:rPr>
          <w:color w:val="000000"/>
          <w:spacing w:val="0"/>
          <w:w w:val="100"/>
          <w:position w:val="0"/>
        </w:rPr>
        <w:t>—业务模式是以收取合同现金流量为目标；</w:t>
      </w:r>
    </w:p>
    <w:p>
      <w:pPr>
        <w:pStyle w:val="Style33"/>
        <w:keepNext w:val="0"/>
        <w:keepLines w:val="0"/>
        <w:widowControl w:val="0"/>
        <w:shd w:val="clear" w:color="auto" w:fill="auto"/>
        <w:bidi w:val="0"/>
        <w:spacing w:before="0" w:after="0" w:line="316" w:lineRule="exact"/>
        <w:ind w:left="1300" w:right="0" w:firstLine="0"/>
        <w:jc w:val="both"/>
      </w:pPr>
      <w:r>
        <w:rPr>
          <w:color w:val="000000"/>
          <w:spacing w:val="0"/>
          <w:w w:val="100"/>
          <w:position w:val="0"/>
        </w:rPr>
        <w:t>—合同现金流量仅为对本金和以未偿付本金金额为基础的利息的支付。</w:t>
      </w:r>
    </w:p>
    <w:p>
      <w:pPr>
        <w:pStyle w:val="Style33"/>
        <w:keepNext w:val="0"/>
        <w:keepLines w:val="0"/>
        <w:widowControl w:val="0"/>
        <w:shd w:val="clear" w:color="auto" w:fill="auto"/>
        <w:bidi w:val="0"/>
        <w:spacing w:before="0" w:after="0" w:line="316" w:lineRule="exact"/>
        <w:ind w:left="1300" w:right="0" w:firstLine="0"/>
        <w:jc w:val="both"/>
      </w:pPr>
      <w:r>
        <w:rPr>
          <w:color w:val="000000"/>
          <w:spacing w:val="0"/>
          <w:w w:val="100"/>
          <w:position w:val="0"/>
        </w:rPr>
        <w:t>本公司将同时符合下列条件且未被指定为以公允价值计量且其变动计入当期损益的金融资 产，分类为以公允价值计量且其变动计入其他综合收益的金融资产（债务工具）：</w:t>
      </w:r>
    </w:p>
    <w:p>
      <w:pPr>
        <w:pStyle w:val="Style33"/>
        <w:keepNext w:val="0"/>
        <w:keepLines w:val="0"/>
        <w:widowControl w:val="0"/>
        <w:shd w:val="clear" w:color="auto" w:fill="auto"/>
        <w:bidi w:val="0"/>
        <w:spacing w:before="0" w:after="0" w:line="316" w:lineRule="exact"/>
        <w:ind w:left="1300" w:right="0" w:firstLine="0"/>
        <w:jc w:val="both"/>
      </w:pPr>
      <w:r>
        <w:rPr>
          <w:color w:val="000000"/>
          <w:spacing w:val="0"/>
          <w:w w:val="100"/>
          <w:position w:val="0"/>
        </w:rPr>
        <w:t>—业务模式既以收取合同现金流量又以出售该金融资产为目标；</w:t>
      </w:r>
    </w:p>
    <w:p>
      <w:pPr>
        <w:pStyle w:val="Style33"/>
        <w:keepNext w:val="0"/>
        <w:keepLines w:val="0"/>
        <w:widowControl w:val="0"/>
        <w:shd w:val="clear" w:color="auto" w:fill="auto"/>
        <w:bidi w:val="0"/>
        <w:spacing w:before="0" w:after="0" w:line="316" w:lineRule="exact"/>
        <w:ind w:left="1300" w:right="0" w:firstLine="0"/>
        <w:jc w:val="both"/>
      </w:pPr>
      <w:r>
        <w:rPr>
          <w:color w:val="000000"/>
          <w:spacing w:val="0"/>
          <w:w w:val="100"/>
          <w:position w:val="0"/>
        </w:rPr>
        <w:t>—合同现金流量仅为对本金和以未偿付本金金额为基础的利息的支付。</w:t>
      </w:r>
    </w:p>
    <w:p>
      <w:pPr>
        <w:pStyle w:val="Style33"/>
        <w:keepNext w:val="0"/>
        <w:keepLines w:val="0"/>
        <w:widowControl w:val="0"/>
        <w:shd w:val="clear" w:color="auto" w:fill="auto"/>
        <w:bidi w:val="0"/>
        <w:spacing w:before="0" w:after="300" w:line="316" w:lineRule="exact"/>
        <w:ind w:left="1300" w:right="0" w:firstLine="0"/>
        <w:jc w:val="both"/>
      </w:pPr>
      <w:r>
        <w:rPr>
          <w:color w:val="000000"/>
          <w:spacing w:val="0"/>
          <w:w w:val="100"/>
          <w:position w:val="0"/>
        </w:rPr>
        <w:t>对于非交易性权益工具投资，本公司可以在初始确认时将其不可撤销地指定为以公允价值计 量且其变动计入其他综合收益的金融资产（权益工具）。该指定在单项投资的基础上作出， 且相关投资从发行者的角度符合权益工具的定义。</w:t>
      </w:r>
    </w:p>
    <w:p>
      <w:pPr>
        <w:pStyle w:val="Style33"/>
        <w:keepNext w:val="0"/>
        <w:keepLines w:val="0"/>
        <w:widowControl w:val="0"/>
        <w:shd w:val="clear" w:color="auto" w:fill="auto"/>
        <w:bidi w:val="0"/>
        <w:spacing w:before="0" w:after="300" w:line="312" w:lineRule="exact"/>
        <w:ind w:left="1300" w:right="0" w:firstLine="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 认时，如果能够消除或显著减少会计错配，本公司可以将本应分类为摊余成本计量或以公允 价值计量且其变动计入其他综合收益的金融资产不可撤销地指定为以公允价值计量且其变 动计入当期损益的金融资产。</w:t>
      </w:r>
    </w:p>
    <w:p>
      <w:pPr>
        <w:pStyle w:val="Style33"/>
        <w:keepNext w:val="0"/>
        <w:keepLines w:val="0"/>
        <w:widowControl w:val="0"/>
        <w:shd w:val="clear" w:color="auto" w:fill="auto"/>
        <w:bidi w:val="0"/>
        <w:spacing w:before="0" w:after="300" w:line="312" w:lineRule="exact"/>
        <w:ind w:left="1300" w:right="0" w:firstLine="0"/>
        <w:jc w:val="both"/>
      </w:pPr>
      <w:r>
        <w:rPr>
          <w:color w:val="000000"/>
          <w:spacing w:val="0"/>
          <w:w w:val="100"/>
          <w:position w:val="0"/>
        </w:rPr>
        <w:t>金融负债于初始确认时分类为：以公允价值计量且其变动计入当期损益的金融负债和以摊余 成本计量的金融负债。</w:t>
      </w:r>
    </w:p>
    <w:p>
      <w:pPr>
        <w:pStyle w:val="Style33"/>
        <w:keepNext w:val="0"/>
        <w:keepLines w:val="0"/>
        <w:widowControl w:val="0"/>
        <w:shd w:val="clear" w:color="auto" w:fill="auto"/>
        <w:bidi w:val="0"/>
        <w:spacing w:before="0" w:after="80" w:line="307" w:lineRule="exact"/>
        <w:ind w:left="1300" w:right="0" w:firstLine="0"/>
        <w:jc w:val="both"/>
      </w:pPr>
      <w:r>
        <w:rPr>
          <w:color w:val="000000"/>
          <w:spacing w:val="0"/>
          <w:w w:val="100"/>
          <w:position w:val="0"/>
        </w:rPr>
        <w:t>符合以下条件之一的金融负债可在初始计量时指定为以公允价值计量且其变动计入当期损 益的金融负债：</w:t>
      </w:r>
    </w:p>
    <w:p>
      <w:pPr>
        <w:pStyle w:val="Style33"/>
        <w:keepNext w:val="0"/>
        <w:keepLines w:val="0"/>
        <w:widowControl w:val="0"/>
        <w:shd w:val="clear" w:color="auto" w:fill="auto"/>
        <w:tabs>
          <w:tab w:pos="1673" w:val="left"/>
        </w:tabs>
        <w:bidi w:val="0"/>
        <w:spacing w:before="0" w:after="0" w:line="322" w:lineRule="auto"/>
        <w:ind w:left="1300" w:right="0" w:firstLine="0"/>
        <w:jc w:val="both"/>
      </w:pPr>
      <w:bookmarkStart w:id="765" w:name="bookmark765"/>
      <w:r>
        <w:rPr>
          <w:rFonts w:ascii="Times New Roman" w:eastAsia="Times New Roman" w:hAnsi="Times New Roman" w:cs="Times New Roman"/>
          <w:color w:val="000000"/>
          <w:spacing w:val="0"/>
          <w:w w:val="100"/>
          <w:position w:val="0"/>
        </w:rPr>
        <w:t>1</w:t>
      </w:r>
      <w:bookmarkEnd w:id="765"/>
      <w:r>
        <w:rPr>
          <w:color w:val="000000"/>
          <w:spacing w:val="0"/>
          <w:w w:val="100"/>
          <w:position w:val="0"/>
        </w:rPr>
        <w:t>）</w:t>
        <w:tab/>
        <w:t>该项指定能够消除或显著减少会计错配。</w:t>
      </w:r>
    </w:p>
    <w:p>
      <w:pPr>
        <w:pStyle w:val="Style33"/>
        <w:keepNext w:val="0"/>
        <w:keepLines w:val="0"/>
        <w:widowControl w:val="0"/>
        <w:shd w:val="clear" w:color="auto" w:fill="auto"/>
        <w:tabs>
          <w:tab w:pos="1692" w:val="left"/>
        </w:tabs>
        <w:bidi w:val="0"/>
        <w:spacing w:before="0" w:after="80" w:line="322" w:lineRule="exact"/>
        <w:ind w:left="1300" w:right="0" w:firstLine="0"/>
        <w:jc w:val="both"/>
      </w:pPr>
      <w:bookmarkStart w:id="766" w:name="bookmark766"/>
      <w:r>
        <w:rPr>
          <w:rFonts w:ascii="Times New Roman" w:eastAsia="Times New Roman" w:hAnsi="Times New Roman" w:cs="Times New Roman"/>
          <w:color w:val="000000"/>
          <w:spacing w:val="0"/>
          <w:w w:val="100"/>
          <w:position w:val="0"/>
        </w:rPr>
        <w:t>2</w:t>
      </w:r>
      <w:bookmarkEnd w:id="766"/>
      <w:r>
        <w:rPr>
          <w:color w:val="000000"/>
          <w:spacing w:val="0"/>
          <w:w w:val="100"/>
          <w:position w:val="0"/>
        </w:rPr>
        <w:t>）</w:t>
        <w:tab/>
        <w:t>根据正式书面文件载明的企业风险管理或投资策略，以公允价值为基础对金融负债组合 或金融资产和金融负债组合进行管理和业绩评价，并在企业内部以此为基础向关键管理人员 报告。</w:t>
      </w:r>
    </w:p>
    <w:p>
      <w:pPr>
        <w:pStyle w:val="Style33"/>
        <w:keepNext w:val="0"/>
        <w:keepLines w:val="0"/>
        <w:widowControl w:val="0"/>
        <w:shd w:val="clear" w:color="auto" w:fill="auto"/>
        <w:tabs>
          <w:tab w:pos="1692" w:val="left"/>
        </w:tabs>
        <w:bidi w:val="0"/>
        <w:spacing w:before="0" w:after="220" w:line="326" w:lineRule="auto"/>
        <w:ind w:left="1300" w:right="0" w:firstLine="0"/>
        <w:jc w:val="both"/>
      </w:pPr>
      <w:bookmarkStart w:id="767" w:name="bookmark767"/>
      <w:r>
        <w:rPr>
          <w:rFonts w:ascii="Times New Roman" w:eastAsia="Times New Roman" w:hAnsi="Times New Roman" w:cs="Times New Roman"/>
          <w:color w:val="000000"/>
          <w:spacing w:val="0"/>
          <w:w w:val="100"/>
          <w:position w:val="0"/>
        </w:rPr>
        <w:t>3</w:t>
      </w:r>
      <w:bookmarkEnd w:id="767"/>
      <w:r>
        <w:rPr>
          <w:color w:val="000000"/>
          <w:spacing w:val="0"/>
          <w:w w:val="100"/>
          <w:position w:val="0"/>
        </w:rPr>
        <w:t>）</w:t>
        <w:tab/>
        <w:t>该金融负债包含需单独分拆的嵌入衍生工具。</w:t>
      </w:r>
    </w:p>
    <w:p>
      <w:pPr>
        <w:pStyle w:val="Style33"/>
        <w:keepNext w:val="0"/>
        <w:keepLines w:val="0"/>
        <w:widowControl w:val="0"/>
        <w:numPr>
          <w:ilvl w:val="0"/>
          <w:numId w:val="21"/>
        </w:numPr>
        <w:shd w:val="clear" w:color="auto" w:fill="auto"/>
        <w:bidi w:val="0"/>
        <w:spacing w:before="0" w:after="0" w:line="312" w:lineRule="exact"/>
        <w:ind w:left="0" w:right="0" w:firstLine="940"/>
        <w:jc w:val="both"/>
      </w:pPr>
      <w:bookmarkStart w:id="768" w:name="bookmark768"/>
      <w:bookmarkEnd w:id="768"/>
      <w:r>
        <w:rPr>
          <w:b/>
          <w:bCs/>
          <w:color w:val="000000"/>
          <w:spacing w:val="0"/>
          <w:w w:val="100"/>
          <w:position w:val="0"/>
        </w:rPr>
        <w:t>金融工具的确认依据和计量方法</w:t>
      </w:r>
    </w:p>
    <w:p>
      <w:pPr>
        <w:pStyle w:val="Style33"/>
        <w:keepNext w:val="0"/>
        <w:keepLines w:val="0"/>
        <w:widowControl w:val="0"/>
        <w:shd w:val="clear" w:color="auto" w:fill="auto"/>
        <w:tabs>
          <w:tab w:pos="1788" w:val="left"/>
        </w:tabs>
        <w:bidi w:val="0"/>
        <w:spacing w:before="0" w:after="0" w:line="312" w:lineRule="exact"/>
        <w:ind w:left="1300" w:right="0" w:firstLine="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 收账款以及本公司决定不考虑不超过一年的融资成分的应收账款，以合同交易价格进行初始 计量。</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持有期间采用实际利率法计算的利息计入当期损益。</w:t>
      </w:r>
    </w:p>
    <w:p>
      <w:pPr>
        <w:pStyle w:val="Style33"/>
        <w:keepNext w:val="0"/>
        <w:keepLines w:val="0"/>
        <w:widowControl w:val="0"/>
        <w:shd w:val="clear" w:color="auto" w:fill="auto"/>
        <w:bidi w:val="0"/>
        <w:spacing w:before="0" w:after="300" w:line="312" w:lineRule="exact"/>
        <w:ind w:left="1300" w:right="0" w:firstLine="0"/>
        <w:jc w:val="both"/>
      </w:pPr>
      <w:r>
        <w:rPr>
          <w:color w:val="000000"/>
          <w:spacing w:val="0"/>
          <w:w w:val="100"/>
          <w:position w:val="0"/>
        </w:rPr>
        <w:t>收回或处置时，将取得的价款与该金融资产账面价值之间的差额计入当期损益。</w:t>
      </w:r>
    </w:p>
    <w:p>
      <w:pPr>
        <w:pStyle w:val="Style33"/>
        <w:keepNext w:val="0"/>
        <w:keepLines w:val="0"/>
        <w:widowControl w:val="0"/>
        <w:shd w:val="clear" w:color="auto" w:fill="auto"/>
        <w:tabs>
          <w:tab w:pos="1788" w:val="left"/>
        </w:tabs>
        <w:bidi w:val="0"/>
        <w:spacing w:before="0" w:after="0" w:line="313" w:lineRule="exact"/>
        <w:ind w:left="1300" w:right="0" w:firstLine="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3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 xml:space="preserve">以公允价值计量且其变动计入其他综合收益的金融资产（债务工具）包括应收款项融资、其 </w:t>
      </w:r>
      <w:r>
        <w:rPr>
          <w:color w:val="000000"/>
          <w:spacing w:val="0"/>
          <w:w w:val="100"/>
          <w:position w:val="0"/>
        </w:rPr>
        <w:t>他债权投资等，按公允价值进行初始计量，相关交易费用计入初始确认金额。该金融资产按 公允价值进行后续计量，公允价值变动除采用实际利率法计算的利息、减值损失或利得和汇 兑损益之外，均计入其他综合收益。</w:t>
      </w:r>
    </w:p>
    <w:p>
      <w:pPr>
        <w:pStyle w:val="Style33"/>
        <w:keepNext w:val="0"/>
        <w:keepLines w:val="0"/>
        <w:widowControl w:val="0"/>
        <w:shd w:val="clear" w:color="auto" w:fill="auto"/>
        <w:bidi w:val="0"/>
        <w:spacing w:before="0" w:after="300" w:line="310" w:lineRule="exact"/>
        <w:ind w:left="1300" w:right="0" w:firstLine="0"/>
        <w:jc w:val="both"/>
      </w:pPr>
      <w:r>
        <w:rPr>
          <w:color w:val="000000"/>
          <w:spacing w:val="0"/>
          <w:w w:val="100"/>
          <w:position w:val="0"/>
        </w:rPr>
        <w:t>终止确认时，之前计入其他综合收益的累计利得或损失从其他综合收益中转出，计入当期损 益。</w:t>
      </w:r>
    </w:p>
    <w:p>
      <w:pPr>
        <w:pStyle w:val="Style33"/>
        <w:keepNext w:val="0"/>
        <w:keepLines w:val="0"/>
        <w:widowControl w:val="0"/>
        <w:shd w:val="clear" w:color="auto" w:fill="auto"/>
        <w:tabs>
          <w:tab w:pos="1788" w:val="left"/>
        </w:tabs>
        <w:bidi w:val="0"/>
        <w:spacing w:before="0" w:after="0" w:line="310" w:lineRule="exact"/>
        <w:ind w:left="1300" w:right="0" w:firstLine="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33"/>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 行后续计量，公允价值变动计入其他综合收益。取得的股利计入当期损益。</w:t>
      </w:r>
    </w:p>
    <w:p>
      <w:pPr>
        <w:pStyle w:val="Style33"/>
        <w:keepNext w:val="0"/>
        <w:keepLines w:val="0"/>
        <w:widowControl w:val="0"/>
        <w:shd w:val="clear" w:color="auto" w:fill="auto"/>
        <w:bidi w:val="0"/>
        <w:spacing w:before="0" w:after="300" w:line="310" w:lineRule="exact"/>
        <w:ind w:left="1300" w:right="0" w:firstLine="0"/>
        <w:jc w:val="both"/>
      </w:pPr>
      <w:r>
        <w:rPr>
          <w:color w:val="000000"/>
          <w:spacing w:val="0"/>
          <w:w w:val="100"/>
          <w:position w:val="0"/>
        </w:rPr>
        <w:t>终止确认时，之前计入其他综合收益的累计利得或损失从其他综合收益中转出，计入留存收 益。</w:t>
      </w:r>
    </w:p>
    <w:p>
      <w:pPr>
        <w:pStyle w:val="Style33"/>
        <w:keepNext w:val="0"/>
        <w:keepLines w:val="0"/>
        <w:widowControl w:val="0"/>
        <w:shd w:val="clear" w:color="auto" w:fill="auto"/>
        <w:tabs>
          <w:tab w:pos="1788" w:val="left"/>
        </w:tabs>
        <w:bidi w:val="0"/>
        <w:spacing w:before="0" w:after="0" w:line="314" w:lineRule="exact"/>
        <w:ind w:left="1300" w:right="0" w:firstLine="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33"/>
        <w:keepNext w:val="0"/>
        <w:keepLines w:val="0"/>
        <w:widowControl w:val="0"/>
        <w:shd w:val="clear" w:color="auto" w:fill="auto"/>
        <w:bidi w:val="0"/>
        <w:spacing w:before="0" w:after="300" w:line="314" w:lineRule="exact"/>
        <w:ind w:left="1300" w:right="0" w:firstLine="0"/>
        <w:jc w:val="both"/>
      </w:pPr>
      <w:r>
        <w:rPr>
          <w:color w:val="000000"/>
          <w:spacing w:val="0"/>
          <w:w w:val="100"/>
          <w:position w:val="0"/>
        </w:rPr>
        <w:t>以公允价值计量且其变动计入当期损益的金融资产包括交易性金融资产、衍生金融资产、其 他非流动金融资产等，按公允价值进行初始计量，相关交易费用计入当期损益。该金融资产 按公允价值进行后续计量，公允价值变动计入当期损益。</w:t>
      </w:r>
    </w:p>
    <w:p>
      <w:pPr>
        <w:pStyle w:val="Style33"/>
        <w:keepNext w:val="0"/>
        <w:keepLines w:val="0"/>
        <w:widowControl w:val="0"/>
        <w:shd w:val="clear" w:color="auto" w:fill="auto"/>
        <w:tabs>
          <w:tab w:pos="1788" w:val="left"/>
        </w:tabs>
        <w:bidi w:val="0"/>
        <w:spacing w:before="0" w:after="0" w:line="314" w:lineRule="exact"/>
        <w:ind w:left="1300" w:right="0" w:firstLine="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3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以公允价值计量且其变动计入当期损益的金融负债包括交易性金融负债、衍生金融负债等， 按公允价值进行初始计量，相关交易费用计入当期损益。该金融负债按公允价值进行后续计 量，公允价值变动计入当期损益。</w:t>
      </w:r>
    </w:p>
    <w:p>
      <w:pPr>
        <w:pStyle w:val="Style33"/>
        <w:keepNext w:val="0"/>
        <w:keepLines w:val="0"/>
        <w:widowControl w:val="0"/>
        <w:shd w:val="clear" w:color="auto" w:fill="auto"/>
        <w:bidi w:val="0"/>
        <w:spacing w:before="0" w:after="300" w:line="314" w:lineRule="exact"/>
        <w:ind w:left="1300" w:right="0" w:firstLine="0"/>
        <w:jc w:val="both"/>
      </w:pPr>
      <w:r>
        <w:rPr>
          <w:color w:val="000000"/>
          <w:spacing w:val="0"/>
          <w:w w:val="100"/>
          <w:position w:val="0"/>
        </w:rPr>
        <w:t>终止确认时，其账面价值与支付的对价之间的差额计入当期损益。</w:t>
      </w:r>
    </w:p>
    <w:p>
      <w:pPr>
        <w:pStyle w:val="Style33"/>
        <w:keepNext w:val="0"/>
        <w:keepLines w:val="0"/>
        <w:widowControl w:val="0"/>
        <w:shd w:val="clear" w:color="auto" w:fill="auto"/>
        <w:tabs>
          <w:tab w:pos="1788" w:val="left"/>
        </w:tabs>
        <w:bidi w:val="0"/>
        <w:spacing w:before="0" w:after="0" w:line="312" w:lineRule="exact"/>
        <w:ind w:left="1300" w:right="0" w:firstLine="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以摊余成本计量的金融负债包括短期借款、应付票据、应付账款、其他应付款、长期借款、 应付债券、长期应付款，按公允价值进行初始计量，相关交易费用计入初始确认金额。</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持有期间采用实际利率法计算的利息计入当期损益。</w:t>
      </w:r>
    </w:p>
    <w:p>
      <w:pPr>
        <w:pStyle w:val="Style33"/>
        <w:keepNext w:val="0"/>
        <w:keepLines w:val="0"/>
        <w:widowControl w:val="0"/>
        <w:shd w:val="clear" w:color="auto" w:fill="auto"/>
        <w:bidi w:val="0"/>
        <w:spacing w:before="0" w:after="300" w:line="312" w:lineRule="exact"/>
        <w:ind w:left="1300" w:right="0" w:firstLine="0"/>
        <w:jc w:val="both"/>
      </w:pPr>
      <w:r>
        <w:rPr>
          <w:color w:val="000000"/>
          <w:spacing w:val="0"/>
          <w:w w:val="100"/>
          <w:position w:val="0"/>
        </w:rPr>
        <w:t>终止确认时，将支付的对价与该金融负债账面价值之间的差额计入当期损益。</w:t>
      </w:r>
    </w:p>
    <w:p>
      <w:pPr>
        <w:pStyle w:val="Style33"/>
        <w:keepNext w:val="0"/>
        <w:keepLines w:val="0"/>
        <w:widowControl w:val="0"/>
        <w:numPr>
          <w:ilvl w:val="0"/>
          <w:numId w:val="23"/>
        </w:numPr>
        <w:shd w:val="clear" w:color="auto" w:fill="auto"/>
        <w:bidi w:val="0"/>
        <w:spacing w:before="0" w:after="0" w:line="312" w:lineRule="exact"/>
        <w:ind w:left="0" w:right="0" w:firstLine="940"/>
        <w:jc w:val="both"/>
      </w:pPr>
      <w:bookmarkStart w:id="775" w:name="bookmark775"/>
      <w:bookmarkEnd w:id="775"/>
      <w:r>
        <w:rPr>
          <w:b/>
          <w:bCs/>
          <w:color w:val="000000"/>
          <w:spacing w:val="0"/>
          <w:w w:val="100"/>
          <w:position w:val="0"/>
        </w:rPr>
        <w:t>金融资产终止确认和金融资产转移</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满足下列条件之一时，本公司终止确认金融资产：</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—收取金融资产现金流量的合同权利终止；</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—金融资产已转移，且已将金融资产所有权上几乎所有的风险和报酬转移给转入方；</w:t>
      </w:r>
    </w:p>
    <w:p>
      <w:pPr>
        <w:pStyle w:val="Style33"/>
        <w:keepNext w:val="0"/>
        <w:keepLines w:val="0"/>
        <w:widowControl w:val="0"/>
        <w:shd w:val="clear" w:color="auto" w:fill="auto"/>
        <w:bidi w:val="0"/>
        <w:spacing w:before="0" w:after="300" w:line="312" w:lineRule="exact"/>
        <w:ind w:left="1300" w:right="0" w:firstLine="0"/>
        <w:jc w:val="both"/>
      </w:pPr>
      <w:r>
        <w:rPr>
          <w:color w:val="000000"/>
          <w:spacing w:val="0"/>
          <w:w w:val="100"/>
          <w:position w:val="0"/>
        </w:rPr>
        <w:t>—金融资产已转移，虽然本公司既没有转移也没有保留金融资产所有权上几乎所有的风险 和报酬，但是未保留对金融资产的控制。</w:t>
      </w:r>
    </w:p>
    <w:p>
      <w:pPr>
        <w:pStyle w:val="Style33"/>
        <w:keepNext w:val="0"/>
        <w:keepLines w:val="0"/>
        <w:widowControl w:val="0"/>
        <w:shd w:val="clear" w:color="auto" w:fill="auto"/>
        <w:bidi w:val="0"/>
        <w:spacing w:before="0" w:after="300" w:line="317" w:lineRule="exact"/>
        <w:ind w:left="1300" w:right="0" w:firstLine="0"/>
        <w:jc w:val="both"/>
      </w:pPr>
      <w:r>
        <w:rPr>
          <w:color w:val="000000"/>
          <w:spacing w:val="0"/>
          <w:w w:val="100"/>
          <w:position w:val="0"/>
        </w:rPr>
        <w:t>发生金融资产转移时，如保留了金融资产所有权上几乎所有的风险和报酬的，则不终止确认 该金融资产。</w:t>
      </w:r>
    </w:p>
    <w:p>
      <w:pPr>
        <w:pStyle w:val="Style33"/>
        <w:keepNext w:val="0"/>
        <w:keepLines w:val="0"/>
        <w:widowControl w:val="0"/>
        <w:shd w:val="clear" w:color="auto" w:fill="auto"/>
        <w:bidi w:val="0"/>
        <w:spacing w:before="0" w:after="0" w:line="317" w:lineRule="exact"/>
        <w:ind w:left="1300" w:right="0" w:firstLine="0"/>
        <w:jc w:val="both"/>
      </w:pPr>
      <w:r>
        <w:rPr>
          <w:color w:val="000000"/>
          <w:spacing w:val="0"/>
          <w:w w:val="100"/>
          <w:position w:val="0"/>
        </w:rPr>
        <w:t>在判断金融资产转移是否满足上述金融资产终止确认条件时，采用实质重于形式的原则。</w:t>
      </w:r>
    </w:p>
    <w:p>
      <w:pPr>
        <w:pStyle w:val="Style33"/>
        <w:keepNext w:val="0"/>
        <w:keepLines w:val="0"/>
        <w:widowControl w:val="0"/>
        <w:shd w:val="clear" w:color="auto" w:fill="auto"/>
        <w:bidi w:val="0"/>
        <w:spacing w:before="0" w:after="0" w:line="317" w:lineRule="exact"/>
        <w:ind w:left="1300" w:right="0" w:firstLine="0"/>
        <w:jc w:val="both"/>
      </w:pPr>
      <w:r>
        <w:rPr>
          <w:color w:val="000000"/>
          <w:spacing w:val="0"/>
          <w:w w:val="100"/>
          <w:position w:val="0"/>
        </w:rPr>
        <w:t>公司将金融资产转移区分为金融资产整体转移和部分转移。金融资产整体转移满足终止确认 条件的，将下列两项金额的差额计入当期损益：</w:t>
      </w:r>
    </w:p>
    <w:p>
      <w:pPr>
        <w:pStyle w:val="Style33"/>
        <w:keepNext w:val="0"/>
        <w:keepLines w:val="0"/>
        <w:widowControl w:val="0"/>
        <w:shd w:val="clear" w:color="auto" w:fill="auto"/>
        <w:bidi w:val="0"/>
        <w:spacing w:before="0" w:after="300" w:line="317" w:lineRule="exact"/>
        <w:ind w:left="1300" w:right="0" w:firstLine="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）所转移金融资产的账面价值；</w:t>
      </w:r>
    </w:p>
    <w:p>
      <w:pPr>
        <w:pStyle w:val="Style33"/>
        <w:keepNext w:val="0"/>
        <w:keepLines w:val="0"/>
        <w:widowControl w:val="0"/>
        <w:shd w:val="clear" w:color="auto" w:fill="auto"/>
        <w:bidi w:val="0"/>
        <w:spacing w:before="0" w:after="300" w:line="312" w:lineRule="exact"/>
        <w:ind w:left="1180" w:right="0" w:firstLine="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）因转移而收到的对价，与原直接计入所有者权益的公允价值变动累计额（涉及转移的 金融资产为以公允价值计量且其变动计入其他综合收益的金融资产（债务工具）的情形）之 和。</w:t>
      </w:r>
    </w:p>
    <w:p>
      <w:pPr>
        <w:pStyle w:val="Style33"/>
        <w:keepNext w:val="0"/>
        <w:keepLines w:val="0"/>
        <w:widowControl w:val="0"/>
        <w:shd w:val="clear" w:color="auto" w:fill="auto"/>
        <w:bidi w:val="0"/>
        <w:spacing w:before="0" w:after="0" w:line="318" w:lineRule="exact"/>
        <w:ind w:left="1180" w:right="0" w:firstLine="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 入当期损益：</w:t>
      </w:r>
    </w:p>
    <w:p>
      <w:pPr>
        <w:pStyle w:val="Style33"/>
        <w:keepNext w:val="0"/>
        <w:keepLines w:val="0"/>
        <w:widowControl w:val="0"/>
        <w:shd w:val="clear" w:color="auto" w:fill="auto"/>
        <w:tabs>
          <w:tab w:pos="1658" w:val="left"/>
        </w:tabs>
        <w:bidi w:val="0"/>
        <w:spacing w:before="0" w:after="0" w:line="318" w:lineRule="exact"/>
        <w:ind w:left="1180" w:right="0" w:firstLine="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33"/>
        <w:keepNext w:val="0"/>
        <w:keepLines w:val="0"/>
        <w:widowControl w:val="0"/>
        <w:shd w:val="clear" w:color="auto" w:fill="auto"/>
        <w:tabs>
          <w:tab w:pos="1744" w:val="left"/>
        </w:tabs>
        <w:bidi w:val="0"/>
        <w:spacing w:before="0" w:after="0" w:line="318" w:lineRule="exact"/>
        <w:ind w:left="1180" w:right="0" w:firstLine="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 认部分的金额（涉及转移的金融资产为以公允价值计量且其变动计入其他综合收益的金融资 产（债务工具）的情形）之和。</w:t>
      </w:r>
    </w:p>
    <w:p>
      <w:pPr>
        <w:pStyle w:val="Style33"/>
        <w:keepNext w:val="0"/>
        <w:keepLines w:val="0"/>
        <w:widowControl w:val="0"/>
        <w:shd w:val="clear" w:color="auto" w:fill="auto"/>
        <w:bidi w:val="0"/>
        <w:spacing w:before="0" w:after="300" w:line="318" w:lineRule="exact"/>
        <w:ind w:left="1180" w:right="0" w:firstLine="0"/>
        <w:jc w:val="both"/>
      </w:pPr>
      <w:r>
        <w:rPr>
          <w:color w:val="000000"/>
          <w:spacing w:val="0"/>
          <w:w w:val="100"/>
          <w:position w:val="0"/>
        </w:rPr>
        <w:t>金融资产转移不满足终止确认条件的，继续确认该金融资产，所收到的对价确认为一项金融 负债。</w:t>
      </w:r>
    </w:p>
    <w:p>
      <w:pPr>
        <w:pStyle w:val="Style33"/>
        <w:keepNext w:val="0"/>
        <w:keepLines w:val="0"/>
        <w:widowControl w:val="0"/>
        <w:numPr>
          <w:ilvl w:val="0"/>
          <w:numId w:val="25"/>
        </w:numPr>
        <w:shd w:val="clear" w:color="auto" w:fill="auto"/>
        <w:bidi w:val="0"/>
        <w:spacing w:before="0" w:after="0" w:line="315" w:lineRule="exact"/>
        <w:ind w:left="0" w:right="0" w:firstLine="820"/>
        <w:jc w:val="both"/>
      </w:pPr>
      <w:bookmarkStart w:id="780" w:name="bookmark780"/>
      <w:bookmarkEnd w:id="780"/>
      <w:r>
        <w:rPr>
          <w:b/>
          <w:bCs/>
          <w:color w:val="000000"/>
          <w:spacing w:val="0"/>
          <w:w w:val="100"/>
          <w:position w:val="0"/>
        </w:rPr>
        <w:t>金融负债终止确认</w:t>
      </w:r>
    </w:p>
    <w:p>
      <w:pPr>
        <w:pStyle w:val="Style33"/>
        <w:keepNext w:val="0"/>
        <w:keepLines w:val="0"/>
        <w:widowControl w:val="0"/>
        <w:shd w:val="clear" w:color="auto" w:fill="auto"/>
        <w:bidi w:val="0"/>
        <w:spacing w:before="0" w:after="0" w:line="315" w:lineRule="exact"/>
        <w:ind w:left="1180" w:right="0" w:firstLine="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 债的合同条款实质上不同的，则终止确认现存金融负债，并同时确认新金融负债。</w:t>
      </w:r>
    </w:p>
    <w:p>
      <w:pPr>
        <w:pStyle w:val="Style33"/>
        <w:keepNext w:val="0"/>
        <w:keepLines w:val="0"/>
        <w:widowControl w:val="0"/>
        <w:shd w:val="clear" w:color="auto" w:fill="auto"/>
        <w:bidi w:val="0"/>
        <w:spacing w:before="0" w:after="0" w:line="315" w:lineRule="exact"/>
        <w:ind w:left="1180" w:right="0" w:firstLine="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33"/>
        <w:keepNext w:val="0"/>
        <w:keepLines w:val="0"/>
        <w:widowControl w:val="0"/>
        <w:shd w:val="clear" w:color="auto" w:fill="auto"/>
        <w:bidi w:val="0"/>
        <w:spacing w:before="0" w:after="0" w:line="315" w:lineRule="exact"/>
        <w:ind w:left="1180" w:right="0" w:firstLine="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33"/>
        <w:keepNext w:val="0"/>
        <w:keepLines w:val="0"/>
        <w:widowControl w:val="0"/>
        <w:shd w:val="clear" w:color="auto" w:fill="auto"/>
        <w:bidi w:val="0"/>
        <w:spacing w:before="0" w:after="300" w:line="315" w:lineRule="exact"/>
        <w:ind w:left="1180" w:right="0" w:firstLine="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 括转出的非现金资产或承担的新金融负债）之间的差额，计入当期损益。</w:t>
      </w:r>
    </w:p>
    <w:p>
      <w:pPr>
        <w:pStyle w:val="Style33"/>
        <w:keepNext w:val="0"/>
        <w:keepLines w:val="0"/>
        <w:widowControl w:val="0"/>
        <w:numPr>
          <w:ilvl w:val="0"/>
          <w:numId w:val="27"/>
        </w:numPr>
        <w:shd w:val="clear" w:color="auto" w:fill="auto"/>
        <w:bidi w:val="0"/>
        <w:spacing w:before="0" w:after="0" w:line="314" w:lineRule="exact"/>
        <w:ind w:left="0" w:right="0" w:firstLine="820"/>
        <w:jc w:val="left"/>
      </w:pPr>
      <w:bookmarkStart w:id="781" w:name="bookmark781"/>
      <w:bookmarkEnd w:id="781"/>
      <w:r>
        <w:rPr>
          <w:b/>
          <w:bCs/>
          <w:color w:val="000000"/>
          <w:spacing w:val="0"/>
          <w:w w:val="100"/>
          <w:position w:val="0"/>
        </w:rPr>
        <w:t>金融资产和金融负债的公允价值的确定方法</w:t>
      </w:r>
    </w:p>
    <w:p>
      <w:pPr>
        <w:pStyle w:val="Style33"/>
        <w:keepNext w:val="0"/>
        <w:keepLines w:val="0"/>
        <w:widowControl w:val="0"/>
        <w:shd w:val="clear" w:color="auto" w:fill="auto"/>
        <w:bidi w:val="0"/>
        <w:spacing w:before="0" w:after="300" w:line="314" w:lineRule="exact"/>
        <w:ind w:left="1180" w:right="0" w:firstLine="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 利用数据和其他信息支持的估值技术，选择与市场参与者在相关资产或负债的交易中所考虑 的资产或负债特征相一致的输入值，并优先使用相关可观察输入值。只有在相关可观察输入 值无法取得或取得不切实可行的情况下，才使用不可观察输入值。</w:t>
      </w:r>
    </w:p>
    <w:p>
      <w:pPr>
        <w:pStyle w:val="Style33"/>
        <w:keepNext w:val="0"/>
        <w:keepLines w:val="0"/>
        <w:widowControl w:val="0"/>
        <w:numPr>
          <w:ilvl w:val="0"/>
          <w:numId w:val="29"/>
        </w:numPr>
        <w:shd w:val="clear" w:color="auto" w:fill="auto"/>
        <w:bidi w:val="0"/>
        <w:spacing w:before="0" w:after="0" w:line="312" w:lineRule="exact"/>
        <w:ind w:left="0" w:right="0" w:firstLine="820"/>
        <w:jc w:val="left"/>
      </w:pPr>
      <w:bookmarkStart w:id="782" w:name="bookmark782"/>
      <w:bookmarkEnd w:id="782"/>
      <w:r>
        <w:rPr>
          <w:b/>
          <w:bCs/>
          <w:color w:val="000000"/>
          <w:spacing w:val="0"/>
          <w:w w:val="100"/>
          <w:position w:val="0"/>
        </w:rPr>
        <w:t>金融资产减值的测试方法及会计处理方法</w:t>
      </w:r>
    </w:p>
    <w:p>
      <w:pPr>
        <w:pStyle w:val="Style33"/>
        <w:keepNext w:val="0"/>
        <w:keepLines w:val="0"/>
        <w:widowControl w:val="0"/>
        <w:shd w:val="clear" w:color="auto" w:fill="auto"/>
        <w:bidi w:val="0"/>
        <w:spacing w:before="0" w:after="0" w:line="312" w:lineRule="exact"/>
        <w:ind w:left="1180" w:right="0" w:firstLine="0"/>
        <w:jc w:val="left"/>
      </w:pPr>
      <w:r>
        <w:rPr>
          <w:color w:val="000000"/>
          <w:spacing w:val="0"/>
          <w:w w:val="100"/>
          <w:position w:val="0"/>
        </w:rPr>
        <w:t>本公司以单项或组合的方式对以摊余成本计量的金融资产、以公允价值计量且其变动计入其 他综合收益的金融资产（债务工具）和财务担保合同等的预期信用损失进行估计。</w:t>
      </w:r>
    </w:p>
    <w:p>
      <w:pPr>
        <w:pStyle w:val="Style33"/>
        <w:keepNext w:val="0"/>
        <w:keepLines w:val="0"/>
        <w:widowControl w:val="0"/>
        <w:shd w:val="clear" w:color="auto" w:fill="auto"/>
        <w:bidi w:val="0"/>
        <w:spacing w:before="0" w:after="0" w:line="312" w:lineRule="exact"/>
        <w:ind w:left="1180" w:right="0" w:firstLine="0"/>
        <w:jc w:val="left"/>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 的概率加权金额，确认预期信用损失。</w:t>
      </w:r>
    </w:p>
    <w:p>
      <w:pPr>
        <w:pStyle w:val="Style33"/>
        <w:keepNext w:val="0"/>
        <w:keepLines w:val="0"/>
        <w:widowControl w:val="0"/>
        <w:shd w:val="clear" w:color="auto" w:fill="auto"/>
        <w:bidi w:val="0"/>
        <w:spacing w:before="0" w:after="0" w:line="312" w:lineRule="exact"/>
        <w:ind w:left="1180" w:right="0" w:firstLine="0"/>
        <w:jc w:val="left"/>
      </w:pPr>
      <w:r>
        <w:rPr>
          <w:color w:val="000000"/>
          <w:spacing w:val="0"/>
          <w:w w:val="100"/>
          <w:position w:val="0"/>
        </w:rPr>
        <w:t>如果该金融工具的信用风险自初始确认后已显著增加，本公司按照相当于该金融工具整个存 续期内预期信用损失的金额计量其损失准备；如果该金融工具的信用风险自初始确认后并未 显著增加，本公司按照相当于该金融工具未来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 由此形成的损失准备的增加或转回金额，作为减值损失或利得计入当期损益。</w:t>
      </w:r>
    </w:p>
    <w:p>
      <w:pPr>
        <w:pStyle w:val="Style33"/>
        <w:keepNext w:val="0"/>
        <w:keepLines w:val="0"/>
        <w:widowControl w:val="0"/>
        <w:shd w:val="clear" w:color="auto" w:fill="auto"/>
        <w:bidi w:val="0"/>
        <w:spacing w:before="0" w:after="0" w:line="312" w:lineRule="exact"/>
        <w:ind w:left="1180" w:right="0" w:firstLine="0"/>
        <w:jc w:val="left"/>
      </w:pPr>
      <w:r>
        <w:rPr>
          <w:color w:val="000000"/>
          <w:spacing w:val="0"/>
          <w:w w:val="100"/>
          <w:position w:val="0"/>
        </w:rPr>
        <w:t xml:space="preserve">本公司通过比较金融工具在资产负债表日发生违约的风险与在初始确认日发生违约的风险， </w:t>
      </w:r>
      <w:r>
        <w:rPr>
          <w:color w:val="000000"/>
          <w:spacing w:val="0"/>
          <w:w w:val="100"/>
          <w:position w:val="0"/>
        </w:rPr>
        <w:t>以确定金融工具预计存续期内发生违约风险的相对变化，以评估金融工具的信用风险自初始 确认后是否已显著增加。通常逾期超过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 加，除非有确凿证据证明该金融工具的信用风险自初始确认后并未显著增加。</w:t>
      </w:r>
    </w:p>
    <w:p>
      <w:pPr>
        <w:pStyle w:val="Style33"/>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如果金融工具于资产负债表日的信用风险较低，本公司即认为该金融工具的信用风险自初始 确认后并未显著增加。</w:t>
      </w:r>
    </w:p>
    <w:p>
      <w:pPr>
        <w:pStyle w:val="Style33"/>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如果有客观证据表明某项金融资产已经发生信用减值，则本公司在单项基础上对该金融资产 计提减值准备。</w:t>
      </w:r>
    </w:p>
    <w:p>
      <w:pPr>
        <w:pStyle w:val="Style33"/>
        <w:keepNext w:val="0"/>
        <w:keepLines w:val="0"/>
        <w:widowControl w:val="0"/>
        <w:shd w:val="clear" w:color="auto" w:fill="auto"/>
        <w:bidi w:val="0"/>
        <w:spacing w:before="0" w:after="0" w:line="316" w:lineRule="exact"/>
        <w:ind w:left="1280" w:right="0" w:firstLine="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 论是否包含重大融资成分，本公司始终按照相当于整个存续期内预期信用损失的金额计量其 损失准备。</w:t>
      </w:r>
    </w:p>
    <w:p>
      <w:pPr>
        <w:pStyle w:val="Style33"/>
        <w:keepNext w:val="0"/>
        <w:keepLines w:val="0"/>
        <w:widowControl w:val="0"/>
        <w:shd w:val="clear" w:color="auto" w:fill="auto"/>
        <w:bidi w:val="0"/>
        <w:spacing w:before="0" w:after="0" w:line="316" w:lineRule="exact"/>
        <w:ind w:left="1280" w:right="0" w:firstLine="0"/>
        <w:jc w:val="both"/>
      </w:pPr>
      <w:r>
        <w:rPr>
          <w:color w:val="000000"/>
          <w:spacing w:val="0"/>
          <w:w w:val="100"/>
          <w:position w:val="0"/>
        </w:rPr>
        <w:t>对于租赁应收款，本公司选择始终按照相当于整个存续期内预期信用损失的金额计量其损失 准备。</w:t>
      </w:r>
    </w:p>
    <w:p>
      <w:pPr>
        <w:pStyle w:val="Style33"/>
        <w:keepNext w:val="0"/>
        <w:keepLines w:val="0"/>
        <w:widowControl w:val="0"/>
        <w:shd w:val="clear" w:color="auto" w:fill="auto"/>
        <w:bidi w:val="0"/>
        <w:spacing w:before="0" w:after="0" w:line="316" w:lineRule="exact"/>
        <w:ind w:left="1280" w:right="0" w:firstLine="0"/>
        <w:jc w:val="both"/>
      </w:pPr>
      <w:r>
        <w:rPr>
          <w:color w:val="000000"/>
          <w:spacing w:val="0"/>
          <w:w w:val="100"/>
          <w:position w:val="0"/>
        </w:rPr>
        <w:t>本公司不再合理预期金融资产合同现金流量能够全部或部分收回的，直接减记该金融资产的 账面余额。</w:t>
      </w:r>
    </w:p>
    <w:p>
      <w:pPr>
        <w:pStyle w:val="Style33"/>
        <w:keepNext w:val="0"/>
        <w:keepLines w:val="0"/>
        <w:widowControl w:val="0"/>
        <w:shd w:val="clear" w:color="auto" w:fill="auto"/>
        <w:bidi w:val="0"/>
        <w:spacing w:before="0" w:after="40" w:line="316" w:lineRule="exact"/>
        <w:ind w:left="1280" w:right="0" w:firstLine="0"/>
        <w:jc w:val="both"/>
      </w:pPr>
      <w:r>
        <w:rPr>
          <w:color w:val="000000"/>
          <w:spacing w:val="0"/>
          <w:w w:val="100"/>
          <w:position w:val="0"/>
        </w:rPr>
        <w:t>当单项金融资产无法以合理成本评估预期信用损失的信息时，本公司依据信用风险特征划分 为若干组合，在组合基础上计算预期信用损失。确定的组合及计提方法如下：</w:t>
      </w:r>
    </w:p>
    <w:tbl>
      <w:tblPr>
        <w:tblOverlap w:val="never"/>
        <w:jc w:val="center"/>
        <w:tblLayout w:type="fixed"/>
      </w:tblPr>
      <w:tblGrid>
        <w:gridCol w:w="1800"/>
        <w:gridCol w:w="3422"/>
        <w:gridCol w:w="2635"/>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金融资产项目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计量预期信用损失的方法</w:t>
            </w:r>
          </w:p>
        </w:tc>
      </w:tr>
      <w:tr>
        <w:trPr>
          <w:trHeight w:val="97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组合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：账龄组合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未进行单项及其他组合计提减值的应收账款、应 收票据、应收款项融资、长期应收款等、其他应 收款、合同资产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120" w:line="240" w:lineRule="auto"/>
              <w:ind w:left="0" w:right="0" w:firstLine="0"/>
              <w:jc w:val="both"/>
              <w:rPr>
                <w:sz w:val="15"/>
                <w:szCs w:val="15"/>
              </w:rPr>
            </w:pPr>
            <w:r>
              <w:rPr>
                <w:color w:val="000000"/>
                <w:spacing w:val="0"/>
                <w:w w:val="100"/>
                <w:position w:val="0"/>
                <w:sz w:val="15"/>
                <w:szCs w:val="15"/>
              </w:rPr>
              <w:t>按账龄与整个存续期预期信用损失率</w:t>
            </w:r>
          </w:p>
          <w:p>
            <w:pPr>
              <w:pStyle w:val="Style1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计提</w:t>
            </w:r>
          </w:p>
        </w:tc>
      </w:tr>
      <w:tr>
        <w:trPr>
          <w:trHeight w:val="15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120" w:line="240" w:lineRule="auto"/>
              <w:ind w:left="0" w:right="0" w:firstLine="0"/>
              <w:jc w:val="left"/>
              <w:rPr>
                <w:sz w:val="15"/>
                <w:szCs w:val="15"/>
              </w:rPr>
            </w:pPr>
            <w:r>
              <w:rPr>
                <w:color w:val="000000"/>
                <w:spacing w:val="0"/>
                <w:w w:val="100"/>
                <w:position w:val="0"/>
                <w:sz w:val="15"/>
                <w:szCs w:val="15"/>
              </w:rPr>
              <w:t>组合</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：押金及保证金组</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其他应收款中保证金及押金类款项。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rPr>
                <w:sz w:val="15"/>
                <w:szCs w:val="15"/>
              </w:rPr>
            </w:pPr>
            <w:r>
              <w:rPr>
                <w:color w:val="000000"/>
                <w:spacing w:val="0"/>
                <w:w w:val="100"/>
                <w:position w:val="0"/>
                <w:sz w:val="15"/>
                <w:szCs w:val="15"/>
              </w:rPr>
              <w:t>按余额百分比法计提，对于已逾期的 押金及保证金计提预期信用损失率为 款项余额的</w:t>
            </w:r>
            <w:r>
              <w:rPr>
                <w:rFonts w:ascii="Times New Roman" w:eastAsia="Times New Roman" w:hAnsi="Times New Roman" w:cs="Times New Roman"/>
                <w:color w:val="000000"/>
                <w:spacing w:val="0"/>
                <w:w w:val="100"/>
                <w:position w:val="0"/>
                <w:sz w:val="16"/>
                <w:szCs w:val="16"/>
              </w:rPr>
              <w:t>100%</w:t>
            </w:r>
            <w:r>
              <w:rPr>
                <w:color w:val="000000"/>
                <w:spacing w:val="0"/>
                <w:w w:val="100"/>
                <w:position w:val="0"/>
                <w:sz w:val="15"/>
                <w:szCs w:val="15"/>
              </w:rPr>
              <w:t>；</w:t>
            </w:r>
          </w:p>
          <w:p>
            <w:pPr>
              <w:pStyle w:val="Style18"/>
              <w:keepNext w:val="0"/>
              <w:keepLines w:val="0"/>
              <w:widowControl w:val="0"/>
              <w:shd w:val="clear" w:color="auto" w:fill="auto"/>
              <w:bidi w:val="0"/>
              <w:spacing w:before="0" w:after="0" w:line="315" w:lineRule="exact"/>
              <w:ind w:left="0" w:right="0" w:firstLine="0"/>
              <w:jc w:val="both"/>
              <w:rPr>
                <w:sz w:val="15"/>
                <w:szCs w:val="15"/>
              </w:rPr>
            </w:pPr>
            <w:r>
              <w:rPr>
                <w:color w:val="000000"/>
                <w:spacing w:val="0"/>
                <w:w w:val="100"/>
                <w:position w:val="0"/>
                <w:sz w:val="15"/>
                <w:szCs w:val="15"/>
              </w:rPr>
              <w:t>对于未逾期的押金及保证金计提预期 信用损失率为款项余额的</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5"/>
                <w:szCs w:val="15"/>
              </w:rPr>
              <w:t>。</w:t>
            </w:r>
          </w:p>
        </w:tc>
      </w:tr>
      <w:tr>
        <w:trPr>
          <w:trHeight w:val="162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组合</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：其他组合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应收银行承兑汇票，应收控制关系关联方款项(包 括应收账款、应收款项融资及其他应收款等)， 应收利息、应收股利等低信用风险类款项。若上 述低信用风险类款项的信用风险显著增加，则进 行单项或归入账龄风险特征组合计提信用损失。</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不计提坏账准备</w:t>
            </w:r>
          </w:p>
        </w:tc>
      </w:tr>
    </w:tbl>
    <w:p>
      <w:pPr>
        <w:widowControl w:val="0"/>
        <w:spacing w:after="959" w:line="1" w:lineRule="exact"/>
      </w:pPr>
    </w:p>
    <w:p>
      <w:pPr>
        <w:pStyle w:val="Style28"/>
        <w:keepNext/>
        <w:keepLines/>
        <w:widowControl w:val="0"/>
        <w:shd w:val="clear" w:color="auto" w:fill="auto"/>
        <w:tabs>
          <w:tab w:pos="474" w:val="left"/>
        </w:tabs>
        <w:bidi w:val="0"/>
        <w:spacing w:before="0" w:after="360" w:line="240" w:lineRule="auto"/>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83"/>
      <w:bookmarkEnd w:id="784"/>
      <w:bookmarkEnd w:id="786"/>
    </w:p>
    <w:p>
      <w:pPr>
        <w:pStyle w:val="Style28"/>
        <w:keepNext/>
        <w:keepLines/>
        <w:widowControl w:val="0"/>
        <w:shd w:val="clear" w:color="auto" w:fill="auto"/>
        <w:tabs>
          <w:tab w:pos="474" w:val="left"/>
        </w:tabs>
        <w:bidi w:val="0"/>
        <w:spacing w:before="0" w:after="360" w:line="240"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87"/>
      <w:bookmarkEnd w:id="788"/>
      <w:bookmarkEnd w:id="790"/>
    </w:p>
    <w:p>
      <w:pPr>
        <w:pStyle w:val="Style28"/>
        <w:keepNext/>
        <w:keepLines/>
        <w:widowControl w:val="0"/>
        <w:shd w:val="clear" w:color="auto" w:fill="auto"/>
        <w:tabs>
          <w:tab w:pos="474" w:val="left"/>
        </w:tabs>
        <w:bidi w:val="0"/>
        <w:spacing w:before="0" w:after="36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91"/>
      <w:bookmarkEnd w:id="792"/>
      <w:bookmarkEnd w:id="794"/>
    </w:p>
    <w:p>
      <w:pPr>
        <w:pStyle w:val="Style28"/>
        <w:keepNext/>
        <w:keepLines/>
        <w:widowControl w:val="0"/>
        <w:shd w:val="clear" w:color="auto" w:fill="auto"/>
        <w:tabs>
          <w:tab w:pos="474" w:val="left"/>
        </w:tabs>
        <w:bidi w:val="0"/>
        <w:spacing w:before="0" w:after="40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95"/>
      <w:bookmarkEnd w:id="796"/>
      <w:bookmarkEnd w:id="798"/>
    </w:p>
    <w:p>
      <w:pPr>
        <w:pStyle w:val="Style24"/>
        <w:keepNext w:val="0"/>
        <w:keepLines w:val="0"/>
        <w:widowControl w:val="0"/>
        <w:shd w:val="clear" w:color="auto" w:fill="auto"/>
        <w:bidi w:val="0"/>
        <w:spacing w:before="0" w:after="360" w:line="240" w:lineRule="auto"/>
        <w:ind w:left="0" w:right="0" w:firstLine="0"/>
        <w:jc w:val="both"/>
        <w:rPr>
          <w:sz w:val="17"/>
          <w:szCs w:val="17"/>
        </w:rPr>
      </w:pPr>
      <w:r>
        <w:rPr>
          <w:color w:val="000000"/>
          <w:spacing w:val="0"/>
          <w:w w:val="100"/>
          <w:position w:val="0"/>
          <w:sz w:val="17"/>
          <w:szCs w:val="17"/>
        </w:rPr>
        <w:t>其他应收款的预期信用损失的确定方法及会计处理方法</w:t>
      </w:r>
    </w:p>
    <w:p>
      <w:pPr>
        <w:pStyle w:val="Style28"/>
        <w:keepNext/>
        <w:keepLines/>
        <w:widowControl w:val="0"/>
        <w:shd w:val="clear" w:color="auto" w:fill="auto"/>
        <w:bidi w:val="0"/>
        <w:spacing w:before="0" w:after="300" w:line="313" w:lineRule="exact"/>
        <w:ind w:left="0" w:right="0" w:firstLine="0"/>
        <w:jc w:val="both"/>
      </w:pPr>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799"/>
      <w:bookmarkEnd w:id="800"/>
      <w:bookmarkEnd w:id="801"/>
    </w:p>
    <w:p>
      <w:pPr>
        <w:pStyle w:val="Style28"/>
        <w:keepNext/>
        <w:keepLines/>
        <w:widowControl w:val="0"/>
        <w:numPr>
          <w:ilvl w:val="0"/>
          <w:numId w:val="31"/>
        </w:numPr>
        <w:shd w:val="clear" w:color="auto" w:fill="auto"/>
        <w:bidi w:val="0"/>
        <w:spacing w:before="0" w:after="0" w:line="317" w:lineRule="exact"/>
        <w:ind w:left="0" w:right="0" w:firstLine="920"/>
        <w:jc w:val="both"/>
      </w:pPr>
      <w:bookmarkStart w:id="799" w:name="bookmark799"/>
      <w:bookmarkStart w:id="800" w:name="bookmark800"/>
      <w:bookmarkStart w:id="802" w:name="bookmark802"/>
      <w:bookmarkEnd w:id="802"/>
      <w:r>
        <w:rPr>
          <w:color w:val="000000"/>
          <w:spacing w:val="0"/>
          <w:w w:val="100"/>
          <w:position w:val="0"/>
        </w:rPr>
        <w:t>存货的分类和存货分类为：项目实施成本、库存商品等。</w:t>
      </w:r>
      <w:bookmarkEnd w:id="799"/>
      <w:bookmarkEnd w:id="800"/>
    </w:p>
    <w:p>
      <w:pPr>
        <w:pStyle w:val="Style33"/>
        <w:keepNext w:val="0"/>
        <w:keepLines w:val="0"/>
        <w:widowControl w:val="0"/>
        <w:shd w:val="clear" w:color="auto" w:fill="auto"/>
        <w:bidi w:val="0"/>
        <w:spacing w:before="0" w:after="0" w:line="317" w:lineRule="exact"/>
        <w:ind w:left="1020" w:right="0" w:firstLine="0"/>
        <w:jc w:val="both"/>
      </w:pPr>
      <w:r>
        <w:rPr>
          <w:color w:val="000000"/>
          <w:spacing w:val="0"/>
          <w:w w:val="100"/>
          <w:position w:val="0"/>
        </w:rPr>
        <w:t>存货分类为：项目实施成本、库存商品等。</w:t>
      </w:r>
    </w:p>
    <w:p>
      <w:pPr>
        <w:pStyle w:val="Style33"/>
        <w:keepNext w:val="0"/>
        <w:keepLines w:val="0"/>
        <w:widowControl w:val="0"/>
        <w:shd w:val="clear" w:color="auto" w:fill="auto"/>
        <w:bidi w:val="0"/>
        <w:spacing w:before="0" w:after="300" w:line="317" w:lineRule="exact"/>
        <w:ind w:left="1280" w:right="0" w:firstLine="0"/>
        <w:jc w:val="both"/>
      </w:pPr>
      <w:r>
        <w:rPr>
          <w:color w:val="000000"/>
          <w:spacing w:val="0"/>
          <w:w w:val="100"/>
          <w:position w:val="0"/>
        </w:rPr>
        <w:t>存货按成本进行初始计量，存货成本包括采购成本、加工成本和其他使存货达到目前场所和 状态所发生的支出。</w:t>
      </w:r>
    </w:p>
    <w:p>
      <w:pPr>
        <w:pStyle w:val="Style33"/>
        <w:keepNext w:val="0"/>
        <w:keepLines w:val="0"/>
        <w:widowControl w:val="0"/>
        <w:numPr>
          <w:ilvl w:val="0"/>
          <w:numId w:val="33"/>
        </w:numPr>
        <w:shd w:val="clear" w:color="auto" w:fill="auto"/>
        <w:bidi w:val="0"/>
        <w:spacing w:before="0" w:after="0" w:line="313" w:lineRule="exact"/>
        <w:ind w:left="0" w:right="0" w:firstLine="920"/>
        <w:jc w:val="both"/>
      </w:pPr>
      <w:bookmarkStart w:id="803" w:name="bookmark803"/>
      <w:bookmarkEnd w:id="803"/>
      <w:r>
        <w:rPr>
          <w:b/>
          <w:bCs/>
          <w:color w:val="000000"/>
          <w:spacing w:val="0"/>
          <w:w w:val="100"/>
          <w:position w:val="0"/>
        </w:rPr>
        <w:t>发出存货的计价方法</w:t>
      </w:r>
    </w:p>
    <w:p>
      <w:pPr>
        <w:pStyle w:val="Style33"/>
        <w:keepNext w:val="0"/>
        <w:keepLines w:val="0"/>
        <w:widowControl w:val="0"/>
        <w:shd w:val="clear" w:color="auto" w:fill="auto"/>
        <w:bidi w:val="0"/>
        <w:spacing w:before="0" w:after="300" w:line="313" w:lineRule="exact"/>
        <w:ind w:left="1280" w:right="0" w:firstLine="0"/>
        <w:jc w:val="both"/>
      </w:pPr>
      <w:r>
        <w:rPr>
          <w:color w:val="000000"/>
          <w:spacing w:val="0"/>
          <w:w w:val="100"/>
          <w:position w:val="0"/>
        </w:rPr>
        <w:t>存货发出时按个别认定法计价。</w:t>
      </w:r>
    </w:p>
    <w:p>
      <w:pPr>
        <w:pStyle w:val="Style33"/>
        <w:keepNext w:val="0"/>
        <w:keepLines w:val="0"/>
        <w:widowControl w:val="0"/>
        <w:numPr>
          <w:ilvl w:val="0"/>
          <w:numId w:val="35"/>
        </w:numPr>
        <w:shd w:val="clear" w:color="auto" w:fill="auto"/>
        <w:bidi w:val="0"/>
        <w:spacing w:before="0" w:after="0" w:line="313" w:lineRule="exact"/>
        <w:ind w:left="0" w:right="0" w:firstLine="920"/>
        <w:jc w:val="both"/>
      </w:pPr>
      <w:bookmarkStart w:id="804" w:name="bookmark804"/>
      <w:bookmarkEnd w:id="804"/>
      <w:r>
        <w:rPr>
          <w:b/>
          <w:bCs/>
          <w:color w:val="000000"/>
          <w:spacing w:val="0"/>
          <w:w w:val="100"/>
          <w:position w:val="0"/>
        </w:rPr>
        <w:t>不同类别存货可变现净值的确定依据</w:t>
      </w:r>
    </w:p>
    <w:p>
      <w:pPr>
        <w:pStyle w:val="Style33"/>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 计将要发生的成本、估计的销售费用以及相关税费后的金额。</w:t>
      </w:r>
    </w:p>
    <w:p>
      <w:pPr>
        <w:pStyle w:val="Style33"/>
        <w:keepNext w:val="0"/>
        <w:keepLines w:val="0"/>
        <w:widowControl w:val="0"/>
        <w:shd w:val="clear" w:color="auto" w:fill="auto"/>
        <w:bidi w:val="0"/>
        <w:spacing w:before="0" w:after="300" w:line="313" w:lineRule="exact"/>
        <w:ind w:left="1280" w:right="0" w:firstLine="0"/>
        <w:jc w:val="both"/>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 过加工的材料存货，在正常生产经营过程中，以所生产的产成品的估计售价减去至完工时估 计将要发生的成本、估计的销售费用和相关税费后的金额，确定其可变现净值；为执行销售 合同或者劳务合同而持有的存货，其可变现净值以合同价格为基础计算，若持有存货的数量 多于销售合同订购数量的，超出部分的存货的可变现净值以一般销售价格为基础计算。</w:t>
      </w:r>
    </w:p>
    <w:p>
      <w:pPr>
        <w:pStyle w:val="Style33"/>
        <w:keepNext w:val="0"/>
        <w:keepLines w:val="0"/>
        <w:widowControl w:val="0"/>
        <w:shd w:val="clear" w:color="auto" w:fill="auto"/>
        <w:bidi w:val="0"/>
        <w:spacing w:before="0" w:after="300" w:line="307" w:lineRule="exact"/>
        <w:ind w:left="1280" w:right="0" w:firstLine="0"/>
        <w:jc w:val="both"/>
      </w:pPr>
      <w:r>
        <w:rPr>
          <w:color w:val="000000"/>
          <w:spacing w:val="0"/>
          <w:w w:val="100"/>
          <w:position w:val="0"/>
        </w:rPr>
        <w:t>计提存货跌价准备后，如果以前减记存货价值的影响因素已经消失，导致存货的可变现净值 高于其账面价值的，在原己计提的存货跌价准备金额内予以转回，转回的金额计入当期损益。</w:t>
      </w:r>
    </w:p>
    <w:p>
      <w:pPr>
        <w:pStyle w:val="Style33"/>
        <w:keepNext w:val="0"/>
        <w:keepLines w:val="0"/>
        <w:widowControl w:val="0"/>
        <w:shd w:val="clear" w:color="auto" w:fill="auto"/>
        <w:bidi w:val="0"/>
        <w:spacing w:before="0" w:after="0" w:line="313" w:lineRule="exact"/>
        <w:ind w:left="0" w:right="0" w:firstLine="920"/>
        <w:jc w:val="both"/>
      </w:pPr>
      <w:r>
        <w:rPr>
          <w:b/>
          <w:bCs/>
          <w:color w:val="000000"/>
          <w:spacing w:val="0"/>
          <w:w w:val="100"/>
          <w:position w:val="0"/>
        </w:rPr>
        <w:t>1.</w:t>
      </w:r>
      <w:r>
        <w:rPr>
          <w:b/>
          <w:bCs/>
          <w:color w:val="000000"/>
          <w:spacing w:val="0"/>
          <w:w w:val="100"/>
          <w:position w:val="0"/>
        </w:rPr>
        <w:t>存货的盘存制度</w:t>
      </w:r>
    </w:p>
    <w:p>
      <w:pPr>
        <w:pStyle w:val="Style33"/>
        <w:keepNext w:val="0"/>
        <w:keepLines w:val="0"/>
        <w:widowControl w:val="0"/>
        <w:shd w:val="clear" w:color="auto" w:fill="auto"/>
        <w:bidi w:val="0"/>
        <w:spacing w:before="0" w:after="920" w:line="313" w:lineRule="exact"/>
        <w:ind w:left="1280" w:right="0" w:firstLine="0"/>
        <w:jc w:val="both"/>
      </w:pPr>
      <w:r>
        <w:rPr>
          <w:color w:val="000000"/>
          <w:spacing w:val="0"/>
          <w:w w:val="100"/>
          <w:position w:val="0"/>
        </w:rPr>
        <w:t>采用永续盘存制。</w:t>
      </w:r>
    </w:p>
    <w:p>
      <w:pPr>
        <w:pStyle w:val="Style28"/>
        <w:keepNext/>
        <w:keepLines/>
        <w:widowControl w:val="0"/>
        <w:shd w:val="clear" w:color="auto" w:fill="auto"/>
        <w:bidi w:val="0"/>
        <w:spacing w:before="0" w:after="300" w:line="314" w:lineRule="exact"/>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05"/>
      <w:bookmarkEnd w:id="806"/>
      <w:bookmarkEnd w:id="808"/>
    </w:p>
    <w:p>
      <w:pPr>
        <w:pStyle w:val="Style28"/>
        <w:keepNext/>
        <w:keepLines/>
        <w:widowControl w:val="0"/>
        <w:numPr>
          <w:ilvl w:val="0"/>
          <w:numId w:val="37"/>
        </w:numPr>
        <w:shd w:val="clear" w:color="auto" w:fill="auto"/>
        <w:bidi w:val="0"/>
        <w:spacing w:before="0" w:after="0" w:line="314" w:lineRule="exact"/>
        <w:ind w:left="0" w:right="0" w:firstLine="920"/>
        <w:jc w:val="both"/>
      </w:pPr>
      <w:bookmarkStart w:id="805" w:name="bookmark805"/>
      <w:bookmarkStart w:id="806" w:name="bookmark806"/>
      <w:bookmarkStart w:id="809" w:name="bookmark809"/>
      <w:bookmarkEnd w:id="809"/>
      <w:r>
        <w:rPr>
          <w:color w:val="000000"/>
          <w:spacing w:val="0"/>
          <w:w w:val="100"/>
          <w:position w:val="0"/>
        </w:rPr>
        <w:t>合同资产的确认方法及标准</w:t>
      </w:r>
      <w:bookmarkEnd w:id="805"/>
      <w:bookmarkEnd w:id="806"/>
    </w:p>
    <w:p>
      <w:pPr>
        <w:pStyle w:val="Style33"/>
        <w:keepNext w:val="0"/>
        <w:keepLines w:val="0"/>
        <w:widowControl w:val="0"/>
        <w:shd w:val="clear" w:color="auto" w:fill="auto"/>
        <w:bidi w:val="0"/>
        <w:spacing w:before="0" w:after="640" w:line="314" w:lineRule="exact"/>
        <w:ind w:left="1280" w:right="0" w:firstLine="0"/>
        <w:jc w:val="left"/>
      </w:pPr>
      <w:r>
        <w:rPr>
          <w:color w:val="000000"/>
          <w:spacing w:val="0"/>
          <w:w w:val="100"/>
          <w:position w:val="0"/>
        </w:rPr>
        <w:t>本公司根据履行履约义务与客户付款之间的关系在资产负债表中列示合同资产或合同负债。 本公司已向客户转让商品或提供服务而有权收取对价的权利（且该权利取决于时间流逝之外 的其他因素）列示为合同资产。同一合同下的合同资产和合同负债以净额列示。本公司拥有 的、无条件（仅取决于时间流逝）向客户收取对价的权利作为应收款项单独列示。</w:t>
      </w:r>
    </w:p>
    <w:p>
      <w:pPr>
        <w:pStyle w:val="Style33"/>
        <w:keepNext w:val="0"/>
        <w:keepLines w:val="0"/>
        <w:widowControl w:val="0"/>
        <w:shd w:val="clear" w:color="auto" w:fill="auto"/>
        <w:bidi w:val="0"/>
        <w:spacing w:before="0" w:after="0" w:line="298" w:lineRule="exact"/>
        <w:ind w:left="0" w:right="0" w:firstLine="920"/>
        <w:jc w:val="both"/>
      </w:pPr>
      <w:r>
        <w:rPr>
          <w:b/>
          <w:bCs/>
          <w:color w:val="000000"/>
          <w:spacing w:val="0"/>
          <w:w w:val="100"/>
          <w:position w:val="0"/>
        </w:rPr>
        <w:t>1.</w:t>
      </w:r>
      <w:r>
        <w:rPr>
          <w:b/>
          <w:bCs/>
          <w:color w:val="000000"/>
          <w:spacing w:val="0"/>
          <w:w w:val="100"/>
          <w:position w:val="0"/>
        </w:rPr>
        <w:t>合同资产预期信用损失的确定方法及会计处理方法</w:t>
      </w:r>
    </w:p>
    <w:p>
      <w:pPr>
        <w:pStyle w:val="Style33"/>
        <w:keepNext w:val="0"/>
        <w:keepLines w:val="0"/>
        <w:widowControl w:val="0"/>
        <w:shd w:val="clear" w:color="auto" w:fill="auto"/>
        <w:bidi w:val="0"/>
        <w:spacing w:before="0" w:after="300" w:line="298" w:lineRule="exact"/>
        <w:ind w:left="1280" w:right="0" w:firstLine="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rPr>
        <w:t>“</w:t>
      </w:r>
      <w:r>
        <w:rPr>
          <w:color w:val="000000"/>
          <w:spacing w:val="0"/>
          <w:w w:val="100"/>
          <w:position w:val="0"/>
        </w:rPr>
        <w:t>三、重要会计政策及会计 估计（十）</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tabs>
          <w:tab w:pos="474" w:val="left"/>
        </w:tabs>
        <w:bidi w:val="0"/>
        <w:spacing w:before="0" w:after="300" w:line="311" w:lineRule="exact"/>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10"/>
      <w:bookmarkEnd w:id="811"/>
      <w:bookmarkEnd w:id="813"/>
    </w:p>
    <w:p>
      <w:pPr>
        <w:pStyle w:val="Style28"/>
        <w:keepNext/>
        <w:keepLines/>
        <w:widowControl w:val="0"/>
        <w:shd w:val="clear" w:color="auto" w:fill="auto"/>
        <w:tabs>
          <w:tab w:pos="474" w:val="left"/>
        </w:tabs>
        <w:bidi w:val="0"/>
        <w:spacing w:before="0" w:after="300" w:line="311" w:lineRule="exact"/>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14"/>
      <w:bookmarkEnd w:id="815"/>
      <w:bookmarkEnd w:id="817"/>
    </w:p>
    <w:p>
      <w:pPr>
        <w:pStyle w:val="Style28"/>
        <w:keepNext/>
        <w:keepLines/>
        <w:widowControl w:val="0"/>
        <w:shd w:val="clear" w:color="auto" w:fill="auto"/>
        <w:tabs>
          <w:tab w:pos="474" w:val="left"/>
        </w:tabs>
        <w:bidi w:val="0"/>
        <w:spacing w:before="0" w:after="300" w:line="311" w:lineRule="exact"/>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18"/>
      <w:bookmarkEnd w:id="819"/>
      <w:bookmarkEnd w:id="821"/>
    </w:p>
    <w:p>
      <w:pPr>
        <w:pStyle w:val="Style28"/>
        <w:keepNext/>
        <w:keepLines/>
        <w:widowControl w:val="0"/>
        <w:shd w:val="clear" w:color="auto" w:fill="auto"/>
        <w:tabs>
          <w:tab w:pos="483" w:val="left"/>
        </w:tabs>
        <w:bidi w:val="0"/>
        <w:spacing w:before="0" w:after="300" w:line="311" w:lineRule="exact"/>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2</w:t>
      </w:r>
      <w:bookmarkEnd w:id="82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22"/>
      <w:bookmarkEnd w:id="823"/>
      <w:bookmarkEnd w:id="825"/>
    </w:p>
    <w:p>
      <w:pPr>
        <w:pStyle w:val="Style28"/>
        <w:keepNext/>
        <w:keepLines/>
        <w:widowControl w:val="0"/>
        <w:shd w:val="clear" w:color="auto" w:fill="auto"/>
        <w:tabs>
          <w:tab w:pos="483" w:val="left"/>
        </w:tabs>
        <w:bidi w:val="0"/>
        <w:spacing w:before="0" w:after="300" w:line="311" w:lineRule="exact"/>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26"/>
      <w:bookmarkEnd w:id="827"/>
      <w:bookmarkEnd w:id="829"/>
    </w:p>
    <w:p>
      <w:pPr>
        <w:pStyle w:val="Style28"/>
        <w:keepNext/>
        <w:keepLines/>
        <w:widowControl w:val="0"/>
        <w:shd w:val="clear" w:color="auto" w:fill="auto"/>
        <w:tabs>
          <w:tab w:pos="483" w:val="left"/>
        </w:tabs>
        <w:bidi w:val="0"/>
        <w:spacing w:before="0" w:after="300" w:line="311" w:lineRule="exact"/>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30"/>
      <w:bookmarkEnd w:id="831"/>
      <w:bookmarkEnd w:id="833"/>
    </w:p>
    <w:p>
      <w:pPr>
        <w:pStyle w:val="Style28"/>
        <w:keepNext/>
        <w:keepLines/>
        <w:widowControl w:val="0"/>
        <w:shd w:val="clear" w:color="auto" w:fill="auto"/>
        <w:bidi w:val="0"/>
        <w:spacing w:before="0" w:after="0" w:line="311" w:lineRule="exact"/>
        <w:ind w:left="0" w:right="0" w:firstLine="940"/>
        <w:jc w:val="left"/>
      </w:pPr>
      <w:bookmarkStart w:id="830" w:name="bookmark830"/>
      <w:bookmarkStart w:id="831" w:name="bookmark831"/>
      <w:r>
        <w:rPr>
          <w:color w:val="000000"/>
          <w:spacing w:val="0"/>
          <w:w w:val="100"/>
          <w:position w:val="0"/>
        </w:rPr>
        <w:t>1.</w:t>
      </w:r>
      <w:r>
        <w:rPr>
          <w:color w:val="000000"/>
          <w:spacing w:val="0"/>
          <w:w w:val="100"/>
          <w:position w:val="0"/>
        </w:rPr>
        <w:t>共同控制、重大影响的判断标准</w:t>
      </w:r>
      <w:bookmarkEnd w:id="830"/>
      <w:bookmarkEnd w:id="831"/>
    </w:p>
    <w:p>
      <w:pPr>
        <w:pStyle w:val="Style33"/>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 制且对被投资单位净资产享有权利的，被投资单位为本公司的合营企业。</w:t>
      </w:r>
    </w:p>
    <w:p>
      <w:pPr>
        <w:pStyle w:val="Style33"/>
        <w:keepNext w:val="0"/>
        <w:keepLines w:val="0"/>
        <w:widowControl w:val="0"/>
        <w:shd w:val="clear" w:color="auto" w:fill="auto"/>
        <w:bidi w:val="0"/>
        <w:spacing w:before="0" w:after="300" w:line="311" w:lineRule="exact"/>
        <w:ind w:left="1300" w:right="0" w:firstLine="0"/>
        <w:jc w:val="both"/>
      </w:pPr>
      <w:r>
        <w:rPr>
          <w:color w:val="000000"/>
          <w:spacing w:val="0"/>
          <w:w w:val="100"/>
          <w:position w:val="0"/>
        </w:rPr>
        <w:t>重大影响，是指对被投资单位的财务和经营决策有参与决策的权力，但并不能够控制或者与 其他方一起共同控制这些政策的制定。本公司能够对被投资单位施加重大影响的，被投资单 位为本公司联营企业。</w:t>
      </w:r>
    </w:p>
    <w:p>
      <w:pPr>
        <w:pStyle w:val="Style33"/>
        <w:keepNext w:val="0"/>
        <w:keepLines w:val="0"/>
        <w:widowControl w:val="0"/>
        <w:shd w:val="clear" w:color="auto" w:fill="auto"/>
        <w:bidi w:val="0"/>
        <w:spacing w:before="0" w:after="0" w:line="311" w:lineRule="exact"/>
        <w:ind w:left="0" w:right="0" w:firstLine="940"/>
        <w:jc w:val="left"/>
      </w:pPr>
      <w:r>
        <w:rPr>
          <w:b/>
          <w:bCs/>
          <w:color w:val="000000"/>
          <w:spacing w:val="0"/>
          <w:w w:val="100"/>
          <w:position w:val="0"/>
        </w:rPr>
        <w:t>1.</w:t>
      </w:r>
      <w:r>
        <w:rPr>
          <w:b/>
          <w:bCs/>
          <w:color w:val="000000"/>
          <w:spacing w:val="0"/>
          <w:w w:val="100"/>
          <w:position w:val="0"/>
        </w:rPr>
        <w:t>初始投资成本的确定</w:t>
      </w:r>
    </w:p>
    <w:p>
      <w:pPr>
        <w:pStyle w:val="Style33"/>
        <w:keepNext w:val="0"/>
        <w:keepLines w:val="0"/>
        <w:widowControl w:val="0"/>
        <w:shd w:val="clear" w:color="auto" w:fill="auto"/>
        <w:tabs>
          <w:tab w:pos="1788" w:val="left"/>
        </w:tabs>
        <w:bidi w:val="0"/>
        <w:spacing w:before="0" w:after="0" w:line="311" w:lineRule="exact"/>
        <w:ind w:left="1300" w:right="0" w:firstLine="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33"/>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对于同一控制下的企业合并形成的对子公司的长期股权投资，在合并日按照取得被合并方所 有者权益在最终控制方合并财务报表中的账面价值的份额作为长期股权投资的初始投资成 本。长期股权投资初始投资成本与支付对价账面价值之间的差额，调整资本公积中的股本溢 价；资本公积中的股本溢价不足冲减时，调整留存收益。因追加投资等原因能够对同一控制 下的被投资单位实施控制的，按上述原则确认的长期股权投资的初始投资成本与达到合并前 的长期股权投资账面价值加上合并日进一步取得股份新支付对价的账面价值之和的差额，调 整股本溢价，股本溢价不足冲减的，冲减留存收益。</w:t>
      </w:r>
    </w:p>
    <w:p>
      <w:pPr>
        <w:pStyle w:val="Style33"/>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对于非同一控制下的企业合并形成的对子公司的长期股权投资，按照购买日确定的合并成本 作为长期股权投资的初始投资成本。因追加投资等原因能够对非同一控制下的被投资单位实 施控制的，按照原持有的股权投资账面价值加上新增投资成本之和作为初始投资成本。</w:t>
      </w:r>
    </w:p>
    <w:p>
      <w:pPr>
        <w:pStyle w:val="Style33"/>
        <w:keepNext w:val="0"/>
        <w:keepLines w:val="0"/>
        <w:widowControl w:val="0"/>
        <w:shd w:val="clear" w:color="auto" w:fill="auto"/>
        <w:tabs>
          <w:tab w:pos="1788" w:val="left"/>
        </w:tabs>
        <w:bidi w:val="0"/>
        <w:spacing w:before="0" w:after="0" w:line="311" w:lineRule="exact"/>
        <w:ind w:left="1300" w:right="0" w:firstLine="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w:t>
        <w:tab/>
        <w:t>通过企业合并以外的其他方式取得的长期股权投资</w:t>
      </w:r>
    </w:p>
    <w:p>
      <w:pPr>
        <w:pStyle w:val="Style33"/>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以支付现金方式取得的长期股权投资，按照实际支付的购买价款作为初始投资成本。</w:t>
      </w:r>
    </w:p>
    <w:p>
      <w:pPr>
        <w:pStyle w:val="Style33"/>
        <w:keepNext w:val="0"/>
        <w:keepLines w:val="0"/>
        <w:widowControl w:val="0"/>
        <w:shd w:val="clear" w:color="auto" w:fill="auto"/>
        <w:bidi w:val="0"/>
        <w:spacing w:before="0" w:after="300" w:line="311" w:lineRule="exact"/>
        <w:ind w:left="1300" w:right="0" w:firstLine="0"/>
        <w:jc w:val="both"/>
      </w:pPr>
      <w:r>
        <w:rPr>
          <w:color w:val="000000"/>
          <w:spacing w:val="0"/>
          <w:w w:val="100"/>
          <w:position w:val="0"/>
        </w:rPr>
        <w:t>以发行权益性证券取得的长期股权投资，按照发行权益性证券的公允价值作为初始投资成本。</w:t>
      </w:r>
    </w:p>
    <w:p>
      <w:pPr>
        <w:pStyle w:val="Style33"/>
        <w:keepNext w:val="0"/>
        <w:keepLines w:val="0"/>
        <w:widowControl w:val="0"/>
        <w:shd w:val="clear" w:color="auto" w:fill="auto"/>
        <w:bidi w:val="0"/>
        <w:spacing w:before="0" w:after="0" w:line="316" w:lineRule="exact"/>
        <w:ind w:left="0" w:right="0" w:firstLine="940"/>
        <w:jc w:val="left"/>
      </w:pPr>
      <w:r>
        <w:rPr>
          <w:b/>
          <w:bCs/>
          <w:color w:val="000000"/>
          <w:spacing w:val="0"/>
          <w:w w:val="100"/>
          <w:position w:val="0"/>
        </w:rPr>
        <w:t>1.</w:t>
      </w:r>
      <w:r>
        <w:rPr>
          <w:b/>
          <w:bCs/>
          <w:color w:val="000000"/>
          <w:spacing w:val="0"/>
          <w:w w:val="100"/>
          <w:position w:val="0"/>
        </w:rPr>
        <w:t>后续计量及损益确认方法</w:t>
      </w:r>
    </w:p>
    <w:p>
      <w:pPr>
        <w:pStyle w:val="Style33"/>
        <w:keepNext w:val="0"/>
        <w:keepLines w:val="0"/>
        <w:widowControl w:val="0"/>
        <w:shd w:val="clear" w:color="auto" w:fill="auto"/>
        <w:tabs>
          <w:tab w:pos="1788" w:val="left"/>
        </w:tabs>
        <w:bidi w:val="0"/>
        <w:spacing w:before="0" w:after="0" w:line="316" w:lineRule="exact"/>
        <w:ind w:left="1300" w:right="0" w:firstLine="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33"/>
        <w:keepNext w:val="0"/>
        <w:keepLines w:val="0"/>
        <w:widowControl w:val="0"/>
        <w:shd w:val="clear" w:color="auto" w:fill="auto"/>
        <w:bidi w:val="0"/>
        <w:spacing w:before="0" w:after="0" w:line="316" w:lineRule="exact"/>
        <w:ind w:left="1300" w:right="0" w:firstLine="0"/>
        <w:jc w:val="both"/>
      </w:pPr>
      <w:r>
        <w:rPr>
          <w:color w:val="000000"/>
          <w:spacing w:val="0"/>
          <w:w w:val="100"/>
          <w:position w:val="0"/>
        </w:rPr>
        <w:t>公司对子公司的长期股权投资，采用成本法核算，除非投资符合持有待售的条件。除取得投 资时实际支付的价款或对价中包含的已宣告但尚未发放的现金股利或利润外，公司按照享有 被投资单位宣告发放的现金股利或利润确认当期投资收益。</w:t>
      </w:r>
    </w:p>
    <w:p>
      <w:pPr>
        <w:pStyle w:val="Style33"/>
        <w:keepNext w:val="0"/>
        <w:keepLines w:val="0"/>
        <w:widowControl w:val="0"/>
        <w:shd w:val="clear" w:color="auto" w:fill="auto"/>
        <w:tabs>
          <w:tab w:pos="1788" w:val="left"/>
        </w:tabs>
        <w:bidi w:val="0"/>
        <w:spacing w:before="0" w:after="0" w:line="316" w:lineRule="exact"/>
        <w:ind w:left="1300" w:right="0" w:firstLine="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33"/>
        <w:keepNext w:val="0"/>
        <w:keepLines w:val="0"/>
        <w:widowControl w:val="0"/>
        <w:shd w:val="clear" w:color="auto" w:fill="auto"/>
        <w:bidi w:val="0"/>
        <w:spacing w:before="0" w:after="0" w:line="316" w:lineRule="exact"/>
        <w:ind w:left="1300" w:right="0" w:firstLine="0"/>
        <w:jc w:val="both"/>
      </w:pPr>
      <w:r>
        <w:rPr>
          <w:color w:val="000000"/>
          <w:spacing w:val="0"/>
          <w:w w:val="100"/>
          <w:position w:val="0"/>
        </w:rPr>
        <w:t xml:space="preserve">对联营企业和合营企业的长期股权投资，采用权益法核算。初始投资成本大于投资时应享有 被投资单位可辨认净资产公允价值份额的差额，不调整长期股权投资的初始投资成本；初始 投资成本小于投资时应享有被投资单位可辨认净资产公允价值份额的差额，计入当期损益， </w:t>
      </w:r>
      <w:r>
        <w:rPr>
          <w:color w:val="000000"/>
          <w:spacing w:val="0"/>
          <w:w w:val="100"/>
          <w:position w:val="0"/>
        </w:rPr>
        <w:t>同时调整长期股权投资的成本。</w:t>
      </w:r>
    </w:p>
    <w:p>
      <w:pPr>
        <w:pStyle w:val="Style3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 或现金股利计算应享有的部分，相应减少长期股权投资的账面价值；对于被投资单位除净损 益、其他综合收益和利润分配以外所有者权益的其他变动（简称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 调整长期股权投资的账面价值并计入所有者权益。</w:t>
      </w:r>
    </w:p>
    <w:p>
      <w:pPr>
        <w:pStyle w:val="Style3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在确认应享有被投资单位净损益、其他综合收益及其他所有者权益变动的份额时，以取得投 资时被投资单位可辨认净资产的公允价值为基础，并按照公司的会计政策及会计期间，对被 投资单位的净利润和其他综合收益等进行调整后确认。</w:t>
      </w:r>
    </w:p>
    <w:p>
      <w:pPr>
        <w:pStyle w:val="Style3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公司与联营企业、合营企业之间发生的未实现内部交易损益按照应享有的比例计算归属于公 司的部分，予以抵销，在此基础上确认投资收益，但投出或出售的资产构成业务的除外。与 被投资单位发生的未实现内部交易损失，属于资产减值损失的，全额确认。</w:t>
      </w:r>
    </w:p>
    <w:p>
      <w:pPr>
        <w:pStyle w:val="Style33"/>
        <w:keepNext w:val="0"/>
        <w:keepLines w:val="0"/>
        <w:widowControl w:val="0"/>
        <w:shd w:val="clear" w:color="auto" w:fill="auto"/>
        <w:bidi w:val="0"/>
        <w:spacing w:before="0" w:after="280" w:line="313" w:lineRule="exact"/>
        <w:ind w:left="1300" w:right="0" w:firstLine="0"/>
        <w:jc w:val="both"/>
      </w:pPr>
      <w:r>
        <w:rPr>
          <w:color w:val="000000"/>
          <w:spacing w:val="0"/>
          <w:w w:val="100"/>
          <w:position w:val="0"/>
        </w:rPr>
        <w:t>公司对合营企业或联营企业发生的净亏损，除负有承担额外损失义务外，以长期股权投资的 账面价值以及其他实质上构成对合营企业或联营企业净投资的长期权益减记至零为限。合营 企业或联营企业以后实现净利润的，公司在收益分享额弥补未确认的亏损分担额后，恢复确 认收益分享额。</w:t>
      </w:r>
    </w:p>
    <w:p>
      <w:pPr>
        <w:pStyle w:val="Style33"/>
        <w:keepNext w:val="0"/>
        <w:keepLines w:val="0"/>
        <w:widowControl w:val="0"/>
        <w:shd w:val="clear" w:color="auto" w:fill="auto"/>
        <w:bidi w:val="0"/>
        <w:spacing w:before="0" w:after="0" w:line="312" w:lineRule="exact"/>
        <w:ind w:left="1300" w:right="0" w:firstLine="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处置长期股权投资，其账面价值与实际取得价款的差额，计入当期损益。</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 所有者权益变动按比例结转入当期损益。</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因处置股权投资等原因丧失了对被投资单位的共同控制或重大影响的，原股权投资因采用权 益法核算而确认的其他综合收益，在终止采用权益法核算时采用与被投资单位直接处置相关 资产或负债相同的基础进行会计处理，其他所有者权益变动在终止采用权益法核算时全部转 入当期损益。</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因处置部分股权投资等原因丧失了对被投资单位控制权的，在编制个别财务报表时，剩余股 权能够对被投资单位实施共同控制或重大影响的，改按权益法核算，并对该剩余股权视同自 取得时即采用权益法核算进行调整，对于取得被投资单位控制权之前确认的其他综合收益采 用与被投资单位直接处置相关资产或负债相同的基础按比例结转，因采用权益法核算确认的 其他所有者权益变动按比例结转入当期损益；剩余股权不能对被投资单位实施共同控制或施 加重大影响的，确认为金融资产，其在丧失控制之日的公允价值与账面价值间的差额计入当 期损益，对于取得被投资单位控制权之前确认的其他综合收益和其他所有者权益变动全部结 转。</w:t>
      </w:r>
    </w:p>
    <w:p>
      <w:pPr>
        <w:pStyle w:val="Style33"/>
        <w:keepNext w:val="0"/>
        <w:keepLines w:val="0"/>
        <w:widowControl w:val="0"/>
        <w:shd w:val="clear" w:color="auto" w:fill="auto"/>
        <w:bidi w:val="0"/>
        <w:spacing w:before="0" w:after="140" w:line="312" w:lineRule="exact"/>
        <w:ind w:left="1300" w:right="0" w:firstLine="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 置价款与所处置的股权对应得长期股权投资账面价值之间的差额，在个别财务报表中，先确 认为其他综合收益，到丧失控制权时再一并转人丧失控制权的当期损益。不属于一揽子交易 的，对每一项交易分别进行会计处理。</w:t>
      </w:r>
    </w:p>
    <w:p>
      <w:pPr>
        <w:pStyle w:val="Style28"/>
        <w:keepNext/>
        <w:keepLines/>
        <w:widowControl w:val="0"/>
        <w:shd w:val="clear" w:color="auto" w:fill="auto"/>
        <w:tabs>
          <w:tab w:pos="483" w:val="left"/>
        </w:tabs>
        <w:bidi w:val="0"/>
        <w:spacing w:before="0" w:after="280" w:line="240" w:lineRule="auto"/>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39"/>
      <w:bookmarkEnd w:id="840"/>
      <w:bookmarkEnd w:id="842"/>
    </w:p>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投资性房地产计量模式</w:t>
      </w:r>
    </w:p>
    <w:p>
      <w:pPr>
        <w:pStyle w:val="Style24"/>
        <w:keepNext w:val="0"/>
        <w:keepLines w:val="0"/>
        <w:widowControl w:val="0"/>
        <w:shd w:val="clear" w:color="auto" w:fill="auto"/>
        <w:bidi w:val="0"/>
        <w:spacing w:before="0" w:after="360" w:line="317" w:lineRule="exact"/>
        <w:ind w:left="0" w:right="0" w:firstLine="0"/>
        <w:jc w:val="both"/>
        <w:rPr>
          <w:sz w:val="17"/>
          <w:szCs w:val="17"/>
        </w:rPr>
      </w:pPr>
      <w:r>
        <w:rPr>
          <w:color w:val="000000"/>
          <w:spacing w:val="0"/>
          <w:w w:val="100"/>
          <w:position w:val="0"/>
          <w:sz w:val="17"/>
          <w:szCs w:val="17"/>
        </w:rPr>
        <w:t>不适用</w:t>
      </w:r>
    </w:p>
    <w:p>
      <w:pPr>
        <w:pStyle w:val="Style28"/>
        <w:keepNext/>
        <w:keepLines/>
        <w:widowControl w:val="0"/>
        <w:shd w:val="clear" w:color="auto" w:fill="auto"/>
        <w:tabs>
          <w:tab w:pos="483" w:val="left"/>
        </w:tabs>
        <w:bidi w:val="0"/>
        <w:spacing w:before="0" w:after="360" w:line="240"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43"/>
      <w:bookmarkEnd w:id="844"/>
      <w:bookmarkEnd w:id="846"/>
    </w:p>
    <w:p>
      <w:pPr>
        <w:pStyle w:val="Style51"/>
        <w:keepNext/>
        <w:keepLines/>
        <w:widowControl w:val="0"/>
        <w:shd w:val="clear" w:color="auto" w:fill="auto"/>
        <w:bidi w:val="0"/>
        <w:spacing w:before="0" w:after="280" w:line="240" w:lineRule="auto"/>
        <w:ind w:left="0" w:right="0" w:firstLine="0"/>
        <w:jc w:val="both"/>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47"/>
      <w:bookmarkEnd w:id="848"/>
      <w:bookmarkEnd w:id="850"/>
    </w:p>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、固定资产的确认和初始计量</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固定资产指为生产商品、提供劳务、出租或经营管理而持有，并且使用寿命超过一个会计年度的有形资产。固定资产在同时 满足下列条件时予以确认：</w:t>
      </w:r>
    </w:p>
    <w:p>
      <w:pPr>
        <w:pStyle w:val="Style24"/>
        <w:keepNext w:val="0"/>
        <w:keepLines w:val="0"/>
        <w:widowControl w:val="0"/>
        <w:shd w:val="clear" w:color="auto" w:fill="auto"/>
        <w:tabs>
          <w:tab w:pos="445" w:val="left"/>
        </w:tabs>
        <w:bidi w:val="0"/>
        <w:spacing w:before="0" w:after="0" w:line="317" w:lineRule="exact"/>
        <w:ind w:left="0" w:right="0" w:firstLine="0"/>
        <w:jc w:val="both"/>
        <w:rPr>
          <w:sz w:val="17"/>
          <w:szCs w:val="17"/>
        </w:rPr>
      </w:pPr>
      <w:bookmarkStart w:id="851" w:name="bookmark851"/>
      <w:r>
        <w:rPr>
          <w:color w:val="000000"/>
          <w:spacing w:val="0"/>
          <w:w w:val="100"/>
          <w:position w:val="0"/>
          <w:sz w:val="17"/>
          <w:szCs w:val="17"/>
        </w:rPr>
        <w:t>（</w:t>
      </w:r>
      <w:bookmarkEnd w:id="851"/>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与该固定资产有关的经济利益很可能流入企业；</w:t>
      </w:r>
    </w:p>
    <w:p>
      <w:pPr>
        <w:pStyle w:val="Style24"/>
        <w:keepNext w:val="0"/>
        <w:keepLines w:val="0"/>
        <w:widowControl w:val="0"/>
        <w:shd w:val="clear" w:color="auto" w:fill="auto"/>
        <w:tabs>
          <w:tab w:pos="445" w:val="left"/>
        </w:tabs>
        <w:bidi w:val="0"/>
        <w:spacing w:before="0" w:after="0" w:line="317" w:lineRule="exact"/>
        <w:ind w:left="0" w:right="0" w:firstLine="0"/>
        <w:jc w:val="both"/>
        <w:rPr>
          <w:sz w:val="17"/>
          <w:szCs w:val="17"/>
        </w:rPr>
      </w:pPr>
      <w:bookmarkStart w:id="852" w:name="bookmark852"/>
      <w:r>
        <w:rPr>
          <w:color w:val="000000"/>
          <w:spacing w:val="0"/>
          <w:w w:val="100"/>
          <w:position w:val="0"/>
          <w:sz w:val="17"/>
          <w:szCs w:val="17"/>
        </w:rPr>
        <w:t>（</w:t>
      </w:r>
      <w:bookmarkEnd w:id="852"/>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该固定资产的成本能够可靠地计量。</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固定资产按成本（并考虑预计弃置费用因素的影响）进行初始计量。</w:t>
      </w:r>
    </w:p>
    <w:p>
      <w:pPr>
        <w:pStyle w:val="Style24"/>
        <w:keepNext w:val="0"/>
        <w:keepLines w:val="0"/>
        <w:widowControl w:val="0"/>
        <w:shd w:val="clear" w:color="auto" w:fill="auto"/>
        <w:bidi w:val="0"/>
        <w:spacing w:before="0" w:after="360" w:line="317" w:lineRule="exact"/>
        <w:ind w:left="0" w:right="0" w:firstLine="0"/>
        <w:jc w:val="both"/>
        <w:rPr>
          <w:sz w:val="17"/>
          <w:szCs w:val="17"/>
        </w:rPr>
      </w:pPr>
      <w:r>
        <w:rPr>
          <w:color w:val="000000"/>
          <w:spacing w:val="0"/>
          <w:w w:val="100"/>
          <w:position w:val="0"/>
          <w:sz w:val="17"/>
          <w:szCs w:val="17"/>
        </w:rPr>
        <w:t>与固定资产有关的后续支出，在与其有关的经济利益很可能流入且其成本能够可靠计量时，计入固定资产成本；对于被替换 的部分，终止确认其账面价值；所有其他后续支出于发生时计入当期损益。</w:t>
      </w:r>
    </w:p>
    <w:p>
      <w:pPr>
        <w:pStyle w:val="Style51"/>
        <w:keepNext/>
        <w:keepLines/>
        <w:widowControl w:val="0"/>
        <w:shd w:val="clear" w:color="auto" w:fill="auto"/>
        <w:bidi w:val="0"/>
        <w:spacing w:before="0" w:after="360" w:line="240" w:lineRule="auto"/>
        <w:ind w:left="0" w:right="0" w:firstLine="0"/>
        <w:jc w:val="both"/>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53"/>
      <w:bookmarkEnd w:id="854"/>
      <w:bookmarkEnd w:id="856"/>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4.75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19.00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11.88</w:t>
            </w:r>
          </w:p>
        </w:tc>
      </w:tr>
    </w:tbl>
    <w:p>
      <w:pPr>
        <w:pStyle w:val="Style33"/>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1.</w:t>
      </w:r>
      <w:r>
        <w:rPr>
          <w:b/>
          <w:bCs/>
          <w:color w:val="000000"/>
          <w:spacing w:val="0"/>
          <w:w w:val="100"/>
          <w:position w:val="0"/>
        </w:rPr>
        <w:t>折旧方法</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固定资产折旧采用年限平均法分类计提，根据固定资产类别、预计使用寿命和预计净残值率 确定折旧率。对计提了减值准备的固定资产，则在未来期间按扣除减值准备后的账面价值及 依据尚可使用年限确定折旧额。如固定资产各组成部分的使用寿命不同或者以不同方式为企 业提供经济利益，则选择不同折旧率或折旧方法，分别计提折旧。</w:t>
      </w:r>
    </w:p>
    <w:p>
      <w:pPr>
        <w:pStyle w:val="Style33"/>
        <w:keepNext w:val="0"/>
        <w:keepLines w:val="0"/>
        <w:widowControl w:val="0"/>
        <w:shd w:val="clear" w:color="auto" w:fill="auto"/>
        <w:bidi w:val="0"/>
        <w:spacing w:before="0" w:after="920" w:line="312" w:lineRule="exact"/>
        <w:ind w:left="1300" w:right="0" w:firstLine="0"/>
        <w:jc w:val="both"/>
      </w:pPr>
      <w:r>
        <w:rPr>
          <w:color w:val="000000"/>
          <w:spacing w:val="0"/>
          <w:w w:val="100"/>
          <w:position w:val="0"/>
        </w:rPr>
        <w:t>各类固定资产折旧方法、折旧年限、残值率和年折旧率如下：</w:t>
      </w:r>
    </w:p>
    <w:p>
      <w:pPr>
        <w:pStyle w:val="Style51"/>
        <w:keepNext/>
        <w:keepLines/>
        <w:widowControl w:val="0"/>
        <w:shd w:val="clear" w:color="auto" w:fill="auto"/>
        <w:bidi w:val="0"/>
        <w:spacing w:before="0" w:after="280" w:line="310" w:lineRule="exact"/>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57"/>
      <w:bookmarkEnd w:id="858"/>
      <w:bookmarkEnd w:id="860"/>
    </w:p>
    <w:p>
      <w:pPr>
        <w:pStyle w:val="Style28"/>
        <w:keepNext/>
        <w:keepLines/>
        <w:widowControl w:val="0"/>
        <w:shd w:val="clear" w:color="auto" w:fill="auto"/>
        <w:bidi w:val="0"/>
        <w:spacing w:before="0" w:after="280" w:line="310" w:lineRule="exact"/>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61"/>
      <w:bookmarkEnd w:id="862"/>
      <w:bookmarkEnd w:id="864"/>
    </w:p>
    <w:p>
      <w:pPr>
        <w:pStyle w:val="Style33"/>
        <w:keepNext w:val="0"/>
        <w:keepLines w:val="0"/>
        <w:widowControl w:val="0"/>
        <w:shd w:val="clear" w:color="auto" w:fill="auto"/>
        <w:bidi w:val="0"/>
        <w:spacing w:before="0" w:after="280" w:line="310" w:lineRule="exact"/>
        <w:ind w:left="720" w:right="0" w:firstLine="0"/>
        <w:jc w:val="both"/>
      </w:pPr>
      <w:r>
        <w:rPr>
          <w:color w:val="000000"/>
          <w:spacing w:val="0"/>
          <w:w w:val="100"/>
          <w:position w:val="0"/>
        </w:rPr>
        <w:t>在建工程按实际发生的成本计量。实际成本包括建筑成本、安装成本、符合资本化条件的借款费 用以及其他为使在建工程达到预定可使用状态前所发生的必要支出。在建工程在达到预定可使用 状态时，转入固定资产并自次月起开始计提折旧。</w:t>
      </w:r>
    </w:p>
    <w:p>
      <w:pPr>
        <w:pStyle w:val="Style28"/>
        <w:keepNext/>
        <w:keepLines/>
        <w:widowControl w:val="0"/>
        <w:shd w:val="clear" w:color="auto" w:fill="auto"/>
        <w:bidi w:val="0"/>
        <w:spacing w:before="0" w:after="300" w:line="313" w:lineRule="exact"/>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865"/>
      <w:bookmarkEnd w:id="866"/>
      <w:bookmarkEnd w:id="868"/>
    </w:p>
    <w:p>
      <w:pPr>
        <w:pStyle w:val="Style28"/>
        <w:keepNext/>
        <w:keepLines/>
        <w:widowControl w:val="0"/>
        <w:shd w:val="clear" w:color="auto" w:fill="auto"/>
        <w:bidi w:val="0"/>
        <w:spacing w:before="0" w:after="0" w:line="312" w:lineRule="exact"/>
        <w:ind w:left="0" w:right="0" w:firstLine="940"/>
        <w:jc w:val="both"/>
      </w:pPr>
      <w:bookmarkStart w:id="865" w:name="bookmark865"/>
      <w:bookmarkStart w:id="866" w:name="bookmark866"/>
      <w:r>
        <w:rPr>
          <w:color w:val="000000"/>
          <w:spacing w:val="0"/>
          <w:w w:val="100"/>
          <w:position w:val="0"/>
        </w:rPr>
        <w:t>1.</w:t>
      </w:r>
      <w:r>
        <w:rPr>
          <w:color w:val="000000"/>
          <w:spacing w:val="0"/>
          <w:w w:val="100"/>
          <w:position w:val="0"/>
        </w:rPr>
        <w:t>借款费用资本化的确认原则</w:t>
      </w:r>
      <w:bookmarkEnd w:id="865"/>
      <w:bookmarkEnd w:id="866"/>
    </w:p>
    <w:p>
      <w:pPr>
        <w:pStyle w:val="Style33"/>
        <w:keepNext w:val="0"/>
        <w:keepLines w:val="0"/>
        <w:widowControl w:val="0"/>
        <w:shd w:val="clear" w:color="auto" w:fill="auto"/>
        <w:bidi w:val="0"/>
        <w:spacing w:before="0" w:after="0" w:line="312" w:lineRule="exact"/>
        <w:ind w:left="1300" w:right="0" w:firstLine="0"/>
        <w:jc w:val="left"/>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33"/>
        <w:keepNext w:val="0"/>
        <w:keepLines w:val="0"/>
        <w:widowControl w:val="0"/>
        <w:shd w:val="clear" w:color="auto" w:fill="auto"/>
        <w:bidi w:val="0"/>
        <w:spacing w:before="0" w:after="300" w:line="312" w:lineRule="exact"/>
        <w:ind w:left="1300" w:right="0" w:firstLine="0"/>
        <w:jc w:val="left"/>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33"/>
        <w:keepNext w:val="0"/>
        <w:keepLines w:val="0"/>
        <w:widowControl w:val="0"/>
        <w:shd w:val="clear" w:color="auto" w:fill="auto"/>
        <w:bidi w:val="0"/>
        <w:spacing w:before="0" w:after="0" w:line="314" w:lineRule="exact"/>
        <w:ind w:left="0" w:right="0" w:firstLine="940"/>
        <w:jc w:val="both"/>
      </w:pPr>
      <w:r>
        <w:rPr>
          <w:b/>
          <w:bCs/>
          <w:color w:val="000000"/>
          <w:spacing w:val="0"/>
          <w:w w:val="100"/>
          <w:position w:val="0"/>
        </w:rPr>
        <w:t>1.</w:t>
      </w:r>
      <w:r>
        <w:rPr>
          <w:b/>
          <w:bCs/>
          <w:color w:val="000000"/>
          <w:spacing w:val="0"/>
          <w:w w:val="100"/>
          <w:position w:val="0"/>
        </w:rPr>
        <w:t>借款费用资本化期间</w:t>
      </w:r>
    </w:p>
    <w:p>
      <w:pPr>
        <w:pStyle w:val="Style3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资本化期间，指从借款费用开始资本化时点到停止资本化时点的期间，借款费用暂停资本化 的期间不包括在内。</w:t>
      </w:r>
    </w:p>
    <w:p>
      <w:pPr>
        <w:pStyle w:val="Style3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借款费用同时满足下列条件时开始资本化：</w:t>
      </w:r>
    </w:p>
    <w:p>
      <w:pPr>
        <w:pStyle w:val="Style33"/>
        <w:keepNext w:val="0"/>
        <w:keepLines w:val="0"/>
        <w:widowControl w:val="0"/>
        <w:shd w:val="clear" w:color="auto" w:fill="auto"/>
        <w:tabs>
          <w:tab w:pos="1898" w:val="left"/>
        </w:tabs>
        <w:bidi w:val="0"/>
        <w:spacing w:before="0" w:after="0" w:line="314" w:lineRule="exact"/>
        <w:ind w:left="1300" w:right="0" w:firstLine="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 金、转移非现金资产或者承担带息债务形式发生的支出；</w:t>
      </w:r>
    </w:p>
    <w:p>
      <w:pPr>
        <w:pStyle w:val="Style33"/>
        <w:keepNext w:val="0"/>
        <w:keepLines w:val="0"/>
        <w:widowControl w:val="0"/>
        <w:shd w:val="clear" w:color="auto" w:fill="auto"/>
        <w:tabs>
          <w:tab w:pos="1788" w:val="left"/>
        </w:tabs>
        <w:bidi w:val="0"/>
        <w:spacing w:before="0" w:after="0" w:line="314" w:lineRule="exact"/>
        <w:ind w:left="1300" w:right="0" w:firstLine="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3"/>
        <w:keepNext w:val="0"/>
        <w:keepLines w:val="0"/>
        <w:widowControl w:val="0"/>
        <w:shd w:val="clear" w:color="auto" w:fill="auto"/>
        <w:tabs>
          <w:tab w:pos="1788" w:val="left"/>
        </w:tabs>
        <w:bidi w:val="0"/>
        <w:spacing w:before="0" w:after="0" w:line="314" w:lineRule="exact"/>
        <w:ind w:left="1300" w:right="0" w:firstLine="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3"/>
        <w:keepNext w:val="0"/>
        <w:keepLines w:val="0"/>
        <w:widowControl w:val="0"/>
        <w:shd w:val="clear" w:color="auto" w:fill="auto"/>
        <w:bidi w:val="0"/>
        <w:spacing w:before="0" w:after="300" w:line="314" w:lineRule="exact"/>
        <w:ind w:left="1300" w:right="0" w:firstLine="0"/>
        <w:jc w:val="both"/>
      </w:pPr>
      <w:r>
        <w:rPr>
          <w:color w:val="000000"/>
          <w:spacing w:val="0"/>
          <w:w w:val="100"/>
          <w:position w:val="0"/>
        </w:rPr>
        <w:t>当购建或者生产符合资本化条件的资产达到预定可使用或者可销售状态时，借款费用停止资 本化。</w:t>
      </w:r>
    </w:p>
    <w:p>
      <w:pPr>
        <w:pStyle w:val="Style33"/>
        <w:keepNext w:val="0"/>
        <w:keepLines w:val="0"/>
        <w:widowControl w:val="0"/>
        <w:shd w:val="clear" w:color="auto" w:fill="auto"/>
        <w:bidi w:val="0"/>
        <w:spacing w:before="0" w:after="0" w:line="317" w:lineRule="exact"/>
        <w:ind w:left="0" w:right="0" w:firstLine="940"/>
        <w:jc w:val="both"/>
      </w:pPr>
      <w:r>
        <w:rPr>
          <w:b/>
          <w:bCs/>
          <w:color w:val="000000"/>
          <w:spacing w:val="0"/>
          <w:w w:val="100"/>
          <w:position w:val="0"/>
        </w:rPr>
        <w:t>1.</w:t>
      </w:r>
      <w:r>
        <w:rPr>
          <w:b/>
          <w:bCs/>
          <w:color w:val="000000"/>
          <w:spacing w:val="0"/>
          <w:w w:val="100"/>
          <w:position w:val="0"/>
        </w:rPr>
        <w:t>暂停资本化期间</w:t>
      </w:r>
    </w:p>
    <w:p>
      <w:pPr>
        <w:pStyle w:val="Style33"/>
        <w:keepNext w:val="0"/>
        <w:keepLines w:val="0"/>
        <w:widowControl w:val="0"/>
        <w:shd w:val="clear" w:color="auto" w:fill="auto"/>
        <w:bidi w:val="0"/>
        <w:spacing w:before="0" w:after="300" w:line="317" w:lineRule="exact"/>
        <w:ind w:left="130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 可使用状态或者可销售状态必要的程序，则借款费用继续资本化。在中断期间发生的借款费 用确认为当期损益，直至资产的购建或者生产活动重新开始后借款费用继续资本化。</w:t>
      </w:r>
    </w:p>
    <w:p>
      <w:pPr>
        <w:pStyle w:val="Style33"/>
        <w:keepNext w:val="0"/>
        <w:keepLines w:val="0"/>
        <w:widowControl w:val="0"/>
        <w:shd w:val="clear" w:color="auto" w:fill="auto"/>
        <w:bidi w:val="0"/>
        <w:spacing w:before="0" w:after="0" w:line="312" w:lineRule="exact"/>
        <w:ind w:left="0" w:right="0" w:firstLine="940"/>
        <w:jc w:val="both"/>
      </w:pPr>
      <w:r>
        <w:rPr>
          <w:b/>
          <w:bCs/>
          <w:color w:val="000000"/>
          <w:spacing w:val="0"/>
          <w:w w:val="100"/>
          <w:position w:val="0"/>
        </w:rPr>
        <w:t>1.</w:t>
      </w:r>
      <w:r>
        <w:rPr>
          <w:b/>
          <w:bCs/>
          <w:color w:val="000000"/>
          <w:spacing w:val="0"/>
          <w:w w:val="100"/>
          <w:position w:val="0"/>
        </w:rPr>
        <w:t>借款费用资本化率、资本化金额的计算方法</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 收益后的金额，来确定借款费用的资本化金额。</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 本化的借款费用金额。资本化率根据一般借款加权平均实际利率计算确定。</w:t>
      </w:r>
    </w:p>
    <w:p>
      <w:pPr>
        <w:pStyle w:val="Style33"/>
        <w:keepNext w:val="0"/>
        <w:keepLines w:val="0"/>
        <w:widowControl w:val="0"/>
        <w:shd w:val="clear" w:color="auto" w:fill="auto"/>
        <w:bidi w:val="0"/>
        <w:spacing w:before="0" w:after="680" w:line="312" w:lineRule="exact"/>
        <w:ind w:left="1300" w:right="0" w:firstLine="0"/>
        <w:jc w:val="both"/>
      </w:pPr>
      <w:r>
        <w:rPr>
          <w:color w:val="000000"/>
          <w:spacing w:val="0"/>
          <w:w w:val="100"/>
          <w:position w:val="0"/>
        </w:rPr>
        <w:t>在资本化期间内，外币专门借款本金及利息的汇兑差额，予以资本化，计入符合资本化条件 的资产的成本。除外币专门借款之外的其他外币借款本金及其利息所产生的汇兑差额计入当 期损益。</w:t>
      </w:r>
    </w:p>
    <w:p>
      <w:pPr>
        <w:pStyle w:val="Style28"/>
        <w:keepNext/>
        <w:keepLines/>
        <w:widowControl w:val="0"/>
        <w:shd w:val="clear" w:color="auto" w:fill="auto"/>
        <w:tabs>
          <w:tab w:pos="483" w:val="left"/>
        </w:tabs>
        <w:bidi w:val="0"/>
        <w:spacing w:before="0" w:after="360" w:line="240"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72"/>
      <w:bookmarkEnd w:id="873"/>
      <w:bookmarkEnd w:id="875"/>
    </w:p>
    <w:p>
      <w:pPr>
        <w:pStyle w:val="Style28"/>
        <w:keepNext/>
        <w:keepLines/>
        <w:widowControl w:val="0"/>
        <w:shd w:val="clear" w:color="auto" w:fill="auto"/>
        <w:tabs>
          <w:tab w:pos="483" w:val="left"/>
        </w:tabs>
        <w:bidi w:val="0"/>
        <w:spacing w:before="0" w:after="360" w:line="240"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76"/>
      <w:bookmarkEnd w:id="877"/>
      <w:bookmarkEnd w:id="879"/>
    </w:p>
    <w:p>
      <w:pPr>
        <w:pStyle w:val="Style28"/>
        <w:keepNext/>
        <w:keepLines/>
        <w:widowControl w:val="0"/>
        <w:shd w:val="clear" w:color="auto" w:fill="auto"/>
        <w:tabs>
          <w:tab w:pos="483" w:val="left"/>
        </w:tabs>
        <w:bidi w:val="0"/>
        <w:spacing w:before="0" w:after="360" w:line="24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80"/>
      <w:bookmarkEnd w:id="881"/>
      <w:bookmarkEnd w:id="883"/>
    </w:p>
    <w:p>
      <w:pPr>
        <w:pStyle w:val="Style3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 xml:space="preserve">在租赁期开始日，本公司对除短期租赁和低价值资产租赁以外的租赁确认使用权资产。使用 </w:t>
      </w:r>
      <w:r>
        <w:rPr>
          <w:color w:val="000000"/>
          <w:spacing w:val="0"/>
          <w:w w:val="100"/>
          <w:position w:val="0"/>
        </w:rPr>
        <w:t>权资产按照成本进行初始计量。该成本包括：</w:t>
      </w:r>
    </w:p>
    <w:p>
      <w:pPr>
        <w:pStyle w:val="Style3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w:t>
      </w:r>
      <w:r>
        <w:rPr>
          <w:color w:val="000000"/>
          <w:spacing w:val="0"/>
          <w:w w:val="100"/>
          <w:position w:val="0"/>
        </w:rPr>
        <w:t>租赁负债的初始计量金额；</w:t>
      </w:r>
    </w:p>
    <w:p>
      <w:pPr>
        <w:pStyle w:val="Style33"/>
        <w:keepNext w:val="0"/>
        <w:keepLines w:val="0"/>
        <w:widowControl w:val="0"/>
        <w:shd w:val="clear" w:color="auto" w:fill="auto"/>
        <w:bidi w:val="0"/>
        <w:spacing w:before="0" w:after="0" w:line="313" w:lineRule="exact"/>
        <w:ind w:left="1700" w:right="0" w:hanging="400"/>
        <w:jc w:val="both"/>
      </w:pPr>
      <w:r>
        <w:rPr>
          <w:color w:val="000000"/>
          <w:spacing w:val="0"/>
          <w:w w:val="100"/>
          <w:position w:val="0"/>
        </w:rPr>
        <w:t>•</w:t>
      </w:r>
      <w:r>
        <w:rPr>
          <w:color w:val="000000"/>
          <w:spacing w:val="0"/>
          <w:w w:val="100"/>
          <w:position w:val="0"/>
        </w:rPr>
        <w:t>在租赁期开始日或之前支付的租赁付款额，存在租赁激励的，扣除已享受的租赁激励相 关金额；</w:t>
      </w:r>
    </w:p>
    <w:p>
      <w:pPr>
        <w:pStyle w:val="Style3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w:t>
      </w:r>
      <w:r>
        <w:rPr>
          <w:color w:val="000000"/>
          <w:spacing w:val="0"/>
          <w:w w:val="100"/>
          <w:position w:val="0"/>
        </w:rPr>
        <w:t>本公司发生的初始直接费用；</w:t>
      </w:r>
    </w:p>
    <w:p>
      <w:pPr>
        <w:pStyle w:val="Style33"/>
        <w:keepNext w:val="0"/>
        <w:keepLines w:val="0"/>
        <w:widowControl w:val="0"/>
        <w:shd w:val="clear" w:color="auto" w:fill="auto"/>
        <w:bidi w:val="0"/>
        <w:spacing w:before="0" w:after="0" w:line="313" w:lineRule="exact"/>
        <w:ind w:left="1700" w:right="0" w:hanging="400"/>
        <w:jc w:val="both"/>
      </w:pPr>
      <w:r>
        <w:rPr>
          <w:color w:val="000000"/>
          <w:spacing w:val="0"/>
          <w:w w:val="100"/>
          <w:position w:val="0"/>
        </w:rPr>
        <w:t>•</w:t>
      </w:r>
      <w:r>
        <w:rPr>
          <w:color w:val="000000"/>
          <w:spacing w:val="0"/>
          <w:w w:val="100"/>
          <w:position w:val="0"/>
        </w:rPr>
        <w:t>本公司为拆卸及移除租赁资产、复原租赁资产所在场地或将租赁资产恢复至租赁条款约 定状态预计将发生的成本，但不包括属于为生产存货而发生的成本。</w:t>
      </w:r>
    </w:p>
    <w:p>
      <w:pPr>
        <w:pStyle w:val="Style3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本公司后续采用直线法对使用权资产计提折旧。对能够合理确定租赁期届满时取得租赁资产 所有权的，本公司在租赁资产剩余使用寿命内计提折旧；否则，租赁资产在租赁期与租赁资 产剩余使用寿命两者孰短的期间内计提折旧。</w:t>
      </w:r>
    </w:p>
    <w:p>
      <w:pPr>
        <w:pStyle w:val="Style33"/>
        <w:keepNext w:val="0"/>
        <w:keepLines w:val="0"/>
        <w:widowControl w:val="0"/>
        <w:shd w:val="clear" w:color="auto" w:fill="auto"/>
        <w:bidi w:val="0"/>
        <w:spacing w:before="0" w:after="600" w:line="313" w:lineRule="exact"/>
        <w:ind w:left="1300" w:right="0" w:firstLine="0"/>
        <w:jc w:val="both"/>
      </w:pPr>
      <w:r>
        <w:rPr>
          <w:color w:val="000000"/>
          <w:spacing w:val="0"/>
          <w:w w:val="100"/>
          <w:position w:val="0"/>
        </w:rPr>
        <w:t>本公司按照本附注</w:t>
      </w:r>
      <w:r>
        <w:rPr>
          <w:rFonts w:ascii="Times New Roman" w:eastAsia="Times New Roman" w:hAnsi="Times New Roman" w:cs="Times New Roman"/>
          <w:color w:val="000000"/>
          <w:spacing w:val="0"/>
          <w:w w:val="100"/>
          <w:position w:val="0"/>
        </w:rPr>
        <w:t>“</w:t>
      </w:r>
      <w:r>
        <w:rPr>
          <w:color w:val="000000"/>
          <w:spacing w:val="0"/>
          <w:w w:val="100"/>
          <w:position w:val="0"/>
        </w:rPr>
        <w:t>三、（十八）长期资产减值</w:t>
      </w:r>
      <w:r>
        <w:rPr>
          <w:rFonts w:ascii="Times New Roman" w:eastAsia="Times New Roman" w:hAnsi="Times New Roman" w:cs="Times New Roman"/>
          <w:color w:val="000000"/>
          <w:spacing w:val="0"/>
          <w:w w:val="100"/>
          <w:position w:val="0"/>
        </w:rPr>
        <w:t>”</w:t>
      </w:r>
      <w:r>
        <w:rPr>
          <w:color w:val="000000"/>
          <w:spacing w:val="0"/>
          <w:w w:val="100"/>
          <w:position w:val="0"/>
        </w:rPr>
        <w:t>所述原则来确定使用权资产是否已发生减值， 并对已识别的减值损失进行会计处理。</w:t>
      </w:r>
    </w:p>
    <w:p>
      <w:pPr>
        <w:pStyle w:val="Style28"/>
        <w:keepNext/>
        <w:keepLines/>
        <w:widowControl w:val="0"/>
        <w:shd w:val="clear" w:color="auto" w:fill="auto"/>
        <w:bidi w:val="0"/>
        <w:spacing w:before="0" w:after="300" w:line="312" w:lineRule="exact"/>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3</w:t>
      </w:r>
      <w:bookmarkEnd w:id="886"/>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884"/>
      <w:bookmarkEnd w:id="885"/>
      <w:bookmarkEnd w:id="887"/>
    </w:p>
    <w:p>
      <w:pPr>
        <w:pStyle w:val="Style51"/>
        <w:keepNext/>
        <w:keepLines/>
        <w:widowControl w:val="0"/>
        <w:shd w:val="clear" w:color="auto" w:fill="auto"/>
        <w:bidi w:val="0"/>
        <w:spacing w:before="0" w:after="300" w:line="312" w:lineRule="exact"/>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88"/>
      <w:bookmarkEnd w:id="889"/>
      <w:bookmarkEnd w:id="891"/>
    </w:p>
    <w:p>
      <w:pPr>
        <w:pStyle w:val="Style51"/>
        <w:keepNext/>
        <w:keepLines/>
        <w:widowControl w:val="0"/>
        <w:shd w:val="clear" w:color="auto" w:fill="auto"/>
        <w:bidi w:val="0"/>
        <w:spacing w:before="0" w:after="0" w:line="312" w:lineRule="exact"/>
        <w:ind w:left="0" w:right="0" w:firstLine="940"/>
        <w:jc w:val="both"/>
      </w:pPr>
      <w:bookmarkStart w:id="888" w:name="bookmark888"/>
      <w:bookmarkStart w:id="889" w:name="bookmark889"/>
      <w:r>
        <w:rPr>
          <w:color w:val="000000"/>
          <w:spacing w:val="0"/>
          <w:w w:val="100"/>
          <w:position w:val="0"/>
        </w:rPr>
        <w:t>1.</w:t>
      </w:r>
      <w:r>
        <w:rPr>
          <w:color w:val="000000"/>
          <w:spacing w:val="0"/>
          <w:w w:val="100"/>
          <w:position w:val="0"/>
        </w:rPr>
        <w:t>无形资产的计价方法</w:t>
      </w:r>
      <w:bookmarkEnd w:id="888"/>
      <w:bookmarkEnd w:id="889"/>
    </w:p>
    <w:p>
      <w:pPr>
        <w:pStyle w:val="Style33"/>
        <w:keepNext w:val="0"/>
        <w:keepLines w:val="0"/>
        <w:widowControl w:val="0"/>
        <w:shd w:val="clear" w:color="auto" w:fill="auto"/>
        <w:tabs>
          <w:tab w:pos="1788" w:val="left"/>
        </w:tabs>
        <w:bidi w:val="0"/>
        <w:spacing w:before="0" w:after="0" w:line="312" w:lineRule="exact"/>
        <w:ind w:left="1300" w:right="0" w:firstLine="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33"/>
        <w:keepNext w:val="0"/>
        <w:keepLines w:val="0"/>
        <w:widowControl w:val="0"/>
        <w:shd w:val="clear" w:color="auto" w:fill="auto"/>
        <w:bidi w:val="0"/>
        <w:spacing w:before="0" w:after="300" w:line="312" w:lineRule="exact"/>
        <w:ind w:left="1300" w:right="0" w:firstLine="0"/>
        <w:jc w:val="both"/>
      </w:pPr>
      <w:r>
        <w:rPr>
          <w:color w:val="000000"/>
          <w:spacing w:val="0"/>
          <w:w w:val="100"/>
          <w:position w:val="0"/>
        </w:rPr>
        <w:t>外购无形资产的成本，包括购买价款、相关税费以及直接归属于使该项资产达到预定用途所 发生的其他支出。</w:t>
      </w:r>
    </w:p>
    <w:p>
      <w:pPr>
        <w:pStyle w:val="Style33"/>
        <w:keepNext w:val="0"/>
        <w:keepLines w:val="0"/>
        <w:widowControl w:val="0"/>
        <w:shd w:val="clear" w:color="auto" w:fill="auto"/>
        <w:tabs>
          <w:tab w:pos="1788" w:val="left"/>
        </w:tabs>
        <w:bidi w:val="0"/>
        <w:spacing w:before="0" w:after="0" w:line="312" w:lineRule="exact"/>
        <w:ind w:left="1300" w:right="0" w:firstLine="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33"/>
        <w:keepNext w:val="0"/>
        <w:keepLines w:val="0"/>
        <w:widowControl w:val="0"/>
        <w:shd w:val="clear" w:color="auto" w:fill="auto"/>
        <w:bidi w:val="0"/>
        <w:spacing w:before="0" w:after="0" w:line="302" w:lineRule="exact"/>
        <w:ind w:left="1300" w:right="0" w:firstLine="0"/>
        <w:jc w:val="both"/>
      </w:pPr>
      <w:r>
        <w:rPr>
          <w:color w:val="000000"/>
          <w:spacing w:val="0"/>
          <w:w w:val="100"/>
          <w:position w:val="0"/>
        </w:rPr>
        <w:t>在取得无形资产时分析判断其使用寿命。</w:t>
      </w:r>
    </w:p>
    <w:p>
      <w:pPr>
        <w:pStyle w:val="Style33"/>
        <w:keepNext w:val="0"/>
        <w:keepLines w:val="0"/>
        <w:widowControl w:val="0"/>
        <w:shd w:val="clear" w:color="auto" w:fill="auto"/>
        <w:bidi w:val="0"/>
        <w:spacing w:before="0" w:after="360" w:line="302" w:lineRule="exact"/>
        <w:ind w:left="1300" w:right="0" w:firstLine="0"/>
        <w:jc w:val="both"/>
      </w:pPr>
      <w:r>
        <w:rPr>
          <w:color w:val="000000"/>
          <w:spacing w:val="0"/>
          <w:w w:val="100"/>
          <w:position w:val="0"/>
        </w:rPr>
        <w:t>对于使用寿命有限的无形资产，在为企业带来经济利益的期限内摊销；无法预见无形资产为 企业带来经济利益期限的，视为使用寿命不确定的无形资产，不予摊销。</w:t>
      </w:r>
    </w:p>
    <w:p>
      <w:pPr>
        <w:pStyle w:val="Style41"/>
        <w:keepNext w:val="0"/>
        <w:keepLines w:val="0"/>
        <w:widowControl w:val="0"/>
        <w:shd w:val="clear" w:color="auto" w:fill="auto"/>
        <w:bidi w:val="0"/>
        <w:spacing w:before="0" w:after="0" w:line="240" w:lineRule="auto"/>
        <w:ind w:left="317"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使用寿命有限的无形资产的使用寿命估计情况</w:t>
      </w:r>
    </w:p>
    <w:tbl>
      <w:tblPr>
        <w:tblOverlap w:val="never"/>
        <w:jc w:val="center"/>
        <w:tblLayout w:type="fixed"/>
      </w:tblPr>
      <w:tblGrid>
        <w:gridCol w:w="1728"/>
        <w:gridCol w:w="1296"/>
        <w:gridCol w:w="1603"/>
        <w:gridCol w:w="1598"/>
        <w:gridCol w:w="163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摊销方法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土地出让期限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r>
      <w:tr>
        <w:trPr>
          <w:trHeight w:val="37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受益期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r>
    </w:tbl>
    <w:p>
      <w:pPr>
        <w:widowControl w:val="0"/>
        <w:spacing w:after="359" w:line="1" w:lineRule="exact"/>
      </w:pPr>
    </w:p>
    <w:p>
      <w:pPr>
        <w:pStyle w:val="Style33"/>
        <w:keepNext w:val="0"/>
        <w:keepLines w:val="0"/>
        <w:widowControl w:val="0"/>
        <w:shd w:val="clear" w:color="auto" w:fill="auto"/>
        <w:bidi w:val="0"/>
        <w:spacing w:before="0" w:after="60" w:line="240" w:lineRule="auto"/>
        <w:ind w:left="0" w:right="0" w:firstLine="940"/>
        <w:jc w:val="left"/>
      </w:pPr>
      <w:r>
        <w:rPr>
          <w:b/>
          <w:bCs/>
          <w:color w:val="000000"/>
          <w:spacing w:val="0"/>
          <w:w w:val="100"/>
          <w:position w:val="0"/>
        </w:rPr>
        <w:t>1.</w:t>
      </w:r>
      <w:r>
        <w:rPr>
          <w:b/>
          <w:bCs/>
          <w:color w:val="000000"/>
          <w:spacing w:val="0"/>
          <w:w w:val="100"/>
          <w:position w:val="0"/>
        </w:rPr>
        <w:t>使用寿命不确定的无形资产的判断依据以及对其使用寿命进行复核的程序</w:t>
      </w:r>
    </w:p>
    <w:p>
      <w:pPr>
        <w:pStyle w:val="Style33"/>
        <w:keepNext w:val="0"/>
        <w:keepLines w:val="0"/>
        <w:widowControl w:val="0"/>
        <w:shd w:val="clear" w:color="auto" w:fill="auto"/>
        <w:bidi w:val="0"/>
        <w:spacing w:before="0" w:after="600" w:line="240" w:lineRule="auto"/>
        <w:ind w:left="0" w:right="0" w:firstLine="0"/>
        <w:jc w:val="both"/>
      </w:pPr>
      <w:r>
        <w:rPr>
          <w:color w:val="000000"/>
          <w:spacing w:val="0"/>
          <w:w w:val="100"/>
          <w:position w:val="0"/>
        </w:rPr>
        <w:t>截至资产负债表日，本公司没有使用寿命不确定的无形资产</w:t>
      </w:r>
    </w:p>
    <w:p>
      <w:pPr>
        <w:pStyle w:val="Style51"/>
        <w:keepNext/>
        <w:keepLines/>
        <w:widowControl w:val="0"/>
        <w:shd w:val="clear" w:color="auto" w:fill="auto"/>
        <w:bidi w:val="0"/>
        <w:spacing w:before="0" w:after="300" w:line="317" w:lineRule="exact"/>
        <w:ind w:left="0" w:right="0" w:firstLine="0"/>
        <w:jc w:val="both"/>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4"/>
      <w:bookmarkEnd w:id="895"/>
      <w:bookmarkEnd w:id="897"/>
    </w:p>
    <w:p>
      <w:pPr>
        <w:pStyle w:val="Style51"/>
        <w:keepNext/>
        <w:keepLines/>
        <w:widowControl w:val="0"/>
        <w:shd w:val="clear" w:color="auto" w:fill="auto"/>
        <w:bidi w:val="0"/>
        <w:spacing w:before="0" w:after="0" w:line="317" w:lineRule="exact"/>
        <w:ind w:left="0" w:right="0" w:firstLine="940"/>
        <w:jc w:val="both"/>
      </w:pPr>
      <w:bookmarkStart w:id="894" w:name="bookmark894"/>
      <w:bookmarkStart w:id="895" w:name="bookmark895"/>
      <w:r>
        <w:rPr>
          <w:color w:val="000000"/>
          <w:spacing w:val="0"/>
          <w:w w:val="100"/>
          <w:position w:val="0"/>
        </w:rPr>
        <w:t>1.</w:t>
      </w:r>
      <w:r>
        <w:rPr>
          <w:color w:val="000000"/>
          <w:spacing w:val="0"/>
          <w:w w:val="100"/>
          <w:position w:val="0"/>
        </w:rPr>
        <w:t>划分研究阶段和开发阶段的具体标准</w:t>
      </w:r>
      <w:bookmarkEnd w:id="894"/>
      <w:bookmarkEnd w:id="895"/>
    </w:p>
    <w:p>
      <w:pPr>
        <w:pStyle w:val="Style33"/>
        <w:keepNext w:val="0"/>
        <w:keepLines w:val="0"/>
        <w:widowControl w:val="0"/>
        <w:shd w:val="clear" w:color="auto" w:fill="auto"/>
        <w:bidi w:val="0"/>
        <w:spacing w:before="0" w:after="0" w:line="317" w:lineRule="exact"/>
        <w:ind w:left="1300" w:right="0" w:firstLine="0"/>
        <w:jc w:val="both"/>
      </w:pPr>
      <w:r>
        <w:rPr>
          <w:color w:val="000000"/>
          <w:spacing w:val="0"/>
          <w:w w:val="100"/>
          <w:position w:val="0"/>
        </w:rPr>
        <w:t>公司内部研究开发项目的支出分为研究阶段支出和开发阶段支出。</w:t>
      </w:r>
    </w:p>
    <w:p>
      <w:pPr>
        <w:pStyle w:val="Style33"/>
        <w:keepNext w:val="0"/>
        <w:keepLines w:val="0"/>
        <w:widowControl w:val="0"/>
        <w:shd w:val="clear" w:color="auto" w:fill="auto"/>
        <w:bidi w:val="0"/>
        <w:spacing w:before="0" w:after="0" w:line="317" w:lineRule="exact"/>
        <w:ind w:left="1300" w:right="0" w:firstLine="0"/>
        <w:jc w:val="both"/>
      </w:pPr>
      <w:r>
        <w:rPr>
          <w:color w:val="000000"/>
          <w:spacing w:val="0"/>
          <w:w w:val="100"/>
          <w:position w:val="0"/>
        </w:rPr>
        <w:t>研究阶段：为获取并理解新的科学或技术知识等而进行的独创性的有计划调查、研究活动的 阶段。</w:t>
      </w:r>
    </w:p>
    <w:p>
      <w:pPr>
        <w:pStyle w:val="Style33"/>
        <w:keepNext w:val="0"/>
        <w:keepLines w:val="0"/>
        <w:widowControl w:val="0"/>
        <w:shd w:val="clear" w:color="auto" w:fill="auto"/>
        <w:bidi w:val="0"/>
        <w:spacing w:before="0" w:after="300" w:line="317" w:lineRule="exact"/>
        <w:ind w:left="1300" w:right="0" w:firstLine="0"/>
        <w:jc w:val="both"/>
      </w:pPr>
      <w:r>
        <w:rPr>
          <w:color w:val="000000"/>
          <w:spacing w:val="0"/>
          <w:w w:val="100"/>
          <w:position w:val="0"/>
        </w:rPr>
        <w:t xml:space="preserve">开发阶段：在进行商业性生产或使用前，将研究成果或其他知识应用于某项计划或设计，以 </w:t>
      </w:r>
      <w:r>
        <w:rPr>
          <w:color w:val="000000"/>
          <w:spacing w:val="0"/>
          <w:w w:val="100"/>
          <w:position w:val="0"/>
        </w:rPr>
        <w:t>生产出新的或具有实质性改进的材料、装置、产品等活动的阶段。</w:t>
      </w:r>
    </w:p>
    <w:p>
      <w:pPr>
        <w:pStyle w:val="Style33"/>
        <w:keepNext w:val="0"/>
        <w:keepLines w:val="0"/>
        <w:widowControl w:val="0"/>
        <w:shd w:val="clear" w:color="auto" w:fill="auto"/>
        <w:bidi w:val="0"/>
        <w:spacing w:before="0" w:after="0" w:line="318" w:lineRule="exact"/>
        <w:ind w:left="0" w:right="0" w:firstLine="940"/>
        <w:jc w:val="left"/>
      </w:pPr>
      <w:r>
        <w:rPr>
          <w:b/>
          <w:bCs/>
          <w:color w:val="000000"/>
          <w:spacing w:val="0"/>
          <w:w w:val="100"/>
          <w:position w:val="0"/>
        </w:rPr>
        <w:t>1.</w:t>
      </w:r>
      <w:r>
        <w:rPr>
          <w:b/>
          <w:bCs/>
          <w:color w:val="000000"/>
          <w:spacing w:val="0"/>
          <w:w w:val="100"/>
          <w:position w:val="0"/>
        </w:rPr>
        <w:t>开发阶段支出资本化的具体条件</w:t>
      </w:r>
    </w:p>
    <w:p>
      <w:pPr>
        <w:pStyle w:val="Style33"/>
        <w:keepNext w:val="0"/>
        <w:keepLines w:val="0"/>
        <w:widowControl w:val="0"/>
        <w:shd w:val="clear" w:color="auto" w:fill="auto"/>
        <w:bidi w:val="0"/>
        <w:spacing w:before="0" w:after="0" w:line="318" w:lineRule="exact"/>
        <w:ind w:left="1300" w:right="0" w:firstLine="0"/>
        <w:jc w:val="both"/>
      </w:pPr>
      <w:r>
        <w:rPr>
          <w:color w:val="000000"/>
          <w:spacing w:val="0"/>
          <w:w w:val="100"/>
          <w:position w:val="0"/>
        </w:rPr>
        <w:t>研究阶段的支出，于发生时计入当期损益。开发阶段的支出同时满足下列条件的，确认为无 形资产，不能满足下述条件的开发阶段的支出计入当期损益：</w:t>
      </w:r>
    </w:p>
    <w:p>
      <w:pPr>
        <w:pStyle w:val="Style33"/>
        <w:keepNext w:val="0"/>
        <w:keepLines w:val="0"/>
        <w:widowControl w:val="0"/>
        <w:numPr>
          <w:ilvl w:val="0"/>
          <w:numId w:val="39"/>
        </w:numPr>
        <w:shd w:val="clear" w:color="auto" w:fill="auto"/>
        <w:tabs>
          <w:tab w:pos="1726" w:val="left"/>
        </w:tabs>
        <w:bidi w:val="0"/>
        <w:spacing w:before="0" w:after="80" w:line="318" w:lineRule="exact"/>
        <w:ind w:left="1300" w:right="0" w:firstLine="0"/>
        <w:jc w:val="both"/>
      </w:pPr>
      <w:bookmarkStart w:id="898" w:name="bookmark898"/>
      <w:bookmarkEnd w:id="898"/>
      <w:r>
        <w:rPr>
          <w:color w:val="000000"/>
          <w:spacing w:val="0"/>
          <w:w w:val="100"/>
          <w:position w:val="0"/>
        </w:rPr>
        <w:t>完成该无形资产以使其能够使用或出售在技术上具有可行性；</w:t>
      </w:r>
    </w:p>
    <w:p>
      <w:pPr>
        <w:pStyle w:val="Style33"/>
        <w:keepNext w:val="0"/>
        <w:keepLines w:val="0"/>
        <w:widowControl w:val="0"/>
        <w:numPr>
          <w:ilvl w:val="0"/>
          <w:numId w:val="39"/>
        </w:numPr>
        <w:shd w:val="clear" w:color="auto" w:fill="auto"/>
        <w:tabs>
          <w:tab w:pos="1726" w:val="left"/>
        </w:tabs>
        <w:bidi w:val="0"/>
        <w:spacing w:before="0" w:after="0" w:line="334" w:lineRule="auto"/>
        <w:ind w:left="1300" w:right="0" w:firstLine="0"/>
        <w:jc w:val="both"/>
      </w:pPr>
      <w:bookmarkStart w:id="899" w:name="bookmark899"/>
      <w:bookmarkEnd w:id="899"/>
      <w:r>
        <w:rPr>
          <w:color w:val="000000"/>
          <w:spacing w:val="0"/>
          <w:w w:val="100"/>
          <w:position w:val="0"/>
        </w:rPr>
        <w:t>具有完成该无形资产并使用或出售的意图；</w:t>
      </w:r>
    </w:p>
    <w:p>
      <w:pPr>
        <w:pStyle w:val="Style33"/>
        <w:keepNext w:val="0"/>
        <w:keepLines w:val="0"/>
        <w:widowControl w:val="0"/>
        <w:numPr>
          <w:ilvl w:val="0"/>
          <w:numId w:val="39"/>
        </w:numPr>
        <w:shd w:val="clear" w:color="auto" w:fill="auto"/>
        <w:tabs>
          <w:tab w:pos="1726" w:val="left"/>
        </w:tabs>
        <w:bidi w:val="0"/>
        <w:spacing w:before="0" w:after="0" w:line="318" w:lineRule="exact"/>
        <w:ind w:left="1300" w:right="0" w:firstLine="0"/>
        <w:jc w:val="both"/>
      </w:pPr>
      <w:bookmarkStart w:id="900" w:name="bookmark900"/>
      <w:bookmarkEnd w:id="900"/>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33"/>
        <w:keepNext w:val="0"/>
        <w:keepLines w:val="0"/>
        <w:widowControl w:val="0"/>
        <w:numPr>
          <w:ilvl w:val="0"/>
          <w:numId w:val="39"/>
        </w:numPr>
        <w:shd w:val="clear" w:color="auto" w:fill="auto"/>
        <w:tabs>
          <w:tab w:pos="1726" w:val="left"/>
        </w:tabs>
        <w:bidi w:val="0"/>
        <w:spacing w:before="0" w:after="80" w:line="318" w:lineRule="exact"/>
        <w:ind w:left="1300" w:right="0" w:firstLine="0"/>
        <w:jc w:val="both"/>
      </w:pPr>
      <w:bookmarkStart w:id="901" w:name="bookmark901"/>
      <w:bookmarkEnd w:id="901"/>
      <w:r>
        <w:rPr>
          <w:color w:val="000000"/>
          <w:spacing w:val="0"/>
          <w:w w:val="100"/>
          <w:position w:val="0"/>
        </w:rPr>
        <w:t>有足够的技术、财务资源和其他资源支持，以完成该无形资产的开发，并有能力使用或 出售该无形资产；</w:t>
      </w:r>
    </w:p>
    <w:p>
      <w:pPr>
        <w:pStyle w:val="Style33"/>
        <w:keepNext w:val="0"/>
        <w:keepLines w:val="0"/>
        <w:widowControl w:val="0"/>
        <w:numPr>
          <w:ilvl w:val="0"/>
          <w:numId w:val="39"/>
        </w:numPr>
        <w:shd w:val="clear" w:color="auto" w:fill="auto"/>
        <w:tabs>
          <w:tab w:pos="1726" w:val="left"/>
        </w:tabs>
        <w:bidi w:val="0"/>
        <w:spacing w:before="0" w:after="0" w:line="334" w:lineRule="auto"/>
        <w:ind w:left="1300" w:right="0" w:firstLine="0"/>
        <w:jc w:val="both"/>
      </w:pPr>
      <w:bookmarkStart w:id="902" w:name="bookmark902"/>
      <w:bookmarkEnd w:id="902"/>
      <w:r>
        <w:rPr>
          <w:color w:val="000000"/>
          <w:spacing w:val="0"/>
          <w:w w:val="100"/>
          <w:position w:val="0"/>
        </w:rPr>
        <w:t>归属于该无形资产开发阶段的支出能够可靠地计量。</w:t>
      </w:r>
    </w:p>
    <w:p>
      <w:pPr>
        <w:pStyle w:val="Style33"/>
        <w:keepNext w:val="0"/>
        <w:keepLines w:val="0"/>
        <w:widowControl w:val="0"/>
        <w:shd w:val="clear" w:color="auto" w:fill="auto"/>
        <w:bidi w:val="0"/>
        <w:spacing w:before="0" w:after="620" w:line="318" w:lineRule="exact"/>
        <w:ind w:left="1300" w:right="0" w:firstLine="0"/>
        <w:jc w:val="left"/>
      </w:pPr>
      <w:r>
        <w:rPr>
          <w:color w:val="000000"/>
          <w:spacing w:val="0"/>
          <w:w w:val="100"/>
          <w:position w:val="0"/>
        </w:rPr>
        <w:t>无法区分研究阶段支出和开发阶段支出的，将发生的研发支出全部计入当期损益。</w:t>
      </w:r>
    </w:p>
    <w:p>
      <w:pPr>
        <w:pStyle w:val="Style28"/>
        <w:keepNext/>
        <w:keepLines/>
        <w:widowControl w:val="0"/>
        <w:shd w:val="clear" w:color="auto" w:fill="auto"/>
        <w:bidi w:val="0"/>
        <w:spacing w:before="0" w:after="300" w:line="312" w:lineRule="exact"/>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3</w:t>
      </w:r>
      <w:bookmarkEnd w:id="905"/>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03"/>
      <w:bookmarkEnd w:id="904"/>
      <w:bookmarkEnd w:id="906"/>
    </w:p>
    <w:p>
      <w:pPr>
        <w:pStyle w:val="Style3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长期股权投资、采用成本模式计量的投资性房地产、固定资产、在建工程、使用权资产、使用寿 命有限的无形资产、油气资产等长期资产，于资产负债表日存在减值迹象的，进行减值测试。减 值测试结果表明资产的可收回金额低于其账面价值的，按其差额计提减值准备并计入减值损失。 可收回金额为资产的公允价值减去处置费用后的净额与资产预计未来现金流量的现值两者之间的 较高者。资产减值准备按单项资产为基础计算并确认，如果难以对单项资产的可收回金额进行估 计的，以该资产所属的资产组确定资产组的可收回金额。资产组是能够独立产生现金流入的最小 资产组合。</w:t>
      </w:r>
    </w:p>
    <w:p>
      <w:pPr>
        <w:pStyle w:val="Style3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对于因企业合并形成的商誉、使用寿命不确定的无形资产、尚未达到可使用状态的无形资产，无 论是否存在减值迹象，至少在每年年度终了进行减值测试。</w:t>
      </w:r>
    </w:p>
    <w:p>
      <w:pPr>
        <w:pStyle w:val="Style3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本公司进行商誉减值测试，对于因企业合并形成的商誉的账面价值，自购买日起按照合理的方法 分摊至相关的资产组；难以分摊至相关的资产组的，将其分摊至相关的资产组组合。相关的资产 组或者资产组组合，是能够从企业合并的协同效应中受益的资产组或者资产组组合。</w:t>
      </w:r>
    </w:p>
    <w:p>
      <w:pPr>
        <w:pStyle w:val="Style33"/>
        <w:keepNext w:val="0"/>
        <w:keepLines w:val="0"/>
        <w:widowControl w:val="0"/>
        <w:shd w:val="clear" w:color="auto" w:fill="auto"/>
        <w:bidi w:val="0"/>
        <w:spacing w:before="0" w:after="980" w:line="312" w:lineRule="exact"/>
        <w:ind w:left="720" w:right="0" w:firstLine="0"/>
        <w:jc w:val="both"/>
      </w:pPr>
      <w:r>
        <w:rPr>
          <w:color w:val="000000"/>
          <w:spacing w:val="0"/>
          <w:w w:val="100"/>
          <w:position w:val="0"/>
        </w:rPr>
        <w:t>在对包含商誉的相关资产组或者资产组组合进行减值测试时，如与商誉相关的资产组或者资产组 组合存在减值迹象的，先对不包含商誉的资产组或者资产组组合进行减值测试，计算可收回金额， 并与相关账面价值相比较，确认相应的减值损失。然后对包含商誉的资产组或者资产组组合进行 减值测试，比较其账面价值与可收回金额，如可收回金额低于账面价值的，减值损失金额首先抵 减分摊至资产组或者资产组组合中商誉的账面价值，再根据资产组或者资产组组合中除商誉之外 的其他各项资产的账面价值所占比重，按比例抵减其他各项资产的账面价值。上述资产减值损失 一经确认，在以后会计期间不予转回。</w:t>
      </w:r>
    </w:p>
    <w:p>
      <w:pPr>
        <w:pStyle w:val="Style28"/>
        <w:keepNext/>
        <w:keepLines/>
        <w:widowControl w:val="0"/>
        <w:shd w:val="clear" w:color="auto" w:fill="auto"/>
        <w:bidi w:val="0"/>
        <w:spacing w:before="0" w:line="240" w:lineRule="auto"/>
        <w:ind w:left="0" w:right="0" w:firstLine="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3</w:t>
      </w:r>
      <w:bookmarkEnd w:id="909"/>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07"/>
      <w:bookmarkEnd w:id="908"/>
      <w:bookmarkEnd w:id="910"/>
    </w:p>
    <w:p>
      <w:pPr>
        <w:pStyle w:val="Style33"/>
        <w:keepNext w:val="0"/>
        <w:keepLines w:val="0"/>
        <w:widowControl w:val="0"/>
        <w:shd w:val="clear" w:color="auto" w:fill="auto"/>
        <w:bidi w:val="0"/>
        <w:spacing w:before="0" w:after="80" w:line="240" w:lineRule="auto"/>
        <w:ind w:left="0" w:right="0" w:firstLine="720"/>
        <w:jc w:val="left"/>
      </w:pPr>
      <w:r>
        <w:rPr>
          <w:color w:val="000000"/>
          <w:spacing w:val="0"/>
          <w:w w:val="100"/>
          <w:position w:val="0"/>
        </w:rPr>
        <w:t>长期待摊费用为已经发生但应由本期和以后各期负担的分摊期限在一年以上的各项费用。</w:t>
      </w:r>
    </w:p>
    <w:p>
      <w:pPr>
        <w:pStyle w:val="Style33"/>
        <w:keepNext w:val="0"/>
        <w:keepLines w:val="0"/>
        <w:widowControl w:val="0"/>
        <w:shd w:val="clear" w:color="auto" w:fill="auto"/>
        <w:bidi w:val="0"/>
        <w:spacing w:before="0" w:after="80" w:line="240" w:lineRule="auto"/>
        <w:ind w:left="0" w:right="0" w:firstLine="940"/>
        <w:jc w:val="both"/>
      </w:pPr>
      <w:r>
        <w:rPr>
          <w:b/>
          <w:bCs/>
          <w:color w:val="000000"/>
          <w:spacing w:val="0"/>
          <w:w w:val="100"/>
          <w:position w:val="0"/>
        </w:rPr>
        <w:t>1.</w:t>
      </w:r>
      <w:r>
        <w:rPr>
          <w:b/>
          <w:bCs/>
          <w:color w:val="000000"/>
          <w:spacing w:val="0"/>
          <w:w w:val="100"/>
          <w:position w:val="0"/>
        </w:rPr>
        <w:t>摊销方法</w:t>
      </w:r>
    </w:p>
    <w:p>
      <w:pPr>
        <w:pStyle w:val="Style33"/>
        <w:keepNext w:val="0"/>
        <w:keepLines w:val="0"/>
        <w:widowControl w:val="0"/>
        <w:shd w:val="clear" w:color="auto" w:fill="auto"/>
        <w:bidi w:val="0"/>
        <w:spacing w:before="0" w:after="180" w:line="240" w:lineRule="auto"/>
        <w:ind w:left="1300" w:right="0" w:firstLine="0"/>
        <w:jc w:val="left"/>
      </w:pPr>
      <w:r>
        <w:rPr>
          <w:color w:val="000000"/>
          <w:spacing w:val="0"/>
          <w:w w:val="100"/>
          <w:position w:val="0"/>
        </w:rPr>
        <w:t>长期待摊费用在受益期内平均摊销</w:t>
      </w:r>
    </w:p>
    <w:p>
      <w:pPr>
        <w:pStyle w:val="Style33"/>
        <w:keepNext w:val="0"/>
        <w:keepLines w:val="0"/>
        <w:widowControl w:val="0"/>
        <w:shd w:val="clear" w:color="auto" w:fill="auto"/>
        <w:bidi w:val="0"/>
        <w:spacing w:before="0" w:after="60" w:line="240" w:lineRule="auto"/>
        <w:ind w:left="0" w:right="0" w:firstLine="940"/>
        <w:jc w:val="both"/>
      </w:pPr>
      <w:r>
        <w:rPr>
          <w:b/>
          <w:bCs/>
          <w:color w:val="000000"/>
          <w:spacing w:val="0"/>
          <w:w w:val="100"/>
          <w:position w:val="0"/>
        </w:rPr>
        <w:t>1.</w:t>
      </w:r>
      <w:r>
        <w:rPr>
          <w:b/>
          <w:bCs/>
          <w:color w:val="000000"/>
          <w:spacing w:val="0"/>
          <w:w w:val="100"/>
          <w:position w:val="0"/>
        </w:rPr>
        <w:t>摊销年限</w:t>
      </w:r>
    </w:p>
    <w:p>
      <w:pPr>
        <w:pStyle w:val="Style33"/>
        <w:keepNext w:val="0"/>
        <w:keepLines w:val="0"/>
        <w:widowControl w:val="0"/>
        <w:shd w:val="clear" w:color="auto" w:fill="auto"/>
        <w:bidi w:val="0"/>
        <w:spacing w:before="0" w:after="600" w:line="240" w:lineRule="auto"/>
        <w:ind w:left="1300" w:right="0" w:firstLine="0"/>
        <w:jc w:val="left"/>
      </w:pPr>
      <w:r>
        <w:rPr>
          <w:color w:val="000000"/>
          <w:spacing w:val="0"/>
          <w:w w:val="100"/>
          <w:position w:val="0"/>
        </w:rPr>
        <w:t>经营租赁方式租入的固定资产改良支出，按最佳预期经济利益实现方式合理摊销。</w:t>
      </w:r>
    </w:p>
    <w:p>
      <w:pPr>
        <w:pStyle w:val="Style28"/>
        <w:keepNext/>
        <w:keepLines/>
        <w:widowControl w:val="0"/>
        <w:shd w:val="clear" w:color="auto" w:fill="auto"/>
        <w:tabs>
          <w:tab w:pos="483" w:val="left"/>
        </w:tabs>
        <w:bidi w:val="0"/>
        <w:spacing w:before="0" w:after="300" w:line="313" w:lineRule="exact"/>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3</w:t>
      </w:r>
      <w:bookmarkEnd w:id="91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11"/>
      <w:bookmarkEnd w:id="912"/>
      <w:bookmarkEnd w:id="914"/>
    </w:p>
    <w:p>
      <w:pPr>
        <w:pStyle w:val="Style33"/>
        <w:keepNext w:val="0"/>
        <w:keepLines w:val="0"/>
        <w:widowControl w:val="0"/>
        <w:shd w:val="clear" w:color="auto" w:fill="auto"/>
        <w:bidi w:val="0"/>
        <w:spacing w:before="0" w:after="300" w:line="314" w:lineRule="exact"/>
        <w:ind w:left="720" w:right="0" w:firstLine="0"/>
        <w:jc w:val="both"/>
      </w:pPr>
      <w:r>
        <w:rPr>
          <w:color w:val="000000"/>
          <w:spacing w:val="0"/>
          <w:w w:val="100"/>
          <w:position w:val="0"/>
        </w:rPr>
        <w:t>本公司根据履行履约义务与客户付款之间的关系在资产负债表中列示合同资产或合同负债。本公 司已收或应收客户对价而应向客户转让商品或提供服务的义务列示为合同负债。同一合同下的合 同资产和合同负债以净额列示。</w:t>
      </w:r>
    </w:p>
    <w:p>
      <w:pPr>
        <w:pStyle w:val="Style28"/>
        <w:keepNext/>
        <w:keepLines/>
        <w:widowControl w:val="0"/>
        <w:shd w:val="clear" w:color="auto" w:fill="auto"/>
        <w:tabs>
          <w:tab w:pos="483" w:val="left"/>
        </w:tabs>
        <w:bidi w:val="0"/>
        <w:spacing w:before="0" w:after="300" w:line="313" w:lineRule="exact"/>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w:t>
      </w:r>
      <w:bookmarkEnd w:id="91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15"/>
      <w:bookmarkEnd w:id="916"/>
      <w:bookmarkEnd w:id="918"/>
    </w:p>
    <w:p>
      <w:pPr>
        <w:pStyle w:val="Style51"/>
        <w:keepNext/>
        <w:keepLines/>
        <w:widowControl w:val="0"/>
        <w:shd w:val="clear" w:color="auto" w:fill="auto"/>
        <w:bidi w:val="0"/>
        <w:spacing w:before="0" w:after="300" w:line="313" w:lineRule="exact"/>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19"/>
      <w:bookmarkEnd w:id="920"/>
      <w:bookmarkEnd w:id="922"/>
    </w:p>
    <w:p>
      <w:pPr>
        <w:pStyle w:val="Style33"/>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本公司在职工为本公司提供服务的会计期间，将实际发生的短期薪酬确认为负债，并计入当 期损益或相关资产成本。</w:t>
      </w:r>
    </w:p>
    <w:p>
      <w:pPr>
        <w:pStyle w:val="Style33"/>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本公司为职工缴纳的社会保险费和住房公积金，以及按规定提取的工会经费和职工教育经费， 在职工为本公司提供服务的会计期间，根据规定的计提基础和计提比例计算确定相应的职工 薪酬金额。</w:t>
      </w:r>
    </w:p>
    <w:p>
      <w:pPr>
        <w:pStyle w:val="Style33"/>
        <w:keepNext w:val="0"/>
        <w:keepLines w:val="0"/>
        <w:widowControl w:val="0"/>
        <w:shd w:val="clear" w:color="auto" w:fill="auto"/>
        <w:bidi w:val="0"/>
        <w:spacing w:before="0" w:after="600" w:line="313" w:lineRule="exact"/>
        <w:ind w:left="1300" w:right="0" w:firstLine="0"/>
        <w:jc w:val="left"/>
      </w:pPr>
      <w:r>
        <w:rPr>
          <w:color w:val="000000"/>
          <w:spacing w:val="0"/>
          <w:w w:val="100"/>
          <w:position w:val="0"/>
        </w:rPr>
        <w:t>本公司发生的职工福利费，在实际发生时根据实际发生额计入当期损益或相关资产成本，其 中，非货币性福利按照公允价值计量。</w:t>
      </w:r>
    </w:p>
    <w:p>
      <w:pPr>
        <w:pStyle w:val="Style51"/>
        <w:keepNext/>
        <w:keepLines/>
        <w:widowControl w:val="0"/>
        <w:shd w:val="clear" w:color="auto" w:fill="auto"/>
        <w:bidi w:val="0"/>
        <w:spacing w:before="0" w:after="300" w:line="312" w:lineRule="exact"/>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23"/>
      <w:bookmarkEnd w:id="924"/>
      <w:bookmarkEnd w:id="926"/>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设定提存计划</w:t>
      </w:r>
    </w:p>
    <w:p>
      <w:pPr>
        <w:pStyle w:val="Style33"/>
        <w:keepNext w:val="0"/>
        <w:keepLines w:val="0"/>
        <w:widowControl w:val="0"/>
        <w:shd w:val="clear" w:color="auto" w:fill="auto"/>
        <w:bidi w:val="0"/>
        <w:spacing w:before="0" w:after="600" w:line="312" w:lineRule="exact"/>
        <w:ind w:left="1300" w:right="0" w:firstLine="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 损益或相关资产成本。</w:t>
      </w:r>
    </w:p>
    <w:p>
      <w:pPr>
        <w:pStyle w:val="Style51"/>
        <w:keepNext/>
        <w:keepLines/>
        <w:widowControl w:val="0"/>
        <w:shd w:val="clear" w:color="auto" w:fill="auto"/>
        <w:bidi w:val="0"/>
        <w:spacing w:before="0" w:after="300" w:line="312" w:lineRule="exact"/>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27"/>
      <w:bookmarkEnd w:id="928"/>
      <w:bookmarkEnd w:id="930"/>
    </w:p>
    <w:p>
      <w:pPr>
        <w:pStyle w:val="Style33"/>
        <w:keepNext w:val="0"/>
        <w:keepLines w:val="0"/>
        <w:widowControl w:val="0"/>
        <w:shd w:val="clear" w:color="auto" w:fill="auto"/>
        <w:bidi w:val="0"/>
        <w:spacing w:before="0" w:after="680" w:line="312" w:lineRule="exact"/>
        <w:ind w:left="1300" w:right="0" w:firstLine="0"/>
        <w:jc w:val="both"/>
      </w:pPr>
      <w:r>
        <w:rPr>
          <w:color w:val="000000"/>
          <w:spacing w:val="0"/>
          <w:w w:val="100"/>
          <w:position w:val="0"/>
        </w:rPr>
        <w:t>本公司向职工提供辞退福利的，在下列两者孰早日确认辞退福利产生的职工薪酬负债，并计 入当期损益：公司不能单方面撤回因解除劳动关系计划或裁减建议所提供的辞退福利时；公 司确认与涉及支付辞退福利的重组相关的成本或费用时。</w:t>
      </w:r>
    </w:p>
    <w:p>
      <w:pPr>
        <w:pStyle w:val="Style51"/>
        <w:keepNext/>
        <w:keepLines/>
        <w:widowControl w:val="0"/>
        <w:shd w:val="clear" w:color="auto" w:fill="auto"/>
        <w:bidi w:val="0"/>
        <w:spacing w:before="0" w:after="360" w:line="240" w:lineRule="auto"/>
        <w:ind w:left="0" w:right="0" w:firstLine="0"/>
        <w:jc w:val="both"/>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31"/>
      <w:bookmarkEnd w:id="932"/>
      <w:bookmarkEnd w:id="934"/>
    </w:p>
    <w:p>
      <w:pPr>
        <w:pStyle w:val="Style28"/>
        <w:keepNext/>
        <w:keepLines/>
        <w:widowControl w:val="0"/>
        <w:shd w:val="clear" w:color="auto" w:fill="auto"/>
        <w:bidi w:val="0"/>
        <w:spacing w:before="0" w:after="300" w:line="240"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35"/>
      <w:bookmarkEnd w:id="936"/>
      <w:bookmarkEnd w:id="938"/>
    </w:p>
    <w:p>
      <w:pPr>
        <w:pStyle w:val="Style33"/>
        <w:keepNext w:val="0"/>
        <w:keepLines w:val="0"/>
        <w:widowControl w:val="0"/>
        <w:shd w:val="clear" w:color="auto" w:fill="auto"/>
        <w:bidi w:val="0"/>
        <w:spacing w:before="0" w:after="300" w:line="307" w:lineRule="exact"/>
        <w:ind w:left="1300" w:right="0" w:firstLine="0"/>
        <w:jc w:val="left"/>
      </w:pPr>
      <w:r>
        <w:rPr>
          <w:color w:val="000000"/>
          <w:spacing w:val="0"/>
          <w:w w:val="100"/>
          <w:position w:val="0"/>
        </w:rPr>
        <w:t>在租赁期开始日，本公司对除短期租赁和低价值资产租赁以外的租赁确认租赁负债。租赁负 债按照尚未支付的租赁付款额的现值进行初始计量。租赁付款额包括：</w:t>
      </w:r>
    </w:p>
    <w:p>
      <w:pPr>
        <w:pStyle w:val="Style33"/>
        <w:keepNext w:val="0"/>
        <w:keepLines w:val="0"/>
        <w:widowControl w:val="0"/>
        <w:shd w:val="clear" w:color="auto" w:fill="auto"/>
        <w:bidi w:val="0"/>
        <w:spacing w:before="0" w:after="0" w:line="314" w:lineRule="exact"/>
        <w:ind w:left="1300" w:right="0" w:firstLine="20"/>
        <w:jc w:val="left"/>
      </w:pPr>
      <w:r>
        <w:rPr>
          <w:color w:val="000000"/>
          <w:spacing w:val="0"/>
          <w:w w:val="100"/>
          <w:position w:val="0"/>
        </w:rPr>
        <w:t>•</w:t>
      </w:r>
      <w:r>
        <w:rPr>
          <w:color w:val="000000"/>
          <w:spacing w:val="0"/>
          <w:w w:val="100"/>
          <w:position w:val="0"/>
        </w:rPr>
        <w:t>固定付款额(包括实质固定付款额)，存在租赁激励的，扣除租赁激励相关金额；</w:t>
      </w:r>
    </w:p>
    <w:p>
      <w:pPr>
        <w:pStyle w:val="Style33"/>
        <w:keepNext w:val="0"/>
        <w:keepLines w:val="0"/>
        <w:widowControl w:val="0"/>
        <w:shd w:val="clear" w:color="auto" w:fill="auto"/>
        <w:bidi w:val="0"/>
        <w:spacing w:before="0" w:after="0" w:line="314" w:lineRule="exact"/>
        <w:ind w:left="1300" w:right="0" w:firstLine="20"/>
        <w:jc w:val="left"/>
      </w:pPr>
      <w:r>
        <w:rPr>
          <w:color w:val="000000"/>
          <w:spacing w:val="0"/>
          <w:w w:val="100"/>
          <w:position w:val="0"/>
        </w:rPr>
        <w:t>•</w:t>
      </w:r>
      <w:r>
        <w:rPr>
          <w:color w:val="000000"/>
          <w:spacing w:val="0"/>
          <w:w w:val="100"/>
          <w:position w:val="0"/>
        </w:rPr>
        <w:t>取决于指数或比率的可变租赁付款额；</w:t>
      </w:r>
    </w:p>
    <w:p>
      <w:pPr>
        <w:pStyle w:val="Style33"/>
        <w:keepNext w:val="0"/>
        <w:keepLines w:val="0"/>
        <w:widowControl w:val="0"/>
        <w:shd w:val="clear" w:color="auto" w:fill="auto"/>
        <w:bidi w:val="0"/>
        <w:spacing w:before="0" w:after="0" w:line="314" w:lineRule="exact"/>
        <w:ind w:left="1300" w:right="0" w:firstLine="20"/>
        <w:jc w:val="left"/>
      </w:pPr>
      <w:r>
        <w:rPr>
          <w:color w:val="000000"/>
          <w:spacing w:val="0"/>
          <w:w w:val="100"/>
          <w:position w:val="0"/>
        </w:rPr>
        <w:t>•</w:t>
      </w:r>
      <w:r>
        <w:rPr>
          <w:color w:val="000000"/>
          <w:spacing w:val="0"/>
          <w:w w:val="100"/>
          <w:position w:val="0"/>
        </w:rPr>
        <w:t>根据公司提供的担保余值预计应支付的款项；</w:t>
      </w:r>
    </w:p>
    <w:p>
      <w:pPr>
        <w:pStyle w:val="Style33"/>
        <w:keepNext w:val="0"/>
        <w:keepLines w:val="0"/>
        <w:widowControl w:val="0"/>
        <w:shd w:val="clear" w:color="auto" w:fill="auto"/>
        <w:bidi w:val="0"/>
        <w:spacing w:before="0" w:after="0" w:line="314" w:lineRule="exact"/>
        <w:ind w:left="1300" w:right="0" w:firstLine="20"/>
        <w:jc w:val="left"/>
      </w:pPr>
      <w:r>
        <w:rPr>
          <w:color w:val="000000"/>
          <w:spacing w:val="0"/>
          <w:w w:val="100"/>
          <w:position w:val="0"/>
        </w:rPr>
        <w:t>•</w:t>
      </w:r>
      <w:r>
        <w:rPr>
          <w:color w:val="000000"/>
          <w:spacing w:val="0"/>
          <w:w w:val="100"/>
          <w:position w:val="0"/>
        </w:rPr>
        <w:t>购买选择权的行权价格，前提是公司合理确定将行使该选择权；</w:t>
      </w:r>
    </w:p>
    <w:p>
      <w:pPr>
        <w:pStyle w:val="Style33"/>
        <w:keepNext w:val="0"/>
        <w:keepLines w:val="0"/>
        <w:widowControl w:val="0"/>
        <w:shd w:val="clear" w:color="auto" w:fill="auto"/>
        <w:bidi w:val="0"/>
        <w:spacing w:before="0" w:after="0" w:line="314" w:lineRule="exact"/>
        <w:ind w:left="1300" w:right="0" w:firstLine="20"/>
        <w:jc w:val="left"/>
      </w:pPr>
      <w:r>
        <w:rPr>
          <w:color w:val="000000"/>
          <w:spacing w:val="0"/>
          <w:w w:val="100"/>
          <w:position w:val="0"/>
        </w:rPr>
        <w:t>•</w:t>
      </w:r>
      <w:r>
        <w:rPr>
          <w:color w:val="000000"/>
          <w:spacing w:val="0"/>
          <w:w w:val="100"/>
          <w:position w:val="0"/>
        </w:rPr>
        <w:t>行使终止租赁选择权需支付的款项，前提是租赁期反映出公司将行使终止租赁选择权。 本公司采用租赁内含利率作为折现率，但如果无法合理确定租赁内含利率的，则采用本公司 的增量借款利率作为折现率。</w:t>
      </w:r>
    </w:p>
    <w:p>
      <w:pPr>
        <w:pStyle w:val="Style33"/>
        <w:keepNext w:val="0"/>
        <w:keepLines w:val="0"/>
        <w:widowControl w:val="0"/>
        <w:shd w:val="clear" w:color="auto" w:fill="auto"/>
        <w:bidi w:val="0"/>
        <w:spacing w:before="0" w:after="0" w:line="314" w:lineRule="exact"/>
        <w:ind w:left="1300" w:right="0" w:firstLine="20"/>
        <w:jc w:val="both"/>
      </w:pPr>
      <w:r>
        <w:rPr>
          <w:color w:val="000000"/>
          <w:spacing w:val="0"/>
          <w:w w:val="100"/>
          <w:position w:val="0"/>
        </w:rPr>
        <w:t>本公司按照固定的周期性利率计算租赁负债在租赁期内各期间的利息费用，并计入当期损益 或相关资产成本。</w:t>
      </w:r>
    </w:p>
    <w:p>
      <w:pPr>
        <w:pStyle w:val="Style33"/>
        <w:keepNext w:val="0"/>
        <w:keepLines w:val="0"/>
        <w:widowControl w:val="0"/>
        <w:shd w:val="clear" w:color="auto" w:fill="auto"/>
        <w:bidi w:val="0"/>
        <w:spacing w:before="0" w:after="0" w:line="314" w:lineRule="exact"/>
        <w:ind w:left="1300" w:right="0" w:firstLine="20"/>
        <w:jc w:val="both"/>
      </w:pPr>
      <w:r>
        <w:rPr>
          <w:color w:val="000000"/>
          <w:spacing w:val="0"/>
          <w:w w:val="100"/>
          <w:position w:val="0"/>
        </w:rPr>
        <w:t>未纳入租赁负债计量的可变租赁付款额在实际发生时计入当期损益或相关资产成本。</w:t>
      </w:r>
    </w:p>
    <w:p>
      <w:pPr>
        <w:pStyle w:val="Style33"/>
        <w:keepNext w:val="0"/>
        <w:keepLines w:val="0"/>
        <w:widowControl w:val="0"/>
        <w:shd w:val="clear" w:color="auto" w:fill="auto"/>
        <w:bidi w:val="0"/>
        <w:spacing w:before="0" w:after="0" w:line="314" w:lineRule="exact"/>
        <w:ind w:left="1300" w:right="0" w:firstLine="20"/>
        <w:jc w:val="both"/>
      </w:pPr>
      <w:r>
        <w:rPr>
          <w:color w:val="000000"/>
          <w:spacing w:val="0"/>
          <w:w w:val="100"/>
          <w:position w:val="0"/>
        </w:rPr>
        <w:t>在租赁期开始日后，发生下列情形的，本公司重新计量租赁负债，并调整相应的使用权资产， 若使用权资产的账面价值已调减至零，但租赁负债仍需进一步调减的，将差额计入当期损益:</w:t>
      </w:r>
    </w:p>
    <w:p>
      <w:pPr>
        <w:pStyle w:val="Style33"/>
        <w:keepNext w:val="0"/>
        <w:keepLines w:val="0"/>
        <w:widowControl w:val="0"/>
        <w:shd w:val="clear" w:color="auto" w:fill="auto"/>
        <w:bidi w:val="0"/>
        <w:spacing w:before="0" w:after="0" w:line="314" w:lineRule="exact"/>
        <w:ind w:left="1700" w:right="0" w:hanging="380"/>
        <w:jc w:val="both"/>
      </w:pPr>
      <w:r>
        <w:rPr>
          <w:color w:val="000000"/>
          <w:spacing w:val="0"/>
          <w:w w:val="100"/>
          <w:position w:val="0"/>
        </w:rPr>
        <w:t>•</w:t>
      </w:r>
      <w:r>
        <w:rPr>
          <w:color w:val="000000"/>
          <w:spacing w:val="0"/>
          <w:w w:val="100"/>
          <w:position w:val="0"/>
        </w:rPr>
        <w:t>当购买选择权、续租选择权或终止选择权的评估结果发生变化，或前述选择权的实际行 权情况与原评估结果不一致的，本公司按变动后租赁付款额和修订后的折现率计算的现 值重新计量租赁负债；</w:t>
      </w:r>
    </w:p>
    <w:p>
      <w:pPr>
        <w:pStyle w:val="Style33"/>
        <w:keepNext w:val="0"/>
        <w:keepLines w:val="0"/>
        <w:widowControl w:val="0"/>
        <w:shd w:val="clear" w:color="auto" w:fill="auto"/>
        <w:bidi w:val="0"/>
        <w:spacing w:before="0" w:after="600" w:line="314" w:lineRule="exact"/>
        <w:ind w:left="0" w:right="0" w:firstLine="1120"/>
        <w:jc w:val="both"/>
      </w:pPr>
      <w:r>
        <w:rPr>
          <w:color w:val="000000"/>
          <w:spacing w:val="0"/>
          <w:w w:val="100"/>
          <w:position w:val="0"/>
        </w:rPr>
        <w:t>当实质固定付款额发生变动、担保余值预计的应付金额发生变动或用于确定租赁付款额的指数 或比率发生变动，本公司按照变动后的租赁付款额和原折现率计算的现值重新计量租赁负债。但是， 租赁付款额的变动源自浮动利率变动的，使用修订后的折现率计算现值。</w:t>
      </w:r>
    </w:p>
    <w:p>
      <w:pPr>
        <w:pStyle w:val="Style28"/>
        <w:keepNext/>
        <w:keepLines/>
        <w:widowControl w:val="0"/>
        <w:shd w:val="clear" w:color="auto" w:fill="auto"/>
        <w:bidi w:val="0"/>
        <w:spacing w:before="0" w:after="300" w:line="314" w:lineRule="exact"/>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w:t>
      </w:r>
      <w:bookmarkEnd w:id="941"/>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939"/>
      <w:bookmarkEnd w:id="940"/>
      <w:bookmarkEnd w:id="942"/>
    </w:p>
    <w:p>
      <w:pPr>
        <w:pStyle w:val="Style33"/>
        <w:keepNext w:val="0"/>
        <w:keepLines w:val="0"/>
        <w:widowControl w:val="0"/>
        <w:shd w:val="clear" w:color="auto" w:fill="auto"/>
        <w:bidi w:val="0"/>
        <w:spacing w:before="0" w:after="0" w:line="314" w:lineRule="exact"/>
        <w:ind w:left="0" w:right="0" w:firstLine="720"/>
        <w:jc w:val="left"/>
      </w:pPr>
      <w:r>
        <w:rPr>
          <w:color w:val="000000"/>
          <w:spacing w:val="0"/>
          <w:w w:val="100"/>
          <w:position w:val="0"/>
        </w:rPr>
        <w:t>与或有事项相关的义务同时满足下列条件时，本公司将其确认为预计负债：</w:t>
      </w:r>
    </w:p>
    <w:p>
      <w:pPr>
        <w:pStyle w:val="Style33"/>
        <w:keepNext w:val="0"/>
        <w:keepLines w:val="0"/>
        <w:widowControl w:val="0"/>
        <w:numPr>
          <w:ilvl w:val="0"/>
          <w:numId w:val="41"/>
        </w:numPr>
        <w:shd w:val="clear" w:color="auto" w:fill="auto"/>
        <w:tabs>
          <w:tab w:pos="1208" w:val="left"/>
        </w:tabs>
        <w:bidi w:val="0"/>
        <w:spacing w:before="0" w:after="0" w:line="314" w:lineRule="exact"/>
        <w:ind w:left="0" w:right="0" w:firstLine="720"/>
        <w:jc w:val="left"/>
      </w:pPr>
      <w:bookmarkStart w:id="943" w:name="bookmark943"/>
      <w:bookmarkEnd w:id="943"/>
      <w:r>
        <w:rPr>
          <w:color w:val="000000"/>
          <w:spacing w:val="0"/>
          <w:w w:val="100"/>
          <w:position w:val="0"/>
        </w:rPr>
        <w:t>该义务是本公司承担的现时义务；</w:t>
      </w:r>
    </w:p>
    <w:p>
      <w:pPr>
        <w:pStyle w:val="Style33"/>
        <w:keepNext w:val="0"/>
        <w:keepLines w:val="0"/>
        <w:widowControl w:val="0"/>
        <w:numPr>
          <w:ilvl w:val="0"/>
          <w:numId w:val="41"/>
        </w:numPr>
        <w:shd w:val="clear" w:color="auto" w:fill="auto"/>
        <w:tabs>
          <w:tab w:pos="1208" w:val="left"/>
        </w:tabs>
        <w:bidi w:val="0"/>
        <w:spacing w:before="0" w:after="0" w:line="314" w:lineRule="exact"/>
        <w:ind w:left="0" w:right="0" w:firstLine="720"/>
        <w:jc w:val="left"/>
      </w:pPr>
      <w:bookmarkStart w:id="944" w:name="bookmark944"/>
      <w:bookmarkEnd w:id="944"/>
      <w:r>
        <w:rPr>
          <w:color w:val="000000"/>
          <w:spacing w:val="0"/>
          <w:w w:val="100"/>
          <w:position w:val="0"/>
        </w:rPr>
        <w:t>履行该义务很可能导致经济利益流出本公司；</w:t>
      </w:r>
    </w:p>
    <w:p>
      <w:pPr>
        <w:pStyle w:val="Style33"/>
        <w:keepNext w:val="0"/>
        <w:keepLines w:val="0"/>
        <w:widowControl w:val="0"/>
        <w:numPr>
          <w:ilvl w:val="0"/>
          <w:numId w:val="41"/>
        </w:numPr>
        <w:shd w:val="clear" w:color="auto" w:fill="auto"/>
        <w:tabs>
          <w:tab w:pos="1208" w:val="left"/>
        </w:tabs>
        <w:bidi w:val="0"/>
        <w:spacing w:before="0" w:after="300" w:line="314" w:lineRule="exact"/>
        <w:ind w:left="0" w:right="0" w:firstLine="720"/>
        <w:jc w:val="left"/>
      </w:pPr>
      <w:bookmarkStart w:id="945" w:name="bookmark945"/>
      <w:bookmarkEnd w:id="945"/>
      <w:r>
        <w:rPr>
          <w:color w:val="000000"/>
          <w:spacing w:val="0"/>
          <w:w w:val="100"/>
          <w:position w:val="0"/>
        </w:rPr>
        <w:t>该义务的金额能够可靠地计量。</w:t>
      </w:r>
    </w:p>
    <w:p>
      <w:pPr>
        <w:pStyle w:val="Style33"/>
        <w:keepNext w:val="0"/>
        <w:keepLines w:val="0"/>
        <w:widowControl w:val="0"/>
        <w:shd w:val="clear" w:color="auto" w:fill="auto"/>
        <w:bidi w:val="0"/>
        <w:spacing w:before="0" w:after="0" w:line="314" w:lineRule="exact"/>
        <w:ind w:left="0" w:right="0" w:firstLine="720"/>
        <w:jc w:val="left"/>
      </w:pPr>
      <w:r>
        <w:rPr>
          <w:color w:val="000000"/>
          <w:spacing w:val="0"/>
          <w:w w:val="100"/>
          <w:position w:val="0"/>
        </w:rPr>
        <w:t>预计负债按履行相关现时义务所需的支出的最佳估计数进行初始计量。</w:t>
      </w:r>
    </w:p>
    <w:p>
      <w:pPr>
        <w:pStyle w:val="Style33"/>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在确定最佳估计数时，综合考虑与或有事项有关的风险、不确定性和货币时间价值等因素。对于 货币时间价值影响重大的，通过对相关未来现金流出进行折现后确定最佳估计数。</w:t>
      </w:r>
    </w:p>
    <w:p>
      <w:pPr>
        <w:pStyle w:val="Style33"/>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所需支出存在一个连续范围，且该范围内各种结果发生的可能性相同的，最佳估计数按照该范围 内的中间值确定；在其他情况下，最佳估计数分别下列情况处理：</w:t>
      </w:r>
    </w:p>
    <w:p>
      <w:pPr>
        <w:pStyle w:val="Style33"/>
        <w:keepNext w:val="0"/>
        <w:keepLines w:val="0"/>
        <w:widowControl w:val="0"/>
        <w:shd w:val="clear" w:color="auto" w:fill="auto"/>
        <w:bidi w:val="0"/>
        <w:spacing w:before="0" w:after="0" w:line="314" w:lineRule="exact"/>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33"/>
        <w:keepNext w:val="0"/>
        <w:keepLines w:val="0"/>
        <w:widowControl w:val="0"/>
        <w:shd w:val="clear" w:color="auto" w:fill="auto"/>
        <w:bidi w:val="0"/>
        <w:spacing w:before="0" w:after="0" w:line="314" w:lineRule="exact"/>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33"/>
        <w:keepNext w:val="0"/>
        <w:keepLines w:val="0"/>
        <w:widowControl w:val="0"/>
        <w:shd w:val="clear" w:color="auto" w:fill="auto"/>
        <w:bidi w:val="0"/>
        <w:spacing w:before="0" w:after="300" w:line="314" w:lineRule="exact"/>
        <w:ind w:left="720" w:right="0" w:firstLine="0"/>
        <w:jc w:val="both"/>
      </w:pPr>
      <w:r>
        <w:rPr>
          <w:color w:val="000000"/>
          <w:spacing w:val="0"/>
          <w:w w:val="100"/>
          <w:position w:val="0"/>
        </w:rPr>
        <w:t>清偿预计负债所需支出全部或部分预期由第三方补偿的，补偿金额在基本确定能够收到时，作为 资产单独确认，确认的补偿金额不超过预计负债的账面价值。</w:t>
      </w:r>
    </w:p>
    <w:p>
      <w:pPr>
        <w:pStyle w:val="Style33"/>
        <w:keepNext w:val="0"/>
        <w:keepLines w:val="0"/>
        <w:widowControl w:val="0"/>
        <w:shd w:val="clear" w:color="auto" w:fill="auto"/>
        <w:bidi w:val="0"/>
        <w:spacing w:before="0" w:after="680" w:line="317" w:lineRule="exact"/>
        <w:ind w:left="720" w:right="0" w:firstLine="0"/>
        <w:jc w:val="both"/>
      </w:pPr>
      <w:r>
        <w:rPr>
          <w:color w:val="000000"/>
          <w:spacing w:val="0"/>
          <w:w w:val="100"/>
          <w:position w:val="0"/>
        </w:rPr>
        <w:t>本公司在资产负债表日对预计负债的账面价值进行复核，有确凿证据表明该账面价值不能反映当 前最佳估计数的，按照当前最佳估计数对该账面价值进行调整。</w:t>
      </w:r>
    </w:p>
    <w:p>
      <w:pPr>
        <w:pStyle w:val="Style28"/>
        <w:keepNext/>
        <w:keepLines/>
        <w:widowControl w:val="0"/>
        <w:shd w:val="clear" w:color="auto" w:fill="auto"/>
        <w:bidi w:val="0"/>
        <w:spacing w:before="0" w:after="36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946"/>
      <w:bookmarkEnd w:id="947"/>
      <w:bookmarkEnd w:id="949"/>
    </w:p>
    <w:p>
      <w:pPr>
        <w:pStyle w:val="Style33"/>
        <w:keepNext w:val="0"/>
        <w:keepLines w:val="0"/>
        <w:widowControl w:val="0"/>
        <w:shd w:val="clear" w:color="auto" w:fill="auto"/>
        <w:bidi w:val="0"/>
        <w:spacing w:before="0" w:after="300" w:line="240" w:lineRule="auto"/>
        <w:ind w:left="0" w:right="0" w:firstLine="720"/>
        <w:jc w:val="both"/>
      </w:pPr>
      <w:r>
        <w:rPr>
          <w:color w:val="000000"/>
          <w:spacing w:val="0"/>
          <w:w w:val="100"/>
          <w:position w:val="0"/>
        </w:rPr>
        <w:t>本公司的股份支付是为了获取职工或其他方提供服务而授予权益工具或者承担以权益工具为基础</w:t>
      </w:r>
    </w:p>
    <w:p>
      <w:pPr>
        <w:pStyle w:val="Style33"/>
        <w:keepNext w:val="0"/>
        <w:keepLines w:val="0"/>
        <w:widowControl w:val="0"/>
        <w:shd w:val="clear" w:color="auto" w:fill="auto"/>
        <w:bidi w:val="0"/>
        <w:spacing w:before="0" w:after="280" w:line="312" w:lineRule="exact"/>
        <w:ind w:left="0" w:right="0" w:firstLine="720"/>
        <w:jc w:val="both"/>
      </w:pPr>
      <w:r>
        <w:rPr>
          <w:color w:val="000000"/>
          <w:spacing w:val="0"/>
          <w:w w:val="100"/>
          <w:position w:val="0"/>
        </w:rPr>
        <w:t>确定的负债的交易。本公司的股份支付分为以权益结算的股份支付和以现金结算的股份支付。</w:t>
      </w:r>
    </w:p>
    <w:p>
      <w:pPr>
        <w:pStyle w:val="Style33"/>
        <w:keepNext w:val="0"/>
        <w:keepLines w:val="0"/>
        <w:widowControl w:val="0"/>
        <w:shd w:val="clear" w:color="auto" w:fill="auto"/>
        <w:bidi w:val="0"/>
        <w:spacing w:before="0" w:after="0" w:line="312" w:lineRule="exact"/>
        <w:ind w:left="0" w:right="0" w:firstLine="940"/>
        <w:jc w:val="both"/>
      </w:pPr>
      <w:r>
        <w:rPr>
          <w:b/>
          <w:bCs/>
          <w:color w:val="000000"/>
          <w:spacing w:val="0"/>
          <w:w w:val="100"/>
          <w:position w:val="0"/>
        </w:rPr>
        <w:t>1.</w:t>
      </w:r>
      <w:r>
        <w:rPr>
          <w:b/>
          <w:bCs/>
          <w:color w:val="000000"/>
          <w:spacing w:val="0"/>
          <w:w w:val="100"/>
          <w:position w:val="0"/>
        </w:rPr>
        <w:t>以权益结算的股份支付及权益工具</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以权益结算的股份支付换取职工提供服务的，以授予职工权益工具的公允价值计量。对于授 予后立即可行权的股份支付交易，在授予日按照权益工具的公允价值计入相关成本或费用， 相应增加资本公积。对于授予后完成等待期内的服务或达到规定业绩条件才可行权的股份支 付交易，在等待期内每个资产负债表日，本公司根据对可行权权益工具数量的最佳估计，按 照授予日公允价值，将当期取得的服务计入相关成本或费用，相应增加资本公积。</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如果修改了以权益结算的股份支付的条款，至少按照未修改条款的情况确认取得的服务。此 夕卜，任何增加所授予权益工具公允价值的修改，或在修改日对职工有利的变更，均确认取得 服务的增加。</w:t>
      </w:r>
    </w:p>
    <w:p>
      <w:pPr>
        <w:pStyle w:val="Style33"/>
        <w:keepNext w:val="0"/>
        <w:keepLines w:val="0"/>
        <w:widowControl w:val="0"/>
        <w:shd w:val="clear" w:color="auto" w:fill="auto"/>
        <w:bidi w:val="0"/>
        <w:spacing w:before="0" w:after="280" w:line="312" w:lineRule="exact"/>
        <w:ind w:left="1300" w:right="0" w:firstLine="0"/>
        <w:jc w:val="both"/>
      </w:pPr>
      <w:r>
        <w:rPr>
          <w:color w:val="000000"/>
          <w:spacing w:val="0"/>
          <w:w w:val="100"/>
          <w:position w:val="0"/>
        </w:rPr>
        <w:t>在等待期内，如果取消了授予的权益工具，则本公司对取消所授予的权益性工具作为加速行 权处理，将剩余等待期内应确认的金额立即计入当期损益，同时确认资本公积。但是，如果 授予新的权益工具，并在新权益工具授予日认定所授予的新权益工具是用于替代被取消的权 益工具的，则以与处理原权益工具条款和条件修改相同的方式，对所授予的替代权益工具进 行处理。</w:t>
      </w:r>
    </w:p>
    <w:p>
      <w:pPr>
        <w:pStyle w:val="Style33"/>
        <w:keepNext w:val="0"/>
        <w:keepLines w:val="0"/>
        <w:widowControl w:val="0"/>
        <w:shd w:val="clear" w:color="auto" w:fill="auto"/>
        <w:bidi w:val="0"/>
        <w:spacing w:before="0" w:after="0" w:line="314" w:lineRule="exact"/>
        <w:ind w:left="0" w:right="0" w:firstLine="940"/>
        <w:jc w:val="both"/>
      </w:pPr>
      <w:r>
        <w:rPr>
          <w:b/>
          <w:bCs/>
          <w:color w:val="000000"/>
          <w:spacing w:val="0"/>
          <w:w w:val="100"/>
          <w:position w:val="0"/>
        </w:rPr>
        <w:t>1.</w:t>
      </w:r>
      <w:r>
        <w:rPr>
          <w:b/>
          <w:bCs/>
          <w:color w:val="000000"/>
          <w:spacing w:val="0"/>
          <w:w w:val="100"/>
          <w:position w:val="0"/>
        </w:rPr>
        <w:t>以现金结算的股份支付及权益工具</w:t>
      </w:r>
    </w:p>
    <w:p>
      <w:pPr>
        <w:pStyle w:val="Style33"/>
        <w:keepNext w:val="0"/>
        <w:keepLines w:val="0"/>
        <w:widowControl w:val="0"/>
        <w:shd w:val="clear" w:color="auto" w:fill="auto"/>
        <w:bidi w:val="0"/>
        <w:spacing w:before="0" w:after="600" w:line="314" w:lineRule="exact"/>
        <w:ind w:left="1300" w:right="0" w:firstLine="0"/>
        <w:jc w:val="both"/>
      </w:pPr>
      <w:r>
        <w:rPr>
          <w:color w:val="000000"/>
          <w:spacing w:val="0"/>
          <w:w w:val="100"/>
          <w:position w:val="0"/>
        </w:rPr>
        <w:t>以现金结算的股份支付，按照本公司承担的以股份或其他权益工具为基础计算确定的负债的 公允价值计量。授予后立即可行权的股份支付交易，本公司在授予日按照承担负债的公允价 值计入相关成本或费用，相应增加负债。对于授予后完成等待期内的服务或达到规定业绩条 件才可行权的股份支付交易，在等待期内的每个资产负债表日，本公司以对可行权情况的最 佳估计为基础，按照本公司承担负债的公允价值，将当期取得的服务计入相关成本或费用， 并相应计入负债。在相关负债结算前的每个资产负债表日以及结算日，对负债的公允价值重 新计量，其变动计入当期损益。</w:t>
      </w:r>
    </w:p>
    <w:p>
      <w:pPr>
        <w:pStyle w:val="Style28"/>
        <w:keepNext/>
        <w:keepLines/>
        <w:widowControl w:val="0"/>
        <w:shd w:val="clear" w:color="auto" w:fill="auto"/>
        <w:tabs>
          <w:tab w:pos="423" w:val="left"/>
        </w:tabs>
        <w:bidi w:val="0"/>
        <w:spacing w:before="0" w:after="280" w:line="312" w:lineRule="exact"/>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50"/>
      <w:bookmarkEnd w:id="951"/>
      <w:bookmarkEnd w:id="953"/>
    </w:p>
    <w:p>
      <w:pPr>
        <w:pStyle w:val="Style28"/>
        <w:keepNext/>
        <w:keepLines/>
        <w:widowControl w:val="0"/>
        <w:shd w:val="clear" w:color="auto" w:fill="auto"/>
        <w:tabs>
          <w:tab w:pos="423" w:val="left"/>
        </w:tabs>
        <w:bidi w:val="0"/>
        <w:spacing w:before="0" w:after="280" w:line="312" w:lineRule="exact"/>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54"/>
      <w:bookmarkEnd w:id="955"/>
      <w:bookmarkEnd w:id="957"/>
    </w:p>
    <w:p>
      <w:pPr>
        <w:pStyle w:val="Style33"/>
        <w:keepNext w:val="0"/>
        <w:keepLines w:val="0"/>
        <w:widowControl w:val="0"/>
        <w:shd w:val="clear" w:color="auto" w:fill="auto"/>
        <w:bidi w:val="0"/>
        <w:spacing w:before="0" w:after="0" w:line="336" w:lineRule="exact"/>
        <w:ind w:left="720" w:right="0" w:hanging="720"/>
        <w:jc w:val="both"/>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的披露要求 </w:t>
      </w:r>
      <w:r>
        <w:rPr>
          <w:color w:val="000000"/>
          <w:spacing w:val="0"/>
          <w:w w:val="100"/>
          <w:position w:val="0"/>
        </w:rPr>
        <w:t>本公司在履行了合同中的履约义务，即在客户取得相关商品或服务控制权时确认收入。取得相关 商品或服务控制权，是指能够主导该商品或服务的使用并从中获得几乎全部的经济利益。</w:t>
      </w:r>
    </w:p>
    <w:p>
      <w:pPr>
        <w:pStyle w:val="Style3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合同中包含两项或多项履约义务的，本公司在合同开始日，按照各单项履约义务所承诺商品或服 务的单独售价的相对比例，将交易价格分摊至各单项履约义务。本公司按照分摊至各单项履约义 务的交易价格计量收入。</w:t>
      </w:r>
    </w:p>
    <w:p>
      <w:pPr>
        <w:pStyle w:val="Style33"/>
        <w:keepNext w:val="0"/>
        <w:keepLines w:val="0"/>
        <w:widowControl w:val="0"/>
        <w:shd w:val="clear" w:color="auto" w:fill="auto"/>
        <w:bidi w:val="0"/>
        <w:spacing w:before="0" w:after="280" w:line="312" w:lineRule="exact"/>
        <w:ind w:left="720" w:right="0" w:firstLine="0"/>
        <w:jc w:val="both"/>
      </w:pPr>
      <w:r>
        <w:rPr>
          <w:color w:val="000000"/>
          <w:spacing w:val="0"/>
          <w:w w:val="100"/>
          <w:position w:val="0"/>
        </w:rPr>
        <w:t>交易价格是指本公司因向客户转让商品或服务而预期有权收取的对价金额，不包括代第三方收取 的款项以及预期将退还给客户的款项。本公司根据合同条款，结合其以往的习惯做法确定交易价 格，并在确定交易价格时，考虑可变对价、合同中存在的重大融资成分、非现金对价、应付客户 对价等因素的影响。本公司以不超过在相关不确定性消除时累计已确认收入极可能不会发生重大 转回的金额确定包含可变对价的交易价格。合同中存在重大融资成分的，本公司按照假定客户在 取得商品或服务控制权时即以现金支付的应付金额确定交易价格，并在合同期间内采用实际利率 法摊销该交易价格与合同对价之间的差额。</w:t>
      </w:r>
    </w:p>
    <w:p>
      <w:pPr>
        <w:pStyle w:val="Style33"/>
        <w:keepNext w:val="0"/>
        <w:keepLines w:val="0"/>
        <w:widowControl w:val="0"/>
        <w:shd w:val="clear" w:color="auto" w:fill="auto"/>
        <w:bidi w:val="0"/>
        <w:spacing w:before="0" w:after="80" w:line="314" w:lineRule="exact"/>
        <w:ind w:left="0" w:right="0" w:firstLine="720"/>
        <w:jc w:val="both"/>
      </w:pPr>
      <w:r>
        <w:rPr>
          <w:color w:val="000000"/>
          <w:spacing w:val="0"/>
          <w:w w:val="100"/>
          <w:position w:val="0"/>
        </w:rPr>
        <w:t>满足下列条件之一的，属于在某一时段内履行履约义务，否则，属于在某一时点履行履约义务：</w:t>
      </w:r>
    </w:p>
    <w:p>
      <w:pPr>
        <w:pStyle w:val="Style33"/>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客户在本公司履约的同时即取得并消耗本公司履约所带来的经济利益。</w:t>
      </w:r>
    </w:p>
    <w:p>
      <w:pPr>
        <w:pStyle w:val="Style33"/>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客户能够控制本公司履约过程中在建的商品。</w:t>
      </w:r>
    </w:p>
    <w:p>
      <w:pPr>
        <w:pStyle w:val="Style33"/>
        <w:keepNext w:val="0"/>
        <w:keepLines w:val="0"/>
        <w:widowControl w:val="0"/>
        <w:shd w:val="clear" w:color="auto" w:fill="auto"/>
        <w:bidi w:val="0"/>
        <w:spacing w:before="0" w:after="0" w:line="313" w:lineRule="exact"/>
        <w:ind w:left="7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本公司履约过程中所产出的商品具有不可替代用途，且本公司在整个合同期内有权就累计至今已 完成的履约部分收取款项。</w:t>
      </w:r>
    </w:p>
    <w:p>
      <w:pPr>
        <w:pStyle w:val="Style3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对于在某一时段内履行的履约义务，本公司在该段时间内按照履约进度确认收入，但是，履约进 度不能合理确定的除外。本公司考虑商品或服务的性质，采用产出法或投入法确定履约进度。当 履约进度不能合理确定时，已经发生的成本预计能够得到补偿的，本公司按照已经发生的成本金 额确认收入，直到履约进度能够合理确定为止。</w:t>
      </w:r>
    </w:p>
    <w:p>
      <w:pPr>
        <w:pStyle w:val="Style33"/>
        <w:keepNext w:val="0"/>
        <w:keepLines w:val="0"/>
        <w:widowControl w:val="0"/>
        <w:shd w:val="clear" w:color="auto" w:fill="auto"/>
        <w:bidi w:val="0"/>
        <w:spacing w:before="0" w:after="80" w:line="313" w:lineRule="exact"/>
        <w:ind w:left="720" w:right="0" w:firstLine="0"/>
        <w:jc w:val="both"/>
      </w:pPr>
      <w:r>
        <w:rPr>
          <w:color w:val="000000"/>
          <w:spacing w:val="0"/>
          <w:w w:val="100"/>
          <w:position w:val="0"/>
        </w:rPr>
        <w:t>对于在某一时点履行的履约义务，本公司在客户取得相关商品或服务控制权时点确认收入。在判 断客户是否已取得商品或服务控制权时，本公司考虑下列迹象：</w:t>
      </w:r>
    </w:p>
    <w:p>
      <w:pPr>
        <w:pStyle w:val="Style33"/>
        <w:keepNext w:val="0"/>
        <w:keepLines w:val="0"/>
        <w:widowControl w:val="0"/>
        <w:shd w:val="clear" w:color="auto" w:fill="auto"/>
        <w:bidi w:val="0"/>
        <w:spacing w:before="0" w:after="0" w:line="326" w:lineRule="auto"/>
        <w:ind w:left="7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本公司就该商品或服务享有现时收款权利，即客户就该商品或服务负有现时付款义务。</w:t>
      </w:r>
    </w:p>
    <w:p>
      <w:pPr>
        <w:pStyle w:val="Style33"/>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本公司已将该商品的法定所有权转移给客户，即客户已拥有该商品的法定所有权。</w:t>
      </w:r>
    </w:p>
    <w:p>
      <w:pPr>
        <w:pStyle w:val="Style33"/>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本公司已将该商品实物转移给客户，即客户已实物占有该商品。</w:t>
      </w:r>
    </w:p>
    <w:p>
      <w:pPr>
        <w:pStyle w:val="Style33"/>
        <w:keepNext w:val="0"/>
        <w:keepLines w:val="0"/>
        <w:widowControl w:val="0"/>
        <w:shd w:val="clear" w:color="auto" w:fill="auto"/>
        <w:bidi w:val="0"/>
        <w:spacing w:before="0" w:after="80" w:line="313" w:lineRule="exact"/>
        <w:ind w:left="7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本公司已将该商品所有权上的主要风险和报酬转移给客户，即客户已取得该商品所有权上的主要 风险和报酬。</w:t>
      </w:r>
    </w:p>
    <w:p>
      <w:pPr>
        <w:pStyle w:val="Style33"/>
        <w:keepNext w:val="0"/>
        <w:keepLines w:val="0"/>
        <w:widowControl w:val="0"/>
        <w:shd w:val="clear" w:color="auto" w:fill="auto"/>
        <w:bidi w:val="0"/>
        <w:spacing w:before="0" w:after="22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客户已接受该商品或服务等。</w:t>
      </w:r>
    </w:p>
    <w:p>
      <w:pPr>
        <w:pStyle w:val="Style33"/>
        <w:keepNext w:val="0"/>
        <w:keepLines w:val="0"/>
        <w:widowControl w:val="0"/>
        <w:shd w:val="clear" w:color="auto" w:fill="auto"/>
        <w:bidi w:val="0"/>
        <w:spacing w:before="0" w:after="0" w:line="314" w:lineRule="exact"/>
        <w:ind w:left="1280" w:right="0" w:firstLine="0"/>
        <w:jc w:val="both"/>
      </w:pPr>
      <w:r>
        <w:rPr>
          <w:b/>
          <w:bCs/>
          <w:color w:val="000000"/>
          <w:spacing w:val="0"/>
          <w:w w:val="100"/>
          <w:position w:val="0"/>
        </w:rPr>
        <w:t>公司收入的具体确认标准</w:t>
      </w:r>
    </w:p>
    <w:p>
      <w:pPr>
        <w:pStyle w:val="Style33"/>
        <w:keepNext w:val="0"/>
        <w:keepLines w:val="0"/>
        <w:widowControl w:val="0"/>
        <w:shd w:val="clear" w:color="auto" w:fill="auto"/>
        <w:bidi w:val="0"/>
        <w:spacing w:before="0" w:after="0" w:line="314" w:lineRule="exact"/>
        <w:ind w:left="0" w:right="0" w:firstLine="720"/>
        <w:jc w:val="both"/>
      </w:pPr>
      <w:r>
        <w:rPr>
          <w:color w:val="000000"/>
          <w:spacing w:val="0"/>
          <w:w w:val="100"/>
          <w:position w:val="0"/>
        </w:rPr>
        <w:t>本公司的业务主要分为应用软件开发与销售、技术支持与服务、系统集成项目业务三部分。</w:t>
      </w:r>
    </w:p>
    <w:p>
      <w:pPr>
        <w:pStyle w:val="Style33"/>
        <w:keepNext w:val="0"/>
        <w:keepLines w:val="0"/>
        <w:widowControl w:val="0"/>
        <w:shd w:val="clear" w:color="auto" w:fill="auto"/>
        <w:tabs>
          <w:tab w:pos="1314" w:val="left"/>
        </w:tabs>
        <w:bidi w:val="0"/>
        <w:spacing w:before="0" w:after="0" w:line="314" w:lineRule="exact"/>
        <w:ind w:left="720" w:right="0" w:firstLine="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1</w:t>
      </w:r>
      <w:r>
        <w:rPr>
          <w:color w:val="000000"/>
          <w:spacing w:val="0"/>
          <w:w w:val="100"/>
          <w:position w:val="0"/>
        </w:rPr>
        <w:t>）</w:t>
        <w:tab/>
        <w:t>应用软件开发与销售，是指根据客户的需求，利用开发工具为客户提供一整套实现某种功能 的软件产品或者利用已有产品进行的二次开发以满足客户的某种特定需求。该类收入按照合同约 定、在项目实施完成并经对方验收合格后确认收入的实现。</w:t>
      </w:r>
    </w:p>
    <w:p>
      <w:pPr>
        <w:pStyle w:val="Style33"/>
        <w:keepNext w:val="0"/>
        <w:keepLines w:val="0"/>
        <w:widowControl w:val="0"/>
        <w:shd w:val="clear" w:color="auto" w:fill="auto"/>
        <w:tabs>
          <w:tab w:pos="1318" w:val="left"/>
        </w:tabs>
        <w:bidi w:val="0"/>
        <w:spacing w:before="0" w:after="0" w:line="314" w:lineRule="exact"/>
        <w:ind w:left="720" w:right="0" w:firstLine="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w:t>
        <w:tab/>
        <w:t>技术支持与服务，是指利用软硬件专业知识向客户提供的有偿软硬件后续服务，包括系统维 护、软硬件应用与支持、软件产品维护与升级。该类收入的服务合同中对服务内容、服务期限、 收入总额、收款条件均有明确的约定，根据合同规定在服务期间内分期确认收入的实现；其他服 务合同在提供服务的结果能够可靠估计的情况下，在合同约定的服务期限内，经用户确认后确认 收入的实现。</w:t>
      </w:r>
    </w:p>
    <w:p>
      <w:pPr>
        <w:pStyle w:val="Style33"/>
        <w:keepNext w:val="0"/>
        <w:keepLines w:val="0"/>
        <w:widowControl w:val="0"/>
        <w:shd w:val="clear" w:color="auto" w:fill="auto"/>
        <w:bidi w:val="0"/>
        <w:spacing w:before="0" w:after="600" w:line="314" w:lineRule="exact"/>
        <w:ind w:left="0" w:right="0" w:firstLine="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3</w:t>
      </w:r>
      <w:r>
        <w:rPr>
          <w:color w:val="000000"/>
          <w:spacing w:val="0"/>
          <w:w w:val="100"/>
          <w:position w:val="0"/>
        </w:rPr>
        <w:t>）系统集成项目业务，是指按照客户需求提供档案、食品流通追索、政法等领域信息化整体解决方案， 通过本公司自制软件产品和外购硬件（原材料、设备等），以工程项目的形式对整体方案予以实现。其收 入确认的具体方法为：对于系统集成项目，公司根据合同的约定，在系统集成项目中的软件产品和外购硬 件（原材料、设备等）已交付给客户，系统已按合同约定的条件完成安装调试，通过客户验收完成后确认 收入的实现。</w:t>
      </w:r>
    </w:p>
    <w:p>
      <w:pPr>
        <w:pStyle w:val="Style28"/>
        <w:keepNext/>
        <w:keepLines/>
        <w:widowControl w:val="0"/>
        <w:shd w:val="clear" w:color="auto" w:fill="auto"/>
        <w:bidi w:val="0"/>
        <w:spacing w:before="0" w:after="300" w:line="312" w:lineRule="exact"/>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4</w:t>
      </w:r>
      <w:bookmarkEnd w:id="96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61"/>
      <w:bookmarkEnd w:id="962"/>
      <w:bookmarkEnd w:id="964"/>
    </w:p>
    <w:p>
      <w:pPr>
        <w:pStyle w:val="Style28"/>
        <w:keepNext/>
        <w:keepLines/>
        <w:widowControl w:val="0"/>
        <w:shd w:val="clear" w:color="auto" w:fill="auto"/>
        <w:bidi w:val="0"/>
        <w:spacing w:before="0" w:after="0" w:line="312" w:lineRule="exact"/>
        <w:ind w:left="0" w:right="0" w:firstLine="940"/>
        <w:jc w:val="both"/>
      </w:pPr>
      <w:bookmarkStart w:id="961" w:name="bookmark961"/>
      <w:bookmarkStart w:id="962" w:name="bookmark962"/>
      <w:r>
        <w:rPr>
          <w:color w:val="000000"/>
          <w:spacing w:val="0"/>
          <w:w w:val="100"/>
          <w:position w:val="0"/>
        </w:rPr>
        <w:t>1.</w:t>
      </w:r>
      <w:r>
        <w:rPr>
          <w:color w:val="000000"/>
          <w:spacing w:val="0"/>
          <w:w w:val="100"/>
          <w:position w:val="0"/>
        </w:rPr>
        <w:t>类型</w:t>
      </w:r>
      <w:bookmarkEnd w:id="961"/>
      <w:bookmarkEnd w:id="962"/>
    </w:p>
    <w:p>
      <w:pPr>
        <w:pStyle w:val="Style33"/>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政府补助，是本公司从政府无偿取得的货币性资产或非货币性资产，分为与资产相关的政府 补助和与收益相关的政府补助。</w:t>
      </w:r>
    </w:p>
    <w:p>
      <w:pPr>
        <w:pStyle w:val="Style33"/>
        <w:keepNext w:val="0"/>
        <w:keepLines w:val="0"/>
        <w:widowControl w:val="0"/>
        <w:shd w:val="clear" w:color="auto" w:fill="auto"/>
        <w:bidi w:val="0"/>
        <w:spacing w:before="0" w:after="300" w:line="312" w:lineRule="exact"/>
        <w:ind w:left="1280" w:right="0" w:firstLine="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33"/>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 xml:space="preserve">本公司将政府补助划分为与资产相关的具体标准为：企业取得的，用于购建或以其他方式形 </w:t>
      </w:r>
      <w:r>
        <w:rPr>
          <w:color w:val="000000"/>
          <w:spacing w:val="0"/>
          <w:w w:val="100"/>
          <w:position w:val="0"/>
        </w:rPr>
        <w:t>成长期资产的政府补助；</w:t>
      </w:r>
    </w:p>
    <w:p>
      <w:pPr>
        <w:pStyle w:val="Style33"/>
        <w:keepNext w:val="0"/>
        <w:keepLines w:val="0"/>
        <w:widowControl w:val="0"/>
        <w:shd w:val="clear" w:color="auto" w:fill="auto"/>
        <w:bidi w:val="0"/>
        <w:spacing w:before="0" w:after="0" w:line="298" w:lineRule="exact"/>
        <w:ind w:left="1300" w:right="0" w:firstLine="0"/>
        <w:jc w:val="both"/>
      </w:pPr>
      <w:r>
        <w:rPr>
          <w:color w:val="000000"/>
          <w:spacing w:val="0"/>
          <w:w w:val="100"/>
          <w:position w:val="0"/>
        </w:rPr>
        <w:t>本公司将政府补助划分为与收益相关的具体标准为：除与资产相关的政府补助之外的政府补 助；</w:t>
      </w:r>
    </w:p>
    <w:p>
      <w:pPr>
        <w:pStyle w:val="Style33"/>
        <w:keepNext w:val="0"/>
        <w:keepLines w:val="0"/>
        <w:widowControl w:val="0"/>
        <w:shd w:val="clear" w:color="auto" w:fill="auto"/>
        <w:bidi w:val="0"/>
        <w:spacing w:before="0" w:after="300" w:line="307" w:lineRule="exact"/>
        <w:ind w:left="1300" w:right="0" w:firstLine="0"/>
        <w:jc w:val="both"/>
      </w:pPr>
      <w:r>
        <w:rPr>
          <w:color w:val="000000"/>
          <w:spacing w:val="0"/>
          <w:w w:val="100"/>
          <w:position w:val="0"/>
        </w:rPr>
        <w:t>对于政府文件未明确规定补助对象的，本公司将该政府补助划分为与资产相关或与收益相关 的判断依据为：是否用于购建或以其他方式形成长期资产。</w:t>
      </w:r>
    </w:p>
    <w:p>
      <w:pPr>
        <w:pStyle w:val="Style33"/>
        <w:keepNext w:val="0"/>
        <w:keepLines w:val="0"/>
        <w:widowControl w:val="0"/>
        <w:shd w:val="clear" w:color="auto" w:fill="auto"/>
        <w:bidi w:val="0"/>
        <w:spacing w:before="0" w:after="0" w:line="313" w:lineRule="exact"/>
        <w:ind w:left="0" w:right="0" w:firstLine="940"/>
        <w:jc w:val="both"/>
      </w:pPr>
      <w:r>
        <w:rPr>
          <w:b/>
          <w:bCs/>
          <w:color w:val="000000"/>
          <w:spacing w:val="0"/>
          <w:w w:val="100"/>
          <w:position w:val="0"/>
        </w:rPr>
        <w:t>1.</w:t>
      </w:r>
      <w:r>
        <w:rPr>
          <w:b/>
          <w:bCs/>
          <w:color w:val="000000"/>
          <w:spacing w:val="0"/>
          <w:w w:val="100"/>
          <w:position w:val="0"/>
        </w:rPr>
        <w:t>确认时点</w:t>
      </w:r>
    </w:p>
    <w:p>
      <w:pPr>
        <w:pStyle w:val="Style33"/>
        <w:keepNext w:val="0"/>
        <w:keepLines w:val="0"/>
        <w:widowControl w:val="0"/>
        <w:shd w:val="clear" w:color="auto" w:fill="auto"/>
        <w:bidi w:val="0"/>
        <w:spacing w:before="0" w:after="300" w:line="313" w:lineRule="exact"/>
        <w:ind w:left="1300" w:right="0" w:firstLine="0"/>
        <w:jc w:val="both"/>
      </w:pPr>
      <w:r>
        <w:rPr>
          <w:color w:val="000000"/>
          <w:spacing w:val="0"/>
          <w:w w:val="100"/>
          <w:position w:val="0"/>
        </w:rPr>
        <w:t>公司实际取得政府补助款项作为确认时点。</w:t>
      </w:r>
    </w:p>
    <w:p>
      <w:pPr>
        <w:pStyle w:val="Style33"/>
        <w:keepNext w:val="0"/>
        <w:keepLines w:val="0"/>
        <w:widowControl w:val="0"/>
        <w:shd w:val="clear" w:color="auto" w:fill="auto"/>
        <w:bidi w:val="0"/>
        <w:spacing w:before="0" w:after="0" w:line="313" w:lineRule="exact"/>
        <w:ind w:left="0" w:right="0" w:firstLine="940"/>
        <w:jc w:val="both"/>
      </w:pPr>
      <w:r>
        <w:rPr>
          <w:b/>
          <w:bCs/>
          <w:color w:val="000000"/>
          <w:spacing w:val="0"/>
          <w:w w:val="100"/>
          <w:position w:val="0"/>
        </w:rPr>
        <w:t>1.</w:t>
      </w:r>
      <w:r>
        <w:rPr>
          <w:b/>
          <w:bCs/>
          <w:color w:val="000000"/>
          <w:spacing w:val="0"/>
          <w:w w:val="100"/>
          <w:position w:val="0"/>
        </w:rPr>
        <w:t>会计处理</w:t>
      </w:r>
    </w:p>
    <w:p>
      <w:pPr>
        <w:pStyle w:val="Style3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本公司对政府补助采用总额法进行核算。</w:t>
      </w:r>
    </w:p>
    <w:p>
      <w:pPr>
        <w:pStyle w:val="Style3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 计入其他收益；与本公司日常活动无关的，计入营业外收入）；</w:t>
      </w:r>
    </w:p>
    <w:p>
      <w:pPr>
        <w:pStyle w:val="Style3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与收益相关的政府补助，用于补偿本公司以后期间的相关成本费用或损失的，确认为递延收 益，并在确认相关成本费用或损失的期间，计入当期损益（与本公司日常活动相关的，计入 其他收益；与本公司日常活动无关的，计入营业外收入）或冲减相关成本费用或损失；用于 补偿本公司已发生的相关成本费用或损失的，直接计入当期损益（与本公司日常活动相关的， 计入其他收益；与本公司日常活动无关的，计入营业外收入）或冲减相关成本费用或损失。 本公司取得的政策性优惠贷款贴息，区分以下两种情况，分别进行会计处理：</w:t>
      </w:r>
    </w:p>
    <w:p>
      <w:pPr>
        <w:pStyle w:val="Style33"/>
        <w:keepNext w:val="0"/>
        <w:keepLines w:val="0"/>
        <w:widowControl w:val="0"/>
        <w:shd w:val="clear" w:color="auto" w:fill="auto"/>
        <w:tabs>
          <w:tab w:pos="1898" w:val="left"/>
        </w:tabs>
        <w:bidi w:val="0"/>
        <w:spacing w:before="0" w:after="0" w:line="313" w:lineRule="exact"/>
        <w:ind w:left="1300" w:right="0" w:firstLine="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财政将贴息资金拨付给贷款银行，由贷款银行以政策性优惠利率向本公司提供贷款的， 本公司以实际收到的借款金额作为借款的入账价值，按照借款本金和该政策性优惠利率计算 相关借款费用。</w:t>
      </w:r>
    </w:p>
    <w:p>
      <w:pPr>
        <w:pStyle w:val="Style33"/>
        <w:keepNext w:val="0"/>
        <w:keepLines w:val="0"/>
        <w:widowControl w:val="0"/>
        <w:shd w:val="clear" w:color="auto" w:fill="auto"/>
        <w:tabs>
          <w:tab w:pos="1788" w:val="left"/>
        </w:tabs>
        <w:bidi w:val="0"/>
        <w:spacing w:before="0" w:after="620" w:line="313" w:lineRule="exact"/>
        <w:ind w:left="1300" w:right="0" w:firstLine="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财政将贴息资金直接拨付给本公司的，本公司将对应的贴息冲减相关借款费用。</w:t>
      </w:r>
    </w:p>
    <w:p>
      <w:pPr>
        <w:pStyle w:val="Style28"/>
        <w:keepNext/>
        <w:keepLines/>
        <w:widowControl w:val="0"/>
        <w:shd w:val="clear" w:color="auto" w:fill="auto"/>
        <w:bidi w:val="0"/>
        <w:spacing w:before="0" w:after="300" w:line="313" w:lineRule="exact"/>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4</w:t>
      </w:r>
      <w:bookmarkEnd w:id="969"/>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7"/>
      <w:bookmarkEnd w:id="968"/>
      <w:bookmarkEnd w:id="970"/>
    </w:p>
    <w:p>
      <w:pPr>
        <w:pStyle w:val="Style3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的交易或者事项产生的所得税外，本公司将当期所得税和递延所得税计入当期损益。</w:t>
      </w:r>
    </w:p>
    <w:p>
      <w:pPr>
        <w:pStyle w:val="Style3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 xml:space="preserve">） </w:t>
      </w:r>
      <w:r>
        <w:rPr>
          <w:color w:val="000000"/>
          <w:spacing w:val="0"/>
          <w:w w:val="100"/>
          <w:position w:val="0"/>
        </w:rPr>
        <w:t>计算确认。</w:t>
      </w:r>
    </w:p>
    <w:p>
      <w:pPr>
        <w:pStyle w:val="Style3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对于可抵扣暂时性差异确认递延所得税资产，以未来期间很可能取得的用来抵扣可抵扣暂时性差 异的应纳税所得额为限。对于能够结转以后年度的可抵扣亏损和税款抵减，以很可能获得用来抵 扣可抵扣亏损和税款抵减的未来应纳税所得额为限，确认相应的递延所得税资产。</w:t>
      </w:r>
    </w:p>
    <w:p>
      <w:pPr>
        <w:pStyle w:val="Style3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对于应纳税暂时性差异，除特殊情况外，确认递延所得税负债。</w:t>
      </w:r>
    </w:p>
    <w:p>
      <w:pPr>
        <w:pStyle w:val="Style3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不确认递延所得税资产或递延所得税负债的特殊情况包括：</w:t>
      </w:r>
    </w:p>
    <w:p>
      <w:pPr>
        <w:pStyle w:val="Style33"/>
        <w:keepNext w:val="0"/>
        <w:keepLines w:val="0"/>
        <w:widowControl w:val="0"/>
        <w:shd w:val="clear" w:color="auto" w:fill="auto"/>
        <w:bidi w:val="0"/>
        <w:spacing w:before="0" w:after="0" w:line="313"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商誉的初始确认；</w:t>
      </w:r>
    </w:p>
    <w:p>
      <w:pPr>
        <w:pStyle w:val="Style33"/>
        <w:keepNext w:val="0"/>
        <w:keepLines w:val="0"/>
        <w:widowControl w:val="0"/>
        <w:shd w:val="clear" w:color="auto" w:fill="auto"/>
        <w:bidi w:val="0"/>
        <w:spacing w:before="0" w:after="0" w:line="313" w:lineRule="exact"/>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3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对与子公司、联营企业及合营企业投资相关的应纳税暂时性差异，确认递延所得税负债，除非本 公司能够控制该暂时性差异转回的时间且该暂时性差异在可预见的未来很可能不会转回。对与子 公司、联营企业及合营企业投资相关的可抵扣暂时性差异，当该暂时性差异在可预见的未来很可 能转回且未来很可能获得用来抵扣可抵扣暂时性差异的应纳税所得额时，确认递延所得税资产。</w:t>
      </w:r>
    </w:p>
    <w:p>
      <w:pPr>
        <w:pStyle w:val="Style33"/>
        <w:keepNext w:val="0"/>
        <w:keepLines w:val="0"/>
        <w:widowControl w:val="0"/>
        <w:shd w:val="clear" w:color="auto" w:fill="auto"/>
        <w:bidi w:val="0"/>
        <w:spacing w:before="0" w:after="0" w:line="313" w:lineRule="exact"/>
        <w:ind w:left="0" w:right="0" w:firstLine="720"/>
        <w:jc w:val="both"/>
      </w:pPr>
      <w:r>
        <w:rPr>
          <w:color w:val="000000"/>
          <w:spacing w:val="0"/>
          <w:w w:val="100"/>
          <w:position w:val="0"/>
        </w:rPr>
        <w:t>资产负债表日，对于递延所得税资产和递延所得税负债，根据税法规定，按照预期收回相关资产</w:t>
      </w:r>
    </w:p>
    <w:p>
      <w:pPr>
        <w:pStyle w:val="Style33"/>
        <w:keepNext w:val="0"/>
        <w:keepLines w:val="0"/>
        <w:widowControl w:val="0"/>
        <w:shd w:val="clear" w:color="auto" w:fill="auto"/>
        <w:bidi w:val="0"/>
        <w:spacing w:before="0" w:after="0" w:line="312" w:lineRule="exact"/>
        <w:ind w:left="0" w:right="0" w:firstLine="720"/>
        <w:jc w:val="both"/>
      </w:pPr>
      <w:r>
        <w:rPr>
          <w:color w:val="000000"/>
          <w:spacing w:val="0"/>
          <w:w w:val="100"/>
          <w:position w:val="0"/>
        </w:rPr>
        <w:t>或清偿相关负债期间的适用税率计量。</w:t>
      </w:r>
    </w:p>
    <w:p>
      <w:pPr>
        <w:pStyle w:val="Style3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资产负债表日，本公司对递延所得税资产的账面价值进行复核。如果未来期间很可能无法获得足 够的应纳税所得额用以抵扣递延所得税资产的利益，则减记递延所得税资产的账面价值。在很可 能获得足够的应纳税所得额时，减记的金额予以转回。</w:t>
      </w:r>
    </w:p>
    <w:p>
      <w:pPr>
        <w:pStyle w:val="Style3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当拥有以净额结算的法定权利，且意图以净额结算或取得资产、清偿负债同时进行时，当期所得 税资产及当期所得税负债以抵销后的净额列报。</w:t>
      </w:r>
    </w:p>
    <w:p>
      <w:pPr>
        <w:pStyle w:val="Style33"/>
        <w:keepNext w:val="0"/>
        <w:keepLines w:val="0"/>
        <w:widowControl w:val="0"/>
        <w:shd w:val="clear" w:color="auto" w:fill="auto"/>
        <w:bidi w:val="0"/>
        <w:spacing w:before="0" w:after="80" w:line="312" w:lineRule="exact"/>
        <w:ind w:left="720" w:right="0" w:firstLine="0"/>
        <w:jc w:val="both"/>
      </w:pPr>
      <w:r>
        <w:rPr>
          <w:color w:val="000000"/>
          <w:spacing w:val="0"/>
          <w:w w:val="100"/>
          <w:position w:val="0"/>
        </w:rPr>
        <w:t>资产负债表日，递延所得税资产及递延所得税负债在同时满足以下条件时以抵销后的净额列示：</w:t>
      </w:r>
    </w:p>
    <w:p>
      <w:pPr>
        <w:pStyle w:val="Style33"/>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33"/>
        <w:keepNext w:val="0"/>
        <w:keepLines w:val="0"/>
        <w:widowControl w:val="0"/>
        <w:shd w:val="clear" w:color="auto" w:fill="auto"/>
        <w:bidi w:val="0"/>
        <w:spacing w:before="0" w:after="600" w:line="312" w:lineRule="exact"/>
        <w:ind w:left="7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递延所得税资产及递延所得税负债是与同一税收征管部门对同一纳税主体征收的所得税相关或 者是对不同的纳税主体相关，但在未来每一具有重要性的递延所得税资产及负债转回的期间内， 涉及的纳税主体意图以净额结算当期所得税资产和负债或是同时取得资产、清偿负债。</w:t>
      </w:r>
    </w:p>
    <w:p>
      <w:pPr>
        <w:pStyle w:val="Style28"/>
        <w:keepNext/>
        <w:keepLines/>
        <w:widowControl w:val="0"/>
        <w:shd w:val="clear" w:color="auto" w:fill="auto"/>
        <w:bidi w:val="0"/>
        <w:spacing w:before="0" w:after="300" w:line="315" w:lineRule="exact"/>
        <w:ind w:left="0" w:right="0" w:firstLine="0"/>
        <w:jc w:val="both"/>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971"/>
      <w:bookmarkEnd w:id="972"/>
      <w:bookmarkEnd w:id="973"/>
    </w:p>
    <w:p>
      <w:pPr>
        <w:pStyle w:val="Style51"/>
        <w:keepNext/>
        <w:keepLines/>
        <w:widowControl w:val="0"/>
        <w:shd w:val="clear" w:color="auto" w:fill="auto"/>
        <w:bidi w:val="0"/>
        <w:spacing w:before="0" w:after="300" w:line="315" w:lineRule="exact"/>
        <w:ind w:left="0" w:right="0" w:firstLine="0"/>
        <w:jc w:val="both"/>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74"/>
      <w:bookmarkEnd w:id="975"/>
      <w:bookmarkEnd w:id="977"/>
    </w:p>
    <w:p>
      <w:pPr>
        <w:pStyle w:val="Style33"/>
        <w:keepNext w:val="0"/>
        <w:keepLines w:val="0"/>
        <w:widowControl w:val="0"/>
        <w:shd w:val="clear" w:color="auto" w:fill="auto"/>
        <w:tabs>
          <w:tab w:pos="1876" w:val="left"/>
        </w:tabs>
        <w:bidi w:val="0"/>
        <w:spacing w:before="0" w:after="0" w:line="315" w:lineRule="exact"/>
        <w:ind w:left="1300" w:right="0" w:firstLine="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 计入当期费用。公司支付的与租赁交易相关的初始直接费用，计入当期费用。</w:t>
      </w:r>
    </w:p>
    <w:p>
      <w:pPr>
        <w:pStyle w:val="Style33"/>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33"/>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对于采用新冠肺炎疫情相关租金减让简化方法的经营租赁，本公司继续按照与减让前一致的 方法将原合同租金计入相关资产成本或费用。发生租金减免的，本公司将减免的租金作为或 有租金，在减免期间计入损益；延期支付租金的，本公司在原支付期间将应支付的租金确认 为应付款项，在实际支付时冲减前期确认的应付款项。</w:t>
      </w:r>
    </w:p>
    <w:p>
      <w:pPr>
        <w:pStyle w:val="Style33"/>
        <w:keepNext w:val="0"/>
        <w:keepLines w:val="0"/>
        <w:widowControl w:val="0"/>
        <w:shd w:val="clear" w:color="auto" w:fill="auto"/>
        <w:tabs>
          <w:tab w:pos="1876" w:val="left"/>
        </w:tabs>
        <w:bidi w:val="0"/>
        <w:spacing w:before="0" w:after="0" w:line="315" w:lineRule="exact"/>
        <w:ind w:left="1300" w:right="0" w:firstLine="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 确认为租赁相关收入。公司支付的与租赁交易相关的初始直接费用，计入当期费用；如金额 较大的，则予以资本化，在整个租赁期间内按照与租赁相关收入确认相同的基础分期计入当 期收益。</w:t>
      </w:r>
    </w:p>
    <w:p>
      <w:pPr>
        <w:pStyle w:val="Style33"/>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33"/>
        <w:keepNext w:val="0"/>
        <w:keepLines w:val="0"/>
        <w:widowControl w:val="0"/>
        <w:shd w:val="clear" w:color="auto" w:fill="auto"/>
        <w:bidi w:val="0"/>
        <w:spacing w:before="0" w:after="600" w:line="315" w:lineRule="exact"/>
        <w:ind w:left="1300" w:right="0" w:firstLine="0"/>
        <w:jc w:val="both"/>
      </w:pPr>
      <w:r>
        <w:rPr>
          <w:color w:val="000000"/>
          <w:spacing w:val="0"/>
          <w:w w:val="100"/>
          <w:position w:val="0"/>
        </w:rPr>
        <w:t>对于采用新冠肺炎疫情相关租金减让简化方法的经营租赁，本公司继续按照与减让前一致的 方法将原合同租金确认为租赁收入；发生租金减免的，本公司将减免的租金作为或有租金， 在减免期间冲减租赁收入；延期收取租金的，本公司在原收取期间将应收取的租金确认为应 收款项，并在实际收到时冲减前期确认的应收款项。</w:t>
      </w:r>
    </w:p>
    <w:p>
      <w:pPr>
        <w:pStyle w:val="Style51"/>
        <w:keepNext/>
        <w:keepLines/>
        <w:widowControl w:val="0"/>
        <w:shd w:val="clear" w:color="auto" w:fill="auto"/>
        <w:bidi w:val="0"/>
        <w:spacing w:before="0" w:after="300" w:line="312" w:lineRule="exact"/>
        <w:ind w:left="0" w:right="0" w:firstLine="0"/>
        <w:jc w:val="both"/>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80"/>
      <w:bookmarkEnd w:id="981"/>
      <w:bookmarkEnd w:id="983"/>
    </w:p>
    <w:p>
      <w:pPr>
        <w:pStyle w:val="Style33"/>
        <w:keepNext w:val="0"/>
        <w:keepLines w:val="0"/>
        <w:widowControl w:val="0"/>
        <w:shd w:val="clear" w:color="auto" w:fill="auto"/>
        <w:bidi w:val="0"/>
        <w:spacing w:before="0" w:after="0" w:line="312" w:lineRule="exact"/>
        <w:ind w:left="1300" w:right="0" w:firstLine="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）融资租入资产：公司在承租开始日，将租赁资产公允价值与最低租赁付款额现值两者 中较低者作为租入资产的入账价值，将最低租赁付款额作为长期应付款的入账价值，其差额 作为未确认的融资费用。公司采用实际利率法对未确认的融资费用，在资产租赁期间内摊销， 计入财务费用。公司发生的初始直接费用，计入租入资产价值。</w:t>
      </w:r>
    </w:p>
    <w:p>
      <w:pPr>
        <w:pStyle w:val="Style33"/>
        <w:keepNext w:val="0"/>
        <w:keepLines w:val="0"/>
        <w:widowControl w:val="0"/>
        <w:shd w:val="clear" w:color="auto" w:fill="auto"/>
        <w:bidi w:val="0"/>
        <w:spacing w:before="0" w:after="300" w:line="312" w:lineRule="exact"/>
        <w:ind w:left="1020" w:right="0" w:firstLine="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2</w:t>
      </w:r>
      <w:r>
        <w:rPr>
          <w:color w:val="000000"/>
          <w:spacing w:val="0"/>
          <w:w w:val="100"/>
          <w:position w:val="0"/>
        </w:rPr>
        <w:t>）融资租出资产：公司在租赁开始日，将应收融资租赁款，未担保余值之和与其现值的差额</w:t>
      </w:r>
    </w:p>
    <w:p>
      <w:pPr>
        <w:pStyle w:val="Style33"/>
        <w:keepNext w:val="0"/>
        <w:keepLines w:val="0"/>
        <w:widowControl w:val="0"/>
        <w:shd w:val="clear" w:color="auto" w:fill="auto"/>
        <w:tabs>
          <w:tab w:pos="5170" w:val="left"/>
        </w:tabs>
        <w:bidi w:val="0"/>
        <w:spacing w:before="0" w:after="80" w:line="240" w:lineRule="auto"/>
        <w:ind w:left="0" w:right="0" w:firstLine="0"/>
        <w:jc w:val="left"/>
      </w:pPr>
      <w:r>
        <w:rPr>
          <w:color w:val="000000"/>
          <w:spacing w:val="0"/>
          <w:w w:val="100"/>
          <w:position w:val="0"/>
        </w:rPr>
        <w:t>确认为未实现融资收益，在将来收到租</w:t>
        <w:tab/>
        <w:t>金的各期间内确认为租赁收入。公司发生的与出</w:t>
      </w:r>
    </w:p>
    <w:p>
      <w:pPr>
        <w:pStyle w:val="Style33"/>
        <w:keepNext w:val="0"/>
        <w:keepLines w:val="0"/>
        <w:widowControl w:val="0"/>
        <w:shd w:val="clear" w:color="auto" w:fill="auto"/>
        <w:bidi w:val="0"/>
        <w:spacing w:before="0" w:after="600" w:line="240" w:lineRule="auto"/>
        <w:ind w:left="0" w:right="0" w:firstLine="0"/>
        <w:jc w:val="left"/>
      </w:pPr>
      <w:r>
        <w:rPr>
          <w:color w:val="000000"/>
          <w:spacing w:val="0"/>
          <w:w w:val="100"/>
          <w:position w:val="0"/>
        </w:rPr>
        <w:t>租交易相关的初始直接费用，计入应收融资租赁款的初始计量中，并减少租赁期内确认的收益金额。</w:t>
      </w:r>
    </w:p>
    <w:p>
      <w:pPr>
        <w:pStyle w:val="Style28"/>
        <w:keepNext/>
        <w:keepLines/>
        <w:widowControl w:val="0"/>
        <w:shd w:val="clear" w:color="auto" w:fill="auto"/>
        <w:bidi w:val="0"/>
        <w:spacing w:before="0" w:after="280" w:line="313" w:lineRule="exact"/>
        <w:ind w:left="0" w:right="0" w:firstLine="0"/>
        <w:jc w:val="left"/>
      </w:pPr>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986"/>
      <w:bookmarkEnd w:id="987"/>
      <w:bookmarkEnd w:id="988"/>
    </w:p>
    <w:p>
      <w:pPr>
        <w:pStyle w:val="Style28"/>
        <w:keepNext/>
        <w:keepLines/>
        <w:widowControl w:val="0"/>
        <w:shd w:val="clear" w:color="auto" w:fill="auto"/>
        <w:bidi w:val="0"/>
        <w:spacing w:before="0" w:after="0" w:line="313" w:lineRule="exact"/>
        <w:ind w:left="0" w:right="0" w:firstLine="360"/>
        <w:jc w:val="both"/>
      </w:pPr>
      <w:bookmarkStart w:id="986" w:name="bookmark986"/>
      <w:bookmarkStart w:id="987" w:name="bookmark987"/>
      <w:r>
        <w:rPr>
          <w:color w:val="000000"/>
          <w:spacing w:val="0"/>
          <w:w w:val="100"/>
          <w:position w:val="0"/>
        </w:rPr>
        <w:t>1.</w:t>
      </w:r>
      <w:r>
        <w:rPr>
          <w:color w:val="000000"/>
          <w:spacing w:val="0"/>
          <w:w w:val="100"/>
          <w:position w:val="0"/>
        </w:rPr>
        <w:t>终止经营</w:t>
      </w:r>
      <w:bookmarkEnd w:id="986"/>
      <w:bookmarkEnd w:id="987"/>
    </w:p>
    <w:p>
      <w:pPr>
        <w:pStyle w:val="Style3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终止经营是满足下列条件之一的、能够单独区分的组成部分，且该组成部分已被本公司处置或被 本公司划归为持有待售类别：</w:t>
      </w:r>
    </w:p>
    <w:p>
      <w:pPr>
        <w:pStyle w:val="Style33"/>
        <w:keepNext w:val="0"/>
        <w:keepLines w:val="0"/>
        <w:widowControl w:val="0"/>
        <w:shd w:val="clear" w:color="auto" w:fill="auto"/>
        <w:tabs>
          <w:tab w:pos="1208" w:val="left"/>
        </w:tabs>
        <w:bidi w:val="0"/>
        <w:spacing w:before="0" w:after="0" w:line="313" w:lineRule="exact"/>
        <w:ind w:left="0" w:right="0" w:firstLine="720"/>
        <w:jc w:val="left"/>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33"/>
        <w:keepNext w:val="0"/>
        <w:keepLines w:val="0"/>
        <w:widowControl w:val="0"/>
        <w:shd w:val="clear" w:color="auto" w:fill="auto"/>
        <w:tabs>
          <w:tab w:pos="1318" w:val="left"/>
        </w:tabs>
        <w:bidi w:val="0"/>
        <w:spacing w:before="0" w:after="0" w:line="313" w:lineRule="exact"/>
        <w:ind w:left="720" w:right="0" w:firstLine="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该组成部分是拟对一项独立的主要业务或一个单独的主要经营地区进行处置的一项相关联计 划的一部分；</w:t>
      </w:r>
    </w:p>
    <w:p>
      <w:pPr>
        <w:pStyle w:val="Style33"/>
        <w:keepNext w:val="0"/>
        <w:keepLines w:val="0"/>
        <w:widowControl w:val="0"/>
        <w:shd w:val="clear" w:color="auto" w:fill="auto"/>
        <w:tabs>
          <w:tab w:pos="1208" w:val="left"/>
        </w:tabs>
        <w:bidi w:val="0"/>
        <w:spacing w:before="0" w:after="0" w:line="313" w:lineRule="exact"/>
        <w:ind w:left="0" w:right="0" w:firstLine="72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3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持续经营损益和终止经营损益在利润表中分别列示。终止经营的减值损失和转回金额等经营损益 及处置损益作为终止经营损益列报。对于当期列报的终止经营，本公司在当期财务报表中，将原 来作为持续经营损益列报的信息重新作为可比会计期间的终止经营损益列报。</w:t>
      </w:r>
    </w:p>
    <w:p>
      <w:pPr>
        <w:pStyle w:val="Style33"/>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1.</w:t>
      </w:r>
      <w:r>
        <w:rPr>
          <w:b/>
          <w:bCs/>
          <w:color w:val="000000"/>
          <w:spacing w:val="0"/>
          <w:w w:val="100"/>
          <w:position w:val="0"/>
        </w:rPr>
        <w:t>回购本公司股份</w:t>
      </w:r>
    </w:p>
    <w:p>
      <w:pPr>
        <w:pStyle w:val="Style3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公司按法定程序报经批准采用收购本公司股票方式减资的，按注销股票面值总额减少股本，购回 股票支付的价款（含交易费用）与股票面值的差额调整所有者权益，超过面值总额的部分，依次 冲减资本公积（股本溢价）、盈余公积和未分配利润；低于面值总额的，低于面值总额的部分增 加资本公积（股本溢价）。</w:t>
      </w:r>
    </w:p>
    <w:p>
      <w:pPr>
        <w:pStyle w:val="Style33"/>
        <w:keepNext w:val="0"/>
        <w:keepLines w:val="0"/>
        <w:widowControl w:val="0"/>
        <w:shd w:val="clear" w:color="auto" w:fill="auto"/>
        <w:bidi w:val="0"/>
        <w:spacing w:before="0" w:after="0" w:line="313" w:lineRule="exact"/>
        <w:ind w:left="0" w:right="0" w:firstLine="720"/>
        <w:jc w:val="left"/>
      </w:pPr>
      <w:r>
        <w:rPr>
          <w:color w:val="000000"/>
          <w:spacing w:val="0"/>
          <w:w w:val="100"/>
          <w:position w:val="0"/>
        </w:rPr>
        <w:t>公司回购的股份在注销或者转让之前，作为库存股管理，回购股份的全部支出转作库存股成本。</w:t>
      </w:r>
    </w:p>
    <w:p>
      <w:pPr>
        <w:pStyle w:val="Style3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库存股转让时，转让收入高于库存股成本的部分，增加资本公积（股本溢价）；低于库存股成本 的部分，依次冲减资本公积（股本溢价）、盈余公积、未分配利润。公司回购其普通股形成的库 存股不得参与公司利润分配，在资产负债表中所有者权益的备抵项目列示。</w:t>
      </w:r>
    </w:p>
    <w:p>
      <w:pPr>
        <w:pStyle w:val="Style33"/>
        <w:keepNext w:val="0"/>
        <w:keepLines w:val="0"/>
        <w:widowControl w:val="0"/>
        <w:shd w:val="clear" w:color="auto" w:fill="auto"/>
        <w:bidi w:val="0"/>
        <w:spacing w:before="0" w:after="680" w:line="313" w:lineRule="exact"/>
        <w:ind w:left="720" w:right="0" w:firstLine="0"/>
        <w:jc w:val="both"/>
      </w:pPr>
      <w:r>
        <w:rPr>
          <w:color w:val="000000"/>
          <w:spacing w:val="0"/>
          <w:w w:val="100"/>
          <w:position w:val="0"/>
        </w:rPr>
        <w:t>因实行股权激励回购公司股份的，在回购时，按照回购股份的全部支出作为库存股处理，同时进 行备查登记。公司在等待期内每个资产负债表日按照权益工具在授予日的公允价值，将取得的职 工服务计入成本费用，同时增加资本公积（其他资本公积）。公司在职工行权购买本公司股份收 到价款时，转销交付职工的库存股成本和等待期内资本公积（其他资本公积）累计金额，同时， 按照其差额调整资本公积（股份溢价）。</w:t>
      </w:r>
    </w:p>
    <w:p>
      <w:pPr>
        <w:pStyle w:val="Style28"/>
        <w:keepNext/>
        <w:keepLines/>
        <w:widowControl w:val="0"/>
        <w:shd w:val="clear" w:color="auto" w:fill="auto"/>
        <w:bidi w:val="0"/>
        <w:spacing w:before="0" w:line="240" w:lineRule="auto"/>
        <w:ind w:left="0" w:right="0" w:firstLine="0"/>
        <w:jc w:val="both"/>
      </w:pPr>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992"/>
      <w:bookmarkEnd w:id="993"/>
      <w:bookmarkEnd w:id="994"/>
    </w:p>
    <w:p>
      <w:pPr>
        <w:pStyle w:val="Style51"/>
        <w:keepNext/>
        <w:keepLines/>
        <w:widowControl w:val="0"/>
        <w:shd w:val="clear" w:color="auto" w:fill="auto"/>
        <w:bidi w:val="0"/>
        <w:spacing w:before="0" w:after="380" w:line="240" w:lineRule="auto"/>
        <w:ind w:left="0" w:right="0" w:firstLine="0"/>
        <w:jc w:val="both"/>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95"/>
      <w:bookmarkEnd w:id="996"/>
      <w:bookmarkEnd w:id="998"/>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2"/>
        <w:gridCol w:w="320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41"/>
        <w:keepNext w:val="0"/>
        <w:keepLines w:val="0"/>
        <w:widowControl w:val="0"/>
        <w:shd w:val="clear" w:color="auto" w:fill="auto"/>
        <w:bidi w:val="0"/>
        <w:spacing w:before="0" w:after="0" w:line="319" w:lineRule="exact"/>
        <w:ind w:left="1248"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）执行《企业会计准则第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号一租赁》（</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年修订）</w:t>
      </w:r>
    </w:p>
    <w:p>
      <w:pPr>
        <w:pStyle w:val="Style41"/>
        <w:keepNext w:val="0"/>
        <w:keepLines w:val="0"/>
        <w:widowControl w:val="0"/>
        <w:shd w:val="clear" w:color="auto" w:fill="auto"/>
        <w:bidi w:val="0"/>
        <w:spacing w:before="0" w:after="0" w:line="319" w:lineRule="exact"/>
        <w:ind w:left="1248" w:right="0" w:firstLine="0"/>
        <w:jc w:val="left"/>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年度修订了《企业会计准则第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号一租赁》（简称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新租赁准则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 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日起执行新租赁准则。根据修订后的准则，对于首次执行日前已存在的合同， 公司选择在首次执行日不重新评估其是否为租赁或者包含租赁。</w:t>
      </w:r>
    </w:p>
    <w:p>
      <w:pPr>
        <w:widowControl w:val="0"/>
        <w:spacing w:after="279" w:line="1" w:lineRule="exact"/>
      </w:pPr>
    </w:p>
    <w:p>
      <w:pPr>
        <w:pStyle w:val="Style33"/>
        <w:keepNext w:val="0"/>
        <w:keepLines w:val="0"/>
        <w:widowControl w:val="0"/>
        <w:shd w:val="clear" w:color="auto" w:fill="auto"/>
        <w:bidi w:val="0"/>
        <w:spacing w:before="0" w:after="0" w:line="240" w:lineRule="auto"/>
        <w:ind w:left="1340" w:right="0" w:firstLine="0"/>
        <w:jc w:val="both"/>
      </w:pPr>
      <w:r>
        <w:rPr>
          <w:color w:val="000000"/>
          <w:spacing w:val="0"/>
          <w:w w:val="100"/>
          <w:position w:val="0"/>
        </w:rPr>
        <w:t>•</w:t>
      </w:r>
      <w:r>
        <w:rPr>
          <w:color w:val="000000"/>
          <w:spacing w:val="0"/>
          <w:w w:val="100"/>
          <w:position w:val="0"/>
        </w:rPr>
        <w:t xml:space="preserve">本公司作为承租人 </w:t>
      </w:r>
      <w:r>
        <w:rPr>
          <w:color w:val="000000"/>
          <w:spacing w:val="0"/>
          <w:w w:val="100"/>
          <w:position w:val="0"/>
        </w:rPr>
        <w:t>本公司选择根据首次执行新租赁准则的累积影响数，调整首次执行新租赁准则当年年初留存 收益及财务报表其他相关项目金额，不调整可比期间信息。</w:t>
      </w:r>
    </w:p>
    <w:p>
      <w:pPr>
        <w:pStyle w:val="Style3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对于首次执行日前已存在的经营租赁，本公司在首次执行日根据剩余租赁付款额按首次执行 日本公司的增量借款利率折现的现值计量租赁负债，并根据每项租赁选择以下两种方法之一 计量使用权资产：</w:t>
      </w:r>
    </w:p>
    <w:p>
      <w:pPr>
        <w:pStyle w:val="Style33"/>
        <w:keepNext w:val="0"/>
        <w:keepLines w:val="0"/>
        <w:widowControl w:val="0"/>
        <w:shd w:val="clear" w:color="auto" w:fill="auto"/>
        <w:bidi w:val="0"/>
        <w:spacing w:before="0" w:after="0" w:line="315" w:lineRule="exact"/>
        <w:ind w:left="1700" w:right="0" w:hanging="420"/>
        <w:jc w:val="both"/>
      </w:pPr>
      <w:r>
        <w:rPr>
          <w:color w:val="000000"/>
          <w:spacing w:val="0"/>
          <w:w w:val="100"/>
          <w:position w:val="0"/>
        </w:rPr>
        <w:t>•</w:t>
      </w:r>
      <w:r>
        <w:rPr>
          <w:color w:val="000000"/>
          <w:spacing w:val="0"/>
          <w:w w:val="100"/>
          <w:position w:val="0"/>
        </w:rPr>
        <w:t>假设自租赁期开始日即采用新租赁准则的账面价值，采用首次执行日的本公司的增量借 款利率作为折现率。</w:t>
      </w:r>
    </w:p>
    <w:p>
      <w:pPr>
        <w:pStyle w:val="Style3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w:t>
      </w:r>
      <w:r>
        <w:rPr>
          <w:color w:val="000000"/>
          <w:spacing w:val="0"/>
          <w:w w:val="100"/>
          <w:position w:val="0"/>
        </w:rPr>
        <w:t>与租赁负债相等的金额，并根据预付租金进行必要调整。</w:t>
      </w:r>
    </w:p>
    <w:p>
      <w:pPr>
        <w:pStyle w:val="Style33"/>
        <w:keepNext w:val="0"/>
        <w:keepLines w:val="0"/>
        <w:widowControl w:val="0"/>
        <w:shd w:val="clear" w:color="auto" w:fill="auto"/>
        <w:bidi w:val="0"/>
        <w:spacing w:before="0" w:after="80" w:line="315" w:lineRule="exact"/>
        <w:ind w:left="1280" w:right="0" w:firstLine="0"/>
        <w:jc w:val="both"/>
      </w:pPr>
      <w:r>
        <w:rPr>
          <w:color w:val="000000"/>
          <w:spacing w:val="0"/>
          <w:w w:val="100"/>
          <w:position w:val="0"/>
        </w:rPr>
        <w:t>对于首次执行日前的经营租赁，本公司在应用上述方法的同时根据每项租赁选择采用下列一 项或多项简化处理：</w:t>
      </w:r>
    </w:p>
    <w:p>
      <w:pPr>
        <w:pStyle w:val="Style33"/>
        <w:keepNext w:val="0"/>
        <w:keepLines w:val="0"/>
        <w:widowControl w:val="0"/>
        <w:shd w:val="clear" w:color="auto" w:fill="auto"/>
        <w:tabs>
          <w:tab w:pos="1696" w:val="left"/>
        </w:tabs>
        <w:bidi w:val="0"/>
        <w:spacing w:before="0" w:after="0" w:line="329" w:lineRule="auto"/>
        <w:ind w:left="1280" w:right="0" w:firstLine="0"/>
        <w:jc w:val="both"/>
      </w:pPr>
      <w:bookmarkStart w:id="999" w:name="bookmark999"/>
      <w:r>
        <w:rPr>
          <w:rFonts w:ascii="Times New Roman" w:eastAsia="Times New Roman" w:hAnsi="Times New Roman" w:cs="Times New Roman"/>
          <w:color w:val="000000"/>
          <w:spacing w:val="0"/>
          <w:w w:val="100"/>
          <w:position w:val="0"/>
        </w:rPr>
        <w:t>1</w:t>
      </w:r>
      <w:bookmarkEnd w:id="999"/>
      <w:r>
        <w:rPr>
          <w:rFonts w:ascii="Times New Roman" w:eastAsia="Times New Roman" w:hAnsi="Times New Roman" w:cs="Times New Roman"/>
          <w:color w:val="000000"/>
          <w:spacing w:val="0"/>
          <w:w w:val="100"/>
          <w:position w:val="0"/>
        </w:rPr>
        <w:t>）</w:t>
        <w:tab/>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33"/>
        <w:keepNext w:val="0"/>
        <w:keepLines w:val="0"/>
        <w:widowControl w:val="0"/>
        <w:shd w:val="clear" w:color="auto" w:fill="auto"/>
        <w:tabs>
          <w:tab w:pos="1696" w:val="left"/>
        </w:tabs>
        <w:bidi w:val="0"/>
        <w:spacing w:before="0" w:after="0" w:line="329" w:lineRule="auto"/>
        <w:ind w:left="1280" w:right="0" w:firstLine="0"/>
        <w:jc w:val="both"/>
      </w:pPr>
      <w:bookmarkStart w:id="1000" w:name="bookmark1000"/>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计量租赁负债时，具有相似特征的租赁采用同一折现率；</w:t>
      </w:r>
    </w:p>
    <w:p>
      <w:pPr>
        <w:pStyle w:val="Style33"/>
        <w:keepNext w:val="0"/>
        <w:keepLines w:val="0"/>
        <w:widowControl w:val="0"/>
        <w:shd w:val="clear" w:color="auto" w:fill="auto"/>
        <w:tabs>
          <w:tab w:pos="1696" w:val="left"/>
        </w:tabs>
        <w:bidi w:val="0"/>
        <w:spacing w:before="0" w:after="0" w:line="329" w:lineRule="auto"/>
        <w:ind w:left="1280" w:right="0" w:firstLine="0"/>
        <w:jc w:val="both"/>
      </w:pPr>
      <w:bookmarkStart w:id="1001" w:name="bookmark1001"/>
      <w:r>
        <w:rPr>
          <w:rFonts w:ascii="Times New Roman" w:eastAsia="Times New Roman" w:hAnsi="Times New Roman" w:cs="Times New Roman"/>
          <w:color w:val="000000"/>
          <w:spacing w:val="0"/>
          <w:w w:val="100"/>
          <w:position w:val="0"/>
        </w:rPr>
        <w:t>3</w:t>
      </w:r>
      <w:bookmarkEnd w:id="1001"/>
      <w:r>
        <w:rPr>
          <w:rFonts w:ascii="Times New Roman" w:eastAsia="Times New Roman" w:hAnsi="Times New Roman" w:cs="Times New Roman"/>
          <w:color w:val="000000"/>
          <w:spacing w:val="0"/>
          <w:w w:val="100"/>
          <w:position w:val="0"/>
        </w:rPr>
        <w:t>）</w:t>
        <w:tab/>
      </w:r>
      <w:r>
        <w:rPr>
          <w:color w:val="000000"/>
          <w:spacing w:val="0"/>
          <w:w w:val="100"/>
          <w:position w:val="0"/>
        </w:rPr>
        <w:t>使用权资产的计量不包含初始直接费用；</w:t>
      </w:r>
    </w:p>
    <w:p>
      <w:pPr>
        <w:pStyle w:val="Style33"/>
        <w:keepNext w:val="0"/>
        <w:keepLines w:val="0"/>
        <w:widowControl w:val="0"/>
        <w:shd w:val="clear" w:color="auto" w:fill="auto"/>
        <w:tabs>
          <w:tab w:pos="1696" w:val="left"/>
        </w:tabs>
        <w:bidi w:val="0"/>
        <w:spacing w:before="0" w:after="0" w:line="315" w:lineRule="exact"/>
        <w:ind w:left="1280" w:right="0" w:firstLine="0"/>
        <w:jc w:val="both"/>
      </w:pPr>
      <w:bookmarkStart w:id="1002" w:name="bookmark1002"/>
      <w:r>
        <w:rPr>
          <w:rFonts w:ascii="Times New Roman" w:eastAsia="Times New Roman" w:hAnsi="Times New Roman" w:cs="Times New Roman"/>
          <w:color w:val="000000"/>
          <w:spacing w:val="0"/>
          <w:w w:val="100"/>
          <w:position w:val="0"/>
        </w:rPr>
        <w:t>4</w:t>
      </w:r>
      <w:bookmarkEnd w:id="1002"/>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存在续租选择权或终止租赁选择权的，根据首次执行日前选择权的实际行使及其他最新 情况确定租赁期；</w:t>
      </w:r>
    </w:p>
    <w:p>
      <w:pPr>
        <w:pStyle w:val="Style33"/>
        <w:keepNext w:val="0"/>
        <w:keepLines w:val="0"/>
        <w:widowControl w:val="0"/>
        <w:shd w:val="clear" w:color="auto" w:fill="auto"/>
        <w:tabs>
          <w:tab w:pos="1696" w:val="left"/>
        </w:tabs>
        <w:bidi w:val="0"/>
        <w:spacing w:before="0" w:after="0" w:line="315" w:lineRule="exact"/>
        <w:ind w:left="1280" w:right="0" w:firstLine="0"/>
        <w:jc w:val="both"/>
      </w:pPr>
      <w:bookmarkStart w:id="1003" w:name="bookmark1003"/>
      <w:r>
        <w:rPr>
          <w:rFonts w:ascii="Times New Roman" w:eastAsia="Times New Roman" w:hAnsi="Times New Roman" w:cs="Times New Roman"/>
          <w:color w:val="000000"/>
          <w:spacing w:val="0"/>
          <w:w w:val="100"/>
          <w:position w:val="0"/>
        </w:rPr>
        <w:t>5</w:t>
      </w:r>
      <w:bookmarkEnd w:id="1003"/>
      <w:r>
        <w:rPr>
          <w:rFonts w:ascii="Times New Roman" w:eastAsia="Times New Roman" w:hAnsi="Times New Roman" w:cs="Times New Roman"/>
          <w:color w:val="000000"/>
          <w:spacing w:val="0"/>
          <w:w w:val="100"/>
          <w:position w:val="0"/>
        </w:rPr>
        <w:t>）</w:t>
        <w:tab/>
      </w:r>
      <w:r>
        <w:rPr>
          <w:color w:val="000000"/>
          <w:spacing w:val="0"/>
          <w:w w:val="100"/>
          <w:position w:val="0"/>
        </w:rPr>
        <w:t>作为使用权资产减值测试的替代，按照本附注</w:t>
      </w:r>
      <w:r>
        <w:rPr>
          <w:rFonts w:ascii="Times New Roman" w:eastAsia="Times New Roman" w:hAnsi="Times New Roman" w:cs="Times New Roman"/>
          <w:color w:val="000000"/>
          <w:spacing w:val="0"/>
          <w:w w:val="100"/>
          <w:position w:val="0"/>
        </w:rPr>
        <w:t>“</w:t>
      </w:r>
      <w:r>
        <w:rPr>
          <w:color w:val="000000"/>
          <w:spacing w:val="0"/>
          <w:w w:val="100"/>
          <w:position w:val="0"/>
        </w:rPr>
        <w:t>三、（二十二）预计负债</w:t>
      </w:r>
      <w:r>
        <w:rPr>
          <w:rFonts w:ascii="Times New Roman" w:eastAsia="Times New Roman" w:hAnsi="Times New Roman" w:cs="Times New Roman"/>
          <w:color w:val="000000"/>
          <w:spacing w:val="0"/>
          <w:w w:val="100"/>
          <w:position w:val="0"/>
        </w:rPr>
        <w:t>”</w:t>
      </w:r>
      <w:r>
        <w:rPr>
          <w:color w:val="000000"/>
          <w:spacing w:val="0"/>
          <w:w w:val="100"/>
          <w:position w:val="0"/>
        </w:rPr>
        <w:t>评估包含租赁 的合同在首次执行日前是否为亏损合同，并根据首次执行日前计入资产负债表的亏损准备金 额调整使用权资产；</w:t>
      </w:r>
    </w:p>
    <w:p>
      <w:pPr>
        <w:pStyle w:val="Style33"/>
        <w:keepNext w:val="0"/>
        <w:keepLines w:val="0"/>
        <w:widowControl w:val="0"/>
        <w:shd w:val="clear" w:color="auto" w:fill="auto"/>
        <w:tabs>
          <w:tab w:pos="1696" w:val="left"/>
        </w:tabs>
        <w:bidi w:val="0"/>
        <w:spacing w:before="0" w:after="0" w:line="315" w:lineRule="exact"/>
        <w:ind w:left="1280" w:right="0" w:firstLine="0"/>
        <w:jc w:val="both"/>
      </w:pPr>
      <w:bookmarkStart w:id="1004" w:name="bookmark1004"/>
      <w:r>
        <w:rPr>
          <w:rFonts w:ascii="Times New Roman" w:eastAsia="Times New Roman" w:hAnsi="Times New Roman" w:cs="Times New Roman"/>
          <w:color w:val="000000"/>
          <w:spacing w:val="0"/>
          <w:w w:val="100"/>
          <w:position w:val="0"/>
        </w:rPr>
        <w:t>6</w:t>
      </w:r>
      <w:bookmarkEnd w:id="1004"/>
      <w:r>
        <w:rPr>
          <w:rFonts w:ascii="Times New Roman" w:eastAsia="Times New Roman" w:hAnsi="Times New Roman" w:cs="Times New Roman"/>
          <w:color w:val="000000"/>
          <w:spacing w:val="0"/>
          <w:w w:val="100"/>
          <w:position w:val="0"/>
        </w:rPr>
        <w:t>）</w:t>
        <w:tab/>
      </w:r>
      <w:r>
        <w:rPr>
          <w:color w:val="000000"/>
          <w:spacing w:val="0"/>
          <w:w w:val="100"/>
          <w:position w:val="0"/>
        </w:rPr>
        <w:t>首次执行日之前发生的租赁变更，不进行追溯调整，根据租赁变更的最终安排，按照新 租赁准则进行会计处理。</w:t>
      </w:r>
    </w:p>
    <w:p>
      <w:pPr>
        <w:pStyle w:val="Style33"/>
        <w:keepNext w:val="0"/>
        <w:keepLines w:val="0"/>
        <w:widowControl w:val="0"/>
        <w:shd w:val="clear" w:color="auto" w:fill="auto"/>
        <w:bidi w:val="0"/>
        <w:spacing w:before="0" w:after="80" w:line="315" w:lineRule="exact"/>
        <w:ind w:left="1280" w:right="0" w:firstLine="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日的承租人增量借款利率（加权平均值：</w:t>
      </w:r>
      <w:r>
        <w:rPr>
          <w:rFonts w:ascii="Times New Roman" w:eastAsia="Times New Roman" w:hAnsi="Times New Roman" w:cs="Times New Roman"/>
          <w:color w:val="000000"/>
          <w:spacing w:val="0"/>
          <w:w w:val="100"/>
          <w:position w:val="0"/>
        </w:rPr>
        <w:t>5.66%</w:t>
      </w:r>
      <w:r>
        <w:rPr>
          <w:color w:val="000000"/>
          <w:spacing w:val="0"/>
          <w:w w:val="100"/>
          <w:position w:val="0"/>
        </w:rPr>
        <w:t>）</w:t>
      </w:r>
    </w:p>
    <w:tbl>
      <w:tblPr>
        <w:tblOverlap w:val="never"/>
        <w:jc w:val="center"/>
        <w:tblLayout w:type="fixed"/>
      </w:tblPr>
      <w:tblGrid>
        <w:gridCol w:w="3542"/>
        <w:gridCol w:w="4262"/>
      </w:tblGrid>
      <w:tr>
        <w:trPr>
          <w:trHeight w:val="288" w:hRule="exact"/>
        </w:trPr>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来对租赁付款额进行折现。</w:t>
            </w:r>
          </w:p>
        </w:tc>
      </w:tr>
      <w:tr>
        <w:trPr>
          <w:trHeight w:val="9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日合并财务报表中披露 的重大经营租赁的尚未支付的最低租 赁付款额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8,676,255.54</w:t>
            </w:r>
          </w:p>
        </w:tc>
      </w:tr>
      <w:tr>
        <w:trPr>
          <w:trHeight w:val="6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按</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日本公司增量借款利率 折现的现值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8,259,358.69</w:t>
            </w: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日新租赁准则下的租赁负 债以及一年内到期的其他非流动负债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8,259,358.69</w:t>
            </w:r>
          </w:p>
        </w:tc>
      </w:tr>
      <w:tr>
        <w:trPr>
          <w:trHeight w:val="68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上述折现的现值与租赁负债之间的差 额</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725" w:right="0" w:firstLine="0"/>
        <w:jc w:val="left"/>
        <w:rPr>
          <w:sz w:val="20"/>
          <w:szCs w:val="20"/>
        </w:rPr>
      </w:pPr>
      <w:r>
        <w:rPr>
          <w:color w:val="000000"/>
          <w:spacing w:val="0"/>
          <w:w w:val="100"/>
          <w:position w:val="0"/>
          <w:sz w:val="20"/>
          <w:szCs w:val="20"/>
        </w:rPr>
        <w:t>•</w:t>
      </w:r>
      <w:r>
        <w:rPr>
          <w:color w:val="000000"/>
          <w:spacing w:val="0"/>
          <w:w w:val="100"/>
          <w:position w:val="0"/>
          <w:sz w:val="20"/>
          <w:szCs w:val="20"/>
        </w:rPr>
        <w:t>本公司执行新租赁准则对财务报表的主要影响如下:</w:t>
      </w:r>
    </w:p>
    <w:tbl>
      <w:tblPr>
        <w:tblOverlap w:val="never"/>
        <w:jc w:val="center"/>
        <w:tblLayout w:type="fixed"/>
      </w:tblPr>
      <w:tblGrid>
        <w:gridCol w:w="1637"/>
        <w:gridCol w:w="1598"/>
        <w:gridCol w:w="1704"/>
        <w:gridCol w:w="1483"/>
        <w:gridCol w:w="1522"/>
      </w:tblGrid>
      <w:tr>
        <w:trPr>
          <w:trHeight w:val="360"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会计政策变更的 内容和原因</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审批程序</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受影响的报表项目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日余额的影响金额</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母公司</w:t>
            </w:r>
          </w:p>
        </w:tc>
      </w:tr>
      <w:tr>
        <w:trPr>
          <w:trHeight w:val="35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公司作为承租人 对于首次执行日 前已存在的经营 租赁的调整</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27 </w:t>
            </w:r>
            <w:r>
              <w:rPr>
                <w:color w:val="000000"/>
                <w:spacing w:val="0"/>
                <w:w w:val="100"/>
                <w:position w:val="0"/>
                <w:sz w:val="20"/>
                <w:szCs w:val="20"/>
              </w:rPr>
              <w:t>日第五届董事会 第三次会议和第 五届监事会第二 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-348,587.54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-348,587.54</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8,607,946.23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8,607,946.23</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一年内到期的非</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3,224,331.29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3,224,331.29</w:t>
            </w:r>
          </w:p>
        </w:tc>
      </w:tr>
      <w:tr>
        <w:trPr>
          <w:trHeight w:val="374"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5,035,027.40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5,035,027.40</w:t>
            </w:r>
          </w:p>
        </w:tc>
      </w:tr>
    </w:tbl>
    <w:p>
      <w:pPr>
        <w:widowControl w:val="0"/>
        <w:spacing w:after="339" w:line="1" w:lineRule="exact"/>
      </w:pPr>
    </w:p>
    <w:p>
      <w:pPr>
        <w:pStyle w:val="Style33"/>
        <w:keepNext w:val="0"/>
        <w:keepLines w:val="0"/>
        <w:widowControl w:val="0"/>
        <w:shd w:val="clear" w:color="auto" w:fill="auto"/>
        <w:bidi w:val="0"/>
        <w:spacing w:before="0" w:after="80" w:line="240" w:lineRule="auto"/>
        <w:ind w:left="1280" w:right="0" w:firstLine="0"/>
        <w:jc w:val="both"/>
      </w:pPr>
      <w:r>
        <w:rPr>
          <w:color w:val="000000"/>
          <w:spacing w:val="0"/>
          <w:w w:val="100"/>
          <w:position w:val="0"/>
        </w:rPr>
        <w:t>•</w:t>
      </w:r>
      <w:r>
        <w:rPr>
          <w:color w:val="000000"/>
          <w:spacing w:val="0"/>
          <w:w w:val="100"/>
          <w:position w:val="0"/>
        </w:rPr>
        <w:t>本公司作为出租人</w:t>
      </w:r>
    </w:p>
    <w:p>
      <w:pPr>
        <w:pStyle w:val="Style3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 xml:space="preserve">对于首次执行日前划分为经营租赁且在首次执行日后仍存续的转租赁，本公司在首次执行日 </w:t>
      </w:r>
      <w:r>
        <w:rPr>
          <w:color w:val="000000"/>
          <w:spacing w:val="0"/>
          <w:w w:val="100"/>
          <w:position w:val="0"/>
        </w:rPr>
        <w:t>基于原租赁和转租赁的剩余合同期限和条款进行重新评估，并按照新租赁准则的规定进行分 类。重分类为融资租赁的，本公司将其作为一项新的融资租赁进行会计处理。</w:t>
      </w:r>
    </w:p>
    <w:p>
      <w:pPr>
        <w:pStyle w:val="Style33"/>
        <w:keepNext w:val="0"/>
        <w:keepLines w:val="0"/>
        <w:widowControl w:val="0"/>
        <w:shd w:val="clear" w:color="auto" w:fill="auto"/>
        <w:bidi w:val="0"/>
        <w:spacing w:before="0" w:after="280" w:line="317" w:lineRule="exact"/>
        <w:ind w:left="1300" w:right="0" w:firstLine="0"/>
        <w:jc w:val="both"/>
      </w:pPr>
      <w:r>
        <w:rPr>
          <w:color w:val="000000"/>
          <w:spacing w:val="0"/>
          <w:w w:val="100"/>
          <w:position w:val="0"/>
        </w:rPr>
        <w:t>本公司执行该规定未对本公司财务状况和经营成果产生重大影响。</w:t>
      </w:r>
    </w:p>
    <w:p>
      <w:pPr>
        <w:pStyle w:val="Style33"/>
        <w:keepNext w:val="0"/>
        <w:keepLines w:val="0"/>
        <w:widowControl w:val="0"/>
        <w:shd w:val="clear" w:color="auto" w:fill="auto"/>
        <w:tabs>
          <w:tab w:pos="1736" w:val="left"/>
        </w:tabs>
        <w:bidi w:val="0"/>
        <w:spacing w:before="0" w:after="0" w:line="319" w:lineRule="exact"/>
        <w:ind w:left="1300" w:right="0" w:firstLine="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p>
      <w:pPr>
        <w:pStyle w:val="Style33"/>
        <w:keepNext w:val="0"/>
        <w:keepLines w:val="0"/>
        <w:widowControl w:val="0"/>
        <w:shd w:val="clear" w:color="auto" w:fill="auto"/>
        <w:bidi w:val="0"/>
        <w:spacing w:before="0" w:after="0" w:line="319" w:lineRule="exact"/>
        <w:ind w:left="130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 释第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），自公布之日起施行。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日至施行日新增的有关业务，根据解释第</w:t>
      </w:r>
      <w:r>
        <w:rPr>
          <w:rFonts w:ascii="Times New Roman" w:eastAsia="Times New Roman" w:hAnsi="Times New Roman" w:cs="Times New Roman"/>
          <w:color w:val="000000"/>
          <w:spacing w:val="0"/>
          <w:w w:val="100"/>
          <w:position w:val="0"/>
        </w:rPr>
        <w:t xml:space="preserve">14 </w:t>
      </w:r>
      <w:r>
        <w:rPr>
          <w:color w:val="000000"/>
          <w:spacing w:val="0"/>
          <w:w w:val="100"/>
          <w:position w:val="0"/>
        </w:rPr>
        <w:t>号进行调整。</w:t>
      </w:r>
    </w:p>
    <w:p>
      <w:pPr>
        <w:pStyle w:val="Style33"/>
        <w:keepNext w:val="0"/>
        <w:keepLines w:val="0"/>
        <w:widowControl w:val="0"/>
        <w:numPr>
          <w:ilvl w:val="0"/>
          <w:numId w:val="43"/>
        </w:numPr>
        <w:shd w:val="clear" w:color="auto" w:fill="auto"/>
        <w:tabs>
          <w:tab w:pos="1640" w:val="left"/>
        </w:tabs>
        <w:bidi w:val="0"/>
        <w:spacing w:before="0" w:after="0" w:line="319" w:lineRule="exact"/>
        <w:ind w:left="1300" w:right="0" w:firstLine="0"/>
        <w:jc w:val="both"/>
      </w:pPr>
      <w:bookmarkStart w:id="1006" w:name="bookmark1006"/>
      <w:bookmarkEnd w:id="1006"/>
      <w:r>
        <w:rPr>
          <w:color w:val="000000"/>
          <w:spacing w:val="0"/>
          <w:w w:val="100"/>
          <w:position w:val="0"/>
        </w:rPr>
        <w:t>政府和社会资本合作（</w:t>
      </w:r>
      <w:r>
        <w:rPr>
          <w:rFonts w:ascii="Times New Roman" w:eastAsia="Times New Roman" w:hAnsi="Times New Roman" w:cs="Times New Roman"/>
          <w:color w:val="000000"/>
          <w:spacing w:val="0"/>
          <w:w w:val="100"/>
          <w:position w:val="0"/>
        </w:rPr>
        <w:t xml:space="preserve">PPP </w:t>
      </w:r>
      <w:r>
        <w:rPr>
          <w:color w:val="000000"/>
          <w:spacing w:val="0"/>
          <w:w w:val="100"/>
          <w:position w:val="0"/>
        </w:rPr>
        <w:t>）项目合同</w:t>
      </w:r>
    </w:p>
    <w:p>
      <w:pPr>
        <w:pStyle w:val="Style33"/>
        <w:keepNext w:val="0"/>
        <w:keepLines w:val="0"/>
        <w:widowControl w:val="0"/>
        <w:shd w:val="clear" w:color="auto" w:fill="auto"/>
        <w:bidi w:val="0"/>
        <w:spacing w:before="0" w:after="0" w:line="319" w:lineRule="exact"/>
        <w:ind w:left="130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号适用于同时符合该解释所述</w:t>
      </w:r>
      <w:r>
        <w:rPr>
          <w:rFonts w:ascii="Times New Roman" w:eastAsia="Times New Roman" w:hAnsi="Times New Roman" w:cs="Times New Roman"/>
          <w:color w:val="000000"/>
          <w:spacing w:val="0"/>
          <w:w w:val="100"/>
          <w:position w:val="0"/>
        </w:rPr>
        <w:t>“</w:t>
      </w:r>
      <w:r>
        <w:rPr>
          <w:color w:val="000000"/>
          <w:spacing w:val="0"/>
          <w:w w:val="100"/>
          <w:position w:val="0"/>
        </w:rPr>
        <w:t>双特征</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双控制</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PPP</w:t>
      </w:r>
      <w:r>
        <w:rPr>
          <w:color w:val="000000"/>
          <w:spacing w:val="0"/>
          <w:w w:val="100"/>
          <w:position w:val="0"/>
        </w:rPr>
        <w:t>项目合同，对于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日前开始实施且至施行日尚未完成的有关</w:t>
      </w:r>
      <w:r>
        <w:rPr>
          <w:rFonts w:ascii="Times New Roman" w:eastAsia="Times New Roman" w:hAnsi="Times New Roman" w:cs="Times New Roman"/>
          <w:color w:val="000000"/>
          <w:spacing w:val="0"/>
          <w:w w:val="100"/>
          <w:position w:val="0"/>
        </w:rPr>
        <w:t>PPP</w:t>
      </w:r>
      <w:r>
        <w:rPr>
          <w:color w:val="000000"/>
          <w:spacing w:val="0"/>
          <w:w w:val="100"/>
          <w:position w:val="0"/>
        </w:rPr>
        <w:t>项目合同应进行追溯调整，追溯调整不切 实可行的，从可追溯调整的最早期间期初开始应用，累计影响数调整施行日当年年年初留存 收益以及财务报表其他相关项目，对可比期间信息不予调整。本公司执行该规定未对本公司 财务状况和经营成果产生重大影响。</w:t>
      </w:r>
    </w:p>
    <w:p>
      <w:pPr>
        <w:pStyle w:val="Style33"/>
        <w:keepNext w:val="0"/>
        <w:keepLines w:val="0"/>
        <w:widowControl w:val="0"/>
        <w:numPr>
          <w:ilvl w:val="0"/>
          <w:numId w:val="43"/>
        </w:numPr>
        <w:shd w:val="clear" w:color="auto" w:fill="auto"/>
        <w:tabs>
          <w:tab w:pos="1645" w:val="left"/>
        </w:tabs>
        <w:bidi w:val="0"/>
        <w:spacing w:before="0" w:after="0" w:line="319" w:lineRule="exact"/>
        <w:ind w:left="1300" w:right="0" w:firstLine="0"/>
        <w:jc w:val="both"/>
      </w:pPr>
      <w:bookmarkStart w:id="1007" w:name="bookmark1007"/>
      <w:bookmarkEnd w:id="1007"/>
      <w:r>
        <w:rPr>
          <w:color w:val="000000"/>
          <w:spacing w:val="0"/>
          <w:w w:val="100"/>
          <w:position w:val="0"/>
        </w:rPr>
        <w:t>基准利率改革</w:t>
      </w:r>
    </w:p>
    <w:p>
      <w:pPr>
        <w:pStyle w:val="Style33"/>
        <w:keepNext w:val="0"/>
        <w:keepLines w:val="0"/>
        <w:widowControl w:val="0"/>
        <w:shd w:val="clear" w:color="auto" w:fill="auto"/>
        <w:bidi w:val="0"/>
        <w:spacing w:before="0" w:after="0" w:line="319" w:lineRule="exact"/>
        <w:ind w:left="130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号对基准利率改革导致金融工具合同和租赁合同相关现金流量的确定基础发生变 更的情形作出了简化会计处理规定。</w:t>
      </w:r>
    </w:p>
    <w:p>
      <w:pPr>
        <w:pStyle w:val="Style33"/>
        <w:keepNext w:val="0"/>
        <w:keepLines w:val="0"/>
        <w:widowControl w:val="0"/>
        <w:shd w:val="clear" w:color="auto" w:fill="auto"/>
        <w:bidi w:val="0"/>
        <w:spacing w:before="0" w:after="280" w:line="318" w:lineRule="exact"/>
        <w:ind w:left="1300" w:right="0" w:firstLine="0"/>
        <w:jc w:val="both"/>
      </w:pPr>
      <w:r>
        <w:rPr>
          <w:color w:val="000000"/>
          <w:spacing w:val="0"/>
          <w:w w:val="100"/>
          <w:position w:val="0"/>
        </w:rPr>
        <w:t>根据该解释的规定，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日前发生的基准利率改革相关业务，应当进行追溯调整， 追溯调整不切实可行的除外，无需调整前期比较财务报表数据。在该解释施行日，金融资产、 金融负债等原账面价值与新账面价值之间的差额，计入该解释施行日所在年度报告期间的期 初留存收益或其他综合收益。执行该规定未对本公司财务状况和经营成果产生重大影响。</w:t>
      </w:r>
    </w:p>
    <w:p>
      <w:pPr>
        <w:pStyle w:val="Style33"/>
        <w:keepNext w:val="0"/>
        <w:keepLines w:val="0"/>
        <w:widowControl w:val="0"/>
        <w:shd w:val="clear" w:color="auto" w:fill="auto"/>
        <w:bidi w:val="0"/>
        <w:spacing w:before="0" w:after="0" w:line="314" w:lineRule="exact"/>
        <w:ind w:left="1300" w:right="0" w:firstLine="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3</w:t>
      </w:r>
      <w:r>
        <w:rPr>
          <w:color w:val="000000"/>
          <w:spacing w:val="0"/>
          <w:w w:val="100"/>
          <w:position w:val="0"/>
        </w:rPr>
        <w:t xml:space="preserve">） 执行《关于调整 </w:t>
      </w:r>
      <w:r>
        <w:rPr>
          <w:rFonts w:ascii="Times New Roman" w:eastAsia="Times New Roman" w:hAnsi="Times New Roman" w:cs="Times New Roman"/>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适用范围的通知》</w:t>
      </w:r>
    </w:p>
    <w:p>
      <w:pPr>
        <w:pStyle w:val="Style3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号），对于满足条件的由新冠肺炎疫情直接引发的租金减免、延期支付租金等租金减让， 企业可以选择采用简化方法进行会计处理。</w:t>
      </w:r>
    </w:p>
    <w:p>
      <w:pPr>
        <w:pStyle w:val="Style3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日发布了《关于调整</w:t>
      </w:r>
      <w:r>
        <w:rPr>
          <w:rFonts w:ascii="Times New Roman" w:eastAsia="Times New Roman" w:hAnsi="Times New Roman" w:cs="Times New Roman"/>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适用 范围的通知》（财会〔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日起施行，将《新冠肺炎疫情相关租金 减让会计处理规定》允许采用简化方法的新冠肺炎疫情相关租金减让的适用范围由</w:t>
      </w:r>
      <w:r>
        <w:rPr>
          <w:rFonts w:ascii="Times New Roman" w:eastAsia="Times New Roman" w:hAnsi="Times New Roman" w:cs="Times New Roman"/>
          <w:color w:val="000000"/>
          <w:spacing w:val="0"/>
          <w:w w:val="100"/>
          <w:position w:val="0"/>
        </w:rPr>
        <w:t>“</w:t>
      </w:r>
      <w:r>
        <w:rPr>
          <w:color w:val="000000"/>
          <w:spacing w:val="0"/>
          <w:w w:val="100"/>
          <w:position w:val="0"/>
        </w:rPr>
        <w:t>减让仅 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w:t>
      </w:r>
      <w:r>
        <w:rPr>
          <w:color w:val="000000"/>
          <w:spacing w:val="0"/>
          <w:w w:val="100"/>
          <w:position w:val="0"/>
        </w:rPr>
        <w:t>调整为</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 付款额</w:t>
      </w:r>
      <w:r>
        <w:rPr>
          <w:rFonts w:ascii="Times New Roman" w:eastAsia="Times New Roman" w:hAnsi="Times New Roman" w:cs="Times New Roman"/>
          <w:color w:val="000000"/>
          <w:spacing w:val="0"/>
          <w:w w:val="100"/>
          <w:position w:val="0"/>
        </w:rPr>
        <w:t>”</w:t>
      </w:r>
      <w:r>
        <w:rPr>
          <w:color w:val="000000"/>
          <w:spacing w:val="0"/>
          <w:w w:val="100"/>
          <w:position w:val="0"/>
        </w:rPr>
        <w:t>，其他适用条件不变。</w:t>
      </w:r>
    </w:p>
    <w:p>
      <w:pPr>
        <w:pStyle w:val="Style33"/>
        <w:keepNext w:val="0"/>
        <w:keepLines w:val="0"/>
        <w:widowControl w:val="0"/>
        <w:shd w:val="clear" w:color="auto" w:fill="auto"/>
        <w:bidi w:val="0"/>
        <w:spacing w:before="0" w:after="280" w:line="314" w:lineRule="exact"/>
        <w:ind w:left="1300" w:right="0" w:firstLine="0"/>
        <w:jc w:val="both"/>
      </w:pPr>
      <w:r>
        <w:rPr>
          <w:color w:val="000000"/>
          <w:spacing w:val="0"/>
          <w:w w:val="100"/>
          <w:position w:val="0"/>
        </w:rPr>
        <w:t>本公司对适用范围调整前符合条件的租赁合同已全部选择采用简化方法进行会计处理，对适 用范围调整后符合条件的类似租赁合同也全部采用简化方法进行会计处理，并对通知发布前 已采用租赁变更进行会计处理的相关租赁合同进行追溯调整，但不调整前期比较财务报表数 据；对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日至该通知施行日之间发生的未按照该通知规定进行会计处理的相关租金 减让，根据该通知进行调整。</w:t>
      </w:r>
    </w:p>
    <w:p>
      <w:pPr>
        <w:pStyle w:val="Style33"/>
        <w:keepNext w:val="0"/>
        <w:keepLines w:val="0"/>
        <w:widowControl w:val="0"/>
        <w:shd w:val="clear" w:color="auto" w:fill="auto"/>
        <w:tabs>
          <w:tab w:pos="1736" w:val="left"/>
        </w:tabs>
        <w:bidi w:val="0"/>
        <w:spacing w:before="0" w:after="0" w:line="317" w:lineRule="exact"/>
        <w:ind w:left="1300" w:right="0" w:firstLine="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rPr>
        <w:t>4</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w:t>
      </w:r>
    </w:p>
    <w:p>
      <w:pPr>
        <w:pStyle w:val="Style33"/>
        <w:keepNext w:val="0"/>
        <w:keepLines w:val="0"/>
        <w:widowControl w:val="0"/>
        <w:shd w:val="clear" w:color="auto" w:fill="auto"/>
        <w:bidi w:val="0"/>
        <w:spacing w:before="0" w:after="0" w:line="317" w:lineRule="exact"/>
        <w:ind w:left="130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 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内容自公布之日起施行，可比期间的财务 报表数据相应调整。</w:t>
      </w:r>
    </w:p>
    <w:p>
      <w:pPr>
        <w:pStyle w:val="Style33"/>
        <w:keepNext w:val="0"/>
        <w:keepLines w:val="0"/>
        <w:widowControl w:val="0"/>
        <w:shd w:val="clear" w:color="auto" w:fill="auto"/>
        <w:bidi w:val="0"/>
        <w:spacing w:before="0" w:after="280" w:line="317" w:lineRule="exact"/>
        <w:ind w:left="130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号就企业通过内部结算中心、财务公司等对母公司及成员单位资金实行集中统一管 理涉及的余额应如何在资产负债表中进行列报与披露作出了明确规定。执行该规定未对本公 司财务状况和经营成果产生重大影响。</w:t>
      </w:r>
    </w:p>
    <w:p>
      <w:pPr>
        <w:pStyle w:val="Style51"/>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重要会计估计变更</w:t>
      </w:r>
      <w:bookmarkEnd w:id="1010"/>
      <w:bookmarkEnd w:id="1011"/>
      <w:bookmarkEnd w:id="1013"/>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51"/>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014" w:name="bookmark1014"/>
      <w:bookmarkStart w:id="1015" w:name="bookmark1015"/>
      <w:bookmarkStart w:id="1016" w:name="bookmark1016"/>
      <w:bookmarkStart w:id="1017" w:name="bookmark1017"/>
      <w:bookmarkEnd w:id="1016"/>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14"/>
      <w:bookmarkEnd w:id="1015"/>
      <w:bookmarkEnd w:id="1017"/>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是否需要调整年初资产负债表科目</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是</w:t>
      </w:r>
      <w:r>
        <w:rPr>
          <w:color w:val="000000"/>
          <w:spacing w:val="0"/>
          <w:w w:val="100"/>
          <w:position w:val="0"/>
          <w:sz w:val="18"/>
          <w:szCs w:val="18"/>
        </w:rPr>
        <w:t>口</w:t>
      </w:r>
      <w:r>
        <w:rPr>
          <w:color w:val="000000"/>
          <w:spacing w:val="0"/>
          <w:w w:val="100"/>
          <w:position w:val="0"/>
          <w:sz w:val="17"/>
          <w:szCs w:val="17"/>
        </w:rPr>
        <w:t>否</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合并资产负债表</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108,601,727.52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108,601,727.52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334,874,982.11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334,874,982.11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48,843,719.85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48,495,132.31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-348,587.54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31,335,157.70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31,335,157.70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2,351,368.33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2,351,368.33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90,819,942.34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90,819,942.34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15,587,730.28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15,587,730.28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一年内到期的非流动 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8,030,160.00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8,030,160.00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638,093,587.16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637,744,999.62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-348,587.54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14,796,700.00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8,444,004.81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8,444,004.81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280,615,550.62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280,615,550.62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8,607,946.23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8,607,946.23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32,277,510.87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32,277,510.87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10,737,367.68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10,737,367.68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48,416,168.92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48,416,168.92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395,287,302.90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403,895,249.13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8,607,946.23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1,033,380,890.06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1,041,640,248.75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8,259,358.69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169,826,416.44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169,826,416.44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33,799,683.12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33,799,683.12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136,702,539.47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136,702,539.47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137,141,688.82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137,141,688.82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12,389,069.34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12,389,069.34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42,297,068.20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42,297,068.20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25,983,915.06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25,983,915.06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276,018.65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276,018.65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80,211,397.26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83,435,728.55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3,224,331.29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11,857,343.89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11,857,343.89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650,209,121.60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653,433,452.89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3,224,331.29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5,035,027.40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5,035,027.40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48,518,000.00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48,518,000.00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277,835.02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277,835.02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88,795,835.02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93,830,862.42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5,035,027.40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739,004,956.62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747,264,315.31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8,259,358.69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205,135,376.00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205,135,376.00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48,711,445.18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48,711,445.18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20,005,180.20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20,005,180.20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21,201,618.43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21,201,618.43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-19,805,785.83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-19,805,785.83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235,237,473.58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235,237,473.58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59,138,459.86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59,138,459.86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294,375,933.44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294,375,933.44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1,033,380,890.06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1,033,380,890.06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调整情况说明</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母公司资产负债表</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75,345,145.35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75,345,145.35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303,025,596.65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303,025,596.65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49,076,125.42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48,727,537.88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-348,587.54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128,426,926.23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128,426,926.23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2,397,996.11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2,397,996.11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69,667,426.89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69,667,426.89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13,860,124.17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13,860,124.17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8,030,160.00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8,030,160.00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647,431,504.71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647,082,917.17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-348,587.54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110,100,000.00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110,100,000.00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4,927,680.05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4,927,680.05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8,607,946.23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8,607,946.23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5,649,637.53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39,790,906.12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39,790,906.12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160,468,223.70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169,076,169.93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8,607,946.23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807,899,728.41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816,159,087.10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8,259,358.69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149,807,109.59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149,807,109.59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43,799,683.12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43,799,683.12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135,758,402.88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135,758,402.88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88,666,623.60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88,666,623.60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9,056,754.59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9,056,754.59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37,142,259.83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37,142,259.83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117,824,567.59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117,824,567.59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3,224,331.29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3,224,331.29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6,802,871.99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588,858,273.19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592,082,604.48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3,224,331.29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5,035,027.40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5,035,027.40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42,593,000.00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42,593,000.00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42,593,000.00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47,628,027.40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5,035,027.40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631,451,273.19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639,710,631.88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8,259,358.69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205,135,376.00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205,135,376.00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27,867,872.56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27,867,872.56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20,005,180.20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20,005,180.20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21,201,618.43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21,201,618.43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-57,751,231.57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-57,751,231.57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176,448,455.22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176,448,455.22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807,899,728.41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807,899,728.41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39" w:line="1" w:lineRule="exact"/>
      </w:pPr>
    </w:p>
    <w:p>
      <w:pPr>
        <w:pStyle w:val="Style24"/>
        <w:keepNext w:val="0"/>
        <w:keepLines w:val="0"/>
        <w:widowControl w:val="0"/>
        <w:shd w:val="clear" w:color="auto" w:fill="auto"/>
        <w:tabs>
          <w:tab w:pos="2754" w:val="left"/>
          <w:tab w:pos="6503" w:val="left"/>
        </w:tabs>
        <w:bidi w:val="0"/>
        <w:spacing w:before="0" w:after="0" w:line="240" w:lineRule="auto"/>
        <w:ind w:left="1540" w:right="0" w:firstLine="0"/>
        <w:jc w:val="left"/>
        <w:rPr>
          <w:sz w:val="17"/>
          <w:szCs w:val="17"/>
        </w:rPr>
      </w:pPr>
      <w:r>
        <w:rPr>
          <w:color w:val="000000"/>
          <w:spacing w:val="0"/>
          <w:w w:val="100"/>
          <w:position w:val="0"/>
          <w:sz w:val="17"/>
          <w:szCs w:val="17"/>
        </w:rPr>
        <w:t>项目</w:t>
        <w:tab/>
        <w:t>上年年末余额年初余额</w:t>
        <w:tab/>
        <w:t>调整数</w:t>
      </w:r>
      <w:r>
        <w:br w:type="page"/>
      </w:r>
    </w:p>
    <w:tbl>
      <w:tblPr>
        <w:tblOverlap w:val="never"/>
        <w:jc w:val="center"/>
        <w:tblLayout w:type="fixed"/>
      </w:tblPr>
      <w:tblGrid>
        <w:gridCol w:w="1987"/>
        <w:gridCol w:w="1186"/>
        <w:gridCol w:w="1181"/>
        <w:gridCol w:w="1181"/>
        <w:gridCol w:w="1157"/>
        <w:gridCol w:w="1138"/>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重分类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重新计量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合计</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48,843,719.85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48,495,132.31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-348,587.54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-348,587.54</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8,607,946.23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348,587.54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8,259,358.69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8,607,946.23</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80,211,397.26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83,435,728.55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3,224,331.29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3,224,331.29</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5,035,027.40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-3,224,331.29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8,259,358.69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5,035,027.40</w:t>
            </w:r>
          </w:p>
        </w:tc>
      </w:tr>
    </w:tbl>
    <w:p>
      <w:pPr>
        <w:widowControl w:val="0"/>
        <w:spacing w:line="1" w:lineRule="exact"/>
      </w:pPr>
    </w:p>
    <w:tbl>
      <w:tblPr>
        <w:tblOverlap w:val="never"/>
        <w:jc w:val="center"/>
        <w:tblLayout w:type="fixed"/>
      </w:tblPr>
      <w:tblGrid>
        <w:gridCol w:w="1690"/>
        <w:gridCol w:w="1253"/>
        <w:gridCol w:w="1248"/>
        <w:gridCol w:w="1421"/>
        <w:gridCol w:w="1320"/>
        <w:gridCol w:w="1205"/>
      </w:tblGrid>
      <w:tr>
        <w:trPr>
          <w:trHeight w:val="36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上年年末余额</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260"/>
              <w:jc w:val="left"/>
              <w:rPr>
                <w:sz w:val="17"/>
                <w:szCs w:val="17"/>
              </w:rPr>
            </w:pPr>
            <w:r>
              <w:rPr>
                <w:color w:val="000000"/>
                <w:spacing w:val="0"/>
                <w:w w:val="100"/>
                <w:position w:val="0"/>
                <w:sz w:val="17"/>
                <w:szCs w:val="17"/>
              </w:rPr>
              <w:t>年初余额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重分类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重新计量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合计</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49,076,125.42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48,727,537.88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-348,587.54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-348,587.54</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8,607,946.23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348,587.54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8,259,358.69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8,607,946.23</w:t>
            </w: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3,224,331.29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3,224,331.29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3,224,331.29</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5,035,027.40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-3,224,331.29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8,259,358.69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5,035,027.40</w:t>
            </w:r>
          </w:p>
        </w:tc>
      </w:tr>
    </w:tbl>
    <w:p>
      <w:pPr>
        <w:widowControl w:val="0"/>
        <w:spacing w:after="619" w:line="1" w:lineRule="exact"/>
      </w:pPr>
    </w:p>
    <w:p>
      <w:pPr>
        <w:pStyle w:val="Style51"/>
        <w:keepNext/>
        <w:keepLines/>
        <w:widowControl w:val="0"/>
        <w:shd w:val="clear" w:color="auto" w:fill="auto"/>
        <w:tabs>
          <w:tab w:pos="493" w:val="left"/>
        </w:tabs>
        <w:bidi w:val="0"/>
        <w:spacing w:before="0" w:after="36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shd w:val="clear" w:color="auto" w:fill="FFFFFF"/>
        </w:rPr>
        <w:t>（</w:t>
      </w:r>
      <w:bookmarkEnd w:id="1020"/>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18"/>
      <w:bookmarkEnd w:id="1019"/>
      <w:bookmarkEnd w:id="1021"/>
    </w:p>
    <w:p>
      <w:pPr>
        <w:pStyle w:val="Style24"/>
        <w:keepNext w:val="0"/>
        <w:keepLines w:val="0"/>
        <w:widowControl w:val="0"/>
        <w:shd w:val="clear" w:color="auto" w:fill="auto"/>
        <w:bidi w:val="0"/>
        <w:spacing w:before="0" w:after="3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8"/>
        <w:keepNext/>
        <w:keepLines/>
        <w:widowControl w:val="0"/>
        <w:shd w:val="clear" w:color="auto" w:fill="auto"/>
        <w:bidi w:val="0"/>
        <w:spacing w:before="0" w:after="360" w:line="240" w:lineRule="auto"/>
        <w:ind w:left="0" w:right="0" w:firstLine="0"/>
        <w:jc w:val="left"/>
      </w:pPr>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22"/>
      <w:bookmarkEnd w:id="1023"/>
      <w:bookmarkEnd w:id="1024"/>
    </w:p>
    <w:p>
      <w:pPr>
        <w:pStyle w:val="Style22"/>
        <w:keepNext/>
        <w:keepLines/>
        <w:widowControl w:val="0"/>
        <w:shd w:val="clear" w:color="auto" w:fill="auto"/>
        <w:bidi w:val="0"/>
        <w:spacing w:before="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六</w:t>
      </w:r>
      <w:bookmarkEnd w:id="1027"/>
      <w:r>
        <w:rPr>
          <w:color w:val="000000"/>
          <w:spacing w:val="0"/>
          <w:w w:val="100"/>
          <w:position w:val="0"/>
        </w:rPr>
        <w:t>、税项</w:t>
      </w:r>
      <w:bookmarkEnd w:id="1025"/>
      <w:bookmarkEnd w:id="1026"/>
      <w:bookmarkEnd w:id="1028"/>
    </w:p>
    <w:p>
      <w:pPr>
        <w:pStyle w:val="Style28"/>
        <w:keepNext/>
        <w:keepLines/>
        <w:widowControl w:val="0"/>
        <w:shd w:val="clear" w:color="auto" w:fill="auto"/>
        <w:bidi w:val="0"/>
        <w:spacing w:before="0" w:after="320" w:line="240" w:lineRule="auto"/>
        <w:ind w:left="0" w:right="0" w:firstLine="0"/>
        <w:jc w:val="left"/>
      </w:pPr>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29"/>
      <w:bookmarkEnd w:id="1030"/>
      <w:bookmarkEnd w:id="1031"/>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33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rPr>
              <w:t>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按实际缴纳的增值税计缴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rPr>
              <w:t>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按应纳税所得额计缴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7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上海信联信息发展股份有限公司（即本公司）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光典信息发展有限公司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上海追索信息科技有限公司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追溯云信息发展股份有限公司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p>
        </w:tc>
      </w:tr>
    </w:tbl>
    <w:p>
      <w:pPr>
        <w:pStyle w:val="Style28"/>
        <w:keepNext/>
        <w:keepLines/>
        <w:widowControl w:val="0"/>
        <w:shd w:val="clear" w:color="auto" w:fill="auto"/>
        <w:tabs>
          <w:tab w:pos="348" w:val="left"/>
        </w:tabs>
        <w:bidi w:val="0"/>
        <w:spacing w:before="0" w:after="300" w:line="314" w:lineRule="exact"/>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2</w:t>
      </w:r>
      <w:bookmarkEnd w:id="1034"/>
      <w:r>
        <w:rPr>
          <w:color w:val="000000"/>
          <w:spacing w:val="0"/>
          <w:w w:val="100"/>
          <w:position w:val="0"/>
        </w:rPr>
        <w:t>、</w:t>
        <w:tab/>
        <w:t>税收优惠</w:t>
      </w:r>
      <w:bookmarkEnd w:id="1032"/>
      <w:bookmarkEnd w:id="1033"/>
      <w:bookmarkEnd w:id="1035"/>
    </w:p>
    <w:p>
      <w:pPr>
        <w:pStyle w:val="Style33"/>
        <w:keepNext w:val="0"/>
        <w:keepLines w:val="0"/>
        <w:widowControl w:val="0"/>
        <w:shd w:val="clear" w:color="auto" w:fill="auto"/>
        <w:tabs>
          <w:tab w:pos="1232" w:val="left"/>
        </w:tabs>
        <w:bidi w:val="0"/>
        <w:spacing w:before="0" w:after="0" w:line="312" w:lineRule="exact"/>
        <w:ind w:left="0" w:right="0" w:firstLine="720"/>
        <w:jc w:val="left"/>
      </w:pPr>
      <w:bookmarkStart w:id="1036" w:name="bookmark1036"/>
      <w:r>
        <w:rPr>
          <w:rFonts w:ascii="Times New Roman" w:eastAsia="Times New Roman" w:hAnsi="Times New Roman" w:cs="Times New Roman"/>
          <w:color w:val="000000"/>
          <w:spacing w:val="0"/>
          <w:w w:val="100"/>
          <w:position w:val="0"/>
        </w:rPr>
        <w:t>1</w:t>
      </w:r>
      <w:bookmarkEnd w:id="1036"/>
      <w:r>
        <w:rPr>
          <w:color w:val="000000"/>
          <w:spacing w:val="0"/>
          <w:w w:val="100"/>
          <w:position w:val="0"/>
        </w:rPr>
        <w:t>、</w:t>
        <w:tab/>
        <w:t>增值税</w:t>
      </w:r>
    </w:p>
    <w:p>
      <w:pPr>
        <w:pStyle w:val="Style3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 xml:space="preserve">根据国务院发布的《关于印发进一步鼓励软件产业和集成电路产业发展若干政策的通知》（国发 </w:t>
      </w:r>
      <w:r>
        <w:rPr>
          <w:rFonts w:ascii="Times New Roman" w:eastAsia="Times New Roman" w:hAnsi="Times New Roman" w:cs="Times New Roman"/>
          <w:color w:val="000000"/>
          <w:spacing w:val="0"/>
          <w:w w:val="100"/>
          <w:position w:val="0"/>
        </w:rPr>
        <w:t>[2011]4</w:t>
      </w:r>
      <w:r>
        <w:rPr>
          <w:color w:val="000000"/>
          <w:spacing w:val="0"/>
          <w:w w:val="100"/>
          <w:position w:val="0"/>
        </w:rPr>
        <w:t>号）的规定，对增值税一般纳税人销售其自行开发生产的软件产品，按法定税率征收增值 税后，对增值税实际税负超过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的部分实行即征即退政策。本公司销售的软件产品符合该项优惠 政策。</w:t>
      </w:r>
    </w:p>
    <w:p>
      <w:pPr>
        <w:pStyle w:val="Style33"/>
        <w:keepNext w:val="0"/>
        <w:keepLines w:val="0"/>
        <w:widowControl w:val="0"/>
        <w:shd w:val="clear" w:color="auto" w:fill="auto"/>
        <w:bidi w:val="0"/>
        <w:spacing w:before="0" w:after="300" w:line="312" w:lineRule="exact"/>
        <w:ind w:left="720" w:right="0" w:firstLine="0"/>
        <w:jc w:val="both"/>
      </w:pPr>
      <w:r>
        <w:rPr>
          <w:color w:val="000000"/>
          <w:spacing w:val="0"/>
          <w:w w:val="100"/>
          <w:position w:val="0"/>
        </w:rPr>
        <w:t>根据财政部、国家税务总局《关于在上海开展交通运输业和部分现代服务业营业税改征增值税试 点的通知》（财税【</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111</w:t>
      </w:r>
      <w:r>
        <w:rPr>
          <w:color w:val="000000"/>
          <w:spacing w:val="0"/>
          <w:w w:val="100"/>
          <w:position w:val="0"/>
        </w:rPr>
        <w:t>号）、《营业税改征增值税免税优惠政策过渡操作意见》，本公司 及各子公司经主管税务机关审核并按规定程序审批后的技术开发业务免征增值税。</w:t>
      </w:r>
    </w:p>
    <w:p>
      <w:pPr>
        <w:pStyle w:val="Style33"/>
        <w:keepNext w:val="0"/>
        <w:keepLines w:val="0"/>
        <w:widowControl w:val="0"/>
        <w:shd w:val="clear" w:color="auto" w:fill="auto"/>
        <w:tabs>
          <w:tab w:pos="1232" w:val="left"/>
        </w:tabs>
        <w:bidi w:val="0"/>
        <w:spacing w:before="0" w:after="0" w:line="314" w:lineRule="exact"/>
        <w:ind w:left="0" w:right="0" w:firstLine="720"/>
        <w:jc w:val="both"/>
      </w:pPr>
      <w:bookmarkStart w:id="1037" w:name="bookmark1037"/>
      <w:r>
        <w:rPr>
          <w:rFonts w:ascii="Times New Roman" w:eastAsia="Times New Roman" w:hAnsi="Times New Roman" w:cs="Times New Roman"/>
          <w:color w:val="000000"/>
          <w:spacing w:val="0"/>
          <w:w w:val="100"/>
          <w:position w:val="0"/>
        </w:rPr>
        <w:t>2</w:t>
      </w:r>
      <w:bookmarkEnd w:id="1037"/>
      <w:r>
        <w:rPr>
          <w:color w:val="000000"/>
          <w:spacing w:val="0"/>
          <w:w w:val="100"/>
          <w:position w:val="0"/>
        </w:rPr>
        <w:t>、</w:t>
        <w:tab/>
        <w:t>企业所得税</w:t>
      </w:r>
    </w:p>
    <w:p>
      <w:pPr>
        <w:pStyle w:val="Style33"/>
        <w:keepNext w:val="0"/>
        <w:keepLines w:val="0"/>
        <w:widowControl w:val="0"/>
        <w:shd w:val="clear" w:color="auto" w:fill="auto"/>
        <w:bidi w:val="0"/>
        <w:spacing w:before="0" w:after="0" w:line="314" w:lineRule="exact"/>
        <w:ind w:left="720" w:right="0" w:firstLine="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日，本公司取得上海市科学技术委员会、上海市财政局、国家税务总局上海市 税务局颁发的《高新技术企业证书》，被认定高新技术企业，有效期为</w:t>
      </w:r>
      <w:r>
        <w:rPr>
          <w:rFonts w:ascii="Times New Roman" w:eastAsia="Times New Roman" w:hAnsi="Times New Roman" w:cs="Times New Roman"/>
          <w:color w:val="000000"/>
          <w:spacing w:val="0"/>
          <w:w w:val="100"/>
          <w:position w:val="0"/>
        </w:rPr>
        <w:t>3</w:t>
      </w:r>
      <w:r>
        <w:rPr>
          <w:color w:val="000000"/>
          <w:spacing w:val="0"/>
          <w:w w:val="100"/>
          <w:position w:val="0"/>
        </w:rPr>
        <w:t>年。因此，本公司</w:t>
      </w:r>
      <w:r>
        <w:rPr>
          <w:rFonts w:ascii="Times New Roman" w:eastAsia="Times New Roman" w:hAnsi="Times New Roman" w:cs="Times New Roman"/>
          <w:color w:val="000000"/>
          <w:spacing w:val="0"/>
          <w:w w:val="100"/>
          <w:position w:val="0"/>
        </w:rPr>
        <w:t>2021</w:t>
      </w:r>
      <w:r>
        <w:rPr>
          <w:color w:val="000000"/>
          <w:spacing w:val="0"/>
          <w:w w:val="100"/>
          <w:position w:val="0"/>
        </w:rPr>
        <w:t>年 度减按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33"/>
        <w:keepNext w:val="0"/>
        <w:keepLines w:val="0"/>
        <w:widowControl w:val="0"/>
        <w:shd w:val="clear" w:color="auto" w:fill="auto"/>
        <w:tabs>
          <w:tab w:pos="1274" w:val="left"/>
        </w:tabs>
        <w:bidi w:val="0"/>
        <w:spacing w:before="0" w:after="0" w:line="314" w:lineRule="exact"/>
        <w:ind w:left="720" w:right="0" w:firstLine="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日，子公司光典信息发展有限公司取得上海市科学技术委员会、上海市财政局、 国家税务总局上海市税务局颁发的《高新技术企业证书》，被认定为高新技术企业，有效期为</w:t>
      </w:r>
      <w:r>
        <w:rPr>
          <w:rFonts w:ascii="Times New Roman" w:eastAsia="Times New Roman" w:hAnsi="Times New Roman" w:cs="Times New Roman"/>
          <w:color w:val="000000"/>
          <w:spacing w:val="0"/>
          <w:w w:val="100"/>
          <w:position w:val="0"/>
        </w:rPr>
        <w:t>3</w:t>
      </w:r>
      <w:r>
        <w:rPr>
          <w:color w:val="000000"/>
          <w:spacing w:val="0"/>
          <w:w w:val="100"/>
          <w:position w:val="0"/>
        </w:rPr>
        <w:t>年。 因此，该子公司</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3"/>
        <w:keepNext w:val="0"/>
        <w:keepLines w:val="0"/>
        <w:widowControl w:val="0"/>
        <w:shd w:val="clear" w:color="auto" w:fill="auto"/>
        <w:tabs>
          <w:tab w:pos="1288" w:val="left"/>
        </w:tabs>
        <w:bidi w:val="0"/>
        <w:spacing w:before="0" w:after="0" w:line="314" w:lineRule="exact"/>
        <w:ind w:left="720" w:right="0" w:firstLine="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日，子公司上海追索信息科技有限公司取得上海市科学技术委员会、上海市财 政局、国家税务总局上海市税务局颁发的《高新技术企业证书》，被认定为高新技术企业，有效 期为</w:t>
      </w:r>
      <w:r>
        <w:rPr>
          <w:rFonts w:ascii="Times New Roman" w:eastAsia="Times New Roman" w:hAnsi="Times New Roman" w:cs="Times New Roman"/>
          <w:color w:val="000000"/>
          <w:spacing w:val="0"/>
          <w:w w:val="100"/>
          <w:position w:val="0"/>
        </w:rPr>
        <w:t>3</w:t>
      </w:r>
      <w:r>
        <w:rPr>
          <w:color w:val="000000"/>
          <w:spacing w:val="0"/>
          <w:w w:val="100"/>
          <w:position w:val="0"/>
        </w:rPr>
        <w:t>年。因此，该子公司</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33"/>
        <w:keepNext w:val="0"/>
        <w:keepLines w:val="0"/>
        <w:widowControl w:val="0"/>
        <w:shd w:val="clear" w:color="auto" w:fill="auto"/>
        <w:bidi w:val="0"/>
        <w:spacing w:before="0" w:after="460" w:line="314" w:lineRule="exact"/>
        <w:ind w:left="0" w:right="0" w:firstLine="0"/>
        <w:jc w:val="left"/>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4</w:t>
      </w:r>
      <w:r>
        <w:rPr>
          <w:color w:val="000000"/>
          <w:spacing w:val="0"/>
          <w:w w:val="100"/>
          <w:position w:val="0"/>
        </w:rPr>
        <w:t>）根据《财政部国家税务总局关于进一步鼓励软件产业和集成电路产业发展企业所得税政策的通知》 财税</w:t>
      </w:r>
      <w:r>
        <w:rPr>
          <w:rFonts w:ascii="Times New Roman" w:eastAsia="Times New Roman" w:hAnsi="Times New Roman" w:cs="Times New Roman"/>
          <w:color w:val="000000"/>
          <w:spacing w:val="0"/>
          <w:w w:val="100"/>
          <w:position w:val="0"/>
        </w:rPr>
        <w:t>[2012]27</w:t>
      </w:r>
      <w:r>
        <w:rPr>
          <w:color w:val="000000"/>
          <w:spacing w:val="0"/>
          <w:w w:val="100"/>
          <w:position w:val="0"/>
        </w:rPr>
        <w:t>号及《财政部国家税务总局发展改革委工业和信息化部关于软件和集成电路产业企业所得 税优惠政策有关问题的通知》财税</w:t>
      </w:r>
      <w:r>
        <w:rPr>
          <w:rFonts w:ascii="Times New Roman" w:eastAsia="Times New Roman" w:hAnsi="Times New Roman" w:cs="Times New Roman"/>
          <w:color w:val="000000"/>
          <w:spacing w:val="0"/>
          <w:w w:val="100"/>
          <w:position w:val="0"/>
        </w:rPr>
        <w:t>[2016]49</w:t>
      </w:r>
      <w:r>
        <w:rPr>
          <w:color w:val="000000"/>
          <w:spacing w:val="0"/>
          <w:w w:val="100"/>
          <w:position w:val="0"/>
        </w:rPr>
        <w:t>号的相关规定，控股子公司追溯云信息发展股份有限公司属于 境内符合条件的软件企业，经认定后，在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日前自获利年度起计算优惠期，第一年至第二年免 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的法定税率减半征收企业所得税，并享受至期满为止。追溯云信 息发展股份有限公司已办理企业所得税优惠备案，因此，该子公司</w:t>
      </w:r>
      <w:r>
        <w:rPr>
          <w:rFonts w:ascii="Times New Roman" w:eastAsia="Times New Roman" w:hAnsi="Times New Roman" w:cs="Times New Roman"/>
          <w:color w:val="000000"/>
          <w:spacing w:val="0"/>
          <w:w w:val="100"/>
          <w:position w:val="0"/>
        </w:rPr>
        <w:t>2021</w:t>
      </w:r>
      <w:r>
        <w:rPr>
          <w:color w:val="000000"/>
          <w:spacing w:val="0"/>
          <w:w w:val="100"/>
          <w:position w:val="0"/>
        </w:rPr>
        <w:t>年度减半征收企业所得税。</w:t>
      </w:r>
    </w:p>
    <w:p>
      <w:pPr>
        <w:pStyle w:val="Style24"/>
        <w:keepNext w:val="0"/>
        <w:keepLines w:val="0"/>
        <w:widowControl w:val="0"/>
        <w:shd w:val="clear" w:color="auto" w:fill="auto"/>
        <w:bidi w:val="0"/>
        <w:spacing w:before="0" w:after="300" w:line="240" w:lineRule="auto"/>
        <w:ind w:left="0" w:right="0" w:firstLine="0"/>
        <w:jc w:val="left"/>
        <w:rPr>
          <w:sz w:val="17"/>
          <w:szCs w:val="17"/>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的披露要求</w:t>
      </w:r>
    </w:p>
    <w:p>
      <w:pPr>
        <w:pStyle w:val="Style28"/>
        <w:keepNext/>
        <w:keepLines/>
        <w:widowControl w:val="0"/>
        <w:shd w:val="clear" w:color="auto" w:fill="auto"/>
        <w:tabs>
          <w:tab w:pos="348" w:val="left"/>
        </w:tabs>
        <w:bidi w:val="0"/>
        <w:spacing w:before="0" w:after="360" w:line="314" w:lineRule="exact"/>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3</w:t>
      </w:r>
      <w:bookmarkEnd w:id="1044"/>
      <w:r>
        <w:rPr>
          <w:color w:val="000000"/>
          <w:spacing w:val="0"/>
          <w:w w:val="100"/>
          <w:position w:val="0"/>
        </w:rPr>
        <w:t>、</w:t>
        <w:tab/>
        <w:t>其他</w:t>
      </w:r>
      <w:bookmarkEnd w:id="1042"/>
      <w:bookmarkEnd w:id="1043"/>
      <w:bookmarkEnd w:id="1045"/>
    </w:p>
    <w:p>
      <w:pPr>
        <w:pStyle w:val="Style22"/>
        <w:keepNext/>
        <w:keepLines/>
        <w:widowControl w:val="0"/>
        <w:shd w:val="clear" w:color="auto" w:fill="auto"/>
        <w:bidi w:val="0"/>
        <w:spacing w:before="0" w:after="30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七</w:t>
      </w:r>
      <w:bookmarkEnd w:id="1048"/>
      <w:r>
        <w:rPr>
          <w:color w:val="000000"/>
          <w:spacing w:val="0"/>
          <w:w w:val="100"/>
          <w:position w:val="0"/>
        </w:rPr>
        <w:t>、合并财务报表项目注释</w:t>
      </w:r>
      <w:bookmarkEnd w:id="1046"/>
      <w:bookmarkEnd w:id="1047"/>
      <w:bookmarkEnd w:id="1049"/>
    </w:p>
    <w:p>
      <w:pPr>
        <w:pStyle w:val="Style28"/>
        <w:keepNext/>
        <w:keepLines/>
        <w:widowControl w:val="0"/>
        <w:shd w:val="clear" w:color="auto" w:fill="auto"/>
        <w:bidi w:val="0"/>
        <w:spacing w:before="0" w:after="360" w:line="314" w:lineRule="exact"/>
        <w:ind w:left="0" w:right="0" w:firstLine="0"/>
        <w:jc w:val="left"/>
      </w:pPr>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0"/>
      <w:bookmarkEnd w:id="1051"/>
      <w:bookmarkEnd w:id="105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25,139.80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93,585.39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92,404,574.57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90,130,404.93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10,901,977.97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18,377,737.20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103,331,692.34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108,601,727.52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line="1" w:lineRule="exact"/>
      </w:pPr>
    </w:p>
    <w:tbl>
      <w:tblPr>
        <w:tblOverlap w:val="never"/>
        <w:jc w:val="center"/>
        <w:tblLayout w:type="fixed"/>
      </w:tblPr>
      <w:tblGrid>
        <w:gridCol w:w="3226"/>
        <w:gridCol w:w="2198"/>
        <w:gridCol w:w="223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上年年末余额</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7,874,533.99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15,377,737.20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10,874,533.99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18,377,737.20</w:t>
            </w:r>
          </w:p>
        </w:tc>
      </w:tr>
    </w:tbl>
    <w:p>
      <w:pPr>
        <w:widowControl w:val="0"/>
        <w:spacing w:after="639" w:line="1" w:lineRule="exact"/>
      </w:pPr>
    </w:p>
    <w:p>
      <w:pPr>
        <w:pStyle w:val="Style28"/>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bookmarkEnd w:id="1055"/>
      <w:r>
        <w:rPr>
          <w:color w:val="000000"/>
          <w:spacing w:val="0"/>
          <w:w w:val="100"/>
          <w:position w:val="0"/>
        </w:rPr>
        <w:t>、交易性金融资产</w:t>
      </w:r>
      <w:bookmarkEnd w:id="1053"/>
      <w:bookmarkEnd w:id="1054"/>
      <w:bookmarkEnd w:id="1056"/>
    </w:p>
    <w:tbl>
      <w:tblPr>
        <w:tblOverlap w:val="never"/>
        <w:jc w:val="center"/>
        <w:tblLayout w:type="fixed"/>
      </w:tblPr>
      <w:tblGrid>
        <w:gridCol w:w="3192"/>
        <w:gridCol w:w="3192"/>
        <w:gridCol w:w="3259"/>
      </w:tblGrid>
      <w:tr>
        <w:trPr>
          <w:trHeight w:val="307" w:hRule="exact"/>
        </w:trPr>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gridSpan w:val="3"/>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tc>
      </w:tr>
    </w:tbl>
    <w:p>
      <w:pPr>
        <w:widowControl w:val="0"/>
        <w:spacing w:after="37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color w:val="000000"/>
          <w:spacing w:val="0"/>
          <w:w w:val="100"/>
          <w:position w:val="0"/>
        </w:rPr>
        <w:t>、</w:t>
        <w:tab/>
        <w:t>衍生金融资产</w:t>
      </w:r>
      <w:bookmarkEnd w:id="1057"/>
      <w:bookmarkEnd w:id="1058"/>
      <w:bookmarkEnd w:id="1060"/>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p>
      <w:pPr>
        <w:pStyle w:val="Style24"/>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3000" w:val="left"/>
          <w:tab w:pos="6197" w:val="left"/>
        </w:tabs>
        <w:bidi w:val="0"/>
        <w:spacing w:before="0" w:after="70" w:line="240" w:lineRule="auto"/>
        <w:ind w:left="0" w:right="0" w:firstLine="0"/>
        <w:jc w:val="center"/>
        <w:rPr>
          <w:sz w:val="17"/>
          <w:szCs w:val="17"/>
        </w:rPr>
      </w:pPr>
      <w:r>
        <w:rPr>
          <w:color w:val="000000"/>
          <w:spacing w:val="0"/>
          <w:w w:val="100"/>
          <w:position w:val="0"/>
          <w:sz w:val="17"/>
          <w:szCs w:val="17"/>
        </w:rPr>
        <w:t>项目</w:t>
        <w:tab/>
        <w:t>期末余额</w:t>
        <w:tab/>
        <w:t>期初余额</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tabs>
          <w:tab w:pos="378" w:val="left"/>
        </w:tabs>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4</w:t>
      </w:r>
      <w:bookmarkEnd w:id="1063"/>
      <w:r>
        <w:rPr>
          <w:color w:val="000000"/>
          <w:spacing w:val="0"/>
          <w:w w:val="100"/>
          <w:position w:val="0"/>
        </w:rPr>
        <w:t>、</w:t>
        <w:tab/>
        <w:t>应收票据</w:t>
      </w:r>
      <w:bookmarkEnd w:id="1061"/>
      <w:bookmarkEnd w:id="1062"/>
      <w:bookmarkEnd w:id="1064"/>
    </w:p>
    <w:p>
      <w:pPr>
        <w:pStyle w:val="Style51"/>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65"/>
      <w:bookmarkEnd w:id="1066"/>
      <w:bookmarkEnd w:id="106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p>
      <w:pPr>
        <w:pStyle w:val="Style24"/>
        <w:keepNext w:val="0"/>
        <w:keepLines w:val="0"/>
        <w:widowControl w:val="0"/>
        <w:pBdr>
          <w:top w:val="single" w:sz="0" w:space="6" w:color="D3D3D3"/>
          <w:left w:val="single" w:sz="0" w:space="0" w:color="D3D3D3"/>
          <w:bottom w:val="single" w:sz="0" w:space="6" w:color="D3D3D3"/>
          <w:right w:val="single" w:sz="0" w:space="0" w:color="D3D3D3"/>
        </w:pBdr>
        <w:shd w:val="clear" w:color="auto" w:fill="D3D3D3"/>
        <w:tabs>
          <w:tab w:pos="3000" w:val="left"/>
          <w:tab w:pos="6197" w:val="left"/>
        </w:tabs>
        <w:bidi w:val="0"/>
        <w:spacing w:before="0" w:after="75" w:line="240" w:lineRule="auto"/>
        <w:ind w:left="0" w:right="0" w:firstLine="0"/>
        <w:jc w:val="center"/>
        <w:rPr>
          <w:sz w:val="17"/>
          <w:szCs w:val="17"/>
        </w:rPr>
      </w:pPr>
      <w:r>
        <w:rPr>
          <w:color w:val="000000"/>
          <w:spacing w:val="0"/>
          <w:w w:val="100"/>
          <w:position w:val="0"/>
          <w:sz w:val="17"/>
          <w:szCs w:val="17"/>
        </w:rPr>
        <w:t>项目</w:t>
        <w:tab/>
        <w:t>期末余额</w:t>
        <w:tab/>
        <w:t>期初余额</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42"/>
        <w:gridCol w:w="763"/>
        <w:gridCol w:w="758"/>
        <w:gridCol w:w="763"/>
        <w:gridCol w:w="758"/>
        <w:gridCol w:w="802"/>
        <w:gridCol w:w="76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按单项计提坏账准备：</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p>
      <w:pPr>
        <w:pStyle w:val="Style2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rPr>
          <w:sz w:val="17"/>
          <w:szCs w:val="17"/>
        </w:rPr>
      </w:pPr>
      <w:r>
        <w:rPr>
          <w:color w:val="000000"/>
          <w:spacing w:val="0"/>
          <w:w w:val="100"/>
          <w:position w:val="0"/>
          <w:sz w:val="17"/>
          <w:szCs w:val="17"/>
        </w:rPr>
        <w:t>期末余额</w:t>
      </w:r>
    </w:p>
    <w:p>
      <w:pPr>
        <w:pStyle w:val="Style2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926" w:val="left"/>
          <w:tab w:leader="hyphen" w:pos="3832" w:val="left"/>
          <w:tab w:leader="hyphen" w:pos="5745" w:val="left"/>
          <w:tab w:leader="hyphen" w:pos="7664" w:val="left"/>
          <w:tab w:leader="hyphen" w:pos="9570" w:val="left"/>
        </w:tabs>
        <w:bidi w:val="0"/>
        <w:spacing w:before="0" w:after="0" w:line="240" w:lineRule="auto"/>
        <w:ind w:left="0" w:right="0" w:firstLine="800"/>
        <w:jc w:val="left"/>
        <w:rPr>
          <w:sz w:val="17"/>
          <w:szCs w:val="17"/>
        </w:rPr>
      </w:pPr>
      <w:r>
        <w:rPr>
          <w:color w:val="000000"/>
          <w:spacing w:val="0"/>
          <w:w w:val="100"/>
          <w:position w:val="0"/>
          <w:sz w:val="17"/>
          <w:szCs w:val="17"/>
        </w:rPr>
        <w:t>名称</w:t>
        <w:tab/>
        <w:tab/>
        <w:tab/>
        <w:tab/>
        <w:tab/>
      </w:r>
    </w:p>
    <w:p>
      <w:pPr>
        <w:pStyle w:val="Style2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926" w:val="left"/>
          <w:tab w:pos="3832" w:val="left"/>
          <w:tab w:pos="5745" w:val="left"/>
        </w:tabs>
        <w:bidi w:val="0"/>
        <w:spacing w:before="0" w:after="70" w:line="240" w:lineRule="auto"/>
        <w:ind w:left="0" w:right="0" w:firstLine="0"/>
        <w:jc w:val="center"/>
        <w:rPr>
          <w:sz w:val="17"/>
          <w:szCs w:val="17"/>
        </w:rPr>
      </w:pPr>
      <w:r>
        <w:rPr>
          <w:color w:val="000000"/>
          <w:spacing w:val="0"/>
          <w:w w:val="100"/>
          <w:position w:val="0"/>
          <w:sz w:val="17"/>
          <w:szCs w:val="17"/>
        </w:rPr>
        <w:t>账面余额</w:t>
        <w:tab/>
        <w:t>坏账准备</w:t>
        <w:tab/>
        <w:t>计提比例</w:t>
        <w:tab/>
        <w:t>计提理由</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按组合计提坏账准备：</w:t>
      </w:r>
    </w:p>
    <w:p>
      <w:pPr>
        <w:pStyle w:val="Style24"/>
        <w:keepNext w:val="0"/>
        <w:keepLines w:val="0"/>
        <w:widowControl w:val="0"/>
        <w:shd w:val="clear" w:color="auto" w:fill="auto"/>
        <w:bidi w:val="0"/>
        <w:spacing w:before="0" w:after="20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确定该组合依据的说明：</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如是按照预期信用损失一般模型计提应收票据坏账准备，请参照其他应收款的披露方式披露坏账准备的相关信息：</w:t>
      </w:r>
    </w:p>
    <w:p>
      <w:pPr>
        <w:pStyle w:val="Style24"/>
        <w:keepNext w:val="0"/>
        <w:keepLines w:val="0"/>
        <w:widowControl w:val="0"/>
        <w:shd w:val="clear" w:color="auto" w:fill="auto"/>
        <w:bidi w:val="0"/>
        <w:spacing w:before="0" w:after="3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51"/>
        <w:keepNext/>
        <w:keepLines/>
        <w:widowControl w:val="0"/>
        <w:shd w:val="clear" w:color="auto" w:fill="auto"/>
        <w:bidi w:val="0"/>
        <w:spacing w:before="0" w:after="40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9"/>
      <w:bookmarkEnd w:id="1070"/>
      <w:bookmarkEnd w:id="1072"/>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本期计提坏账准备情况：</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其中本期坏账准备收回或转回金额重要的：</w:t>
      </w:r>
    </w:p>
    <w:p>
      <w:pPr>
        <w:pStyle w:val="Style24"/>
        <w:keepNext w:val="0"/>
        <w:keepLines w:val="0"/>
        <w:widowControl w:val="0"/>
        <w:shd w:val="clear" w:color="auto" w:fill="auto"/>
        <w:bidi w:val="0"/>
        <w:spacing w:before="0" w:after="3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51"/>
        <w:keepNext/>
        <w:keepLines/>
        <w:widowControl w:val="0"/>
        <w:shd w:val="clear" w:color="auto" w:fill="auto"/>
        <w:bidi w:val="0"/>
        <w:spacing w:before="0" w:after="40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73"/>
      <w:bookmarkEnd w:id="1074"/>
      <w:bookmarkEnd w:id="1076"/>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bl>
    <w:p>
      <w:pPr>
        <w:widowControl w:val="0"/>
        <w:spacing w:after="339" w:line="1" w:lineRule="exact"/>
      </w:pPr>
    </w:p>
    <w:p>
      <w:pPr>
        <w:pStyle w:val="Style51"/>
        <w:keepNext/>
        <w:keepLines/>
        <w:widowControl w:val="0"/>
        <w:shd w:val="clear" w:color="auto" w:fill="auto"/>
        <w:bidi w:val="0"/>
        <w:spacing w:before="0" w:after="40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77"/>
      <w:bookmarkEnd w:id="1078"/>
      <w:bookmarkEnd w:id="1080"/>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bl>
    <w:p>
      <w:pPr>
        <w:widowControl w:val="0"/>
        <w:spacing w:after="339" w:line="1" w:lineRule="exact"/>
      </w:pPr>
    </w:p>
    <w:p>
      <w:pPr>
        <w:pStyle w:val="Style51"/>
        <w:keepNext/>
        <w:keepLines/>
        <w:widowControl w:val="0"/>
        <w:shd w:val="clear" w:color="auto" w:fill="auto"/>
        <w:bidi w:val="0"/>
        <w:spacing w:before="0" w:after="40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81"/>
      <w:bookmarkEnd w:id="1082"/>
      <w:bookmarkEnd w:id="1084"/>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其他说明</w:t>
      </w:r>
    </w:p>
    <w:p>
      <w:pPr>
        <w:pStyle w:val="Style51"/>
        <w:keepNext/>
        <w:keepLines/>
        <w:widowControl w:val="0"/>
        <w:shd w:val="clear" w:color="auto" w:fill="auto"/>
        <w:bidi w:val="0"/>
        <w:spacing w:before="0" w:after="40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85"/>
      <w:bookmarkEnd w:id="1086"/>
      <w:bookmarkEnd w:id="108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8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tabs>
                <w:tab w:pos="1822" w:val="left"/>
                <w:tab w:pos="3618" w:val="left"/>
              </w:tabs>
              <w:bidi w:val="0"/>
              <w:spacing w:before="0" w:after="0" w:line="240" w:lineRule="auto"/>
              <w:ind w:left="0" w:right="0" w:firstLine="440"/>
              <w:jc w:val="left"/>
              <w:rPr>
                <w:sz w:val="17"/>
                <w:szCs w:val="17"/>
              </w:rPr>
            </w:pPr>
            <w:r>
              <w:rPr>
                <w:color w:val="000000"/>
                <w:spacing w:val="0"/>
                <w:w w:val="100"/>
                <w:position w:val="0"/>
                <w:sz w:val="17"/>
                <w:szCs w:val="17"/>
              </w:rPr>
              <w:t>单位名称</w:t>
              <w:tab/>
              <w:t>应收票据性质</w:t>
              <w:tab/>
              <w:t>核销金额</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款项是否由关联交</w:t>
            </w:r>
          </w:p>
          <w:p>
            <w:pPr>
              <w:pStyle w:val="Style18"/>
              <w:keepNext w:val="0"/>
              <w:keepLines w:val="0"/>
              <w:widowControl w:val="0"/>
              <w:shd w:val="clear" w:color="auto" w:fill="auto"/>
              <w:tabs>
                <w:tab w:pos="1765" w:val="left"/>
              </w:tabs>
              <w:bidi w:val="0"/>
              <w:spacing w:before="0" w:after="0" w:line="240" w:lineRule="auto"/>
              <w:ind w:left="0" w:right="0" w:firstLine="440"/>
              <w:jc w:val="left"/>
              <w:rPr>
                <w:sz w:val="17"/>
                <w:szCs w:val="17"/>
              </w:rPr>
            </w:pPr>
            <w:r>
              <w:rPr>
                <w:color w:val="000000"/>
                <w:spacing w:val="0"/>
                <w:w w:val="100"/>
                <w:position w:val="0"/>
                <w:sz w:val="17"/>
                <w:szCs w:val="17"/>
              </w:rPr>
              <w:t>核销原因</w:t>
              <w:tab/>
              <w:t>履行的核销程序</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18"/>
              <w:keepNext w:val="0"/>
              <w:keepLines w:val="0"/>
              <w:widowControl w:val="0"/>
              <w:shd w:val="clear" w:color="auto" w:fill="auto"/>
              <w:bidi w:val="0"/>
              <w:spacing w:before="0" w:after="0" w:line="240" w:lineRule="auto"/>
              <w:ind w:left="3720" w:right="0" w:firstLine="0"/>
              <w:jc w:val="left"/>
              <w:rPr>
                <w:sz w:val="17"/>
                <w:szCs w:val="17"/>
              </w:rPr>
            </w:pPr>
            <w:r>
              <w:rPr>
                <w:color w:val="000000"/>
                <w:spacing w:val="0"/>
                <w:w w:val="100"/>
                <w:position w:val="0"/>
                <w:sz w:val="17"/>
                <w:szCs w:val="17"/>
              </w:rPr>
              <w:t>易产生</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r>
        <w:br w:type="page"/>
      </w:r>
    </w:p>
    <w:p>
      <w:pPr>
        <w:pStyle w:val="Style28"/>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5</w:t>
      </w:r>
      <w:bookmarkEnd w:id="1091"/>
      <w:r>
        <w:rPr>
          <w:color w:val="000000"/>
          <w:spacing w:val="0"/>
          <w:w w:val="100"/>
          <w:position w:val="0"/>
        </w:rPr>
        <w:t>、应收账款</w:t>
      </w:r>
      <w:bookmarkEnd w:id="1089"/>
      <w:bookmarkEnd w:id="1090"/>
      <w:bookmarkEnd w:id="1092"/>
    </w:p>
    <w:p>
      <w:pPr>
        <w:pStyle w:val="Style51"/>
        <w:keepNext/>
        <w:keepLines/>
        <w:widowControl w:val="0"/>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93"/>
      <w:bookmarkEnd w:id="1094"/>
      <w:bookmarkEnd w:id="1096"/>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1,178,71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1,178,71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1,178,718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1,178,718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367,064,</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99.68%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101,466, </w:t>
            </w:r>
            <w:r>
              <w:rPr>
                <w:rFonts w:ascii="Times New Roman" w:eastAsia="Times New Roman" w:hAnsi="Times New Roman" w:cs="Times New Roman"/>
                <w:color w:val="000000"/>
                <w:spacing w:val="0"/>
                <w:w w:val="100"/>
                <w:position w:val="0"/>
              </w:rPr>
              <w:t>030.60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265,598,3</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424,089,7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89,214,79</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334,874,98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367,064,</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99.68%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101,466,</w:t>
            </w:r>
          </w:p>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030.60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265,598,3</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424,089,7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89,214,79</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334,874,98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368,243,</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102,644,</w:t>
            </w:r>
          </w:p>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749.47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265,598,3</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425,268,4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90,393,51</w:t>
            </w: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334,874,98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银川北环蔬菜果品综合 批发市场管理有限公司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1,178,718.87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1,178,718.87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115,698,987.88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5,784,949.39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87,798,322.58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8,779,832.25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66,304,664.87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19,891,399.46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48,135,811.55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24,067,905.78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20,615,600.30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14,430,920.21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28,511,023.51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28,511,023.51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367,064,410.69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101,466,030.60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确定该组合依据的说明:</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按组合计提坏账准备：</w:t>
      </w:r>
    </w:p>
    <w:p>
      <w:pPr>
        <w:pStyle w:val="Style24"/>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确定该组合依据的说明：</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按账龄披露</w:t>
      </w:r>
    </w:p>
    <w:p>
      <w:pPr>
        <w:pStyle w:val="Style24"/>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115,698,987.88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87,798,322.58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67,483,383.74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97,262,435.36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48,135,811.55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20,615,600.30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28,511,023.51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368,243,129.56</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339" w:line="1" w:lineRule="exact"/>
      </w:pPr>
    </w:p>
    <w:p>
      <w:pPr>
        <w:pStyle w:val="Style51"/>
        <w:keepNext/>
        <w:keepLines/>
        <w:widowControl w:val="0"/>
        <w:shd w:val="clear" w:color="auto" w:fill="auto"/>
        <w:bidi w:val="0"/>
        <w:spacing w:before="0" w:after="40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7"/>
      <w:bookmarkEnd w:id="1098"/>
      <w:bookmarkEnd w:id="1100"/>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本期计提坏账准备情况：</w:t>
      </w:r>
    </w:p>
    <w:p>
      <w:pPr>
        <w:pStyle w:val="Style24"/>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1,178,718.87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4,088,605.70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4,088,605.70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1,178,718.87</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按账龄组合计提 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89,214,794.16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33,884,633.67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21,633,397.23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101,466,030.60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90,393,513.03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37,973,239.37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25,722,002.93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102,644,749.47</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4"/>
        <w:keepNext w:val="0"/>
        <w:keepLines w:val="0"/>
        <w:widowControl w:val="0"/>
        <w:shd w:val="clear" w:color="auto" w:fill="auto"/>
        <w:bidi w:val="0"/>
        <w:spacing w:before="0" w:after="140" w:line="240" w:lineRule="auto"/>
        <w:ind w:left="8940" w:right="0" w:firstLine="0"/>
        <w:jc w:val="left"/>
        <w:rPr>
          <w:sz w:val="17"/>
          <w:szCs w:val="17"/>
        </w:rPr>
      </w:pPr>
      <w:r>
        <w:rPr>
          <w:color w:val="000000"/>
          <w:spacing w:val="0"/>
          <w:w w:val="100"/>
          <w:position w:val="0"/>
          <w:sz w:val="17"/>
          <w:szCs w:val="17"/>
        </w:rPr>
        <w:t>单位：元</w:t>
      </w: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01"/>
      <w:bookmarkEnd w:id="1102"/>
      <w:bookmarkEnd w:id="1104"/>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25,722,002.92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89"/>
        <w:gridCol w:w="1598"/>
        <w:gridCol w:w="1594"/>
        <w:gridCol w:w="160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2,601,886.79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长期无法收回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经董事会批准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2,536,430.55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长期无法收回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经董事会批准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1,889,795.21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长期无法收回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经董事会批准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1,871,452.16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长期无法收回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经董事会批准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16,822,438.21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长期无法收回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经董事会批准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25,722,002.92</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应收账款核销说明：</w:t>
      </w:r>
    </w:p>
    <w:p>
      <w:pPr>
        <w:pStyle w:val="Style51"/>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05"/>
      <w:bookmarkEnd w:id="1106"/>
      <w:bookmarkEnd w:id="110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22,554,723.27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5,737,542.10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12,880,104.95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3,852,031.49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10,302,006.43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515,100.32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7,720,187.58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772,018.76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5,828,631.01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2,914,315.51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59,285,653.24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tabs>
          <w:tab w:pos="493" w:val="left"/>
        </w:tabs>
        <w:bidi w:val="0"/>
        <w:spacing w:before="0" w:after="38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09"/>
      <w:bookmarkEnd w:id="1110"/>
      <w:bookmarkEnd w:id="1112"/>
    </w:p>
    <w:p>
      <w:pPr>
        <w:pStyle w:val="Style51"/>
        <w:keepNext/>
        <w:keepLines/>
        <w:widowControl w:val="0"/>
        <w:shd w:val="clear" w:color="auto" w:fill="auto"/>
        <w:tabs>
          <w:tab w:pos="493" w:val="left"/>
        </w:tabs>
        <w:bidi w:val="0"/>
        <w:spacing w:before="0" w:after="38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13"/>
      <w:bookmarkEnd w:id="1114"/>
      <w:bookmarkEnd w:id="1116"/>
    </w:p>
    <w:p>
      <w:pPr>
        <w:pStyle w:val="Style24"/>
        <w:keepNext w:val="0"/>
        <w:keepLines w:val="0"/>
        <w:widowControl w:val="0"/>
        <w:shd w:val="clear" w:color="auto" w:fill="auto"/>
        <w:bidi w:val="0"/>
        <w:spacing w:before="0" w:after="32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tabs>
          <w:tab w:pos="378" w:val="left"/>
        </w:tabs>
        <w:bidi w:val="0"/>
        <w:spacing w:before="0" w:line="240" w:lineRule="auto"/>
        <w:ind w:left="0" w:right="0" w:firstLine="0"/>
        <w:jc w:val="both"/>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6</w:t>
      </w:r>
      <w:bookmarkEnd w:id="1119"/>
      <w:r>
        <w:rPr>
          <w:color w:val="000000"/>
          <w:spacing w:val="0"/>
          <w:w w:val="100"/>
          <w:position w:val="0"/>
        </w:rPr>
        <w:t>、</w:t>
        <w:tab/>
        <w:t>应收款项融资</w:t>
      </w:r>
      <w:bookmarkEnd w:id="1117"/>
      <w:bookmarkEnd w:id="1118"/>
      <w:bookmarkEnd w:id="1120"/>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p>
      <w:pPr>
        <w:pStyle w:val="Style24"/>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3000" w:val="left"/>
          <w:tab w:pos="6197" w:val="left"/>
        </w:tabs>
        <w:bidi w:val="0"/>
        <w:spacing w:before="0" w:after="70" w:line="240" w:lineRule="auto"/>
        <w:ind w:left="0" w:right="0" w:firstLine="0"/>
        <w:jc w:val="center"/>
        <w:rPr>
          <w:sz w:val="17"/>
          <w:szCs w:val="17"/>
        </w:rPr>
      </w:pPr>
      <w:r>
        <w:rPr>
          <w:color w:val="000000"/>
          <w:spacing w:val="0"/>
          <w:w w:val="100"/>
          <w:position w:val="0"/>
          <w:sz w:val="17"/>
          <w:szCs w:val="17"/>
        </w:rPr>
        <w:t>项目</w:t>
        <w:tab/>
        <w:t>期末余额</w:t>
        <w:tab/>
        <w:t>期初余额</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应收款项融资本期增减变动及公允价值变动情况</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如是按照预期信用损失一般模型计提应收款项融资减值准备，请参照其他应收款的披露方式披露减值准备的相关信息：</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tabs>
          <w:tab w:pos="373" w:val="left"/>
        </w:tabs>
        <w:bidi w:val="0"/>
        <w:spacing w:before="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7</w:t>
      </w:r>
      <w:bookmarkEnd w:id="1123"/>
      <w:r>
        <w:rPr>
          <w:color w:val="000000"/>
          <w:spacing w:val="0"/>
          <w:w w:val="100"/>
          <w:position w:val="0"/>
        </w:rPr>
        <w:t>、</w:t>
        <w:tab/>
        <w:t>预付款项</w:t>
      </w:r>
      <w:bookmarkEnd w:id="1121"/>
      <w:bookmarkEnd w:id="1122"/>
      <w:bookmarkEnd w:id="1124"/>
    </w:p>
    <w:p>
      <w:pPr>
        <w:pStyle w:val="Style51"/>
        <w:keepNext/>
        <w:keepLines/>
        <w:widowControl w:val="0"/>
        <w:shd w:val="clear" w:color="auto" w:fill="auto"/>
        <w:bidi w:val="0"/>
        <w:spacing w:before="0" w:after="38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25"/>
      <w:bookmarkEnd w:id="1126"/>
      <w:bookmarkEnd w:id="1128"/>
    </w:p>
    <w:p>
      <w:pPr>
        <w:pStyle w:val="Style24"/>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9,304,824.62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46,952,084.35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2,323,522.99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1,543,047.96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11,628,347.61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48,495,132.31</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年且金额重要的预付款项未及时结算原因的说明：</w:t>
      </w:r>
    </w:p>
    <w:p>
      <w:pPr>
        <w:pStyle w:val="Style51"/>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9"/>
      <w:bookmarkEnd w:id="1130"/>
      <w:bookmarkEnd w:id="1132"/>
    </w:p>
    <w:tbl>
      <w:tblPr>
        <w:tblOverlap w:val="never"/>
        <w:jc w:val="center"/>
        <w:tblLayout w:type="fixed"/>
      </w:tblPr>
      <w:tblGrid>
        <w:gridCol w:w="3514"/>
        <w:gridCol w:w="2126"/>
        <w:gridCol w:w="2165"/>
      </w:tblGrid>
      <w:tr>
        <w:trPr>
          <w:trHeight w:val="67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预付对象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占预付款项期末余额合 计数的比例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671,985.35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5.78</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650,000.00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5.59</w:t>
            </w:r>
          </w:p>
        </w:tc>
      </w:tr>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400,152.49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3.44</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399,509.56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3.44</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360,000.00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3.10</w:t>
            </w: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2,481,647.40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21.35</w:t>
            </w:r>
          </w:p>
        </w:tc>
      </w:tr>
    </w:tbl>
    <w:p>
      <w:pPr>
        <w:widowControl w:val="0"/>
        <w:spacing w:after="3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8</w:t>
      </w:r>
      <w:bookmarkEnd w:id="1135"/>
      <w:r>
        <w:rPr>
          <w:color w:val="000000"/>
          <w:spacing w:val="0"/>
          <w:w w:val="100"/>
          <w:position w:val="0"/>
        </w:rPr>
        <w:t>、其他应收款</w:t>
      </w:r>
      <w:bookmarkEnd w:id="1133"/>
      <w:bookmarkEnd w:id="1134"/>
      <w:bookmarkEnd w:id="1136"/>
    </w:p>
    <w:p>
      <w:pPr>
        <w:pStyle w:val="Style24"/>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2,351,368.33</w:t>
            </w:r>
          </w:p>
        </w:tc>
      </w:tr>
    </w:tbl>
    <w:p>
      <w:pPr>
        <w:widowControl w:val="0"/>
        <w:spacing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20,325,493.04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28,983,789.37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20,325,493.04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31,335,157.70</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both"/>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37"/>
      <w:bookmarkEnd w:id="1138"/>
      <w:bookmarkEnd w:id="1140"/>
    </w:p>
    <w:p>
      <w:pPr>
        <w:pStyle w:val="Style94"/>
        <w:keepNext/>
        <w:keepLines/>
        <w:widowControl w:val="0"/>
        <w:shd w:val="clear" w:color="auto" w:fill="auto"/>
        <w:bidi w:val="0"/>
        <w:spacing w:before="0" w:line="240" w:lineRule="auto"/>
        <w:ind w:left="0" w:right="0" w:firstLine="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1</w:t>
      </w:r>
      <w:bookmarkEnd w:id="1143"/>
      <w:r>
        <w:rPr>
          <w:color w:val="000000"/>
          <w:spacing w:val="0"/>
          <w:w w:val="100"/>
          <w:position w:val="0"/>
        </w:rPr>
        <w:t>）应收利息分类</w:t>
      </w:r>
      <w:bookmarkEnd w:id="1141"/>
      <w:bookmarkEnd w:id="1142"/>
      <w:bookmarkEnd w:id="1144"/>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2,351,368.33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2,351,368.33</w:t>
            </w:r>
          </w:p>
        </w:tc>
      </w:tr>
    </w:tbl>
    <w:p>
      <w:pPr>
        <w:widowControl w:val="0"/>
        <w:spacing w:after="359" w:line="1" w:lineRule="exact"/>
      </w:pPr>
    </w:p>
    <w:p>
      <w:pPr>
        <w:pStyle w:val="Style94"/>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2</w:t>
      </w:r>
      <w:bookmarkEnd w:id="1147"/>
      <w:r>
        <w:rPr>
          <w:color w:val="000000"/>
          <w:spacing w:val="0"/>
          <w:w w:val="100"/>
          <w:position w:val="0"/>
        </w:rPr>
        <w:t>）重要逾期利息</w:t>
      </w:r>
      <w:bookmarkEnd w:id="1145"/>
      <w:bookmarkEnd w:id="1146"/>
      <w:bookmarkEnd w:id="114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其他说明：</w:t>
      </w:r>
    </w:p>
    <w:p>
      <w:pPr>
        <w:pStyle w:val="Style94"/>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3</w:t>
      </w:r>
      <w:bookmarkEnd w:id="1151"/>
      <w:r>
        <w:rPr>
          <w:color w:val="000000"/>
          <w:spacing w:val="0"/>
          <w:w w:val="100"/>
          <w:position w:val="0"/>
        </w:rPr>
        <w:t>）坏账准备计提情况</w:t>
      </w:r>
      <w:bookmarkEnd w:id="1149"/>
      <w:bookmarkEnd w:id="1150"/>
      <w:bookmarkEnd w:id="1152"/>
    </w:p>
    <w:p>
      <w:pPr>
        <w:pStyle w:val="Style24"/>
        <w:keepNext w:val="0"/>
        <w:keepLines w:val="0"/>
        <w:widowControl w:val="0"/>
        <w:shd w:val="clear" w:color="auto" w:fill="auto"/>
        <w:bidi w:val="0"/>
        <w:spacing w:before="0" w:after="3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51"/>
        <w:keepNext/>
        <w:keepLines/>
        <w:widowControl w:val="0"/>
        <w:shd w:val="clear" w:color="auto" w:fill="auto"/>
        <w:bidi w:val="0"/>
        <w:spacing w:before="0" w:after="360" w:line="240" w:lineRule="auto"/>
        <w:ind w:left="0" w:right="0" w:firstLine="0"/>
        <w:jc w:val="left"/>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53"/>
      <w:bookmarkEnd w:id="1154"/>
      <w:bookmarkEnd w:id="1156"/>
    </w:p>
    <w:p>
      <w:pPr>
        <w:pStyle w:val="Style94"/>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color w:val="000000"/>
          <w:spacing w:val="0"/>
          <w:w w:val="100"/>
          <w:position w:val="0"/>
        </w:rPr>
        <w:t>）应收股利分类</w:t>
      </w:r>
      <w:bookmarkEnd w:id="1157"/>
      <w:bookmarkEnd w:id="1158"/>
      <w:bookmarkEnd w:id="1160"/>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94"/>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bookmarkEnd w:id="116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61"/>
      <w:bookmarkEnd w:id="1162"/>
      <w:bookmarkEnd w:id="1164"/>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359" w:line="1" w:lineRule="exact"/>
      </w:pPr>
    </w:p>
    <w:p>
      <w:pPr>
        <w:pStyle w:val="Style94"/>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3</w:t>
      </w:r>
      <w:bookmarkEnd w:id="1167"/>
      <w:r>
        <w:rPr>
          <w:color w:val="000000"/>
          <w:spacing w:val="0"/>
          <w:w w:val="100"/>
          <w:position w:val="0"/>
        </w:rPr>
        <w:t>）坏账准备计提情况</w:t>
      </w:r>
      <w:bookmarkEnd w:id="1165"/>
      <w:bookmarkEnd w:id="1166"/>
      <w:bookmarkEnd w:id="1168"/>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其他说明：</w:t>
      </w:r>
      <w:r>
        <w:br w:type="page"/>
      </w:r>
    </w:p>
    <w:p>
      <w:pPr>
        <w:pStyle w:val="Style51"/>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69"/>
      <w:bookmarkEnd w:id="1170"/>
      <w:bookmarkEnd w:id="1172"/>
    </w:p>
    <w:p>
      <w:pPr>
        <w:pStyle w:val="Style94"/>
        <w:keepNext/>
        <w:keepLines/>
        <w:widowControl w:val="0"/>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color w:val="000000"/>
          <w:spacing w:val="0"/>
          <w:w w:val="100"/>
          <w:position w:val="0"/>
        </w:rPr>
        <w:t>）其他应收款按款项性质分类情况</w:t>
      </w:r>
      <w:bookmarkEnd w:id="1173"/>
      <w:bookmarkEnd w:id="1174"/>
      <w:bookmarkEnd w:id="1176"/>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31,840,951.50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39,268,611.16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1,842,426.94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2,248,682.87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企业间借款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4,850,000.00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1,756,203.23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2,904,579.51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40,289,581.67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49,271,873.54</w:t>
            </w:r>
          </w:p>
        </w:tc>
      </w:tr>
    </w:tbl>
    <w:p>
      <w:pPr>
        <w:widowControl w:val="0"/>
        <w:spacing w:after="319" w:line="1" w:lineRule="exact"/>
      </w:pPr>
    </w:p>
    <w:p>
      <w:pPr>
        <w:pStyle w:val="Style94"/>
        <w:keepNext/>
        <w:keepLines/>
        <w:widowControl w:val="0"/>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bookmarkEnd w:id="1179"/>
      <w:r>
        <w:rPr>
          <w:color w:val="000000"/>
          <w:spacing w:val="0"/>
          <w:w w:val="100"/>
          <w:position w:val="0"/>
        </w:rPr>
        <w:t>）坏账准备计提情况</w:t>
      </w:r>
      <w:bookmarkEnd w:id="1177"/>
      <w:bookmarkEnd w:id="1178"/>
      <w:bookmarkEnd w:id="1180"/>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15"/>
        <w:gridCol w:w="1656"/>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sz w:val="17"/>
                <w:szCs w:val="17"/>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sz w:val="17"/>
                <w:szCs w:val="17"/>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943,986.48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14,494,097.69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4,850,000.00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20,288,084.17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85,447.85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-409,443.39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-323,995.54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1,029,434.33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14,084,654.30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4,850,000.00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19,964,088.63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按账龄披露</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6,034,772.43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10,781,526.88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13,715,528.50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9,757,753.86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5,440,422.85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2,331,339.91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1,985,991.10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40,289,581.67</w:t>
            </w:r>
          </w:p>
        </w:tc>
      </w:tr>
    </w:tbl>
    <w:p>
      <w:pPr>
        <w:spacing w:lineRule="exact" w:line="1"/>
        <w:rPr>
          <w:sz w:val="2"/>
          <w:szCs w:val="2"/>
        </w:rPr>
      </w:pPr>
      <w:r>
        <w:br w:type="page"/>
      </w:r>
    </w:p>
    <w:p>
      <w:pPr>
        <w:pStyle w:val="Style94"/>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3</w:t>
      </w:r>
      <w:bookmarkEnd w:id="1183"/>
      <w:r>
        <w:rPr>
          <w:color w:val="000000"/>
          <w:spacing w:val="0"/>
          <w:w w:val="100"/>
          <w:position w:val="0"/>
        </w:rPr>
        <w:t>）本期计提、收回或转回的坏账准备情况</w:t>
      </w:r>
      <w:bookmarkEnd w:id="1181"/>
      <w:bookmarkEnd w:id="1182"/>
      <w:bookmarkEnd w:id="1184"/>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本期计提坏账准备情况：</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按单项计提坏账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4,850,000.00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15,438,084.17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-323,995.54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15,114,088.63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20,288,084.17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-323,995.54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19,964,088.63</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94"/>
        <w:keepNext/>
        <w:keepLines/>
        <w:widowControl w:val="0"/>
        <w:shd w:val="clear" w:color="auto" w:fill="auto"/>
        <w:bidi w:val="0"/>
        <w:spacing w:before="0" w:after="38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4</w:t>
      </w:r>
      <w:bookmarkEnd w:id="1187"/>
      <w:r>
        <w:rPr>
          <w:color w:val="000000"/>
          <w:spacing w:val="0"/>
          <w:w w:val="100"/>
          <w:position w:val="0"/>
        </w:rPr>
        <w:t>）本期实际核销的其他应收款情况</w:t>
      </w:r>
      <w:bookmarkEnd w:id="1185"/>
      <w:bookmarkEnd w:id="1186"/>
      <w:bookmarkEnd w:id="118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5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8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tabs>
                <w:tab w:pos="1736" w:val="left"/>
                <w:tab w:pos="3594" w:val="left"/>
              </w:tabs>
              <w:bidi w:val="0"/>
              <w:spacing w:before="0" w:after="0" w:line="240" w:lineRule="auto"/>
              <w:ind w:left="0" w:right="0" w:firstLine="440"/>
              <w:jc w:val="left"/>
              <w:rPr>
                <w:sz w:val="17"/>
                <w:szCs w:val="17"/>
              </w:rPr>
            </w:pPr>
            <w:r>
              <w:rPr>
                <w:color w:val="000000"/>
                <w:spacing w:val="0"/>
                <w:w w:val="100"/>
                <w:position w:val="0"/>
                <w:sz w:val="17"/>
                <w:szCs w:val="17"/>
              </w:rPr>
              <w:t>单位名称</w:t>
              <w:tab/>
              <w:t>其他应收款性质</w:t>
              <w:tab/>
              <w:t>核销金额</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款项是否由关联交</w:t>
            </w:r>
          </w:p>
          <w:p>
            <w:pPr>
              <w:pStyle w:val="Style18"/>
              <w:keepNext w:val="0"/>
              <w:keepLines w:val="0"/>
              <w:widowControl w:val="0"/>
              <w:shd w:val="clear" w:color="auto" w:fill="auto"/>
              <w:tabs>
                <w:tab w:pos="1760" w:val="left"/>
              </w:tabs>
              <w:bidi w:val="0"/>
              <w:spacing w:before="0" w:after="0" w:line="240" w:lineRule="auto"/>
              <w:ind w:left="0" w:right="0" w:firstLine="440"/>
              <w:jc w:val="left"/>
              <w:rPr>
                <w:sz w:val="17"/>
                <w:szCs w:val="17"/>
              </w:rPr>
            </w:pPr>
            <w:r>
              <w:rPr>
                <w:color w:val="000000"/>
                <w:spacing w:val="0"/>
                <w:w w:val="100"/>
                <w:position w:val="0"/>
                <w:sz w:val="17"/>
                <w:szCs w:val="17"/>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18"/>
              <w:keepNext w:val="0"/>
              <w:keepLines w:val="0"/>
              <w:widowControl w:val="0"/>
              <w:shd w:val="clear" w:color="auto" w:fill="auto"/>
              <w:bidi w:val="0"/>
              <w:spacing w:before="0" w:after="0" w:line="240" w:lineRule="auto"/>
              <w:ind w:left="3720" w:right="0" w:firstLine="0"/>
              <w:jc w:val="left"/>
              <w:rPr>
                <w:sz w:val="17"/>
                <w:szCs w:val="17"/>
              </w:rPr>
            </w:pPr>
            <w:r>
              <w:rPr>
                <w:color w:val="000000"/>
                <w:spacing w:val="0"/>
                <w:w w:val="100"/>
                <w:position w:val="0"/>
                <w:sz w:val="17"/>
                <w:szCs w:val="17"/>
              </w:rPr>
              <w:t>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其他应收款核销说明：</w:t>
      </w:r>
    </w:p>
    <w:p>
      <w:pPr>
        <w:pStyle w:val="Style94"/>
        <w:keepNext/>
        <w:keepLines/>
        <w:widowControl w:val="0"/>
        <w:shd w:val="clear" w:color="auto" w:fill="auto"/>
        <w:bidi w:val="0"/>
        <w:spacing w:before="0" w:after="38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5</w:t>
      </w:r>
      <w:bookmarkEnd w:id="1191"/>
      <w:r>
        <w:rPr>
          <w:color w:val="000000"/>
          <w:spacing w:val="0"/>
          <w:w w:val="100"/>
          <w:position w:val="0"/>
        </w:rPr>
        <w:t>）按欠款方归集的期末余额前五名的其他应收款情况</w:t>
      </w:r>
      <w:bookmarkEnd w:id="1189"/>
      <w:bookmarkEnd w:id="1190"/>
      <w:bookmarkEnd w:id="1192"/>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企业间借款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4,850,000.00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1,649,000.00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247,350.00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1,430,293.40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1,430,293.40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1,299,190.00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194,878.50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1,059,284.20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425,543.58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10,287,767.60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7,148,065.48</w:t>
            </w:r>
          </w:p>
        </w:tc>
      </w:tr>
    </w:tbl>
    <w:p>
      <w:pPr>
        <w:pStyle w:val="Style94"/>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6</w:t>
      </w:r>
      <w:bookmarkEnd w:id="1195"/>
      <w:r>
        <w:rPr>
          <w:color w:val="000000"/>
          <w:spacing w:val="0"/>
          <w:w w:val="100"/>
          <w:position w:val="0"/>
        </w:rPr>
        <w:t>）涉及政府补助的应收款项</w:t>
      </w:r>
      <w:bookmarkEnd w:id="1193"/>
      <w:bookmarkEnd w:id="1194"/>
      <w:bookmarkEnd w:id="1196"/>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预计收取的时间、金额 及依据</w:t>
            </w:r>
          </w:p>
        </w:tc>
      </w:tr>
    </w:tbl>
    <w:p>
      <w:pPr>
        <w:widowControl w:val="0"/>
        <w:spacing w:after="359" w:line="1" w:lineRule="exact"/>
      </w:pPr>
    </w:p>
    <w:p>
      <w:pPr>
        <w:pStyle w:val="Style94"/>
        <w:keepNext/>
        <w:keepLines/>
        <w:widowControl w:val="0"/>
        <w:shd w:val="clear" w:color="auto" w:fill="auto"/>
        <w:tabs>
          <w:tab w:pos="392" w:val="left"/>
        </w:tabs>
        <w:bidi w:val="0"/>
        <w:spacing w:before="0" w:line="240" w:lineRule="auto"/>
        <w:ind w:left="0" w:right="0" w:firstLine="0"/>
        <w:jc w:val="both"/>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7</w:t>
      </w:r>
      <w:bookmarkEnd w:id="1199"/>
      <w:r>
        <w:rPr>
          <w:color w:val="000000"/>
          <w:spacing w:val="0"/>
          <w:w w:val="100"/>
          <w:position w:val="0"/>
        </w:rPr>
        <w:t>）</w:t>
        <w:tab/>
        <w:t>因金融资产转移而终止确认的其他应收款</w:t>
      </w:r>
      <w:bookmarkEnd w:id="1197"/>
      <w:bookmarkEnd w:id="1198"/>
      <w:bookmarkEnd w:id="1200"/>
    </w:p>
    <w:p>
      <w:pPr>
        <w:pStyle w:val="Style94"/>
        <w:keepNext/>
        <w:keepLines/>
        <w:widowControl w:val="0"/>
        <w:shd w:val="clear" w:color="auto" w:fill="auto"/>
        <w:tabs>
          <w:tab w:pos="397" w:val="left"/>
        </w:tabs>
        <w:bidi w:val="0"/>
        <w:spacing w:before="0" w:line="240" w:lineRule="auto"/>
        <w:ind w:left="0" w:right="0" w:firstLine="0"/>
        <w:jc w:val="both"/>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8</w:t>
      </w:r>
      <w:bookmarkEnd w:id="1203"/>
      <w:r>
        <w:rPr>
          <w:color w:val="000000"/>
          <w:spacing w:val="0"/>
          <w:w w:val="100"/>
          <w:position w:val="0"/>
        </w:rPr>
        <w:t>）</w:t>
        <w:tab/>
        <w:t>转移其他应收款且继续涉入形成的资产、负债金额</w:t>
      </w:r>
      <w:bookmarkEnd w:id="1201"/>
      <w:bookmarkEnd w:id="1202"/>
      <w:bookmarkEnd w:id="1204"/>
    </w:p>
    <w:p>
      <w:pPr>
        <w:pStyle w:val="Style24"/>
        <w:keepNext w:val="0"/>
        <w:keepLines w:val="0"/>
        <w:widowControl w:val="0"/>
        <w:shd w:val="clear" w:color="auto" w:fill="auto"/>
        <w:bidi w:val="0"/>
        <w:spacing w:before="0" w:after="36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after="360" w:line="240" w:lineRule="auto"/>
        <w:ind w:left="0" w:right="0" w:firstLine="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9</w:t>
      </w:r>
      <w:bookmarkEnd w:id="1207"/>
      <w:r>
        <w:rPr>
          <w:color w:val="000000"/>
          <w:spacing w:val="0"/>
          <w:w w:val="100"/>
          <w:position w:val="0"/>
        </w:rPr>
        <w:t>、存货</w:t>
      </w:r>
      <w:bookmarkEnd w:id="1205"/>
      <w:bookmarkEnd w:id="1206"/>
      <w:bookmarkEnd w:id="1208"/>
    </w:p>
    <w:p>
      <w:pPr>
        <w:pStyle w:val="Style24"/>
        <w:keepNext w:val="0"/>
        <w:keepLines w:val="0"/>
        <w:widowControl w:val="0"/>
        <w:shd w:val="clear" w:color="auto" w:fill="auto"/>
        <w:bidi w:val="0"/>
        <w:spacing w:before="0" w:after="160" w:line="240" w:lineRule="auto"/>
        <w:ind w:left="0" w:right="0" w:firstLine="0"/>
        <w:jc w:val="both"/>
        <w:rPr>
          <w:sz w:val="17"/>
          <w:szCs w:val="17"/>
        </w:rPr>
      </w:pPr>
      <w:r>
        <w:rPr>
          <w:color w:val="000000"/>
          <w:spacing w:val="0"/>
          <w:w w:val="100"/>
          <w:position w:val="0"/>
          <w:sz w:val="17"/>
          <w:szCs w:val="17"/>
        </w:rPr>
        <w:t>公司是否需要遵守房地产行业的披露要求</w:t>
      </w:r>
    </w:p>
    <w:p>
      <w:pPr>
        <w:pStyle w:val="Style24"/>
        <w:keepNext w:val="0"/>
        <w:keepLines w:val="0"/>
        <w:widowControl w:val="0"/>
        <w:shd w:val="clear" w:color="auto" w:fill="auto"/>
        <w:bidi w:val="0"/>
        <w:spacing w:before="0" w:after="360" w:line="240" w:lineRule="auto"/>
        <w:ind w:left="0" w:right="0" w:firstLine="0"/>
        <w:jc w:val="both"/>
        <w:rPr>
          <w:sz w:val="17"/>
          <w:szCs w:val="17"/>
        </w:rPr>
      </w:pPr>
      <w:r>
        <w:rPr>
          <w:color w:val="000000"/>
          <w:spacing w:val="0"/>
          <w:w w:val="100"/>
          <w:position w:val="0"/>
          <w:sz w:val="17"/>
          <w:szCs w:val="17"/>
        </w:rPr>
        <w:t>否</w:t>
      </w:r>
    </w:p>
    <w:p>
      <w:pPr>
        <w:pStyle w:val="Style51"/>
        <w:keepNext/>
        <w:keepLines/>
        <w:widowControl w:val="0"/>
        <w:shd w:val="clear" w:color="auto" w:fill="auto"/>
        <w:bidi w:val="0"/>
        <w:spacing w:before="0" w:after="360" w:line="240" w:lineRule="auto"/>
        <w:ind w:left="0" w:right="0" w:firstLine="0"/>
        <w:jc w:val="both"/>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9"/>
      <w:bookmarkEnd w:id="1210"/>
      <w:bookmarkEnd w:id="1212"/>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存货跌价准备或</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合同履约成本减</w:t>
            </w:r>
          </w:p>
          <w:p>
            <w:pPr>
              <w:pStyle w:val="Style18"/>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存货跌价准备或</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合同履约成本减</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320,431.12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320,431.12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287,749.71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287,749.71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项目实施成本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75,625,796.97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7,061,521.29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68,564,275.68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100,584,014.64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10,051,822.01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90,532,192.63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75,946,228.09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7,061,521.29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68,884,706.80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100,871,764.35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10,051,822.01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90,819,942.34</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13"/>
      <w:bookmarkEnd w:id="1214"/>
      <w:bookmarkEnd w:id="1216"/>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项目实施成本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10,051,822.01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6,628,268.27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9,618,568.99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7,061,521.29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10,051,822.01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6,628,268.27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9,618,568.99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7,061,521.29</w:t>
            </w:r>
          </w:p>
        </w:tc>
      </w:tr>
    </w:tbl>
    <w:p>
      <w:pPr>
        <w:spacing w:lineRule="exact" w:line="1"/>
        <w:rPr>
          <w:sz w:val="2"/>
          <w:szCs w:val="2"/>
        </w:rPr>
      </w:pPr>
      <w:r>
        <w:br w:type="page"/>
      </w:r>
    </w:p>
    <w:p>
      <w:pPr>
        <w:pStyle w:val="Style51"/>
        <w:keepNext/>
        <w:keepLines/>
        <w:widowControl w:val="0"/>
        <w:numPr>
          <w:ilvl w:val="0"/>
          <w:numId w:val="47"/>
        </w:numPr>
        <w:shd w:val="clear" w:color="auto" w:fill="auto"/>
        <w:tabs>
          <w:tab w:pos="493" w:val="left"/>
        </w:tabs>
        <w:bidi w:val="0"/>
        <w:spacing w:before="0" w:after="380" w:line="240" w:lineRule="auto"/>
        <w:ind w:left="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存货期末余额含有借款费用资本化金额的说明</w:t>
      </w:r>
      <w:bookmarkEnd w:id="1217"/>
      <w:bookmarkEnd w:id="1218"/>
      <w:bookmarkEnd w:id="1220"/>
    </w:p>
    <w:p>
      <w:pPr>
        <w:pStyle w:val="Style51"/>
        <w:keepNext/>
        <w:keepLines/>
        <w:widowControl w:val="0"/>
        <w:numPr>
          <w:ilvl w:val="0"/>
          <w:numId w:val="47"/>
        </w:numPr>
        <w:shd w:val="clear" w:color="auto" w:fill="auto"/>
        <w:tabs>
          <w:tab w:pos="493" w:val="left"/>
        </w:tabs>
        <w:bidi w:val="0"/>
        <w:spacing w:before="0" w:after="380" w:line="240" w:lineRule="auto"/>
        <w:ind w:left="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合同履约成本本期摊销金额的说明</w:t>
      </w:r>
      <w:bookmarkEnd w:id="1221"/>
      <w:bookmarkEnd w:id="1222"/>
      <w:bookmarkEnd w:id="1224"/>
    </w:p>
    <w:p>
      <w:pPr>
        <w:pStyle w:val="Style28"/>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25"/>
      <w:bookmarkEnd w:id="1226"/>
      <w:bookmarkEnd w:id="122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136"/>
        <w:gridCol w:w="1195"/>
        <w:gridCol w:w="1330"/>
        <w:gridCol w:w="1195"/>
        <w:gridCol w:w="1195"/>
        <w:gridCol w:w="1200"/>
        <w:gridCol w:w="133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销售形成的合同资产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16,398,388.19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3,502,118.26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12,896,269.93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18,271,866.96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2,684,136.68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15,587,730.28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16,398,388.19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3,502,118.26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12,896,269.93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18,271,866.96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2,684,136.68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15,587,730.28</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如是按照预期信用损失一般模型计提合同资产坏账准备，请参照其他应收款的披露方式披露坏账准备的相关信息: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本期合同资产计提减值准备情况</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按账龄组合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817,981.58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817,981.58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29"/>
      <w:bookmarkEnd w:id="1230"/>
      <w:bookmarkEnd w:id="1232"/>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33"/>
      <w:bookmarkEnd w:id="1234"/>
      <w:bookmarkEnd w:id="1236"/>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8,030,160.00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8,030,160.00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3830"/>
        <w:gridCol w:w="3835"/>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p>
    <w:tbl>
      <w:tblPr>
        <w:tblOverlap w:val="never"/>
        <w:jc w:val="center"/>
        <w:tblLayout w:type="fixed"/>
      </w:tblPr>
      <w:tblGrid>
        <w:gridCol w:w="1920"/>
        <w:gridCol w:w="960"/>
        <w:gridCol w:w="955"/>
        <w:gridCol w:w="955"/>
        <w:gridCol w:w="960"/>
        <w:gridCol w:w="955"/>
        <w:gridCol w:w="955"/>
        <w:gridCol w:w="955"/>
        <w:gridCol w:w="97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37"/>
      <w:bookmarkEnd w:id="1238"/>
      <w:bookmarkEnd w:id="1240"/>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留抵进项税额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26,235.79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26,235.79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41"/>
      <w:bookmarkEnd w:id="1242"/>
      <w:bookmarkEnd w:id="1244"/>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p>
      <w:pPr>
        <w:pStyle w:val="Style2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4103" w:val="left"/>
        </w:tabs>
        <w:bidi w:val="0"/>
        <w:spacing w:before="0" w:after="0" w:line="240" w:lineRule="auto"/>
        <w:ind w:left="0" w:right="0" w:firstLine="0"/>
        <w:jc w:val="center"/>
        <w:rPr>
          <w:sz w:val="17"/>
          <w:szCs w:val="17"/>
        </w:rPr>
      </w:pPr>
      <w:r>
        <w:rPr>
          <w:color w:val="000000"/>
          <w:spacing w:val="0"/>
          <w:w w:val="100"/>
          <w:position w:val="0"/>
          <w:sz w:val="17"/>
          <w:szCs w:val="17"/>
        </w:rPr>
        <w:t>期末余额</w:t>
        <w:tab/>
        <w:t>期初余额</w:t>
      </w:r>
    </w:p>
    <w:p>
      <w:pPr>
        <w:pStyle w:val="Style2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376" w:val="left"/>
          <w:tab w:leader="hyphen" w:pos="2777" w:val="left"/>
          <w:tab w:leader="hyphen" w:pos="4103" w:val="left"/>
          <w:tab w:leader="hyphen" w:pos="6786" w:val="left"/>
          <w:tab w:leader="hyphen" w:pos="8205" w:val="left"/>
          <w:tab w:leader="hyphen" w:pos="9555" w:val="left"/>
        </w:tabs>
        <w:bidi w:val="0"/>
        <w:spacing w:before="0" w:after="0" w:line="240" w:lineRule="auto"/>
        <w:ind w:left="0" w:right="0" w:firstLine="520"/>
        <w:jc w:val="left"/>
        <w:rPr>
          <w:sz w:val="17"/>
          <w:szCs w:val="17"/>
        </w:rPr>
      </w:pPr>
      <w:r>
        <w:rPr>
          <w:color w:val="000000"/>
          <w:spacing w:val="0"/>
          <w:w w:val="100"/>
          <w:position w:val="0"/>
          <w:sz w:val="17"/>
          <w:szCs w:val="17"/>
        </w:rPr>
        <w:t>项目</w:t>
        <w:tab/>
        <w:tab/>
        <w:tab/>
        <w:tab/>
        <w:tab/>
        <w:tab/>
      </w:r>
    </w:p>
    <w:p>
      <w:pPr>
        <w:pStyle w:val="Style2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376" w:val="left"/>
          <w:tab w:pos="2777" w:val="left"/>
          <w:tab w:pos="4103" w:val="left"/>
          <w:tab w:pos="5467" w:val="left"/>
          <w:tab w:pos="6786" w:val="left"/>
        </w:tabs>
        <w:bidi w:val="0"/>
        <w:spacing w:before="0" w:after="70" w:line="240" w:lineRule="auto"/>
        <w:ind w:left="0" w:right="0" w:firstLine="0"/>
        <w:jc w:val="center"/>
        <w:rPr>
          <w:sz w:val="17"/>
          <w:szCs w:val="17"/>
        </w:rPr>
      </w:pPr>
      <w:r>
        <w:rPr>
          <w:color w:val="000000"/>
          <w:spacing w:val="0"/>
          <w:w w:val="100"/>
          <w:position w:val="0"/>
          <w:sz w:val="17"/>
          <w:szCs w:val="17"/>
        </w:rPr>
        <w:t>账面余额</w:t>
        <w:tab/>
        <w:t>减值准备</w:t>
        <w:tab/>
        <w:t>账面价值</w:t>
        <w:tab/>
        <w:t>账面余额</w:t>
        <w:tab/>
        <w:t>减值准备</w:t>
        <w:tab/>
        <w:t>账面价值</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重要的债权投资</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p>
      <w:pPr>
        <w:pStyle w:val="Style24"/>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3824" w:val="left"/>
        </w:tabs>
        <w:bidi w:val="0"/>
        <w:spacing w:before="0" w:after="0" w:line="240" w:lineRule="auto"/>
        <w:ind w:left="0" w:right="0" w:firstLine="0"/>
        <w:jc w:val="center"/>
        <w:rPr>
          <w:sz w:val="17"/>
          <w:szCs w:val="17"/>
        </w:rPr>
      </w:pPr>
      <w:r>
        <w:rPr>
          <w:color w:val="000000"/>
          <w:spacing w:val="0"/>
          <w:w w:val="100"/>
          <w:position w:val="0"/>
          <w:sz w:val="17"/>
          <w:szCs w:val="17"/>
        </w:rPr>
        <w:t>期末余额</w:t>
        <w:tab/>
        <w:t>期初余额</w:t>
      </w:r>
    </w:p>
    <w:p>
      <w:pPr>
        <w:pStyle w:val="Style24"/>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1920" w:val="left"/>
          <w:tab w:leader="hyphen" w:pos="2777" w:val="left"/>
          <w:tab w:leader="hyphen" w:pos="3824" w:val="left"/>
          <w:tab w:leader="hyphen" w:pos="4682" w:val="left"/>
          <w:tab w:leader="hyphen" w:pos="6786" w:val="left"/>
          <w:tab w:leader="hyphen" w:pos="7642" w:val="left"/>
          <w:tab w:leader="hyphen" w:pos="8597" w:val="left"/>
          <w:tab w:leader="hyphen" w:pos="9555" w:val="left"/>
        </w:tabs>
        <w:bidi w:val="0"/>
        <w:spacing w:before="0" w:after="0" w:line="240" w:lineRule="auto"/>
        <w:ind w:left="0" w:right="0" w:firstLine="600"/>
        <w:jc w:val="left"/>
        <w:rPr>
          <w:sz w:val="17"/>
          <w:szCs w:val="17"/>
        </w:rPr>
      </w:pPr>
      <w:r>
        <w:rPr>
          <w:color w:val="000000"/>
          <w:spacing w:val="0"/>
          <w:w w:val="100"/>
          <w:position w:val="0"/>
          <w:sz w:val="17"/>
          <w:szCs w:val="17"/>
        </w:rPr>
        <w:t>债权项目</w:t>
        <w:tab/>
        <w:tab/>
        <w:tab/>
        <w:tab/>
        <w:tab/>
        <w:tab/>
        <w:tab/>
        <w:tab/>
      </w:r>
    </w:p>
    <w:p>
      <w:pPr>
        <w:pStyle w:val="Style24"/>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778" w:val="left"/>
          <w:tab w:pos="3824" w:val="left"/>
          <w:tab w:pos="4682" w:val="left"/>
        </w:tabs>
        <w:bidi w:val="0"/>
        <w:spacing w:before="0" w:after="75" w:line="240" w:lineRule="auto"/>
        <w:ind w:left="0" w:right="0" w:firstLine="0"/>
        <w:jc w:val="center"/>
        <w:rPr>
          <w:sz w:val="17"/>
          <w:szCs w:val="17"/>
        </w:rPr>
      </w:pPr>
      <w:r>
        <w:rPr>
          <w:color w:val="000000"/>
          <w:spacing w:val="0"/>
          <w:w w:val="100"/>
          <w:position w:val="0"/>
          <w:sz w:val="17"/>
          <w:szCs w:val="17"/>
        </w:rPr>
        <w:t>面值</w:t>
        <w:tab/>
        <w:t>票面利率实际利率 到期日</w:t>
        <w:tab/>
        <w:t>面值</w:t>
        <w:tab/>
        <w:t>票面利率实际利率 到期日</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减值准备计提情况</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sz w:val="17"/>
                <w:szCs w:val="17"/>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sz w:val="17"/>
                <w:szCs w:val="17"/>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45"/>
      <w:bookmarkEnd w:id="1246"/>
      <w:bookmarkEnd w:id="124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本期公允价 值变动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sz w:val="17"/>
                <w:szCs w:val="17"/>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sz w:val="17"/>
                <w:szCs w:val="17"/>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bookmarkEnd w:id="125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49"/>
      <w:bookmarkEnd w:id="1250"/>
      <w:bookmarkEnd w:id="1252"/>
    </w:p>
    <w:p>
      <w:pPr>
        <w:pStyle w:val="Style51"/>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53"/>
      <w:bookmarkEnd w:id="1254"/>
      <w:bookmarkEnd w:id="1256"/>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406"/>
        <w:gridCol w:w="1166"/>
        <w:gridCol w:w="1171"/>
        <w:gridCol w:w="1166"/>
        <w:gridCol w:w="1166"/>
        <w:gridCol w:w="1166"/>
        <w:gridCol w:w="1166"/>
        <w:gridCol w:w="1176"/>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sz w:val="17"/>
                <w:szCs w:val="17"/>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sz w:val="17"/>
                <w:szCs w:val="17"/>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损失准备本期变动金额重大的账面余额变动情况</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51"/>
        <w:keepNext/>
        <w:keepLines/>
        <w:widowControl w:val="0"/>
        <w:shd w:val="clear" w:color="auto" w:fill="auto"/>
        <w:tabs>
          <w:tab w:pos="493" w:val="left"/>
        </w:tabs>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57"/>
      <w:bookmarkEnd w:id="1258"/>
      <w:bookmarkEnd w:id="1260"/>
    </w:p>
    <w:p>
      <w:pPr>
        <w:pStyle w:val="Style51"/>
        <w:keepNext/>
        <w:keepLines/>
        <w:widowControl w:val="0"/>
        <w:shd w:val="clear" w:color="auto" w:fill="auto"/>
        <w:tabs>
          <w:tab w:pos="493" w:val="left"/>
        </w:tabs>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61"/>
      <w:bookmarkEnd w:id="1262"/>
      <w:bookmarkEnd w:id="1264"/>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bookmarkEnd w:id="126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65"/>
      <w:bookmarkEnd w:id="1266"/>
      <w:bookmarkEnd w:id="1268"/>
    </w:p>
    <w:p>
      <w:pPr>
        <w:pStyle w:val="Style24"/>
        <w:keepNext w:val="0"/>
        <w:keepLines w:val="0"/>
        <w:widowControl w:val="0"/>
        <w:shd w:val="clear" w:color="auto" w:fill="auto"/>
        <w:bidi w:val="0"/>
        <w:spacing w:before="0" w:after="140" w:line="240" w:lineRule="auto"/>
        <w:ind w:left="8940" w:right="0" w:firstLine="0"/>
        <w:jc w:val="left"/>
        <w:rPr>
          <w:sz w:val="17"/>
          <w:szCs w:val="17"/>
        </w:rPr>
      </w:pPr>
      <w:r>
        <w:rPr>
          <w:color w:val="000000"/>
          <w:spacing w:val="0"/>
          <w:w w:val="100"/>
          <w:position w:val="0"/>
          <w:sz w:val="17"/>
          <w:szCs w:val="17"/>
        </w:rPr>
        <w:t>单位：元</w:t>
      </w: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7"/>
                <w:szCs w:val="17"/>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期末余额</w:t>
            </w:r>
          </w:p>
          <w:p>
            <w:pPr>
              <w:pStyle w:val="Style18"/>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7"/>
                <w:szCs w:val="17"/>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权益法下</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确认的投</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交信北斗</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（海南）</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科技有限</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104,100,0</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-728,659.</w:t>
            </w:r>
          </w:p>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103,371,3</w:t>
            </w:r>
          </w:p>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104,100,0</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-728,659.</w:t>
            </w:r>
          </w:p>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103,371,3</w:t>
            </w:r>
          </w:p>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104,100,0</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-728,659.</w:t>
            </w:r>
          </w:p>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103,371,3</w:t>
            </w:r>
          </w:p>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1</w:t>
      </w:r>
      <w:bookmarkEnd w:id="127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69"/>
      <w:bookmarkEnd w:id="1270"/>
      <w:bookmarkEnd w:id="127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63"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bl>
    <w:p>
      <w:pPr>
        <w:widowControl w:val="0"/>
        <w:spacing w:line="1" w:lineRule="exact"/>
      </w:pPr>
    </w:p>
    <w:tbl>
      <w:tblPr>
        <w:tblOverlap w:val="never"/>
        <w:jc w:val="center"/>
        <w:tblLayout w:type="fixed"/>
      </w:tblPr>
      <w:tblGrid>
        <w:gridCol w:w="1373"/>
        <w:gridCol w:w="1368"/>
        <w:gridCol w:w="1368"/>
        <w:gridCol w:w="1368"/>
        <w:gridCol w:w="1363"/>
        <w:gridCol w:w="1368"/>
        <w:gridCol w:w="1378"/>
      </w:tblGrid>
      <w:tr>
        <w:trPr>
          <w:trHeight w:val="135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确认的股利收入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入留存收益的金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入留存收益的原 因</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1</w:t>
      </w:r>
      <w:bookmarkEnd w:id="127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73"/>
      <w:bookmarkEnd w:id="1274"/>
      <w:bookmarkEnd w:id="1276"/>
    </w:p>
    <w:p>
      <w:pPr>
        <w:pStyle w:val="Style24"/>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以公允价值计量且其变动计入当期损益</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20,902,700.00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14,796,700.00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20,902,700.00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14,796,700.00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2</w:t>
      </w:r>
      <w:bookmarkEnd w:id="127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77"/>
      <w:bookmarkEnd w:id="1278"/>
      <w:bookmarkEnd w:id="1280"/>
    </w:p>
    <w:p>
      <w:pPr>
        <w:pStyle w:val="Style51"/>
        <w:keepNext/>
        <w:keepLines/>
        <w:widowControl w:val="0"/>
        <w:shd w:val="clear" w:color="auto" w:fill="auto"/>
        <w:tabs>
          <w:tab w:pos="493" w:val="left"/>
        </w:tabs>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81"/>
      <w:bookmarkEnd w:id="1282"/>
      <w:bookmarkEnd w:id="1284"/>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51"/>
        <w:keepNext/>
        <w:keepLines/>
        <w:widowControl w:val="0"/>
        <w:shd w:val="clear" w:color="auto" w:fill="auto"/>
        <w:tabs>
          <w:tab w:pos="493" w:val="left"/>
        </w:tabs>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85"/>
      <w:bookmarkEnd w:id="1286"/>
      <w:bookmarkEnd w:id="1288"/>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51"/>
        <w:keepNext/>
        <w:keepLines/>
        <w:widowControl w:val="0"/>
        <w:shd w:val="clear" w:color="auto" w:fill="auto"/>
        <w:tabs>
          <w:tab w:pos="493" w:val="left"/>
        </w:tabs>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89"/>
      <w:bookmarkEnd w:id="1290"/>
      <w:bookmarkEnd w:id="1292"/>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93"/>
      <w:bookmarkEnd w:id="1294"/>
      <w:bookmarkEnd w:id="1296"/>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285,608,954.15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8,444,004.81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285,608,954.15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8,444,004.81</w:t>
            </w:r>
          </w:p>
        </w:tc>
      </w:tr>
    </w:tbl>
    <w:p>
      <w:pPr>
        <w:widowControl w:val="0"/>
        <w:spacing w:after="379" w:line="1" w:lineRule="exact"/>
      </w:pPr>
    </w:p>
    <w:p>
      <w:pPr>
        <w:pStyle w:val="Style51"/>
        <w:keepNext/>
        <w:keepLines/>
        <w:widowControl w:val="0"/>
        <w:shd w:val="clear" w:color="auto" w:fill="auto"/>
        <w:bidi w:val="0"/>
        <w:spacing w:before="0" w:after="380" w:line="240" w:lineRule="auto"/>
        <w:ind w:left="0" w:right="0" w:firstLine="0"/>
        <w:jc w:val="both"/>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97"/>
      <w:bookmarkEnd w:id="1298"/>
      <w:bookmarkEnd w:id="1300"/>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电子设备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2,535,238.58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2,999,136.36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35,210,627.32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40,745,002.26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280,615,550.62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1,045,290.02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281,660,840.64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1,045,290.02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1,045,290.02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280,615,550.62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280,615,550.62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218,502.71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41,880.34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260,383.05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218,502.71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41,880.34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260,383.05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283,150,789.20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2,780,633.65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36,214,037.00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322,145,459.85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426,696.89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1,778,921.42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30,095,379.14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32,300,997.45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1,351,617.55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3,119,729.62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4,482,872.15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1,351,617.55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3,119,729.62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4,482,872.15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207,577.57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39,786.33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247,363.90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207,577.57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39,786.33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247,363.90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1,778,314.44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1,582,868.83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33,175,322.43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36,536,505.70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281,372,474.76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1,197,764.82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3,038,714.57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285,608,954.15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2,108,541.69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1,220,214.94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5,115,248.18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8,444,004.81</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01"/>
      <w:bookmarkEnd w:id="1302"/>
      <w:bookmarkEnd w:id="1304"/>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05"/>
      <w:bookmarkEnd w:id="1306"/>
      <w:bookmarkEnd w:id="130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594"/>
        <w:gridCol w:w="1598"/>
        <w:gridCol w:w="3259"/>
      </w:tblGrid>
      <w:tr>
        <w:trPr>
          <w:trHeight w:val="408"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r>
        <w:trPr>
          <w:trHeight w:val="1277" w:hRule="exact"/>
        </w:trPr>
        <w:tc>
          <w:tcPr>
            <w:gridSpan w:val="2"/>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bookmarkStart w:id="1309" w:name="bookmark130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）未办妥产权证书的固定资产情况</w:t>
            </w:r>
            <w:bookmarkEnd w:id="1309"/>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1"/>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10"/>
      <w:bookmarkEnd w:id="1311"/>
      <w:bookmarkEnd w:id="1313"/>
    </w:p>
    <w:p>
      <w:pPr>
        <w:pStyle w:val="Style24"/>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14"/>
      <w:bookmarkEnd w:id="1315"/>
      <w:bookmarkEnd w:id="1317"/>
    </w:p>
    <w:p>
      <w:pPr>
        <w:pStyle w:val="Style24"/>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280,615,550.62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280,615,550.62</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18"/>
      <w:bookmarkEnd w:id="1319"/>
      <w:bookmarkEnd w:id="1321"/>
    </w:p>
    <w:p>
      <w:pPr>
        <w:pStyle w:val="Style24"/>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光典厂房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263,780,705.34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263,780,705.34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厂房装修费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16,834,845.28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16,834,845.28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280,615,550.62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280,615,550.62</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22"/>
      <w:bookmarkEnd w:id="1323"/>
      <w:bookmarkEnd w:id="1325"/>
    </w:p>
    <w:p>
      <w:pPr>
        <w:pStyle w:val="Style24"/>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本期增</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本期利</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息资本</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资金来 源</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光典厂 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263,780,</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263,780,</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13,355,0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厂房装</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16,834,8</w:t>
            </w:r>
          </w:p>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16,834,8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280,615,</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280,615,</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13,355,0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26"/>
      <w:bookmarkEnd w:id="1327"/>
      <w:bookmarkEnd w:id="1329"/>
    </w:p>
    <w:p>
      <w:pPr>
        <w:pStyle w:val="Style24"/>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51"/>
        <w:keepNext/>
        <w:keepLines/>
        <w:widowControl w:val="0"/>
        <w:shd w:val="clear" w:color="auto" w:fill="auto"/>
        <w:bidi w:val="0"/>
        <w:spacing w:before="0" w:after="42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30"/>
      <w:bookmarkEnd w:id="1331"/>
      <w:bookmarkEnd w:id="1333"/>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136"/>
        <w:gridCol w:w="1330"/>
        <w:gridCol w:w="1330"/>
        <w:gridCol w:w="1195"/>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tabs>
          <w:tab w:pos="483" w:val="left"/>
        </w:tabs>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34"/>
      <w:bookmarkEnd w:id="1335"/>
      <w:bookmarkEnd w:id="1337"/>
    </w:p>
    <w:p>
      <w:pPr>
        <w:pStyle w:val="Style51"/>
        <w:keepNext/>
        <w:keepLines/>
        <w:widowControl w:val="0"/>
        <w:shd w:val="clear" w:color="auto" w:fill="auto"/>
        <w:tabs>
          <w:tab w:pos="493" w:val="left"/>
        </w:tabs>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38"/>
      <w:bookmarkEnd w:id="1339"/>
      <w:bookmarkEnd w:id="1341"/>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51"/>
        <w:keepNext/>
        <w:keepLines/>
        <w:widowControl w:val="0"/>
        <w:shd w:val="clear" w:color="auto" w:fill="auto"/>
        <w:tabs>
          <w:tab w:pos="493" w:val="left"/>
        </w:tabs>
        <w:bidi w:val="0"/>
        <w:spacing w:before="0" w:after="42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42"/>
      <w:bookmarkEnd w:id="1343"/>
      <w:bookmarkEnd w:id="1345"/>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46"/>
      <w:bookmarkEnd w:id="1347"/>
      <w:bookmarkEnd w:id="1349"/>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50"/>
      <w:bookmarkEnd w:id="1351"/>
      <w:bookmarkEnd w:id="1353"/>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8,607,946.23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8,607,946.23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3,004,055.17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3,004,055.17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一</w:t>
            </w:r>
            <w:r>
              <w:rPr>
                <w:color w:val="000000"/>
                <w:spacing w:val="0"/>
                <w:w w:val="100"/>
                <w:position w:val="0"/>
                <w:sz w:val="17"/>
                <w:szCs w:val="17"/>
              </w:rPr>
              <w:t>新增租赁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3,004,055.17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3,004,055.17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11,612,001.40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11,612,001.40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5,927,896.02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5,927,896.02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5,927,896.02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5,927,896.02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5,927,896.02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5,927,896.02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5,684,105.38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5,684,105.38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8,607,946.23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8,607,946.23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bookmarkEnd w:id="135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54"/>
      <w:bookmarkEnd w:id="1355"/>
      <w:bookmarkEnd w:id="1357"/>
    </w:p>
    <w:p>
      <w:pPr>
        <w:pStyle w:val="Style51"/>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58"/>
      <w:bookmarkEnd w:id="1359"/>
      <w:bookmarkEnd w:id="1361"/>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32,388,620.00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9,364,676.36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41,753,296.36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5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32,388,620.00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9,364,676.36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41,753,296.36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4,534,406.71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4,941,378.78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9,475,785.49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647,772.36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1,528,258.40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2,176,030.76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647,772.36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1,528,258.40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2,176,030.76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5,182,179.07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6,469,637.18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11,651,816.25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27,206,440.93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2,895,039.18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30,101,480.11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27,854,213.29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4,423,297.58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32,277,510.87</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本期末通过公司内部研发形成的无形资产占无形资产余额的比例。</w:t>
      </w:r>
    </w:p>
    <w:p>
      <w:pPr>
        <w:pStyle w:val="Style51"/>
        <w:keepNext/>
        <w:keepLines/>
        <w:widowControl w:val="0"/>
        <w:shd w:val="clear" w:color="auto" w:fill="auto"/>
        <w:bidi w:val="0"/>
        <w:spacing w:before="0" w:after="40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62"/>
      <w:bookmarkEnd w:id="1363"/>
      <w:bookmarkEnd w:id="1365"/>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40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66"/>
      <w:bookmarkEnd w:id="1367"/>
      <w:bookmarkEnd w:id="1369"/>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确认为无形</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both"/>
      </w:pPr>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70"/>
      <w:bookmarkEnd w:id="1371"/>
      <w:bookmarkEnd w:id="1372"/>
    </w:p>
    <w:p>
      <w:pPr>
        <w:pStyle w:val="Style51"/>
        <w:keepNext/>
        <w:keepLines/>
        <w:widowControl w:val="0"/>
        <w:shd w:val="clear" w:color="auto" w:fill="auto"/>
        <w:bidi w:val="0"/>
        <w:spacing w:before="0" w:after="400" w:line="240" w:lineRule="auto"/>
        <w:ind w:left="0" w:right="0" w:firstLine="0"/>
        <w:jc w:val="both"/>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73"/>
      <w:bookmarkEnd w:id="1374"/>
      <w:bookmarkEnd w:id="1376"/>
    </w:p>
    <w:p>
      <w:pPr>
        <w:pStyle w:val="Style24"/>
        <w:keepNext w:val="0"/>
        <w:keepLines w:val="0"/>
        <w:widowControl w:val="0"/>
        <w:shd w:val="clear" w:color="auto" w:fill="auto"/>
        <w:bidi w:val="0"/>
        <w:spacing w:before="0" w:after="80" w:line="240" w:lineRule="auto"/>
        <w:ind w:left="8940" w:right="0" w:firstLine="0"/>
        <w:jc w:val="both"/>
        <w:rPr>
          <w:sz w:val="17"/>
          <w:szCs w:val="17"/>
        </w:rPr>
      </w:pPr>
      <w:bookmarkStart w:id="1377" w:name="bookmark1377"/>
      <w:r>
        <w:rPr>
          <w:color w:val="000000"/>
          <w:spacing w:val="0"/>
          <w:w w:val="100"/>
          <w:position w:val="0"/>
          <w:sz w:val="17"/>
          <w:szCs w:val="17"/>
        </w:rPr>
        <w:t>单</w:t>
      </w:r>
      <w:bookmarkEnd w:id="1377"/>
      <w:r>
        <w:rPr>
          <w:color w:val="000000"/>
          <w:spacing w:val="0"/>
          <w:w w:val="100"/>
          <w:position w:val="0"/>
          <w:sz w:val="17"/>
          <w:szCs w:val="17"/>
        </w:rPr>
        <w:t>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被投资单位名称</w:t>
            </w:r>
          </w:p>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上海追索信息科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10,737,367.68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10,737,367.68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1"/>
        <w:keepNext/>
        <w:keepLines/>
        <w:widowControl w:val="0"/>
        <w:shd w:val="clear" w:color="auto" w:fill="auto"/>
        <w:bidi w:val="0"/>
        <w:spacing w:before="0" w:after="40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78"/>
      <w:bookmarkEnd w:id="1379"/>
      <w:bookmarkEnd w:id="1381"/>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被投资单位名称</w:t>
            </w:r>
          </w:p>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3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上海追索信息科技有限公司于评估基准日的评估范围是公司形成商誉的资产组涉及的资产， 该资产组与购买日及以前年度商誉减值测试时所确定的资产组一致。</w:t>
      </w:r>
    </w:p>
    <w:p>
      <w:pPr>
        <w:pStyle w:val="Style33"/>
        <w:keepNext w:val="0"/>
        <w:keepLines w:val="0"/>
        <w:widowControl w:val="0"/>
        <w:shd w:val="clear" w:color="auto" w:fill="auto"/>
        <w:bidi w:val="0"/>
        <w:spacing w:before="0" w:after="340" w:line="312" w:lineRule="exact"/>
        <w:ind w:left="1300" w:right="0" w:firstLine="0"/>
        <w:jc w:val="both"/>
      </w:pPr>
      <w:r>
        <w:rPr>
          <w:color w:val="000000"/>
          <w:spacing w:val="0"/>
          <w:w w:val="100"/>
          <w:position w:val="0"/>
        </w:rPr>
        <w:t>该资产组预计未来现金流量的现值（可收回金额）利用了江苏中企华中天资产评估有限公司 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日出具的苏中资评报字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1054</w:t>
      </w:r>
      <w:r>
        <w:rPr>
          <w:color w:val="000000"/>
          <w:spacing w:val="0"/>
          <w:w w:val="100"/>
          <w:position w:val="0"/>
        </w:rPr>
        <w:t>号《上海信联信息发展股份有限公司拟减 值测试涉及的上海追索信息科技有限公司商誉及相关资产组预计未来现金流量现值资产评 估报告》。</w:t>
      </w:r>
    </w:p>
    <w:p>
      <w:pPr>
        <w:pStyle w:val="Style24"/>
        <w:keepNext w:val="0"/>
        <w:keepLines w:val="0"/>
        <w:widowControl w:val="0"/>
        <w:shd w:val="clear" w:color="auto" w:fill="auto"/>
        <w:bidi w:val="0"/>
        <w:spacing w:before="0" w:after="340" w:line="312" w:lineRule="exact"/>
        <w:ind w:left="0" w:right="0" w:firstLine="0"/>
        <w:jc w:val="both"/>
        <w:rPr>
          <w:sz w:val="17"/>
          <w:szCs w:val="17"/>
        </w:rPr>
      </w:pPr>
      <w:r>
        <w:rPr>
          <w:color w:val="000000"/>
          <w:spacing w:val="0"/>
          <w:w w:val="100"/>
          <w:position w:val="0"/>
          <w:sz w:val="17"/>
          <w:szCs w:val="17"/>
        </w:rPr>
        <w:t>说明商誉减值测试过程、关键参数（如预计未来现金流量现值时的预测期增长率、稳定期增长率、利润率、折现率、预测期 等）及商誉减值损失的确认方法：</w:t>
      </w:r>
    </w:p>
    <w:p>
      <w:pPr>
        <w:pStyle w:val="Style33"/>
        <w:keepNext w:val="0"/>
        <w:keepLines w:val="0"/>
        <w:widowControl w:val="0"/>
        <w:shd w:val="clear" w:color="auto" w:fill="auto"/>
        <w:bidi w:val="0"/>
        <w:spacing w:before="0" w:after="0" w:line="317" w:lineRule="exact"/>
        <w:ind w:left="166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上述评估报告中的重要假设依据：</w:t>
      </w:r>
    </w:p>
    <w:p>
      <w:pPr>
        <w:pStyle w:val="Style33"/>
        <w:keepNext w:val="0"/>
        <w:keepLines w:val="0"/>
        <w:widowControl w:val="0"/>
        <w:numPr>
          <w:ilvl w:val="0"/>
          <w:numId w:val="49"/>
        </w:numPr>
        <w:shd w:val="clear" w:color="auto" w:fill="auto"/>
        <w:tabs>
          <w:tab w:pos="1658" w:val="left"/>
        </w:tabs>
        <w:bidi w:val="0"/>
        <w:spacing w:before="0" w:after="0" w:line="317" w:lineRule="exact"/>
        <w:ind w:left="1660" w:right="0" w:hanging="360"/>
        <w:jc w:val="both"/>
      </w:pPr>
      <w:bookmarkStart w:id="1382" w:name="bookmark1382"/>
      <w:bookmarkEnd w:id="1382"/>
      <w:r>
        <w:rPr>
          <w:color w:val="000000"/>
          <w:spacing w:val="0"/>
          <w:w w:val="100"/>
          <w:position w:val="0"/>
        </w:rPr>
        <w:t>假设评估基准日后上海追索信息科技有限公司采用的会计政策和编写此次资产评估报告 时所采用的会计政策在重要方面保持一致；</w:t>
      </w:r>
    </w:p>
    <w:p>
      <w:pPr>
        <w:pStyle w:val="Style33"/>
        <w:keepNext w:val="0"/>
        <w:keepLines w:val="0"/>
        <w:widowControl w:val="0"/>
        <w:numPr>
          <w:ilvl w:val="0"/>
          <w:numId w:val="49"/>
        </w:numPr>
        <w:shd w:val="clear" w:color="auto" w:fill="auto"/>
        <w:tabs>
          <w:tab w:pos="1658" w:val="left"/>
        </w:tabs>
        <w:bidi w:val="0"/>
        <w:spacing w:before="0" w:after="380" w:line="317" w:lineRule="exact"/>
        <w:ind w:left="1660" w:right="0" w:hanging="360"/>
        <w:jc w:val="both"/>
      </w:pPr>
      <w:bookmarkStart w:id="1383" w:name="bookmark1383"/>
      <w:bookmarkEnd w:id="1383"/>
      <w:r>
        <w:rPr>
          <w:color w:val="000000"/>
          <w:spacing w:val="0"/>
          <w:w w:val="100"/>
          <w:position w:val="0"/>
        </w:rPr>
        <w:t>假设评估基准日后上海追索信息科技有限公司在现有管理方式和管理水平的基础上，经 营范围、方式与目前保持一致；</w:t>
      </w:r>
    </w:p>
    <w:p>
      <w:pPr>
        <w:pStyle w:val="Style4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关键参数</w:t>
      </w:r>
    </w:p>
    <w:tbl>
      <w:tblPr>
        <w:tblOverlap w:val="never"/>
        <w:jc w:val="center"/>
        <w:tblLayout w:type="fixed"/>
      </w:tblPr>
      <w:tblGrid>
        <w:gridCol w:w="1190"/>
        <w:gridCol w:w="1267"/>
        <w:gridCol w:w="1661"/>
        <w:gridCol w:w="864"/>
        <w:gridCol w:w="1219"/>
        <w:gridCol w:w="1454"/>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单位</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关键参数</w:t>
            </w:r>
          </w:p>
        </w:tc>
      </w:tr>
      <w:tr>
        <w:trPr>
          <w:trHeight w:val="6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预测期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预测期营业收入增长 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稳定期增 长率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利润率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sz w:val="17"/>
                <w:szCs w:val="17"/>
              </w:rPr>
              <w:t>折现率（加权平均 资本成本</w:t>
            </w:r>
            <w:r>
              <w:rPr>
                <w:rFonts w:ascii="Times New Roman" w:eastAsia="Times New Roman" w:hAnsi="Times New Roman" w:cs="Times New Roman"/>
                <w:color w:val="000000"/>
                <w:spacing w:val="0"/>
                <w:w w:val="100"/>
                <w:position w:val="0"/>
              </w:rPr>
              <w:t>WACC）</w:t>
            </w:r>
          </w:p>
        </w:tc>
      </w:tr>
      <w:tr>
        <w:trPr>
          <w:trHeight w:val="99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120" w:line="240" w:lineRule="auto"/>
              <w:ind w:left="0" w:right="0" w:firstLine="0"/>
              <w:jc w:val="left"/>
              <w:rPr>
                <w:sz w:val="17"/>
                <w:szCs w:val="17"/>
              </w:rPr>
            </w:pPr>
            <w:r>
              <w:rPr>
                <w:color w:val="000000"/>
                <w:spacing w:val="0"/>
                <w:w w:val="100"/>
                <w:position w:val="0"/>
                <w:sz w:val="17"/>
                <w:szCs w:val="17"/>
              </w:rPr>
              <w:t>上海追索信息</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026</w:t>
            </w:r>
            <w:r>
              <w:rPr>
                <w:color w:val="000000"/>
                <w:spacing w:val="0"/>
                <w:w w:val="100"/>
                <w:position w:val="0"/>
                <w:sz w:val="17"/>
                <w:szCs w:val="17"/>
              </w:rPr>
              <w:t>年</w:t>
            </w:r>
          </w:p>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（后续为稳定 期）</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2022-2026</w:t>
            </w:r>
            <w:r>
              <w:rPr>
                <w:color w:val="000000"/>
                <w:spacing w:val="0"/>
                <w:w w:val="100"/>
                <w:position w:val="0"/>
                <w:sz w:val="17"/>
                <w:szCs w:val="17"/>
              </w:rPr>
              <w:t>年增长率 均为</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根据预测的收</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入、成本、费用</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等计算</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w:t>
            </w:r>
          </w:p>
        </w:tc>
      </w:tr>
    </w:tbl>
    <w:p>
      <w:pPr>
        <w:widowControl w:val="0"/>
        <w:spacing w:after="379" w:line="1" w:lineRule="exact"/>
      </w:pPr>
    </w:p>
    <w:p>
      <w:pPr>
        <w:pStyle w:val="Style2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商誉减值测试的影响</w:t>
      </w:r>
    </w:p>
    <w:p>
      <w:pPr>
        <w:pStyle w:val="Style33"/>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通过上海追索信息科技有限公司管理层对未来可预测期间的市场行情、经营情况以及未来上 下游客户与购销价格情况等综合分析，同时根据江苏中企华中天资产评估有限公司于</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日出具的以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日为基准日的苏中资评报字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1054</w:t>
      </w:r>
      <w:r>
        <w:rPr>
          <w:color w:val="000000"/>
          <w:spacing w:val="0"/>
          <w:w w:val="100"/>
          <w:position w:val="0"/>
        </w:rPr>
        <w:t>号评估报告结果，截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日，上海追索信息科技有限公司与商誉相关的资产组的账面价值为</w:t>
      </w:r>
      <w:r>
        <w:rPr>
          <w:rFonts w:ascii="Times New Roman" w:eastAsia="Times New Roman" w:hAnsi="Times New Roman" w:cs="Times New Roman"/>
          <w:color w:val="000000"/>
          <w:spacing w:val="0"/>
          <w:w w:val="100"/>
          <w:position w:val="0"/>
        </w:rPr>
        <w:t>7.03</w:t>
      </w:r>
      <w:r>
        <w:rPr>
          <w:color w:val="000000"/>
          <w:spacing w:val="0"/>
          <w:w w:val="100"/>
          <w:position w:val="0"/>
        </w:rPr>
        <w:t>万元， 加上未确认的原归属于少数股东权益的商誉价值为</w:t>
      </w:r>
      <w:r>
        <w:rPr>
          <w:rFonts w:ascii="Times New Roman" w:eastAsia="Times New Roman" w:hAnsi="Times New Roman" w:cs="Times New Roman"/>
          <w:color w:val="000000"/>
          <w:spacing w:val="0"/>
          <w:w w:val="100"/>
          <w:position w:val="0"/>
        </w:rPr>
        <w:t>2,105.37</w:t>
      </w:r>
      <w:r>
        <w:rPr>
          <w:color w:val="000000"/>
          <w:spacing w:val="0"/>
          <w:w w:val="100"/>
          <w:position w:val="0"/>
        </w:rPr>
        <w:t>万元，合计</w:t>
      </w:r>
      <w:r>
        <w:rPr>
          <w:rFonts w:ascii="Times New Roman" w:eastAsia="Times New Roman" w:hAnsi="Times New Roman" w:cs="Times New Roman"/>
          <w:color w:val="000000"/>
          <w:spacing w:val="0"/>
          <w:w w:val="100"/>
          <w:position w:val="0"/>
        </w:rPr>
        <w:t>2,112.4</w:t>
      </w:r>
      <w:r>
        <w:rPr>
          <w:rFonts w:ascii="Times New Roman" w:eastAsia="Times New Roman" w:hAnsi="Times New Roman" w:cs="Times New Roman"/>
          <w:color w:val="000000"/>
          <w:spacing w:val="0"/>
          <w:w w:val="100"/>
          <w:position w:val="0"/>
        </w:rPr>
        <w:t>0</w:t>
      </w:r>
      <w:r>
        <w:rPr>
          <w:color w:val="000000"/>
          <w:spacing w:val="0"/>
          <w:w w:val="100"/>
          <w:position w:val="0"/>
        </w:rPr>
        <w:t>万元，商誉资 产组可收回金额为</w:t>
      </w:r>
      <w:r>
        <w:rPr>
          <w:rFonts w:ascii="Times New Roman" w:eastAsia="Times New Roman" w:hAnsi="Times New Roman" w:cs="Times New Roman"/>
          <w:color w:val="000000"/>
          <w:spacing w:val="0"/>
          <w:w w:val="100"/>
          <w:position w:val="0"/>
        </w:rPr>
        <w:t>2,310.00</w:t>
      </w:r>
      <w:r>
        <w:rPr>
          <w:color w:val="000000"/>
          <w:spacing w:val="0"/>
          <w:w w:val="100"/>
          <w:position w:val="0"/>
        </w:rPr>
        <w:t>万元。</w:t>
      </w:r>
    </w:p>
    <w:p>
      <w:pPr>
        <w:pStyle w:val="Style33"/>
        <w:keepNext w:val="0"/>
        <w:keepLines w:val="0"/>
        <w:widowControl w:val="0"/>
        <w:shd w:val="clear" w:color="auto" w:fill="auto"/>
        <w:bidi w:val="0"/>
        <w:spacing w:before="0" w:after="760" w:line="311" w:lineRule="exact"/>
        <w:ind w:left="1300" w:right="0" w:firstLine="0"/>
        <w:jc w:val="both"/>
      </w:pPr>
      <w:r>
        <w:rPr>
          <w:color w:val="000000"/>
          <w:spacing w:val="0"/>
          <w:w w:val="100"/>
          <w:position w:val="0"/>
        </w:rPr>
        <w:t>经测试，公司收购上海追索信息科技有限公司形成的商誉本期不存在减值。</w:t>
      </w: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84"/>
      <w:bookmarkEnd w:id="1385"/>
      <w:bookmarkEnd w:id="138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本期摊销金额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both"/>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88"/>
      <w:bookmarkEnd w:id="1389"/>
      <w:bookmarkEnd w:id="1391"/>
    </w:p>
    <w:p>
      <w:pPr>
        <w:pStyle w:val="Style51"/>
        <w:keepNext/>
        <w:keepLines/>
        <w:widowControl w:val="0"/>
        <w:shd w:val="clear" w:color="auto" w:fill="auto"/>
        <w:bidi w:val="0"/>
        <w:spacing w:before="0" w:after="380" w:line="240" w:lineRule="auto"/>
        <w:ind w:left="0" w:right="0" w:firstLine="0"/>
        <w:jc w:val="both"/>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92"/>
      <w:bookmarkEnd w:id="1393"/>
      <w:bookmarkEnd w:id="139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10,278,014.12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1,541,702.12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12,735,958.69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1,911,497.44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1,195,720.20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179,358.03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3,798,374.06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569,756.11</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113,169,349.34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16,975,402.40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142,174,162.69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21,326,124.41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122,860,040.71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18,422,106.17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111,152,613.65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16,667,060.11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6,615,833.33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948,375.00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48,518,000.00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7,233,700.00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无形资产摊销调整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4,720,205.65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708,030.85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4,720,205.65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708,030.85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执行新租赁准则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128,120.82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258,967,284.17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38,794,192.70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323,099,314.74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48,416,168.92</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96"/>
      <w:bookmarkEnd w:id="1397"/>
      <w:bookmarkEnd w:id="1399"/>
    </w:p>
    <w:p>
      <w:pPr>
        <w:pStyle w:val="Style24"/>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合并中可辨认资产与计 税基础的差异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63,333.69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253,333.65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其他非流动金融资产公 允价值变动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10,902,700.00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2,725,675.00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4,796,700.00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239,835.00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10,966,033.69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2,735,175.02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5,050,033.65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277,835.02</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400" w:name="bookmark1400"/>
      <w:bookmarkStart w:id="1401" w:name="bookmark1401"/>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00"/>
      <w:bookmarkEnd w:id="1401"/>
      <w:bookmarkEnd w:id="1402"/>
    </w:p>
    <w:p>
      <w:pPr>
        <w:pStyle w:val="Style24"/>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20"/>
        <w:gridCol w:w="1906"/>
        <w:gridCol w:w="1925"/>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38,794,192.70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48,416,168.92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2,735,175.02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277,835.02</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03"/>
      <w:bookmarkEnd w:id="1404"/>
      <w:bookmarkEnd w:id="1406"/>
    </w:p>
    <w:p>
      <w:pPr>
        <w:pStyle w:val="Style24"/>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07"/>
      <w:bookmarkEnd w:id="1408"/>
      <w:bookmarkEnd w:id="1410"/>
    </w:p>
    <w:p>
      <w:pPr>
        <w:pStyle w:val="Style24"/>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3</w:t>
      </w:r>
      <w:bookmarkEnd w:id="141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11"/>
      <w:bookmarkEnd w:id="1412"/>
      <w:bookmarkEnd w:id="1414"/>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3</w:t>
      </w:r>
      <w:bookmarkEnd w:id="141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15"/>
      <w:bookmarkEnd w:id="1416"/>
      <w:bookmarkEnd w:id="1418"/>
    </w:p>
    <w:p>
      <w:pPr>
        <w:pStyle w:val="Style51"/>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19"/>
      <w:bookmarkEnd w:id="1420"/>
      <w:bookmarkEnd w:id="1422"/>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保证借款对应的利息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291,888.89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826,416.44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银行承兑汇票贴现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150,291,888.89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169,826,416.44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短期借款分类的说明：</w:t>
      </w:r>
    </w:p>
    <w:p>
      <w:pPr>
        <w:pStyle w:val="Style51"/>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23"/>
      <w:bookmarkEnd w:id="1424"/>
      <w:bookmarkEnd w:id="1426"/>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本期末已逾期未偿还的短期借款总额为元，其中重要的已逾期未偿还的短期借款情况如下:</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27"/>
      <w:bookmarkEnd w:id="1428"/>
      <w:bookmarkEnd w:id="1430"/>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31"/>
      <w:bookmarkEnd w:id="1432"/>
      <w:bookmarkEnd w:id="1434"/>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35"/>
      <w:bookmarkEnd w:id="1436"/>
      <w:bookmarkEnd w:id="143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33,799,683.12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33,799,683.12</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本期末已到期未支付的应付票据总额为元。</w:t>
      </w:r>
    </w:p>
    <w:p>
      <w:pPr>
        <w:pStyle w:val="Style28"/>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39"/>
      <w:bookmarkEnd w:id="1440"/>
      <w:bookmarkEnd w:id="1442"/>
    </w:p>
    <w:p>
      <w:pPr>
        <w:pStyle w:val="Style51"/>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43"/>
      <w:bookmarkEnd w:id="1444"/>
      <w:bookmarkEnd w:id="1445"/>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应付采购货款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161,544,852.22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109,885,122.35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应付长期资产采购款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19,227,288.30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26,817,417.12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180,772,140.52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136,702,539.47</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46"/>
      <w:bookmarkEnd w:id="1447"/>
      <w:bookmarkEnd w:id="144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宝钢工程建设有限公司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8,524,093.33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工程尾款，尚未支付</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上海华燕消防工程有限公司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2,299,755.09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工程尾款，尚未支付</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10,823,848.42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both"/>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49"/>
      <w:bookmarkEnd w:id="1450"/>
      <w:bookmarkEnd w:id="1452"/>
    </w:p>
    <w:p>
      <w:pPr>
        <w:pStyle w:val="Style51"/>
        <w:keepNext/>
        <w:keepLines/>
        <w:widowControl w:val="0"/>
        <w:shd w:val="clear" w:color="auto" w:fill="auto"/>
        <w:bidi w:val="0"/>
        <w:spacing w:before="0" w:after="380" w:line="240" w:lineRule="auto"/>
        <w:ind w:left="0" w:right="0" w:firstLine="0"/>
        <w:jc w:val="both"/>
      </w:pPr>
      <w:bookmarkStart w:id="1453" w:name="bookmark1453"/>
      <w:bookmarkStart w:id="1454" w:name="bookmark1454"/>
      <w:bookmarkStart w:id="1455" w:name="bookmark14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53"/>
      <w:bookmarkEnd w:id="1454"/>
      <w:bookmarkEnd w:id="1455"/>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56"/>
      <w:bookmarkEnd w:id="1457"/>
      <w:bookmarkEnd w:id="145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59"/>
      <w:bookmarkEnd w:id="1460"/>
      <w:bookmarkEnd w:id="1462"/>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预收销售货款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92,697,970.06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137,141,688.82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92,697,970.06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137,141,688.82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63"/>
      <w:bookmarkEnd w:id="1464"/>
      <w:bookmarkEnd w:id="1466"/>
    </w:p>
    <w:p>
      <w:pPr>
        <w:pStyle w:val="Style51"/>
        <w:keepNext/>
        <w:keepLines/>
        <w:widowControl w:val="0"/>
        <w:shd w:val="clear" w:color="auto" w:fill="auto"/>
        <w:bidi w:val="0"/>
        <w:spacing w:before="0" w:after="400" w:line="240" w:lineRule="auto"/>
        <w:ind w:left="0" w:right="0" w:firstLine="0"/>
        <w:jc w:val="left"/>
      </w:pPr>
      <w:bookmarkStart w:id="1467" w:name="bookmark1467"/>
      <w:bookmarkStart w:id="1468" w:name="bookmark1468"/>
      <w:bookmarkStart w:id="1469" w:name="bookmark14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67"/>
      <w:bookmarkEnd w:id="1468"/>
      <w:bookmarkEnd w:id="1469"/>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7,230,645.04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150,612,075.36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146,158,455.20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11,684,265.20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5,158,424.30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15,142,170.95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19,341,354.91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959,240.34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3,391,762.78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3,391,762.78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12,389,069.34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169,146,009.09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168,891,572.89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12,643,505.54</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470" w:name="bookmark1470"/>
      <w:bookmarkStart w:id="1471" w:name="bookmark1471"/>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70"/>
      <w:bookmarkEnd w:id="1471"/>
      <w:bookmarkEnd w:id="1472"/>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123,883,859.51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113,711,659.28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10,172,200.23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7,743,822.42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7,743,822.42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4,213,877.03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10,665,213.95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14,262,622.82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616,468.16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4,124,777.34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10,371,063.37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13,893,571.29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602,269.42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159,487.29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189,556.05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9,924.95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49,105.98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134,663.29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179,495.48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2,592,444.60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8,319,089.48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10,440,260.68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471,273.40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424,323.41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424,323.41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7,230,645.04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150,612,075.36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146,158,455.20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11,684,265.20</w:t>
            </w:r>
          </w:p>
        </w:tc>
      </w:tr>
    </w:tbl>
    <w:p>
      <w:pPr>
        <w:spacing w:lineRule="exact" w:line="1"/>
        <w:rPr>
          <w:sz w:val="2"/>
          <w:szCs w:val="2"/>
        </w:rPr>
      </w:pPr>
      <w:r>
        <w:br w:type="page"/>
      </w:r>
    </w:p>
    <w:p>
      <w:pPr>
        <w:pStyle w:val="Style51"/>
        <w:keepNext/>
        <w:keepLines/>
        <w:widowControl w:val="0"/>
        <w:numPr>
          <w:ilvl w:val="0"/>
          <w:numId w:val="51"/>
        </w:numPr>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设定提存计划列示</w:t>
      </w:r>
      <w:bookmarkEnd w:id="1473"/>
      <w:bookmarkEnd w:id="1474"/>
      <w:bookmarkEnd w:id="1476"/>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5,019,524.08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14,801,170.35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18,887,938.22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932,756.21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138,900.22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341,000.60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453,416.69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26,484.13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5,158,424.30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15,142,170.95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19,341,354.91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959,240.34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4</w:t>
      </w:r>
      <w:bookmarkEnd w:id="147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77"/>
      <w:bookmarkEnd w:id="1478"/>
      <w:bookmarkEnd w:id="1480"/>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44,825,044.28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37,860,637.44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1,355,214.31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726,387.90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1,162,502.08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1,078,892.71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823,699.06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1,107,229.35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591,404.78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591,404.78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392,129.26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508,459.74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93,561.49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171,115.15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270,972.63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252,941.13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49,514,527.89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42,297,068.20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4</w:t>
      </w:r>
      <w:bookmarkEnd w:id="148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81"/>
      <w:bookmarkEnd w:id="1482"/>
      <w:bookmarkEnd w:id="1484"/>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276,018.65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99,822,038.08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25,707,896.41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99,822,038.08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25,983,915.06</w:t>
            </w:r>
          </w:p>
        </w:tc>
      </w:tr>
    </w:tbl>
    <w:p>
      <w:pPr>
        <w:widowControl w:val="0"/>
        <w:spacing w:after="379" w:line="1" w:lineRule="exact"/>
      </w:pPr>
    </w:p>
    <w:p>
      <w:pPr>
        <w:pStyle w:val="Style51"/>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85"/>
      <w:bookmarkEnd w:id="1486"/>
      <w:bookmarkEnd w:id="1487"/>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276,018.65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276,018.65</w:t>
            </w:r>
          </w:p>
        </w:tc>
      </w:tr>
    </w:tbl>
    <w:p>
      <w:pPr>
        <w:widowControl w:val="0"/>
        <w:spacing w:line="1" w:lineRule="exact"/>
      </w:pPr>
      <w:r>
        <w:br w:type="page"/>
      </w:r>
    </w:p>
    <w:tbl>
      <w:tblPr>
        <w:tblOverlap w:val="never"/>
        <w:jc w:val="center"/>
        <w:tblLayout w:type="fixed"/>
      </w:tblPr>
      <w:tblGrid>
        <w:gridCol w:w="3216"/>
        <w:gridCol w:w="3192"/>
        <w:gridCol w:w="3293"/>
      </w:tblGrid>
      <w:tr>
        <w:trPr>
          <w:trHeight w:val="10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重要的已逾期未支付的利息情况：</w:t>
            </w:r>
          </w:p>
        </w:tc>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其他说明：</w:t>
      </w:r>
    </w:p>
    <w:p>
      <w:pPr>
        <w:pStyle w:val="Style51"/>
        <w:keepNext/>
        <w:keepLines/>
        <w:widowControl w:val="0"/>
        <w:shd w:val="clear" w:color="auto" w:fill="auto"/>
        <w:bidi w:val="0"/>
        <w:spacing w:before="0" w:after="42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88"/>
      <w:bookmarkEnd w:id="1489"/>
      <w:bookmarkEnd w:id="1490"/>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年未支付的应付股利，应披露未支付原因:</w:t>
      </w:r>
    </w:p>
    <w:p>
      <w:pPr>
        <w:pStyle w:val="Style51"/>
        <w:keepNext/>
        <w:keepLines/>
        <w:widowControl w:val="0"/>
        <w:shd w:val="clear" w:color="auto" w:fill="auto"/>
        <w:bidi w:val="0"/>
        <w:spacing w:before="0" w:after="36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91"/>
      <w:bookmarkEnd w:id="1492"/>
      <w:bookmarkEnd w:id="1494"/>
    </w:p>
    <w:p>
      <w:pPr>
        <w:pStyle w:val="Style94"/>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1</w:t>
      </w:r>
      <w:bookmarkEnd w:id="1497"/>
      <w:r>
        <w:rPr>
          <w:color w:val="000000"/>
          <w:spacing w:val="0"/>
          <w:w w:val="100"/>
          <w:position w:val="0"/>
        </w:rPr>
        <w:t>）按款项性质列示其他应付款</w:t>
      </w:r>
      <w:bookmarkEnd w:id="1495"/>
      <w:bookmarkEnd w:id="1496"/>
      <w:bookmarkEnd w:id="149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股权增资款（注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4,303,637.98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3,987,977.93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1,203,542.54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6,212,500.00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员工持股计划款项（注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1,122,200.00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代扣代缴的社保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1,203,387.65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9,558,133.95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3,450,369.91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4,827,084.53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99,822,038.08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25,707,896.41</w:t>
            </w:r>
          </w:p>
        </w:tc>
      </w:tr>
    </w:tbl>
    <w:p>
      <w:pPr>
        <w:widowControl w:val="0"/>
        <w:spacing w:after="359" w:line="1" w:lineRule="exact"/>
      </w:pPr>
    </w:p>
    <w:p>
      <w:pPr>
        <w:pStyle w:val="Style94"/>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2</w:t>
      </w:r>
      <w:bookmarkEnd w:id="150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99"/>
      <w:bookmarkEnd w:id="1500"/>
      <w:bookmarkEnd w:id="1502"/>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1,203,542.54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年支付</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1,203,542.54</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3"/>
        <w:keepNext w:val="0"/>
        <w:keepLines w:val="0"/>
        <w:widowControl w:val="0"/>
        <w:shd w:val="clear" w:color="auto" w:fill="auto"/>
        <w:bidi w:val="0"/>
        <w:spacing w:before="0" w:after="0" w:line="317" w:lineRule="exact"/>
        <w:ind w:left="130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：系公司尚未支付的对交信北斗（海南）科技有限公司认缴的增资款项，详见本附注</w:t>
      </w:r>
      <w:r>
        <w:rPr>
          <w:rFonts w:ascii="Times New Roman" w:eastAsia="Times New Roman" w:hAnsi="Times New Roman" w:cs="Times New Roman"/>
          <w:color w:val="000000"/>
          <w:spacing w:val="0"/>
          <w:w w:val="100"/>
          <w:position w:val="0"/>
        </w:rPr>
        <w:t>“</w:t>
      </w:r>
      <w:r>
        <w:rPr>
          <w:color w:val="000000"/>
          <w:spacing w:val="0"/>
          <w:w w:val="100"/>
          <w:position w:val="0"/>
        </w:rPr>
        <w:t>十、 关联方及关联交易（七）其他关联交易</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0" w:line="317" w:lineRule="exact"/>
        <w:ind w:left="130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：系子公司光典信息发展有限公司</w:t>
      </w:r>
      <w:r>
        <w:rPr>
          <w:rFonts w:ascii="Times New Roman" w:eastAsia="Times New Roman" w:hAnsi="Times New Roman" w:cs="Times New Roman"/>
          <w:color w:val="000000"/>
          <w:spacing w:val="0"/>
          <w:w w:val="100"/>
          <w:position w:val="0"/>
        </w:rPr>
        <w:t>2019</w:t>
      </w:r>
      <w:r>
        <w:rPr>
          <w:color w:val="000000"/>
          <w:spacing w:val="0"/>
          <w:w w:val="100"/>
          <w:position w:val="0"/>
        </w:rPr>
        <w:t>年购买上海追索信息科技有限公司</w:t>
      </w:r>
      <w:r>
        <w:rPr>
          <w:rFonts w:ascii="Times New Roman" w:eastAsia="Times New Roman" w:hAnsi="Times New Roman" w:cs="Times New Roman"/>
          <w:color w:val="000000"/>
          <w:spacing w:val="0"/>
          <w:w w:val="100"/>
          <w:position w:val="0"/>
        </w:rPr>
        <w:t>49%</w:t>
      </w:r>
      <w:r>
        <w:rPr>
          <w:color w:val="000000"/>
          <w:spacing w:val="0"/>
          <w:w w:val="100"/>
          <w:position w:val="0"/>
        </w:rPr>
        <w:t>股权应支 付的转让款余额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203,542.54</w:t>
      </w:r>
      <w:r>
        <w:rPr>
          <w:color w:val="000000"/>
          <w:spacing w:val="0"/>
          <w:w w:val="100"/>
          <w:position w:val="0"/>
        </w:rPr>
        <w:t>元。</w:t>
      </w:r>
    </w:p>
    <w:p>
      <w:pPr>
        <w:pStyle w:val="Style33"/>
        <w:keepNext w:val="0"/>
        <w:keepLines w:val="0"/>
        <w:widowControl w:val="0"/>
        <w:shd w:val="clear" w:color="auto" w:fill="auto"/>
        <w:bidi w:val="0"/>
        <w:spacing w:before="0" w:after="360" w:line="317" w:lineRule="exact"/>
        <w:ind w:left="130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：如本附注</w:t>
      </w:r>
      <w:r>
        <w:rPr>
          <w:rFonts w:ascii="Times New Roman" w:eastAsia="Times New Roman" w:hAnsi="Times New Roman" w:cs="Times New Roman"/>
          <w:color w:val="000000"/>
          <w:spacing w:val="0"/>
          <w:w w:val="100"/>
          <w:position w:val="0"/>
        </w:rPr>
        <w:t>“</w:t>
      </w:r>
      <w:r>
        <w:rPr>
          <w:color w:val="000000"/>
          <w:spacing w:val="0"/>
          <w:w w:val="100"/>
          <w:position w:val="0"/>
        </w:rPr>
        <w:t>十一、股份支付</w:t>
      </w:r>
      <w:r>
        <w:rPr>
          <w:rFonts w:ascii="Times New Roman" w:eastAsia="Times New Roman" w:hAnsi="Times New Roman" w:cs="Times New Roman"/>
          <w:color w:val="000000"/>
          <w:spacing w:val="0"/>
          <w:w w:val="100"/>
          <w:position w:val="0"/>
        </w:rPr>
        <w:t>”</w:t>
      </w:r>
      <w:r>
        <w:rPr>
          <w:color w:val="000000"/>
          <w:spacing w:val="0"/>
          <w:w w:val="100"/>
          <w:position w:val="0"/>
        </w:rPr>
        <w:t>所述，本公司执行员工持股计划，于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月以每股</w:t>
      </w:r>
      <w:r>
        <w:rPr>
          <w:rFonts w:ascii="Times New Roman" w:eastAsia="Times New Roman" w:hAnsi="Times New Roman" w:cs="Times New Roman"/>
          <w:color w:val="000000"/>
          <w:spacing w:val="0"/>
          <w:w w:val="100"/>
          <w:position w:val="0"/>
        </w:rPr>
        <w:t>1</w:t>
      </w:r>
      <w:r>
        <w:rPr>
          <w:color w:val="000000"/>
          <w:spacing w:val="0"/>
          <w:w w:val="100"/>
          <w:position w:val="0"/>
        </w:rPr>
        <w:t>元 的价格向激励对象授予</w:t>
      </w:r>
      <w:r>
        <w:rPr>
          <w:rFonts w:ascii="Times New Roman" w:eastAsia="Times New Roman" w:hAnsi="Times New Roman" w:cs="Times New Roman"/>
          <w:color w:val="000000"/>
          <w:spacing w:val="0"/>
          <w:w w:val="100"/>
          <w:position w:val="0"/>
        </w:rPr>
        <w:t>1,122,200</w:t>
      </w:r>
      <w:r>
        <w:rPr>
          <w:color w:val="000000"/>
          <w:spacing w:val="0"/>
          <w:w w:val="100"/>
          <w:position w:val="0"/>
        </w:rPr>
        <w:t>股本公司股票，在第二个解锁期对应的金额为</w:t>
      </w:r>
      <w:r>
        <w:rPr>
          <w:rFonts w:ascii="Times New Roman" w:eastAsia="Times New Roman" w:hAnsi="Times New Roman" w:cs="Times New Roman"/>
          <w:color w:val="000000"/>
          <w:spacing w:val="0"/>
          <w:w w:val="100"/>
          <w:position w:val="0"/>
        </w:rPr>
        <w:t>561,100.00</w:t>
      </w:r>
      <w:r>
        <w:rPr>
          <w:color w:val="000000"/>
          <w:spacing w:val="0"/>
          <w:w w:val="100"/>
          <w:position w:val="0"/>
        </w:rPr>
        <w:t>元。</w:t>
      </w:r>
      <w:r>
        <w:br w:type="page"/>
      </w:r>
    </w:p>
    <w:p>
      <w:pPr>
        <w:pStyle w:val="Style28"/>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03"/>
      <w:bookmarkEnd w:id="1504"/>
      <w:bookmarkEnd w:id="1506"/>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07"/>
      <w:bookmarkEnd w:id="1508"/>
      <w:bookmarkEnd w:id="1510"/>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18,400,000.00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4,964,243.86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3,224,331.29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应付长期借款利息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140,613.70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211,397.26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23,504,857.56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83,435,728.55</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3"/>
        <w:keepNext w:val="0"/>
        <w:keepLines w:val="0"/>
        <w:widowControl w:val="0"/>
        <w:shd w:val="clear" w:color="auto" w:fill="auto"/>
        <w:bidi w:val="0"/>
        <w:spacing w:before="0" w:after="680" w:line="312" w:lineRule="exact"/>
        <w:ind w:left="640" w:right="0" w:firstLine="0"/>
        <w:jc w:val="both"/>
      </w:pPr>
      <w:r>
        <w:rPr>
          <w:color w:val="000000"/>
          <w:spacing w:val="0"/>
          <w:w w:val="100"/>
          <w:position w:val="0"/>
        </w:rPr>
        <w:t>一年内到期的长期借款的说明：抵押及担保事项详见本附注</w:t>
      </w:r>
      <w:r>
        <w:rPr>
          <w:rFonts w:ascii="Times New Roman" w:eastAsia="Times New Roman" w:hAnsi="Times New Roman" w:cs="Times New Roman"/>
          <w:color w:val="000000"/>
          <w:spacing w:val="0"/>
          <w:w w:val="100"/>
          <w:position w:val="0"/>
        </w:rPr>
        <w:t>“</w:t>
      </w:r>
      <w:r>
        <w:rPr>
          <w:color w:val="000000"/>
          <w:spacing w:val="0"/>
          <w:w w:val="100"/>
          <w:position w:val="0"/>
        </w:rPr>
        <w:t>十二、承诺及或有事项（一）</w:t>
      </w:r>
      <w:r>
        <w:rPr>
          <w:rFonts w:ascii="Times New Roman" w:eastAsia="Times New Roman" w:hAnsi="Times New Roman" w:cs="Times New Roman"/>
          <w:color w:val="000000"/>
          <w:spacing w:val="0"/>
          <w:w w:val="100"/>
          <w:position w:val="0"/>
        </w:rPr>
        <w:t>2”</w:t>
      </w:r>
      <w:r>
        <w:rPr>
          <w:color w:val="000000"/>
          <w:spacing w:val="0"/>
          <w:w w:val="100"/>
          <w:position w:val="0"/>
        </w:rPr>
        <w:t>和本附 注</w:t>
      </w:r>
      <w:r>
        <w:rPr>
          <w:rFonts w:ascii="Times New Roman" w:eastAsia="Times New Roman" w:hAnsi="Times New Roman" w:cs="Times New Roman"/>
          <w:color w:val="000000"/>
          <w:spacing w:val="0"/>
          <w:w w:val="100"/>
          <w:position w:val="0"/>
        </w:rPr>
        <w:t>“</w:t>
      </w:r>
      <w:r>
        <w:rPr>
          <w:color w:val="000000"/>
          <w:spacing w:val="0"/>
          <w:w w:val="100"/>
          <w:position w:val="0"/>
        </w:rPr>
        <w:t>十、关联方及关联交易（五）</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8"/>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4</w:t>
      </w:r>
      <w:bookmarkEnd w:id="151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11"/>
      <w:bookmarkEnd w:id="1512"/>
      <w:bookmarkEnd w:id="1514"/>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合同负债对应的销项税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8,057,612.96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11,857,343.89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8,057,612.96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11,857,343.89</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15"/>
      <w:bookmarkEnd w:id="1516"/>
      <w:bookmarkEnd w:id="1518"/>
    </w:p>
    <w:p>
      <w:pPr>
        <w:pStyle w:val="Style51"/>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19"/>
      <w:bookmarkEnd w:id="1520"/>
      <w:bookmarkEnd w:id="1521"/>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132,600,000.00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132,600,000.00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79" w:line="1" w:lineRule="exact"/>
      </w:pPr>
    </w:p>
    <w:p>
      <w:pPr>
        <w:pStyle w:val="Style33"/>
        <w:keepNext w:val="0"/>
        <w:keepLines w:val="0"/>
        <w:widowControl w:val="0"/>
        <w:shd w:val="clear" w:color="auto" w:fill="auto"/>
        <w:bidi w:val="0"/>
        <w:spacing w:before="0" w:after="460" w:line="307" w:lineRule="exact"/>
        <w:ind w:left="720" w:right="0" w:firstLine="0"/>
        <w:jc w:val="both"/>
      </w:pPr>
      <w:r>
        <w:rPr>
          <w:color w:val="000000"/>
          <w:spacing w:val="0"/>
          <w:w w:val="100"/>
          <w:position w:val="0"/>
        </w:rPr>
        <w:t>长期借款分类的说明：抵押及担保事项详见本附注</w:t>
      </w:r>
      <w:r>
        <w:rPr>
          <w:rFonts w:ascii="Times New Roman" w:eastAsia="Times New Roman" w:hAnsi="Times New Roman" w:cs="Times New Roman"/>
          <w:color w:val="000000"/>
          <w:spacing w:val="0"/>
          <w:w w:val="100"/>
          <w:position w:val="0"/>
        </w:rPr>
        <w:t>“</w:t>
      </w:r>
      <w:r>
        <w:rPr>
          <w:color w:val="000000"/>
          <w:spacing w:val="0"/>
          <w:w w:val="100"/>
          <w:position w:val="0"/>
        </w:rPr>
        <w:t>十二、承诺及或有事项（一）</w:t>
      </w:r>
      <w:r>
        <w:rPr>
          <w:rFonts w:ascii="Times New Roman" w:eastAsia="Times New Roman" w:hAnsi="Times New Roman" w:cs="Times New Roman"/>
          <w:color w:val="000000"/>
          <w:spacing w:val="0"/>
          <w:w w:val="100"/>
          <w:position w:val="0"/>
        </w:rPr>
        <w:t>2”</w:t>
      </w:r>
      <w:r>
        <w:rPr>
          <w:color w:val="000000"/>
          <w:spacing w:val="0"/>
          <w:w w:val="100"/>
          <w:position w:val="0"/>
        </w:rPr>
        <w:t>和本附注</w:t>
      </w:r>
      <w:r>
        <w:rPr>
          <w:rFonts w:ascii="Times New Roman" w:eastAsia="Times New Roman" w:hAnsi="Times New Roman" w:cs="Times New Roman"/>
          <w:color w:val="000000"/>
          <w:spacing w:val="0"/>
          <w:w w:val="100"/>
          <w:position w:val="0"/>
        </w:rPr>
        <w:t>“</w:t>
      </w:r>
      <w:r>
        <w:rPr>
          <w:color w:val="000000"/>
          <w:spacing w:val="0"/>
          <w:w w:val="100"/>
          <w:position w:val="0"/>
        </w:rPr>
        <w:t>十、 关联方及关联交易（五）</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其他说明，包括利率区间：</w:t>
      </w:r>
    </w:p>
    <w:p>
      <w:pPr>
        <w:pStyle w:val="Style28"/>
        <w:keepNext/>
        <w:keepLines/>
        <w:widowControl w:val="0"/>
        <w:shd w:val="clear" w:color="auto" w:fill="auto"/>
        <w:bidi w:val="0"/>
        <w:spacing w:before="0" w:after="240" w:line="322" w:lineRule="auto"/>
        <w:ind w:left="0" w:right="0" w:firstLine="0"/>
        <w:jc w:val="both"/>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22"/>
      <w:bookmarkEnd w:id="1523"/>
      <w:bookmarkEnd w:id="1525"/>
    </w:p>
    <w:p>
      <w:pPr>
        <w:pStyle w:val="Style51"/>
        <w:keepNext/>
        <w:keepLines/>
        <w:widowControl w:val="0"/>
        <w:shd w:val="clear" w:color="auto" w:fill="auto"/>
        <w:bidi w:val="0"/>
        <w:spacing w:before="0" w:after="380" w:line="307" w:lineRule="exact"/>
        <w:ind w:left="0" w:right="0" w:firstLine="0"/>
        <w:jc w:val="both"/>
      </w:pPr>
      <w:bookmarkStart w:id="1526" w:name="bookmark1526"/>
      <w:bookmarkStart w:id="1527" w:name="bookmark1527"/>
      <w:bookmarkStart w:id="1528" w:name="bookmark15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26"/>
      <w:bookmarkEnd w:id="1527"/>
      <w:bookmarkEnd w:id="152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39" w:line="1" w:lineRule="exact"/>
      </w:pPr>
    </w:p>
    <w:p>
      <w:pPr>
        <w:pStyle w:val="Style51"/>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29"/>
      <w:bookmarkEnd w:id="1530"/>
      <w:bookmarkEnd w:id="153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1"/>
        <w:keepNext/>
        <w:keepLines/>
        <w:widowControl w:val="0"/>
        <w:shd w:val="clear" w:color="auto" w:fill="auto"/>
        <w:tabs>
          <w:tab w:pos="493" w:val="left"/>
        </w:tabs>
        <w:bidi w:val="0"/>
        <w:spacing w:before="0" w:after="34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32"/>
      <w:bookmarkEnd w:id="1533"/>
      <w:bookmarkEnd w:id="1535"/>
    </w:p>
    <w:p>
      <w:pPr>
        <w:pStyle w:val="Style51"/>
        <w:keepNext/>
        <w:keepLines/>
        <w:widowControl w:val="0"/>
        <w:shd w:val="clear" w:color="auto" w:fill="auto"/>
        <w:tabs>
          <w:tab w:pos="493" w:val="left"/>
        </w:tabs>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36"/>
      <w:bookmarkEnd w:id="1537"/>
      <w:bookmarkEnd w:id="1539"/>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期末发行在外的优先股、永续债等其他金融工具基本情况</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期末发行在外的优先股、永续债等金融工具变动情况表</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其他金融工具划分为金融负债的依据说明</w:t>
      </w: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40"/>
      <w:bookmarkEnd w:id="1541"/>
      <w:bookmarkEnd w:id="1543"/>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租赁付款额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895,765.55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5,035,027.40</w:t>
            </w:r>
          </w:p>
        </w:tc>
      </w:tr>
    </w:tbl>
    <w:p>
      <w:pPr>
        <w:widowControl w:val="0"/>
        <w:spacing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减：未确认融资费用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-21,142.36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874,623.19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5,035,027.40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44"/>
      <w:bookmarkEnd w:id="1545"/>
      <w:bookmarkEnd w:id="1547"/>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79" w:line="1" w:lineRule="exact"/>
      </w:pPr>
    </w:p>
    <w:p>
      <w:pPr>
        <w:pStyle w:val="Style51"/>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48"/>
      <w:bookmarkEnd w:id="1549"/>
      <w:bookmarkEnd w:id="1550"/>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51"/>
        <w:keepNext/>
        <w:keepLines/>
        <w:widowControl w:val="0"/>
        <w:shd w:val="clear" w:color="auto" w:fill="auto"/>
        <w:bidi w:val="0"/>
        <w:spacing w:before="0" w:after="380" w:line="240" w:lineRule="auto"/>
        <w:ind w:left="0" w:right="0" w:firstLine="0"/>
        <w:jc w:val="both"/>
      </w:pPr>
      <w:bookmarkStart w:id="1551" w:name="bookmark1551"/>
      <w:bookmarkStart w:id="1552" w:name="bookmark1552"/>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51"/>
      <w:bookmarkEnd w:id="1552"/>
      <w:bookmarkEnd w:id="1553"/>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4</w:t>
      </w:r>
      <w:bookmarkEnd w:id="1556"/>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54"/>
      <w:bookmarkEnd w:id="1555"/>
      <w:bookmarkEnd w:id="1557"/>
    </w:p>
    <w:p>
      <w:pPr>
        <w:pStyle w:val="Style51"/>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58"/>
      <w:bookmarkEnd w:id="1559"/>
      <w:bookmarkEnd w:id="1560"/>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379" w:line="1" w:lineRule="exact"/>
      </w:pPr>
    </w:p>
    <w:p>
      <w:pPr>
        <w:pStyle w:val="Style51"/>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61"/>
      <w:bookmarkEnd w:id="1562"/>
      <w:bookmarkEnd w:id="1563"/>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设定受益计划义务现值：</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8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84"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设定受益计划的内容及与之相关风险、对公司未来现金流量、时间和不确定性的影响说明:</w:t>
      </w:r>
      <w:r>
        <w:br w:type="page"/>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设定受益计划重大精算假设及敏感性分析结果说明：</w:t>
      </w:r>
    </w:p>
    <w:p>
      <w:pPr>
        <w:pStyle w:val="Style24"/>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after="40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64"/>
      <w:bookmarkEnd w:id="1565"/>
      <w:bookmarkEnd w:id="1567"/>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其他说明，包括重要预计负债的相关重要假设、估计说明:</w:t>
      </w:r>
    </w:p>
    <w:p>
      <w:pPr>
        <w:pStyle w:val="Style28"/>
        <w:keepNext/>
        <w:keepLines/>
        <w:widowControl w:val="0"/>
        <w:shd w:val="clear" w:color="auto" w:fill="auto"/>
        <w:bidi w:val="0"/>
        <w:spacing w:before="0" w:after="40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68"/>
      <w:bookmarkEnd w:id="1569"/>
      <w:bookmarkEnd w:id="1571"/>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598"/>
        <w:gridCol w:w="1598"/>
        <w:gridCol w:w="1584"/>
        <w:gridCol w:w="1603"/>
        <w:gridCol w:w="1594"/>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48,518,000.00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5,154,946.28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47,057,112.95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6,615,833.33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48,518,000.00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5,154,946.28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47,057,112.95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6,615,833.33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本期计入其</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本期冲减成</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上海农业数 据资源库数 据治理、清 洗及应用系 统建设项目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4,459,000.00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215,246.28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4,674,246.28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基于区块链 的长三角食 用农产品质 量安全追溯 平台项目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基于区块 链的酒类安 全追溯云平 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核心电子器 件、高端通 用芯片及基 础软件产品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31,114,000.00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30,488,700.0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68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面向跨境贸</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易和社会治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3,710,000.00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30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理的区块链</w:t>
            </w:r>
          </w:p>
          <w:p>
            <w:pPr>
              <w:pStyle w:val="Style18"/>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重大行业应</w:t>
            </w:r>
          </w:p>
          <w:p>
            <w:pPr>
              <w:pStyle w:val="Style18"/>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用示范研发</w:t>
            </w:r>
          </w:p>
          <w:p>
            <w:pPr>
              <w:pStyle w:val="Style18"/>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年品牌</w:t>
            </w:r>
          </w:p>
          <w:p>
            <w:pPr>
              <w:pStyle w:val="Style18"/>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建设专项资</w:t>
            </w:r>
          </w:p>
          <w:p>
            <w:pPr>
              <w:pStyle w:val="Style18"/>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年社会</w:t>
            </w:r>
          </w:p>
          <w:p>
            <w:pPr>
              <w:pStyle w:val="Style18"/>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信用体系建</w:t>
            </w:r>
          </w:p>
          <w:p>
            <w:pPr>
              <w:pStyle w:val="Style18"/>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设专项资金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480,000.00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青浦区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 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7"/>
                <w:szCs w:val="17"/>
              </w:rPr>
              <w:t>产业 发展项目： 基于区块链 民生档案利 用服务平台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光典新建厂</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房补贴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995,833.33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年度上 海市软件和 集成电路产 业发展专项 资金（软件 和信息服务 业领域）项</w:t>
            </w:r>
          </w:p>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年度基 于区块链技 术的上海红 色文化文献 资料追溯利 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560,000.00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基于区块链</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的食品安全</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监管云平台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595,000.00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追溯云食品</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安全企业信</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用平台补助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信息化</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专项补助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960,000.00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信息化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018"/>
        <w:gridCol w:w="1248"/>
        <w:gridCol w:w="1008"/>
        <w:gridCol w:w="1013"/>
        <w:gridCol w:w="1008"/>
        <w:gridCol w:w="1013"/>
        <w:gridCol w:w="1008"/>
        <w:gridCol w:w="1248"/>
        <w:gridCol w:w="1022"/>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48,518,000.00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5,154,946.28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47,057,112.9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6,615,833.33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both"/>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5</w:t>
      </w:r>
      <w:bookmarkEnd w:id="157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72"/>
      <w:bookmarkEnd w:id="1573"/>
      <w:bookmarkEnd w:id="1575"/>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76"/>
      <w:bookmarkEnd w:id="1577"/>
      <w:bookmarkEnd w:id="1578"/>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205,135,376.00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205,135,376.00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5</w:t>
      </w:r>
      <w:bookmarkEnd w:id="158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79"/>
      <w:bookmarkEnd w:id="1580"/>
      <w:bookmarkEnd w:id="1582"/>
    </w:p>
    <w:p>
      <w:pPr>
        <w:pStyle w:val="Style51"/>
        <w:keepNext/>
        <w:keepLines/>
        <w:widowControl w:val="0"/>
        <w:shd w:val="clear" w:color="auto" w:fill="auto"/>
        <w:tabs>
          <w:tab w:pos="493" w:val="left"/>
        </w:tabs>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83"/>
      <w:bookmarkEnd w:id="1584"/>
      <w:bookmarkEnd w:id="1586"/>
    </w:p>
    <w:p>
      <w:pPr>
        <w:pStyle w:val="Style51"/>
        <w:keepNext/>
        <w:keepLines/>
        <w:widowControl w:val="0"/>
        <w:shd w:val="clear" w:color="auto" w:fill="auto"/>
        <w:tabs>
          <w:tab w:pos="493" w:val="left"/>
        </w:tabs>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87"/>
      <w:bookmarkEnd w:id="1588"/>
      <w:bookmarkEnd w:id="1590"/>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24"/>
        <w:keepNext w:val="0"/>
        <w:keepLines w:val="0"/>
        <w:widowControl w:val="0"/>
        <w:shd w:val="clear" w:color="auto" w:fill="auto"/>
        <w:bidi w:val="0"/>
        <w:spacing w:before="0" w:after="380" w:line="346" w:lineRule="exact"/>
        <w:ind w:left="0" w:right="0" w:firstLine="0"/>
        <w:jc w:val="left"/>
        <w:rPr>
          <w:sz w:val="17"/>
          <w:szCs w:val="17"/>
        </w:rPr>
      </w:pPr>
      <w:r>
        <w:rPr>
          <w:color w:val="000000"/>
          <w:spacing w:val="0"/>
          <w:w w:val="100"/>
          <w:position w:val="0"/>
          <w:sz w:val="17"/>
          <w:szCs w:val="17"/>
        </w:rPr>
        <w:t>其他权益工具本期增减变动情况、变动原因说明，以及相关会计处理的依据: 其他说明：</w:t>
      </w:r>
    </w:p>
    <w:p>
      <w:pPr>
        <w:pStyle w:val="Style28"/>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91"/>
      <w:bookmarkEnd w:id="1592"/>
      <w:bookmarkEnd w:id="1594"/>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46,810,718.94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46,810,718.94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1,900,726.24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1,900,726.24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48,711,445.18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1,900,726.24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46,810,718.94</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其他说明，包括本期增减变动情况、变动原因说明：</w:t>
      </w:r>
    </w:p>
    <w:p>
      <w:pPr>
        <w:pStyle w:val="Style33"/>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注：其他资本公积为股份支付本期减少，详见本附注</w:t>
      </w:r>
      <w:r>
        <w:rPr>
          <w:rFonts w:ascii="Times New Roman" w:eastAsia="Times New Roman" w:hAnsi="Times New Roman" w:cs="Times New Roman"/>
          <w:color w:val="000000"/>
          <w:spacing w:val="0"/>
          <w:w w:val="100"/>
          <w:position w:val="0"/>
        </w:rPr>
        <w:t>“</w:t>
      </w:r>
      <w:r>
        <w:rPr>
          <w:color w:val="000000"/>
          <w:spacing w:val="0"/>
          <w:w w:val="100"/>
          <w:position w:val="0"/>
        </w:rPr>
        <w:t>十一、股份支付</w:t>
      </w:r>
      <w:r>
        <w:rPr>
          <w:rFonts w:ascii="Times New Roman" w:eastAsia="Times New Roman" w:hAnsi="Times New Roman" w:cs="Times New Roman"/>
          <w:color w:val="000000"/>
          <w:spacing w:val="0"/>
          <w:w w:val="100"/>
          <w:position w:val="0"/>
        </w:rPr>
        <w:t>”</w:t>
      </w:r>
      <w:r>
        <w:rPr>
          <w:color w:val="000000"/>
          <w:spacing w:val="0"/>
          <w:w w:val="100"/>
          <w:position w:val="0"/>
        </w:rPr>
        <w:t>所述。</w:t>
      </w:r>
      <w:r>
        <w:br w:type="page"/>
      </w:r>
    </w:p>
    <w:p>
      <w:pPr>
        <w:pStyle w:val="Style28"/>
        <w:keepNext/>
        <w:keepLines/>
        <w:widowControl w:val="0"/>
        <w:shd w:val="clear" w:color="auto" w:fill="auto"/>
        <w:bidi w:val="0"/>
        <w:spacing w:before="0" w:after="40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95"/>
      <w:bookmarkEnd w:id="1596"/>
      <w:bookmarkEnd w:id="159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集中竞价交易方式回购 公司股份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20,005,180.20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20,005,180.20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20,005,180.20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20,005,180.20</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其他说明，包括本期增减变动情况、变动原因说明:</w:t>
      </w:r>
    </w:p>
    <w:p>
      <w:pPr>
        <w:pStyle w:val="Style28"/>
        <w:keepNext/>
        <w:keepLines/>
        <w:widowControl w:val="0"/>
        <w:shd w:val="clear" w:color="auto" w:fill="auto"/>
        <w:bidi w:val="0"/>
        <w:spacing w:before="0" w:after="40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99"/>
      <w:bookmarkEnd w:id="1600"/>
      <w:bookmarkEnd w:id="1602"/>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期末余 额</w:t>
            </w:r>
          </w:p>
        </w:tc>
      </w:tr>
      <w:tr>
        <w:trPr>
          <w:trHeight w:val="165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本期所得</w:t>
            </w:r>
          </w:p>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税前发生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减:前期计入 其他综合收 益当期转入 损益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减：前期 计入其他 综合收益 当期转入 留存收益</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税后归属 于母公司</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税后归属</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于少数股</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其他说明，包括对现金流量套期损益的有效部分转为被套期项目初始确认金额调整:</w:t>
      </w:r>
    </w:p>
    <w:p>
      <w:pPr>
        <w:pStyle w:val="Style28"/>
        <w:keepNext/>
        <w:keepLines/>
        <w:widowControl w:val="0"/>
        <w:shd w:val="clear" w:color="auto" w:fill="auto"/>
        <w:bidi w:val="0"/>
        <w:spacing w:before="0" w:after="40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03"/>
      <w:bookmarkEnd w:id="1604"/>
      <w:bookmarkEnd w:id="1606"/>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其他说明，包括本期增减变动情况、变动原因说明:</w:t>
      </w:r>
    </w:p>
    <w:p>
      <w:pPr>
        <w:pStyle w:val="Style28"/>
        <w:keepNext/>
        <w:keepLines/>
        <w:widowControl w:val="0"/>
        <w:shd w:val="clear" w:color="auto" w:fill="auto"/>
        <w:bidi w:val="0"/>
        <w:spacing w:before="0" w:after="40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5</w:t>
      </w:r>
      <w:bookmarkEnd w:id="160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07"/>
      <w:bookmarkEnd w:id="1608"/>
      <w:bookmarkEnd w:id="1610"/>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21,201,618.43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21,201,618.43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21,201,618.43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21,201,618.43</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盈余公积说明，包括本期增减变动情况、变动原因说明:</w:t>
      </w:r>
    </w:p>
    <w:p>
      <w:pPr>
        <w:pStyle w:val="Style28"/>
        <w:keepNext/>
        <w:keepLines/>
        <w:widowControl w:val="0"/>
        <w:shd w:val="clear" w:color="auto" w:fill="auto"/>
        <w:bidi w:val="0"/>
        <w:spacing w:before="0" w:after="40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6</w:t>
      </w:r>
      <w:bookmarkEnd w:id="161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11"/>
      <w:bookmarkEnd w:id="1612"/>
      <w:bookmarkEnd w:id="1614"/>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730"/>
        <w:gridCol w:w="2923"/>
        <w:gridCol w:w="2928"/>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bl>
    <w:p>
      <w:pPr>
        <w:widowControl w:val="0"/>
        <w:spacing w:line="1" w:lineRule="exact"/>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-19,805,785.83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44,052,864.79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-80,519,784.68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-63,858,650.62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-100,325,570.51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-19,805,785.83</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调整期初未分配利润明细：</w:t>
      </w:r>
    </w:p>
    <w:p>
      <w:pPr>
        <w:pStyle w:val="Style24"/>
        <w:keepNext w:val="0"/>
        <w:keepLines w:val="0"/>
        <w:widowControl w:val="0"/>
        <w:shd w:val="clear" w:color="auto" w:fill="auto"/>
        <w:tabs>
          <w:tab w:pos="330" w:val="left"/>
        </w:tabs>
        <w:bidi w:val="0"/>
        <w:spacing w:before="0" w:after="120" w:line="240" w:lineRule="auto"/>
        <w:ind w:left="0" w:right="0" w:firstLine="0"/>
        <w:jc w:val="left"/>
        <w:rPr>
          <w:sz w:val="17"/>
          <w:szCs w:val="17"/>
        </w:rPr>
      </w:pPr>
      <w:bookmarkStart w:id="1615" w:name="bookmark1615"/>
      <w:r>
        <w:rPr>
          <w:rFonts w:ascii="Times New Roman" w:eastAsia="Times New Roman" w:hAnsi="Times New Roman" w:cs="Times New Roman"/>
          <w:color w:val="000000"/>
          <w:spacing w:val="0"/>
          <w:w w:val="100"/>
          <w:position w:val="0"/>
          <w:sz w:val="18"/>
          <w:szCs w:val="18"/>
        </w:rPr>
        <w:t>1</w:t>
      </w:r>
      <w:bookmarkEnd w:id="1615"/>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、由于《企业会计准则》及其相关新规定进行追溯调整，影响期初未分配利润元。</w:t>
      </w:r>
    </w:p>
    <w:p>
      <w:pPr>
        <w:pStyle w:val="Style24"/>
        <w:keepNext w:val="0"/>
        <w:keepLines w:val="0"/>
        <w:widowControl w:val="0"/>
        <w:shd w:val="clear" w:color="auto" w:fill="auto"/>
        <w:tabs>
          <w:tab w:pos="349" w:val="left"/>
        </w:tabs>
        <w:bidi w:val="0"/>
        <w:spacing w:before="0" w:after="120" w:line="240" w:lineRule="auto"/>
        <w:ind w:left="0" w:right="0" w:firstLine="0"/>
        <w:jc w:val="left"/>
        <w:rPr>
          <w:sz w:val="17"/>
          <w:szCs w:val="17"/>
        </w:rPr>
      </w:pPr>
      <w:bookmarkStart w:id="1616" w:name="bookmark1616"/>
      <w:r>
        <w:rPr>
          <w:rFonts w:ascii="Times New Roman" w:eastAsia="Times New Roman" w:hAnsi="Times New Roman" w:cs="Times New Roman"/>
          <w:color w:val="000000"/>
          <w:spacing w:val="0"/>
          <w:w w:val="100"/>
          <w:position w:val="0"/>
          <w:sz w:val="18"/>
          <w:szCs w:val="18"/>
        </w:rPr>
        <w:t>2</w:t>
      </w:r>
      <w:bookmarkEnd w:id="1616"/>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、由于会计政策变更，影响期初未分配利润元。</w:t>
      </w:r>
    </w:p>
    <w:p>
      <w:pPr>
        <w:pStyle w:val="Style24"/>
        <w:keepNext w:val="0"/>
        <w:keepLines w:val="0"/>
        <w:widowControl w:val="0"/>
        <w:shd w:val="clear" w:color="auto" w:fill="auto"/>
        <w:tabs>
          <w:tab w:pos="349" w:val="left"/>
        </w:tabs>
        <w:bidi w:val="0"/>
        <w:spacing w:before="0" w:after="120" w:line="240" w:lineRule="auto"/>
        <w:ind w:left="0" w:right="0" w:firstLine="0"/>
        <w:jc w:val="left"/>
        <w:rPr>
          <w:sz w:val="17"/>
          <w:szCs w:val="17"/>
        </w:rPr>
      </w:pPr>
      <w:bookmarkStart w:id="1617" w:name="bookmark1617"/>
      <w:r>
        <w:rPr>
          <w:rFonts w:ascii="Times New Roman" w:eastAsia="Times New Roman" w:hAnsi="Times New Roman" w:cs="Times New Roman"/>
          <w:color w:val="000000"/>
          <w:spacing w:val="0"/>
          <w:w w:val="100"/>
          <w:position w:val="0"/>
          <w:sz w:val="18"/>
          <w:szCs w:val="18"/>
        </w:rPr>
        <w:t>3</w:t>
      </w:r>
      <w:bookmarkEnd w:id="1617"/>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、由于重大会计差错更正，影响期初未分配利润元。</w:t>
      </w:r>
    </w:p>
    <w:p>
      <w:pPr>
        <w:pStyle w:val="Style24"/>
        <w:keepNext w:val="0"/>
        <w:keepLines w:val="0"/>
        <w:widowControl w:val="0"/>
        <w:shd w:val="clear" w:color="auto" w:fill="auto"/>
        <w:tabs>
          <w:tab w:pos="349" w:val="left"/>
        </w:tabs>
        <w:bidi w:val="0"/>
        <w:spacing w:before="0" w:after="120" w:line="240" w:lineRule="auto"/>
        <w:ind w:left="0" w:right="0" w:firstLine="0"/>
        <w:jc w:val="left"/>
        <w:rPr>
          <w:sz w:val="17"/>
          <w:szCs w:val="17"/>
        </w:rPr>
      </w:pPr>
      <w:bookmarkStart w:id="1618" w:name="bookmark1618"/>
      <w:r>
        <w:rPr>
          <w:rFonts w:ascii="Times New Roman" w:eastAsia="Times New Roman" w:hAnsi="Times New Roman" w:cs="Times New Roman"/>
          <w:color w:val="000000"/>
          <w:spacing w:val="0"/>
          <w:w w:val="100"/>
          <w:position w:val="0"/>
          <w:sz w:val="18"/>
          <w:szCs w:val="18"/>
        </w:rPr>
        <w:t>4</w:t>
      </w:r>
      <w:bookmarkEnd w:id="1618"/>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、由于同一控制导致的合并范围变更，影响期初未分配利润元。</w:t>
      </w:r>
    </w:p>
    <w:p>
      <w:pPr>
        <w:pStyle w:val="Style24"/>
        <w:keepNext w:val="0"/>
        <w:keepLines w:val="0"/>
        <w:widowControl w:val="0"/>
        <w:shd w:val="clear" w:color="auto" w:fill="auto"/>
        <w:tabs>
          <w:tab w:pos="349" w:val="left"/>
        </w:tabs>
        <w:bidi w:val="0"/>
        <w:spacing w:before="0" w:after="400" w:line="240" w:lineRule="auto"/>
        <w:ind w:left="0" w:right="0" w:firstLine="0"/>
        <w:jc w:val="left"/>
        <w:rPr>
          <w:sz w:val="17"/>
          <w:szCs w:val="17"/>
        </w:rPr>
      </w:pPr>
      <w:bookmarkStart w:id="1619" w:name="bookmark1619"/>
      <w:r>
        <w:rPr>
          <w:rFonts w:ascii="Times New Roman" w:eastAsia="Times New Roman" w:hAnsi="Times New Roman" w:cs="Times New Roman"/>
          <w:color w:val="000000"/>
          <w:spacing w:val="0"/>
          <w:w w:val="100"/>
          <w:position w:val="0"/>
          <w:sz w:val="18"/>
          <w:szCs w:val="18"/>
        </w:rPr>
        <w:t>5</w:t>
      </w:r>
      <w:bookmarkEnd w:id="1619"/>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、其他调整合计影响期初未分配利润元。</w:t>
      </w:r>
    </w:p>
    <w:p>
      <w:pPr>
        <w:pStyle w:val="Style28"/>
        <w:keepNext/>
        <w:keepLines/>
        <w:widowControl w:val="0"/>
        <w:shd w:val="clear" w:color="auto" w:fill="auto"/>
        <w:bidi w:val="0"/>
        <w:spacing w:before="0" w:after="40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6</w:t>
      </w:r>
      <w:bookmarkEnd w:id="162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20"/>
      <w:bookmarkEnd w:id="1621"/>
      <w:bookmarkEnd w:id="1623"/>
    </w:p>
    <w:p>
      <w:pPr>
        <w:pStyle w:val="Style24"/>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421,887,031.72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317,802,105.22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571,998,524.56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437,243,767.37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421,887,031.72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317,802,105.22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571,998,524.56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437,243,767.37</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经审计扣除非经常损益前后净利润孰低是否为负值</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i/>
          <w:iCs/>
          <w:color w:val="000000"/>
          <w:spacing w:val="0"/>
          <w:w w:val="100"/>
          <w:position w:val="0"/>
          <w:sz w:val="17"/>
          <w:szCs w:val="17"/>
        </w:rPr>
        <w:t>V</w:t>
      </w:r>
      <w:r>
        <w:rPr>
          <w:color w:val="000000"/>
          <w:spacing w:val="0"/>
          <w:w w:val="100"/>
          <w:position w:val="0"/>
          <w:sz w:val="17"/>
          <w:szCs w:val="17"/>
        </w:rPr>
        <w:t>是</w:t>
      </w:r>
      <w:r>
        <w:rPr>
          <w:color w:val="000000"/>
          <w:spacing w:val="0"/>
          <w:w w:val="100"/>
          <w:position w:val="0"/>
          <w:sz w:val="18"/>
          <w:szCs w:val="18"/>
        </w:rPr>
        <w:t>口</w:t>
      </w:r>
      <w:r>
        <w:rPr>
          <w:color w:val="000000"/>
          <w:spacing w:val="0"/>
          <w:w w:val="100"/>
          <w:position w:val="0"/>
          <w:sz w:val="17"/>
          <w:szCs w:val="17"/>
        </w:rPr>
        <w:t>否</w:t>
      </w:r>
    </w:p>
    <w:p>
      <w:pPr>
        <w:pStyle w:val="Style24"/>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723"/>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本年度（万元）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上年度（万元）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具体扣除情况</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421,887,031.72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571,998,524.56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营业收入扣除项目合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一、与主营业务无关 的业务收入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与主营业务无关的业 务收入小计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二、不具备商业实质 的收入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不具备商业实质的收</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421,887,031.72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571,998,524.56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与履约义务相关的信息：</w:t>
      </w:r>
    </w:p>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无</w:t>
      </w:r>
    </w:p>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与分摊至剩余履约义务的交易价格相关的信息：</w:t>
      </w:r>
    </w:p>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年度确认收入。</w:t>
      </w:r>
    </w:p>
    <w:p>
      <w:pPr>
        <w:pStyle w:val="Style24"/>
        <w:keepNext w:val="0"/>
        <w:keepLines w:val="0"/>
        <w:widowControl w:val="0"/>
        <w:shd w:val="clear" w:color="auto" w:fill="auto"/>
        <w:bidi w:val="0"/>
        <w:spacing w:before="0" w:after="400" w:line="322" w:lineRule="exact"/>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after="40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6</w:t>
      </w:r>
      <w:bookmarkEnd w:id="162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24"/>
      <w:bookmarkEnd w:id="1625"/>
      <w:bookmarkEnd w:id="1627"/>
    </w:p>
    <w:p>
      <w:pPr>
        <w:pStyle w:val="Style24"/>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697,229.50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828,933.33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343,524.30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458,856.21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2,380,226.69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2,365,619.11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89,778.00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89,778.00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159,832.40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67,408.43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229,016.19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244,199.81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3,899,607.08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4,054,794.89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both"/>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6</w:t>
      </w:r>
      <w:bookmarkEnd w:id="163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28"/>
      <w:bookmarkEnd w:id="1629"/>
      <w:bookmarkEnd w:id="1631"/>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28,375,297.60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34,676,011.66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5,609,986.38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5,136,669.87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市外差旅费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4,834,695.42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6,364,275.99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市内交通费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1,693,743.72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1,148,051.23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1,360,745.66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1,722,026.37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标书费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1,119,414.12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1,749,744.03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422,220.55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792,789.41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4,631,130.93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4,212,650.15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48,047,234.38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55,802,218.71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both"/>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6</w:t>
      </w:r>
      <w:bookmarkEnd w:id="163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32"/>
      <w:bookmarkEnd w:id="1633"/>
      <w:bookmarkEnd w:id="1635"/>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34,528,175.59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30,928,200.84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9,985,459.73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3,405,471.67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5,778,904.12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9,924,724.07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5,632,290.38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4,838,511.82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3,206,616.99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2,872,377.99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2,176,030.76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2,234,836.80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1,475,017.15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1,979,507.54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1,182,109.59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1,892,150.94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物业管理费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767,816.51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758,054.27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车辆运杂费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766,853.48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1,039,358.73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5,141,088.12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股份支付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-1,900,726.24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1,900,726.24</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2,605,952.75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1,648,014.40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66,274,500.81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68,563,023.43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6</w:t>
      </w:r>
      <w:bookmarkEnd w:id="1638"/>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36"/>
      <w:bookmarkEnd w:id="1637"/>
      <w:bookmarkEnd w:id="1639"/>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人员人工费用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41,243,187.16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54,839,391.66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直接投入费用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11,886.79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其他相关费用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3,191,578.51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3,171,291.24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44,434,765.67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58,022,569.69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6</w:t>
      </w:r>
      <w:bookmarkEnd w:id="164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40"/>
      <w:bookmarkEnd w:id="1641"/>
      <w:bookmarkEnd w:id="1643"/>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14,784,910.92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18,260,859.20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其中：租赁负债利息费用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401,123.10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130,289.08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3,202,554.47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254,979.28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845,672.98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14,909,601.12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15,903,977.71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both"/>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6</w:t>
      </w:r>
      <w:bookmarkEnd w:id="1646"/>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44"/>
      <w:bookmarkEnd w:id="1645"/>
      <w:bookmarkEnd w:id="1647"/>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49,830,187.03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10,654,524.53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2,770,585.02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2,027,698.59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代扣个人所得税手续费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97,235.27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158,269.24</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6</w:t>
      </w:r>
      <w:bookmarkEnd w:id="165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48"/>
      <w:bookmarkEnd w:id="1649"/>
      <w:bookmarkEnd w:id="1651"/>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-728,659.73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处置其他非流动金融资产取得的投资收益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-728,659.73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6</w:t>
      </w:r>
      <w:bookmarkEnd w:id="1654"/>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52"/>
      <w:bookmarkEnd w:id="1653"/>
      <w:bookmarkEnd w:id="1655"/>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7</w:t>
      </w:r>
      <w:bookmarkEnd w:id="1658"/>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56"/>
      <w:bookmarkEnd w:id="1657"/>
      <w:bookmarkEnd w:id="1659"/>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4,421,062.87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4,421,062.87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7</w:t>
      </w:r>
      <w:bookmarkEnd w:id="166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60"/>
      <w:bookmarkEnd w:id="1661"/>
      <w:bookmarkEnd w:id="1663"/>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323,995.54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812,775.23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403,474.94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-37,973,239.36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-8,572,656.02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一年内到期的长期应收款坏账损失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422,640.00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-37,461.06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-37,226,603.82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-7,393,866.91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7</w:t>
      </w:r>
      <w:bookmarkEnd w:id="1666"/>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64"/>
      <w:bookmarkEnd w:id="1665"/>
      <w:bookmarkEnd w:id="1667"/>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-6,628,268.27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-7,316,182.63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-817,981.58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-781,628.97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-7,446,249.85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-8,097,811.60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7</w:t>
      </w:r>
      <w:bookmarkEnd w:id="1670"/>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68"/>
      <w:bookmarkEnd w:id="1669"/>
      <w:bookmarkEnd w:id="1671"/>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44,160.85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111,689.43</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7</w:t>
      </w:r>
      <w:bookmarkEnd w:id="1674"/>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72"/>
      <w:bookmarkEnd w:id="1673"/>
      <w:bookmarkEnd w:id="1675"/>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1,500.00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1,500.00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补贴是否影</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响当年盈亏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7</w:t>
      </w:r>
      <w:bookmarkEnd w:id="167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76"/>
      <w:bookmarkEnd w:id="1677"/>
      <w:bookmarkEnd w:id="1679"/>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罚款及赔偿款滞纳金支出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1,077,689.90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1,219,459.26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1,077,689.90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7,665.63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7,665.63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1,226,355.53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1,249,459.26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1,226,355.53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7</w:t>
      </w:r>
      <w:bookmarkEnd w:id="168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80"/>
      <w:bookmarkEnd w:id="1681"/>
      <w:bookmarkEnd w:id="1683"/>
    </w:p>
    <w:p>
      <w:pPr>
        <w:pStyle w:val="Style51"/>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84"/>
      <w:bookmarkEnd w:id="1685"/>
      <w:bookmarkEnd w:id="1686"/>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1,375,814.81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746,201.64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12,079,316.22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-5,462,839.95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13,455,131.03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-4,716,638.31</w:t>
            </w:r>
          </w:p>
        </w:tc>
      </w:tr>
    </w:tbl>
    <w:p>
      <w:pPr>
        <w:spacing w:lineRule="exact" w:line="1"/>
        <w:rPr>
          <w:sz w:val="2"/>
          <w:szCs w:val="2"/>
        </w:rPr>
      </w:pPr>
      <w:r>
        <w:br w:type="page"/>
      </w:r>
    </w:p>
    <w:p>
      <w:pPr>
        <w:pStyle w:val="Style51"/>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87"/>
      <w:bookmarkEnd w:id="1688"/>
      <w:bookmarkEnd w:id="1689"/>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-61,258,983.32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-9,188,847.50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218,531.27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979,940.50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5,358,485.69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214,465.29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18,310,391.10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研发加计扣除</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-2,437,835.32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13,455,131.03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tabs>
          <w:tab w:pos="478" w:val="left"/>
        </w:tabs>
        <w:bidi w:val="0"/>
        <w:spacing w:before="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7</w:t>
      </w:r>
      <w:bookmarkEnd w:id="169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90"/>
      <w:bookmarkEnd w:id="1691"/>
      <w:bookmarkEnd w:id="1693"/>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详见附注。</w:t>
      </w:r>
    </w:p>
    <w:p>
      <w:pPr>
        <w:pStyle w:val="Style28"/>
        <w:keepNext/>
        <w:keepLines/>
        <w:widowControl w:val="0"/>
        <w:shd w:val="clear" w:color="auto" w:fill="auto"/>
        <w:tabs>
          <w:tab w:pos="478" w:val="left"/>
        </w:tabs>
        <w:bidi w:val="0"/>
        <w:spacing w:before="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7</w:t>
      </w:r>
      <w:bookmarkEnd w:id="169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94"/>
      <w:bookmarkEnd w:id="1695"/>
      <w:bookmarkEnd w:id="1697"/>
    </w:p>
    <w:p>
      <w:pPr>
        <w:pStyle w:val="Style51"/>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8"/>
      <w:bookmarkEnd w:id="1699"/>
      <w:bookmarkEnd w:id="1700"/>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、收到的各项政府补助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8,025,255.63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11,818,683.20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、收回的项目质保金、保函保证金及押 金等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55,540,797.27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64,821,031.77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、收到的存款利息收入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130,289.08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851,186.14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、收到的员工备用金等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497,768.17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1,916,181.02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64,194,110.15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79,407,082.13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收到的其他与经营活动有关的现金说明：</w:t>
      </w:r>
    </w:p>
    <w:p>
      <w:pPr>
        <w:pStyle w:val="Style51"/>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01"/>
      <w:bookmarkEnd w:id="1702"/>
      <w:bookmarkEnd w:id="1703"/>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支付付现费用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45,936,533.61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47,386,990.26</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支付项目质保金、保函保证金及押金等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40,395,103.32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57,027,808.94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支付的员工备用金等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2,506,572.77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1,037,830.13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88,838,209.70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105,452,629.33</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支付的其他与经营活动有关的现金说明：</w:t>
      </w:r>
    </w:p>
    <w:p>
      <w:pPr>
        <w:pStyle w:val="Style51"/>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04"/>
      <w:bookmarkEnd w:id="1705"/>
      <w:bookmarkEnd w:id="1707"/>
    </w:p>
    <w:p>
      <w:pPr>
        <w:pStyle w:val="Style24"/>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收到的其他与投资活动有关的现金说明：</w:t>
      </w:r>
    </w:p>
    <w:p>
      <w:pPr>
        <w:pStyle w:val="Style51"/>
        <w:keepNext/>
        <w:keepLines/>
        <w:widowControl w:val="0"/>
        <w:shd w:val="clear" w:color="auto" w:fill="auto"/>
        <w:bidi w:val="0"/>
        <w:spacing w:before="0" w:after="38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08"/>
      <w:bookmarkEnd w:id="1709"/>
      <w:bookmarkEnd w:id="1711"/>
    </w:p>
    <w:p>
      <w:pPr>
        <w:pStyle w:val="Style24"/>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支付的其他与投资活动有关的现金说明：</w:t>
      </w:r>
    </w:p>
    <w:p>
      <w:pPr>
        <w:pStyle w:val="Style51"/>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12"/>
      <w:bookmarkEnd w:id="1713"/>
      <w:bookmarkEnd w:id="1715"/>
    </w:p>
    <w:p>
      <w:pPr>
        <w:pStyle w:val="Style24"/>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收到员工持股计划款项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1,122,200.00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1,122,200.00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收到的其他与筹资活动有关的现金说明：</w:t>
      </w:r>
    </w:p>
    <w:p>
      <w:pPr>
        <w:pStyle w:val="Style51"/>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w:t>
      </w:r>
      <w:bookmarkEnd w:id="171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16"/>
      <w:bookmarkEnd w:id="1717"/>
      <w:bookmarkEnd w:id="1719"/>
    </w:p>
    <w:p>
      <w:pPr>
        <w:pStyle w:val="Style24"/>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支付的租金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6,465,307.41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支付员工持股计划款项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支付的收购少数股东股权的款项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5,008,957.46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12,035,364.87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8"/>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7</w:t>
      </w:r>
      <w:bookmarkEnd w:id="172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20"/>
      <w:bookmarkEnd w:id="1721"/>
      <w:bookmarkEnd w:id="1723"/>
    </w:p>
    <w:p>
      <w:pPr>
        <w:pStyle w:val="Style51"/>
        <w:keepNext/>
        <w:keepLines/>
        <w:widowControl w:val="0"/>
        <w:shd w:val="clear" w:color="auto" w:fill="auto"/>
        <w:bidi w:val="0"/>
        <w:spacing w:before="0" w:after="380" w:line="240" w:lineRule="auto"/>
        <w:ind w:left="0" w:right="0" w:firstLine="0"/>
        <w:jc w:val="left"/>
      </w:pPr>
      <w:bookmarkStart w:id="1724" w:name="bookmark1724"/>
      <w:bookmarkStart w:id="1725" w:name="bookmark1725"/>
      <w:bookmarkStart w:id="1726" w:name="bookmark17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24"/>
      <w:bookmarkEnd w:id="1725"/>
      <w:bookmarkEnd w:id="1726"/>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-74,714,114.35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-61,934,782.04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44,672,853.67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15,491,678.51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740"/>
              <w:jc w:val="both"/>
              <w:rPr>
                <w:sz w:val="17"/>
                <w:szCs w:val="17"/>
              </w:rPr>
            </w:pPr>
            <w:r>
              <w:rPr>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4,482,872.15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3,455,436.71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5,927,896.02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2,176,030.76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2,234,836.80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-111,689.43</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-4,421,062.87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14,784,910.92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16,064,880.30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728,659.73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9,621,976.22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-5,617,829.38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2,457,340.00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154,989.43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15,306,967.26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76,963,379.35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87,801,237.12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65,843,415.00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-73,938,424.63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-76,158,679.76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5,602,476.97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-7,204,974.26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38,760,520.99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24,459,598.36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92,457,158.35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90,223,990.32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90,223,990.32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203,963,188.10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2,233,168.03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-113,739,197.78</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727" w:name="bookmark1727"/>
      <w:bookmarkStart w:id="1728" w:name="bookmark1728"/>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27"/>
      <w:bookmarkEnd w:id="1728"/>
      <w:bookmarkEnd w:id="1729"/>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其他说明：</w:t>
      </w:r>
    </w:p>
    <w:p>
      <w:pPr>
        <w:pStyle w:val="Style51"/>
        <w:keepNext/>
        <w:keepLines/>
        <w:widowControl w:val="0"/>
        <w:shd w:val="clear" w:color="auto" w:fill="auto"/>
        <w:bidi w:val="0"/>
        <w:spacing w:before="0" w:after="40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30"/>
      <w:bookmarkEnd w:id="1731"/>
      <w:bookmarkEnd w:id="1733"/>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其他说明：</w:t>
      </w:r>
    </w:p>
    <w:p>
      <w:pPr>
        <w:pStyle w:val="Style51"/>
        <w:keepNext/>
        <w:keepLines/>
        <w:widowControl w:val="0"/>
        <w:shd w:val="clear" w:color="auto" w:fill="auto"/>
        <w:bidi w:val="0"/>
        <w:spacing w:before="0" w:after="40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34"/>
      <w:bookmarkEnd w:id="1735"/>
      <w:bookmarkEnd w:id="1737"/>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92,457,158.35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90,223,990.32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25,139.80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93,585.39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92,404,574.57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90,130,404.93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27,443.98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92,457,158.35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90,223,990.32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tabs>
          <w:tab w:pos="483" w:val="left"/>
        </w:tabs>
        <w:bidi w:val="0"/>
        <w:spacing w:before="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8</w:t>
      </w:r>
      <w:bookmarkEnd w:id="1740"/>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38"/>
      <w:bookmarkEnd w:id="1739"/>
      <w:bookmarkEnd w:id="1741"/>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其他，，项目名称及调整金额等事项:</w:t>
      </w:r>
    </w:p>
    <w:p>
      <w:pPr>
        <w:pStyle w:val="Style28"/>
        <w:keepNext/>
        <w:keepLines/>
        <w:widowControl w:val="0"/>
        <w:shd w:val="clear" w:color="auto" w:fill="auto"/>
        <w:tabs>
          <w:tab w:pos="483" w:val="left"/>
        </w:tabs>
        <w:bidi w:val="0"/>
        <w:spacing w:before="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8</w:t>
      </w:r>
      <w:bookmarkEnd w:id="1744"/>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42"/>
      <w:bookmarkEnd w:id="1743"/>
      <w:bookmarkEnd w:id="1745"/>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受限原因</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7,874,533.99</w:t>
            </w:r>
          </w:p>
        </w:tc>
        <w:tc>
          <w:tcPr>
            <w:tcBorders>
              <w:top w:val="single" w:sz="4"/>
              <w:lef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保函保证金</w:t>
      </w:r>
    </w:p>
    <w:p>
      <w:pPr>
        <w:widowControl w:val="0"/>
        <w:spacing w:after="79" w:line="1" w:lineRule="exact"/>
      </w:pPr>
    </w:p>
    <w:p>
      <w:pPr>
        <w:widowControl w:val="0"/>
        <w:spacing w:line="1" w:lineRule="exact"/>
      </w:pP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281,372,474.76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27,206,440.93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银行承兑汇票保证金</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319,453,449.68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both"/>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8</w:t>
      </w:r>
      <w:bookmarkEnd w:id="1748"/>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46"/>
      <w:bookmarkEnd w:id="1747"/>
      <w:bookmarkEnd w:id="1749"/>
    </w:p>
    <w:p>
      <w:pPr>
        <w:pStyle w:val="Style51"/>
        <w:keepNext/>
        <w:keepLines/>
        <w:widowControl w:val="0"/>
        <w:shd w:val="clear" w:color="auto" w:fill="auto"/>
        <w:bidi w:val="0"/>
        <w:spacing w:before="0" w:after="380" w:line="240" w:lineRule="auto"/>
        <w:ind w:left="0" w:right="0" w:firstLine="0"/>
        <w:jc w:val="both"/>
      </w:pPr>
      <w:bookmarkStart w:id="1750" w:name="bookmark1750"/>
      <w:bookmarkStart w:id="1751" w:name="bookmark1751"/>
      <w:bookmarkStart w:id="1752" w:name="bookmark17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50"/>
      <w:bookmarkEnd w:id="1751"/>
      <w:bookmarkEnd w:id="1752"/>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其他说明：</w:t>
      </w:r>
    </w:p>
    <w:p>
      <w:pPr>
        <w:pStyle w:val="Style51"/>
        <w:keepNext/>
        <w:keepLines/>
        <w:widowControl w:val="0"/>
        <w:shd w:val="clear" w:color="auto" w:fill="auto"/>
        <w:bidi w:val="0"/>
        <w:spacing w:before="0" w:after="400" w:line="326" w:lineRule="exact"/>
        <w:ind w:left="0" w:right="0" w:firstLine="0"/>
        <w:jc w:val="left"/>
      </w:pPr>
      <w:bookmarkStart w:id="1753" w:name="bookmark1753"/>
      <w:bookmarkStart w:id="1754" w:name="bookmark1754"/>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53"/>
      <w:bookmarkEnd w:id="1754"/>
      <w:bookmarkEnd w:id="1755"/>
    </w:p>
    <w:p>
      <w:pPr>
        <w:pStyle w:val="Style24"/>
        <w:keepNext w:val="0"/>
        <w:keepLines w:val="0"/>
        <w:widowControl w:val="0"/>
        <w:shd w:val="clear" w:color="auto" w:fill="auto"/>
        <w:bidi w:val="0"/>
        <w:spacing w:before="0" w:after="2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8"/>
        <w:keepNext/>
        <w:keepLines/>
        <w:widowControl w:val="0"/>
        <w:shd w:val="clear" w:color="auto" w:fill="auto"/>
        <w:tabs>
          <w:tab w:pos="483" w:val="left"/>
        </w:tabs>
        <w:bidi w:val="0"/>
        <w:spacing w:before="0" w:after="400" w:line="326" w:lineRule="exact"/>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8</w:t>
      </w:r>
      <w:bookmarkEnd w:id="1758"/>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56"/>
      <w:bookmarkEnd w:id="1757"/>
      <w:bookmarkEnd w:id="1759"/>
    </w:p>
    <w:p>
      <w:pPr>
        <w:pStyle w:val="Style24"/>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7"/>
          <w:szCs w:val="17"/>
        </w:rPr>
        <w:t>按照套期类别披露套期项目及相关套期工具、被套期风险的定性和定量信息：</w:t>
      </w:r>
    </w:p>
    <w:p>
      <w:pPr>
        <w:pStyle w:val="Style28"/>
        <w:keepNext/>
        <w:keepLines/>
        <w:widowControl w:val="0"/>
        <w:shd w:val="clear" w:color="auto" w:fill="auto"/>
        <w:tabs>
          <w:tab w:pos="483" w:val="left"/>
        </w:tabs>
        <w:bidi w:val="0"/>
        <w:spacing w:before="0" w:after="280" w:line="326" w:lineRule="exact"/>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8</w:t>
      </w:r>
      <w:bookmarkEnd w:id="1762"/>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60"/>
      <w:bookmarkEnd w:id="1761"/>
      <w:bookmarkEnd w:id="1763"/>
    </w:p>
    <w:p>
      <w:pPr>
        <w:pStyle w:val="Style51"/>
        <w:keepNext/>
        <w:keepLines/>
        <w:widowControl w:val="0"/>
        <w:shd w:val="clear" w:color="auto" w:fill="auto"/>
        <w:bidi w:val="0"/>
        <w:spacing w:before="0" w:after="400" w:line="326" w:lineRule="exact"/>
        <w:ind w:left="0" w:right="0" w:firstLine="0"/>
        <w:jc w:val="left"/>
      </w:pPr>
      <w:bookmarkStart w:id="1764" w:name="bookmark1764"/>
      <w:bookmarkStart w:id="1765" w:name="bookmark1765"/>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64"/>
      <w:bookmarkEnd w:id="1765"/>
      <w:bookmarkEnd w:id="1766"/>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光典厂房补助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995,833.33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4,166.67</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核心电子器件、高端通用芯片 及基础软件产品项目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30,488,700.00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面向跨境贸易和社会治理的 区块链重大行业应用示范研 发项目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上海农业数据资源库数据治 理、清洗及应用系统建设项目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4,674,246.28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4,674,246.28</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年度上海市软件和集成 电路产业发展专项资金（软件 和信息服务业领域）项目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基于区块链的长三角食用农 产品质量安全追溯平台项目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1,610,000.00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监所内外一体化主动防控与 巡检技术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年青浦区软件信息服务 业扶持项目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基于区块链的食品安全监管 云平台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财政扶持补助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1,441,100.00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205,200.00</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年度青浦区企业技术中 心评价合格奖励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残疾人超比例奖励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18,154.80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11,263.70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上海安全防范报警协会奖励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专精特新企业运行监测经费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188,088.00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sz w:val="17"/>
                <w:szCs w:val="17"/>
              </w:rPr>
              <w:t>上海市软件和集成电路发展 专项资金项目</w:t>
            </w:r>
            <w:r>
              <w:rPr>
                <w:rFonts w:ascii="Times New Roman" w:eastAsia="Times New Roman" w:hAnsi="Times New Roman" w:cs="Times New Roman"/>
                <w:color w:val="000000"/>
                <w:spacing w:val="0"/>
                <w:w w:val="100"/>
                <w:position w:val="0"/>
              </w:rPr>
              <w:t>“O2O</w:t>
            </w:r>
            <w:r>
              <w:rPr>
                <w:color w:val="000000"/>
                <w:spacing w:val="0"/>
                <w:w w:val="100"/>
                <w:position w:val="0"/>
                <w:sz w:val="17"/>
                <w:szCs w:val="17"/>
              </w:rPr>
              <w:t>社区智慧 菜场服务平台</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品牌建设专项资金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退税收入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201,645.43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基于人工智能技术的智慧冷 链物流云平台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扶持项目专项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年度软件信息服务业扶 持项目</w:t>
            </w:r>
            <w:r>
              <w:rPr>
                <w:rFonts w:ascii="Times New Roman" w:eastAsia="Times New Roman" w:hAnsi="Times New Roman" w:cs="Times New Roman"/>
                <w:color w:val="000000"/>
                <w:spacing w:val="0"/>
                <w:w w:val="100"/>
                <w:position w:val="0"/>
                <w:sz w:val="18"/>
                <w:szCs w:val="18"/>
              </w:rPr>
              <w:t>CMMI3（</w:t>
            </w:r>
            <w:r>
              <w:rPr>
                <w:color w:val="000000"/>
                <w:spacing w:val="0"/>
                <w:w w:val="100"/>
                <w:position w:val="0"/>
                <w:sz w:val="17"/>
                <w:szCs w:val="17"/>
              </w:rPr>
              <w:t>软件能力成熟 度模型）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年度青浦区两化融合扶 持项专项资金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都市农业文化休闲旅游资源 集成云平台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财政扶持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葡萄自适应生产管理系统研 究补助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年上海市企事业专利工 作试点示范单位项目补助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在农业领域的应用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张江专项资助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专利授权资助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静安区大数据产业发展专项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年第二批产业转型专项</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（产业技术创新）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上海市青年创业就业基金会 创青春资金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上海市标准化推进专项资金 项目经费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百家优秀企业表彰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年第一批区级科创政策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专精特新企业经费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基于区块链的酒类安全追溯 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年品牌建设专项资金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年社会信用体系建设专 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青浦区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产业发展项 目：基于区块链民生档案利用 服务平台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年度基于区块链技术的 上海红色文化文献资料追溯 利用项目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追溯云食品安全企业信用平 台补助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信息化专项补助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信息化专项补助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67,096,378.22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49,830,187.03</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left"/>
      </w:pPr>
      <w:bookmarkStart w:id="1767" w:name="bookmark1767"/>
      <w:bookmarkStart w:id="1768" w:name="bookmark1768"/>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67"/>
      <w:bookmarkEnd w:id="1768"/>
      <w:bookmarkEnd w:id="1769"/>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after="360" w:line="240" w:lineRule="auto"/>
        <w:ind w:left="0" w:right="0" w:firstLine="0"/>
        <w:jc w:val="left"/>
      </w:pPr>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70"/>
      <w:bookmarkEnd w:id="1771"/>
      <w:bookmarkEnd w:id="1772"/>
    </w:p>
    <w:p>
      <w:pPr>
        <w:pStyle w:val="Style22"/>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八</w:t>
      </w:r>
      <w:bookmarkEnd w:id="1775"/>
      <w:r>
        <w:rPr>
          <w:color w:val="000000"/>
          <w:spacing w:val="0"/>
          <w:w w:val="100"/>
          <w:position w:val="0"/>
        </w:rPr>
        <w:t>、合并范围的变更</w:t>
      </w:r>
      <w:bookmarkEnd w:id="1773"/>
      <w:bookmarkEnd w:id="1774"/>
      <w:bookmarkEnd w:id="1776"/>
    </w:p>
    <w:p>
      <w:pPr>
        <w:pStyle w:val="Style28"/>
        <w:keepNext/>
        <w:keepLines/>
        <w:widowControl w:val="0"/>
        <w:shd w:val="clear" w:color="auto" w:fill="auto"/>
        <w:bidi w:val="0"/>
        <w:spacing w:before="0" w:after="360" w:line="240" w:lineRule="auto"/>
        <w:ind w:left="0" w:right="0" w:firstLine="0"/>
        <w:jc w:val="left"/>
      </w:pPr>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77"/>
      <w:bookmarkEnd w:id="1778"/>
      <w:bookmarkEnd w:id="1779"/>
    </w:p>
    <w:p>
      <w:pPr>
        <w:pStyle w:val="Style51"/>
        <w:keepNext/>
        <w:keepLines/>
        <w:widowControl w:val="0"/>
        <w:shd w:val="clear" w:color="auto" w:fill="auto"/>
        <w:bidi w:val="0"/>
        <w:spacing w:before="0" w:after="360" w:line="240" w:lineRule="auto"/>
        <w:ind w:left="0" w:right="0" w:firstLine="0"/>
        <w:jc w:val="left"/>
      </w:pPr>
      <w:bookmarkStart w:id="1780" w:name="bookmark1780"/>
      <w:bookmarkStart w:id="1781" w:name="bookmark1781"/>
      <w:bookmarkStart w:id="1782" w:name="bookmark17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80"/>
      <w:bookmarkEnd w:id="1781"/>
      <w:bookmarkEnd w:id="1782"/>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购买日至期</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末被购买方</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购买日至期 末被购买方 的净利润</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left"/>
      </w:pPr>
      <w:bookmarkStart w:id="1783" w:name="bookmark1783"/>
      <w:bookmarkStart w:id="1784" w:name="bookmark1784"/>
      <w:bookmarkStart w:id="1785" w:name="bookmark17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83"/>
      <w:bookmarkEnd w:id="1784"/>
      <w:bookmarkEnd w:id="1785"/>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合并成本公允价值的确定方法、或有对价及其变动的说明:</w:t>
      </w:r>
    </w:p>
    <w:p>
      <w:pPr>
        <w:pStyle w:val="Style2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大额商誉形成的主要原因：</w:t>
      </w:r>
    </w:p>
    <w:p>
      <w:pPr>
        <w:pStyle w:val="Style24"/>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其他说明：</w:t>
      </w:r>
    </w:p>
    <w:p>
      <w:pPr>
        <w:pStyle w:val="Style51"/>
        <w:keepNext/>
        <w:keepLines/>
        <w:widowControl w:val="0"/>
        <w:shd w:val="clear" w:color="auto" w:fill="auto"/>
        <w:bidi w:val="0"/>
        <w:spacing w:before="0" w:after="42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w:t>
      </w:r>
      <w:bookmarkEnd w:id="178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86"/>
      <w:bookmarkEnd w:id="1787"/>
      <w:bookmarkEnd w:id="1789"/>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企业合并中承担的被购买方的或有负债：</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51"/>
        <w:keepNext/>
        <w:keepLines/>
        <w:widowControl w:val="0"/>
        <w:shd w:val="clear" w:color="auto" w:fill="auto"/>
        <w:tabs>
          <w:tab w:pos="493" w:val="left"/>
        </w:tabs>
        <w:bidi w:val="0"/>
        <w:spacing w:before="0" w:after="38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90"/>
      <w:bookmarkEnd w:id="1791"/>
      <w:bookmarkEnd w:id="1793"/>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是否存在通过多次交易分步实现企业合并且在报告期内取得控制权的交易</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51"/>
        <w:keepNext/>
        <w:keepLines/>
        <w:widowControl w:val="0"/>
        <w:shd w:val="clear" w:color="auto" w:fill="auto"/>
        <w:tabs>
          <w:tab w:pos="493" w:val="left"/>
        </w:tabs>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794"/>
      <w:bookmarkEnd w:id="1795"/>
      <w:bookmarkEnd w:id="1797"/>
    </w:p>
    <w:p>
      <w:pPr>
        <w:pStyle w:val="Style51"/>
        <w:keepNext/>
        <w:keepLines/>
        <w:widowControl w:val="0"/>
        <w:shd w:val="clear" w:color="auto" w:fill="auto"/>
        <w:tabs>
          <w:tab w:pos="493" w:val="left"/>
        </w:tabs>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98"/>
      <w:bookmarkEnd w:id="1799"/>
      <w:bookmarkEnd w:id="1801"/>
    </w:p>
    <w:p>
      <w:pPr>
        <w:pStyle w:val="Style28"/>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2</w:t>
      </w:r>
      <w:bookmarkEnd w:id="1804"/>
      <w:r>
        <w:rPr>
          <w:color w:val="000000"/>
          <w:spacing w:val="0"/>
          <w:w w:val="100"/>
          <w:position w:val="0"/>
        </w:rPr>
        <w:t>、同一控制下企业合并</w:t>
      </w:r>
      <w:bookmarkEnd w:id="1802"/>
      <w:bookmarkEnd w:id="1803"/>
      <w:bookmarkEnd w:id="1805"/>
    </w:p>
    <w:p>
      <w:pPr>
        <w:pStyle w:val="Style51"/>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06"/>
      <w:bookmarkEnd w:id="1807"/>
      <w:bookmarkEnd w:id="1808"/>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企业合并中</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取得的权益</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构成同一控</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制下企业合</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并的依据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合并当期期</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初至合并日</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被合并方的</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合并当期期</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初至合并日</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被合并方的</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比较期间被</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合并方的净</w:t>
            </w:r>
          </w:p>
          <w:p>
            <w:pPr>
              <w:pStyle w:val="Style18"/>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利润</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51"/>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09"/>
      <w:bookmarkEnd w:id="1810"/>
      <w:bookmarkEnd w:id="1811"/>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或有对价及其变动的说明:</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51"/>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12"/>
      <w:bookmarkEnd w:id="1813"/>
      <w:bookmarkEnd w:id="1815"/>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both"/>
        <w:rPr>
          <w:sz w:val="17"/>
          <w:szCs w:val="17"/>
        </w:rPr>
      </w:pPr>
      <w:r>
        <w:rPr>
          <w:color w:val="000000"/>
          <w:spacing w:val="0"/>
          <w:w w:val="100"/>
          <w:position w:val="0"/>
          <w:sz w:val="17"/>
          <w:szCs w:val="17"/>
        </w:rPr>
        <w:t>企业合并中承担的被合并方的或有负债:</w:t>
      </w:r>
    </w:p>
    <w:p>
      <w:pPr>
        <w:pStyle w:val="Style24"/>
        <w:keepNext w:val="0"/>
        <w:keepLines w:val="0"/>
        <w:widowControl w:val="0"/>
        <w:shd w:val="clear" w:color="auto" w:fill="auto"/>
        <w:bidi w:val="0"/>
        <w:spacing w:before="0" w:after="2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tabs>
          <w:tab w:pos="378" w:val="left"/>
        </w:tabs>
        <w:bidi w:val="0"/>
        <w:spacing w:before="0" w:after="280" w:line="317" w:lineRule="exact"/>
        <w:ind w:left="0" w:right="0" w:firstLine="0"/>
        <w:jc w:val="both"/>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3</w:t>
      </w:r>
      <w:bookmarkEnd w:id="1818"/>
      <w:r>
        <w:rPr>
          <w:color w:val="000000"/>
          <w:spacing w:val="0"/>
          <w:w w:val="100"/>
          <w:position w:val="0"/>
        </w:rPr>
        <w:t>、</w:t>
        <w:tab/>
        <w:t>反向购买</w:t>
      </w:r>
      <w:bookmarkEnd w:id="1816"/>
      <w:bookmarkEnd w:id="1817"/>
      <w:bookmarkEnd w:id="1819"/>
    </w:p>
    <w:p>
      <w:pPr>
        <w:pStyle w:val="Style24"/>
        <w:keepNext w:val="0"/>
        <w:keepLines w:val="0"/>
        <w:widowControl w:val="0"/>
        <w:shd w:val="clear" w:color="auto" w:fill="auto"/>
        <w:bidi w:val="0"/>
        <w:spacing w:before="0" w:after="280" w:line="322" w:lineRule="exact"/>
        <w:ind w:left="0" w:right="0" w:firstLine="0"/>
        <w:jc w:val="both"/>
        <w:rPr>
          <w:sz w:val="17"/>
          <w:szCs w:val="17"/>
        </w:rPr>
      </w:pPr>
      <w:r>
        <w:rPr>
          <w:color w:val="000000"/>
          <w:spacing w:val="0"/>
          <w:w w:val="100"/>
          <w:position w:val="0"/>
          <w:sz w:val="17"/>
          <w:szCs w:val="17"/>
        </w:rPr>
        <w:t>交易基本信息、交易构成反向购买的依据、上市公司保留的资产、负债是否构成业务及其依据、合并成本的确定、按照权益 性交易处理时调整权益的金额及其计算：</w:t>
      </w:r>
    </w:p>
    <w:p>
      <w:pPr>
        <w:pStyle w:val="Style28"/>
        <w:keepNext/>
        <w:keepLines/>
        <w:widowControl w:val="0"/>
        <w:shd w:val="clear" w:color="auto" w:fill="auto"/>
        <w:tabs>
          <w:tab w:pos="378" w:val="left"/>
        </w:tabs>
        <w:bidi w:val="0"/>
        <w:spacing w:before="0" w:after="280" w:line="317" w:lineRule="exact"/>
        <w:ind w:left="0" w:right="0" w:firstLine="0"/>
        <w:jc w:val="both"/>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4</w:t>
      </w:r>
      <w:bookmarkEnd w:id="1822"/>
      <w:r>
        <w:rPr>
          <w:color w:val="000000"/>
          <w:spacing w:val="0"/>
          <w:w w:val="100"/>
          <w:position w:val="0"/>
        </w:rPr>
        <w:t>、</w:t>
        <w:tab/>
        <w:t>处置子公司</w:t>
      </w:r>
      <w:bookmarkEnd w:id="1820"/>
      <w:bookmarkEnd w:id="1821"/>
      <w:bookmarkEnd w:id="1823"/>
    </w:p>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是否存在单次处置对子公司投资即丧失控制权的情形</w:t>
      </w:r>
    </w:p>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是否存在通过多次交易分步处置对子公司投资且在本期丧失控制权的情形</w:t>
      </w:r>
    </w:p>
    <w:p>
      <w:pPr>
        <w:pStyle w:val="Style24"/>
        <w:keepNext w:val="0"/>
        <w:keepLines w:val="0"/>
        <w:widowControl w:val="0"/>
        <w:shd w:val="clear" w:color="auto" w:fill="auto"/>
        <w:bidi w:val="0"/>
        <w:spacing w:before="0" w:after="28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8"/>
        <w:keepNext/>
        <w:keepLines/>
        <w:widowControl w:val="0"/>
        <w:shd w:val="clear" w:color="auto" w:fill="auto"/>
        <w:tabs>
          <w:tab w:pos="378" w:val="left"/>
        </w:tabs>
        <w:bidi w:val="0"/>
        <w:spacing w:before="0" w:after="280" w:line="317" w:lineRule="exact"/>
        <w:ind w:left="0" w:right="0" w:firstLine="0"/>
        <w:jc w:val="both"/>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5</w:t>
      </w:r>
      <w:bookmarkEnd w:id="1826"/>
      <w:r>
        <w:rPr>
          <w:color w:val="000000"/>
          <w:spacing w:val="0"/>
          <w:w w:val="100"/>
          <w:position w:val="0"/>
        </w:rPr>
        <w:t>、</w:t>
        <w:tab/>
        <w:t>其他原因的合并范围变动</w:t>
      </w:r>
      <w:bookmarkEnd w:id="1824"/>
      <w:bookmarkEnd w:id="1825"/>
      <w:bookmarkEnd w:id="1827"/>
    </w:p>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说明其他原因导致的合并范围变动（如，新设子公司、清算子公司等）及其相关情况：</w:t>
      </w:r>
    </w:p>
    <w:p>
      <w:pPr>
        <w:pStyle w:val="Style33"/>
        <w:keepNext w:val="0"/>
        <w:keepLines w:val="0"/>
        <w:widowControl w:val="0"/>
        <w:shd w:val="clear" w:color="auto" w:fill="auto"/>
        <w:bidi w:val="0"/>
        <w:spacing w:before="0" w:after="0" w:line="317" w:lineRule="exact"/>
        <w:ind w:left="7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日，本公司与交信北斗科技有限公司、黑曜石（嘉兴）企业管理合伙企业（有限合伙） 共同出资设立交信北斗（浙江）科技有限公司。该公司注册资本为人民币</w:t>
      </w:r>
      <w:r>
        <w:rPr>
          <w:rFonts w:ascii="Times New Roman" w:eastAsia="Times New Roman" w:hAnsi="Times New Roman" w:cs="Times New Roman"/>
          <w:color w:val="000000"/>
          <w:spacing w:val="0"/>
          <w:w w:val="100"/>
          <w:position w:val="0"/>
        </w:rPr>
        <w:t>8,000.00</w:t>
      </w:r>
      <w:r>
        <w:rPr>
          <w:color w:val="000000"/>
          <w:spacing w:val="0"/>
          <w:w w:val="100"/>
          <w:position w:val="0"/>
        </w:rPr>
        <w:t>万元，本公司认 缴出资额为人民币</w:t>
      </w:r>
      <w:r>
        <w:rPr>
          <w:rFonts w:ascii="Times New Roman" w:eastAsia="Times New Roman" w:hAnsi="Times New Roman" w:cs="Times New Roman"/>
          <w:color w:val="000000"/>
          <w:spacing w:val="0"/>
          <w:w w:val="100"/>
          <w:position w:val="0"/>
        </w:rPr>
        <w:t>4,080.00</w:t>
      </w:r>
      <w:r>
        <w:rPr>
          <w:color w:val="000000"/>
          <w:spacing w:val="0"/>
          <w:w w:val="100"/>
          <w:position w:val="0"/>
        </w:rPr>
        <w:t>万元，持有该公司</w:t>
      </w:r>
      <w:r>
        <w:rPr>
          <w:rFonts w:ascii="Times New Roman" w:eastAsia="Times New Roman" w:hAnsi="Times New Roman" w:cs="Times New Roman"/>
          <w:color w:val="000000"/>
          <w:spacing w:val="0"/>
          <w:w w:val="100"/>
          <w:position w:val="0"/>
        </w:rPr>
        <w:t>51%</w:t>
      </w:r>
      <w:r>
        <w:rPr>
          <w:color w:val="000000"/>
          <w:spacing w:val="0"/>
          <w:w w:val="100"/>
          <w:position w:val="0"/>
        </w:rPr>
        <w:t>的股权。</w:t>
      </w:r>
    </w:p>
    <w:p>
      <w:pPr>
        <w:pStyle w:val="Style33"/>
        <w:keepNext w:val="0"/>
        <w:keepLines w:val="0"/>
        <w:widowControl w:val="0"/>
        <w:shd w:val="clear" w:color="auto" w:fill="auto"/>
        <w:bidi w:val="0"/>
        <w:spacing w:before="0" w:after="220" w:line="317" w:lineRule="exact"/>
        <w:ind w:left="7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日，控股子公司交信北斗（浙江）科技有限公司出资设立交信北斗（北京）信息科 技有限公司。该公司注册资本为</w:t>
      </w:r>
      <w:r>
        <w:rPr>
          <w:rFonts w:ascii="Times New Roman" w:eastAsia="Times New Roman" w:hAnsi="Times New Roman" w:cs="Times New Roman"/>
          <w:color w:val="000000"/>
          <w:spacing w:val="0"/>
          <w:w w:val="100"/>
          <w:position w:val="0"/>
        </w:rPr>
        <w:t>999.99</w:t>
      </w:r>
      <w:r>
        <w:rPr>
          <w:color w:val="000000"/>
          <w:spacing w:val="0"/>
          <w:w w:val="100"/>
          <w:position w:val="0"/>
        </w:rPr>
        <w:t>万元人民币，交信北斗（浙江）科技有限公司持有该公司</w:t>
      </w:r>
      <w:r>
        <w:rPr>
          <w:rFonts w:ascii="Times New Roman" w:eastAsia="Times New Roman" w:hAnsi="Times New Roman" w:cs="Times New Roman"/>
          <w:color w:val="000000"/>
          <w:spacing w:val="0"/>
          <w:w w:val="100"/>
          <w:position w:val="0"/>
        </w:rPr>
        <w:t xml:space="preserve">100% </w:t>
      </w:r>
      <w:r>
        <w:rPr>
          <w:color w:val="000000"/>
          <w:spacing w:val="0"/>
          <w:w w:val="100"/>
          <w:position w:val="0"/>
        </w:rPr>
        <w:t>的股权。</w:t>
      </w:r>
      <w:r>
        <w:br w:type="page"/>
      </w:r>
    </w:p>
    <w:p>
      <w:pPr>
        <w:pStyle w:val="Style28"/>
        <w:keepNext/>
        <w:keepLines/>
        <w:widowControl w:val="0"/>
        <w:shd w:val="clear" w:color="auto" w:fill="auto"/>
        <w:bidi w:val="0"/>
        <w:spacing w:before="0" w:after="34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6</w:t>
      </w:r>
      <w:bookmarkEnd w:id="1830"/>
      <w:r>
        <w:rPr>
          <w:color w:val="000000"/>
          <w:spacing w:val="0"/>
          <w:w w:val="100"/>
          <w:position w:val="0"/>
        </w:rPr>
        <w:t>、其他</w:t>
      </w:r>
      <w:bookmarkEnd w:id="1828"/>
      <w:bookmarkEnd w:id="1829"/>
      <w:bookmarkEnd w:id="1831"/>
    </w:p>
    <w:p>
      <w:pPr>
        <w:pStyle w:val="Style22"/>
        <w:keepNext/>
        <w:keepLines/>
        <w:widowControl w:val="0"/>
        <w:shd w:val="clear" w:color="auto" w:fill="auto"/>
        <w:bidi w:val="0"/>
        <w:spacing w:before="0" w:after="34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九</w:t>
      </w:r>
      <w:bookmarkEnd w:id="1834"/>
      <w:r>
        <w:rPr>
          <w:color w:val="000000"/>
          <w:spacing w:val="0"/>
          <w:w w:val="100"/>
          <w:position w:val="0"/>
        </w:rPr>
        <w:t>、在其他主体中的权益</w:t>
      </w:r>
      <w:bookmarkEnd w:id="1832"/>
      <w:bookmarkEnd w:id="1833"/>
      <w:bookmarkEnd w:id="1835"/>
    </w:p>
    <w:p>
      <w:pPr>
        <w:pStyle w:val="Style28"/>
        <w:keepNext/>
        <w:keepLines/>
        <w:widowControl w:val="0"/>
        <w:shd w:val="clear" w:color="auto" w:fill="auto"/>
        <w:bidi w:val="0"/>
        <w:spacing w:before="0" w:after="340" w:line="240" w:lineRule="auto"/>
        <w:ind w:left="0" w:right="0" w:firstLine="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36"/>
      <w:bookmarkEnd w:id="1837"/>
      <w:bookmarkEnd w:id="1838"/>
    </w:p>
    <w:p>
      <w:pPr>
        <w:pStyle w:val="Style51"/>
        <w:keepNext/>
        <w:keepLines/>
        <w:widowControl w:val="0"/>
        <w:shd w:val="clear" w:color="auto" w:fill="auto"/>
        <w:bidi w:val="0"/>
        <w:spacing w:before="0" w:after="340" w:line="240" w:lineRule="auto"/>
        <w:ind w:left="0" w:right="0" w:firstLine="0"/>
        <w:jc w:val="left"/>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39"/>
      <w:bookmarkEnd w:id="1840"/>
      <w:bookmarkEnd w:id="184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光典信息发展有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技术服务、软硬 件销售及开发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上海追索信息科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技术服务、软硬 件销售及开发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追溯云信息发展 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技术服务、软硬 件销售及开发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信发资产管理有 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同一控制下企业 合并</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智稼信息发展股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技术服务、软硬 件销售及开发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追溯云（上海） 信用科技有限公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技术服务、软硬 件销售及开发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光典（北京）信 息科技有限公司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技术服务、软硬 件销售及开发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上海信联智谷信 息科技有限公司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技术服务、软硬 件销售及开发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新设分立</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交信北斗（浙江） 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技术服务、软硬 件销售及开发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新设成立</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交信北斗（北京） 信息科技有限公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技术服务、软硬 件销售及开发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新设成立</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在子公司的持股比例不同于表决权比例的说明：</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持有半数或以下表决权但仍控制被投资单位、以及持有半数以上表决权但不控制被投资单位的依据:</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对于纳入合并范围的重要的结构化主体，控制的依据：</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确定公司是代理人还是委托人的依据：</w:t>
      </w:r>
    </w:p>
    <w:p>
      <w:pPr>
        <w:pStyle w:val="Style24"/>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其他说明：</w:t>
      </w:r>
      <w:r>
        <w:br w:type="page"/>
      </w:r>
    </w:p>
    <w:p>
      <w:pPr>
        <w:pStyle w:val="Style51"/>
        <w:keepNext/>
        <w:keepLines/>
        <w:widowControl w:val="0"/>
        <w:shd w:val="clear" w:color="auto" w:fill="auto"/>
        <w:bidi w:val="0"/>
        <w:spacing w:before="0" w:after="380" w:line="240" w:lineRule="auto"/>
        <w:ind w:left="0" w:right="0" w:firstLine="0"/>
        <w:jc w:val="left"/>
      </w:pPr>
      <w:bookmarkStart w:id="1842" w:name="bookmark1842"/>
      <w:bookmarkStart w:id="1843" w:name="bookmark1843"/>
      <w:bookmarkStart w:id="1844" w:name="bookmark18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42"/>
      <w:bookmarkEnd w:id="1843"/>
      <w:bookmarkEnd w:id="1844"/>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25"/>
        <w:gridCol w:w="1906"/>
        <w:gridCol w:w="1906"/>
        <w:gridCol w:w="1930"/>
      </w:tblGrid>
      <w:tr>
        <w:trPr>
          <w:trHeight w:val="7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追溯云信息发展股份有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4,895,872.06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59,509,267.11</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子公司少数股东的持股比例不同于表决权比例的说明:</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51"/>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45"/>
      <w:bookmarkEnd w:id="1846"/>
      <w:bookmarkEnd w:id="184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负债合 计</w:t>
            </w: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追溯云</w:t>
            </w:r>
          </w:p>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信息发</w:t>
            </w:r>
          </w:p>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展股份</w:t>
            </w:r>
          </w:p>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174,273,</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481.91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395,264.</w:t>
            </w:r>
          </w:p>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174,668,</w:t>
            </w:r>
          </w:p>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746.05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24,033,6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1,760,00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25,793,6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156,921,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321,401.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157,242,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18,247,8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1,760,00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20,007,8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32.57</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追溯云信息</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发展股份有</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25,725,347.6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11,640,038.2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11,640,038.2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20,413,252.1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13,712,693.4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5,522,473.07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5,522,473.07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-1,857,701.27</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1"/>
        <w:keepNext/>
        <w:keepLines/>
        <w:widowControl w:val="0"/>
        <w:shd w:val="clear" w:color="auto" w:fill="auto"/>
        <w:tabs>
          <w:tab w:pos="493" w:val="left"/>
        </w:tabs>
        <w:bidi w:val="0"/>
        <w:spacing w:before="0" w:after="38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49"/>
      <w:bookmarkEnd w:id="1850"/>
      <w:bookmarkEnd w:id="1852"/>
    </w:p>
    <w:p>
      <w:pPr>
        <w:pStyle w:val="Style51"/>
        <w:keepNext/>
        <w:keepLines/>
        <w:widowControl w:val="0"/>
        <w:shd w:val="clear" w:color="auto" w:fill="auto"/>
        <w:tabs>
          <w:tab w:pos="493" w:val="left"/>
        </w:tabs>
        <w:bidi w:val="0"/>
        <w:spacing w:before="0" w:after="38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53"/>
      <w:bookmarkEnd w:id="1854"/>
      <w:bookmarkEnd w:id="1856"/>
    </w:p>
    <w:p>
      <w:pPr>
        <w:pStyle w:val="Style24"/>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其他说明：</w:t>
      </w:r>
      <w:r>
        <w:br w:type="page"/>
      </w:r>
    </w:p>
    <w:p>
      <w:pPr>
        <w:pStyle w:val="Style28"/>
        <w:keepNext/>
        <w:keepLines/>
        <w:widowControl w:val="0"/>
        <w:shd w:val="clear" w:color="auto" w:fill="auto"/>
        <w:bidi w:val="0"/>
        <w:spacing w:before="0" w:after="36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2</w:t>
      </w:r>
      <w:bookmarkEnd w:id="1859"/>
      <w:r>
        <w:rPr>
          <w:color w:val="000000"/>
          <w:spacing w:val="0"/>
          <w:w w:val="100"/>
          <w:position w:val="0"/>
        </w:rPr>
        <w:t>、在子公司的所有者权益份额发生变化且仍控制子公司的交易</w:t>
      </w:r>
      <w:bookmarkEnd w:id="1857"/>
      <w:bookmarkEnd w:id="1858"/>
      <w:bookmarkEnd w:id="1860"/>
    </w:p>
    <w:p>
      <w:pPr>
        <w:pStyle w:val="Style51"/>
        <w:keepNext/>
        <w:keepLines/>
        <w:widowControl w:val="0"/>
        <w:shd w:val="clear" w:color="auto" w:fill="auto"/>
        <w:tabs>
          <w:tab w:pos="493" w:val="left"/>
        </w:tabs>
        <w:bidi w:val="0"/>
        <w:spacing w:before="0" w:after="36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61"/>
      <w:bookmarkEnd w:id="1862"/>
      <w:bookmarkEnd w:id="1864"/>
    </w:p>
    <w:p>
      <w:pPr>
        <w:pStyle w:val="Style51"/>
        <w:keepNext/>
        <w:keepLines/>
        <w:widowControl w:val="0"/>
        <w:shd w:val="clear" w:color="auto" w:fill="auto"/>
        <w:tabs>
          <w:tab w:pos="493" w:val="left"/>
        </w:tabs>
        <w:bidi w:val="0"/>
        <w:spacing w:before="0" w:after="36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w:t>
      </w:r>
      <w:bookmarkEnd w:id="186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65"/>
      <w:bookmarkEnd w:id="1866"/>
      <w:bookmarkEnd w:id="1868"/>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3</w:t>
      </w:r>
      <w:bookmarkEnd w:id="1871"/>
      <w:r>
        <w:rPr>
          <w:color w:val="000000"/>
          <w:spacing w:val="0"/>
          <w:w w:val="100"/>
          <w:position w:val="0"/>
        </w:rPr>
        <w:t>、在合营安排或联营企业中的权益</w:t>
      </w:r>
      <w:bookmarkEnd w:id="1869"/>
      <w:bookmarkEnd w:id="1870"/>
      <w:bookmarkEnd w:id="1872"/>
    </w:p>
    <w:p>
      <w:pPr>
        <w:pStyle w:val="Style51"/>
        <w:keepNext/>
        <w:keepLines/>
        <w:widowControl w:val="0"/>
        <w:shd w:val="clear" w:color="auto" w:fill="auto"/>
        <w:bidi w:val="0"/>
        <w:spacing w:before="0" w:after="360" w:line="240" w:lineRule="auto"/>
        <w:ind w:left="0" w:right="0" w:firstLine="0"/>
        <w:jc w:val="left"/>
      </w:pPr>
      <w:bookmarkStart w:id="1873" w:name="bookmark1873"/>
      <w:bookmarkStart w:id="1874" w:name="bookmark1874"/>
      <w:bookmarkStart w:id="1875" w:name="bookmark18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73"/>
      <w:bookmarkEnd w:id="1874"/>
      <w:bookmarkEnd w:id="1875"/>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合营企业或联营</w:t>
            </w:r>
          </w:p>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交信北斗（海南） 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技术服务、软硬 件销售及开发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在合营企业或联营企业的持股比例不同于表决权比例的说明：</w:t>
      </w:r>
    </w:p>
    <w:p>
      <w:pPr>
        <w:pStyle w:val="Style24"/>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或以上表决权但不具有重大影响的依据:</w:t>
      </w:r>
    </w:p>
    <w:p>
      <w:pPr>
        <w:pStyle w:val="Style51"/>
        <w:keepNext/>
        <w:keepLines/>
        <w:widowControl w:val="0"/>
        <w:shd w:val="clear" w:color="auto" w:fill="auto"/>
        <w:bidi w:val="0"/>
        <w:spacing w:before="0" w:after="360" w:line="240" w:lineRule="auto"/>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76"/>
      <w:bookmarkEnd w:id="1877"/>
      <w:bookmarkEnd w:id="1878"/>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98,242,770.38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其中：现金和现金等价物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8,207,801.38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112,534,449.75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210,777,220.13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32,427,391.73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5,145,075.00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37,572,466.73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173,204,753.40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98,466,924.23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4,904,416.04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4,904,416.04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对合营企业权益投资的账面价值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103,371,340.27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132,075.47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-1,428,744.56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-1,428,744.56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680" w:line="317" w:lineRule="exact"/>
        <w:ind w:left="1280" w:right="0" w:firstLine="0"/>
        <w:jc w:val="left"/>
      </w:pPr>
      <w:r>
        <w:rPr>
          <w:color w:val="000000"/>
          <w:spacing w:val="0"/>
          <w:w w:val="100"/>
          <w:position w:val="0"/>
        </w:rPr>
        <w:t>注：按持股比例计算的净资产份额系合营企业实收资本中本公司出资金额加上按股权比例计 算的留存收益金额。</w:t>
      </w:r>
    </w:p>
    <w:p>
      <w:pPr>
        <w:pStyle w:val="Style51"/>
        <w:keepNext/>
        <w:keepLines/>
        <w:widowControl w:val="0"/>
        <w:shd w:val="clear" w:color="auto" w:fill="auto"/>
        <w:bidi w:val="0"/>
        <w:spacing w:before="0" w:after="40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79"/>
      <w:bookmarkEnd w:id="1880"/>
      <w:bookmarkEnd w:id="1882"/>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其他说明</w:t>
      </w:r>
    </w:p>
    <w:p>
      <w:pPr>
        <w:pStyle w:val="Style51"/>
        <w:keepNext/>
        <w:keepLines/>
        <w:widowControl w:val="0"/>
        <w:numPr>
          <w:ilvl w:val="0"/>
          <w:numId w:val="53"/>
        </w:numPr>
        <w:shd w:val="clear" w:color="auto" w:fill="auto"/>
        <w:bidi w:val="0"/>
        <w:spacing w:before="0" w:after="420" w:line="240" w:lineRule="auto"/>
        <w:ind w:left="0" w:right="0" w:firstLine="0"/>
        <w:jc w:val="left"/>
      </w:pPr>
      <w:bookmarkStart w:id="1883" w:name="bookmark1883"/>
      <w:bookmarkStart w:id="1884" w:name="bookmark1884"/>
      <w:bookmarkStart w:id="1885" w:name="bookmark1885"/>
      <w:bookmarkStart w:id="1886" w:name="bookmark1886"/>
      <w:bookmarkEnd w:id="1885"/>
      <w:r>
        <w:rPr>
          <w:color w:val="000000"/>
          <w:spacing w:val="0"/>
          <w:w w:val="100"/>
          <w:position w:val="0"/>
        </w:rPr>
        <w:t>不重要的合营企业和联营企业的汇总财务信息</w:t>
      </w:r>
      <w:bookmarkEnd w:id="1883"/>
      <w:bookmarkEnd w:id="1884"/>
      <w:bookmarkEnd w:id="1886"/>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1"/>
        <w:keepNext/>
        <w:keepLines/>
        <w:widowControl w:val="0"/>
        <w:shd w:val="clear" w:color="auto" w:fill="auto"/>
        <w:tabs>
          <w:tab w:pos="491" w:val="left"/>
        </w:tabs>
        <w:bidi w:val="0"/>
        <w:spacing w:before="0" w:after="380" w:line="240" w:lineRule="auto"/>
        <w:ind w:left="0" w:right="0" w:firstLine="0"/>
        <w:jc w:val="both"/>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87"/>
      <w:bookmarkEnd w:id="1888"/>
      <w:bookmarkEnd w:id="1890"/>
    </w:p>
    <w:p>
      <w:pPr>
        <w:pStyle w:val="Style51"/>
        <w:keepNext/>
        <w:keepLines/>
        <w:widowControl w:val="0"/>
        <w:shd w:val="clear" w:color="auto" w:fill="auto"/>
        <w:tabs>
          <w:tab w:pos="491" w:val="left"/>
        </w:tabs>
        <w:bidi w:val="0"/>
        <w:spacing w:before="0" w:after="380" w:line="240" w:lineRule="auto"/>
        <w:ind w:left="0" w:right="0" w:firstLine="0"/>
        <w:jc w:val="both"/>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91"/>
      <w:bookmarkEnd w:id="1892"/>
      <w:bookmarkEnd w:id="189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51"/>
        <w:keepNext/>
        <w:keepLines/>
        <w:widowControl w:val="0"/>
        <w:shd w:val="clear" w:color="auto" w:fill="auto"/>
        <w:tabs>
          <w:tab w:pos="491" w:val="left"/>
        </w:tabs>
        <w:bidi w:val="0"/>
        <w:spacing w:before="0" w:after="380" w:line="240" w:lineRule="auto"/>
        <w:ind w:left="0" w:right="0" w:firstLine="0"/>
        <w:jc w:val="both"/>
      </w:pPr>
      <w:bookmarkStart w:id="1895" w:name="bookmark1895"/>
      <w:bookmarkStart w:id="1896" w:name="bookmark1896"/>
      <w:bookmarkStart w:id="1897" w:name="bookmark1897"/>
      <w:bookmarkStart w:id="1898" w:name="bookmark1898"/>
      <w:r>
        <w:rPr>
          <w:color w:val="000000"/>
          <w:spacing w:val="0"/>
          <w:w w:val="100"/>
          <w:position w:val="0"/>
        </w:rPr>
        <w:t>（</w:t>
      </w:r>
      <w:bookmarkEnd w:id="189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95"/>
      <w:bookmarkEnd w:id="1896"/>
      <w:bookmarkEnd w:id="1898"/>
    </w:p>
    <w:p>
      <w:pPr>
        <w:pStyle w:val="Style51"/>
        <w:keepNext/>
        <w:keepLines/>
        <w:widowControl w:val="0"/>
        <w:shd w:val="clear" w:color="auto" w:fill="auto"/>
        <w:tabs>
          <w:tab w:pos="491" w:val="left"/>
        </w:tabs>
        <w:bidi w:val="0"/>
        <w:spacing w:before="0" w:after="380" w:line="240" w:lineRule="auto"/>
        <w:ind w:left="0" w:right="0" w:firstLine="0"/>
        <w:jc w:val="both"/>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99"/>
      <w:bookmarkEnd w:id="1900"/>
      <w:bookmarkEnd w:id="1902"/>
    </w:p>
    <w:p>
      <w:pPr>
        <w:pStyle w:val="Style28"/>
        <w:keepNext/>
        <w:keepLines/>
        <w:widowControl w:val="0"/>
        <w:shd w:val="clear" w:color="auto" w:fill="auto"/>
        <w:bidi w:val="0"/>
        <w:spacing w:before="0" w:after="300" w:line="240" w:lineRule="auto"/>
        <w:ind w:left="0" w:right="0" w:firstLine="0"/>
        <w:jc w:val="both"/>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4</w:t>
      </w:r>
      <w:bookmarkEnd w:id="1905"/>
      <w:r>
        <w:rPr>
          <w:color w:val="000000"/>
          <w:spacing w:val="0"/>
          <w:w w:val="100"/>
          <w:position w:val="0"/>
        </w:rPr>
        <w:t>、重要的共同经营</w:t>
      </w:r>
      <w:bookmarkEnd w:id="1903"/>
      <w:bookmarkEnd w:id="1904"/>
      <w:bookmarkEnd w:id="1906"/>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持股比例淳有的份额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tabs>
          <w:tab w:pos="377" w:val="left"/>
        </w:tabs>
        <w:bidi w:val="0"/>
        <w:spacing w:before="0" w:after="300" w:line="326" w:lineRule="auto"/>
        <w:ind w:left="0" w:right="0" w:firstLine="0"/>
        <w:jc w:val="both"/>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5</w:t>
      </w:r>
      <w:bookmarkEnd w:id="1909"/>
      <w:r>
        <w:rPr>
          <w:color w:val="000000"/>
          <w:spacing w:val="0"/>
          <w:w w:val="100"/>
          <w:position w:val="0"/>
        </w:rPr>
        <w:t>、</w:t>
        <w:tab/>
        <w:t>在未纳入合并财务报表范围的结构化主体中的权益</w:t>
      </w:r>
      <w:bookmarkEnd w:id="1907"/>
      <w:bookmarkEnd w:id="1908"/>
      <w:bookmarkEnd w:id="1910"/>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未纳入合并财务报表范围的结构化主体的相关说明：</w:t>
      </w:r>
    </w:p>
    <w:p>
      <w:pPr>
        <w:pStyle w:val="Style28"/>
        <w:keepNext/>
        <w:keepLines/>
        <w:widowControl w:val="0"/>
        <w:shd w:val="clear" w:color="auto" w:fill="auto"/>
        <w:tabs>
          <w:tab w:pos="377" w:val="left"/>
        </w:tabs>
        <w:bidi w:val="0"/>
        <w:spacing w:before="0" w:after="300" w:line="326" w:lineRule="auto"/>
        <w:ind w:left="0" w:right="0" w:firstLine="0"/>
        <w:jc w:val="both"/>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6</w:t>
      </w:r>
      <w:bookmarkEnd w:id="1913"/>
      <w:r>
        <w:rPr>
          <w:color w:val="000000"/>
          <w:spacing w:val="0"/>
          <w:w w:val="100"/>
          <w:position w:val="0"/>
        </w:rPr>
        <w:t>、</w:t>
        <w:tab/>
        <w:t>其他</w:t>
      </w:r>
      <w:bookmarkEnd w:id="1911"/>
      <w:bookmarkEnd w:id="1912"/>
      <w:bookmarkEnd w:id="1914"/>
    </w:p>
    <w:p>
      <w:pPr>
        <w:pStyle w:val="Style22"/>
        <w:keepNext/>
        <w:keepLines/>
        <w:widowControl w:val="0"/>
        <w:shd w:val="clear" w:color="auto" w:fill="auto"/>
        <w:bidi w:val="0"/>
        <w:spacing w:before="0" w:after="300" w:line="240" w:lineRule="auto"/>
        <w:ind w:left="0" w:right="0" w:firstLine="0"/>
        <w:jc w:val="both"/>
      </w:pPr>
      <w:bookmarkStart w:id="1915" w:name="bookmark1915"/>
      <w:bookmarkStart w:id="1916" w:name="bookmark1916"/>
      <w:bookmarkStart w:id="1917" w:name="bookmark1917"/>
      <w:r>
        <w:rPr>
          <w:color w:val="000000"/>
          <w:spacing w:val="0"/>
          <w:w w:val="100"/>
          <w:position w:val="0"/>
        </w:rPr>
        <w:t>十、与金融工具相关的风险</w:t>
      </w:r>
      <w:bookmarkEnd w:id="1915"/>
      <w:bookmarkEnd w:id="1916"/>
      <w:bookmarkEnd w:id="1917"/>
    </w:p>
    <w:p>
      <w:pPr>
        <w:pStyle w:val="Style33"/>
        <w:keepNext w:val="0"/>
        <w:keepLines w:val="0"/>
        <w:widowControl w:val="0"/>
        <w:shd w:val="clear" w:color="auto" w:fill="auto"/>
        <w:bidi w:val="0"/>
        <w:spacing w:before="0" w:after="0" w:line="313" w:lineRule="exact"/>
        <w:ind w:left="720" w:right="0" w:firstLine="20"/>
        <w:jc w:val="both"/>
      </w:pPr>
      <w:r>
        <w:rPr>
          <w:color w:val="000000"/>
          <w:spacing w:val="0"/>
          <w:w w:val="100"/>
          <w:position w:val="0"/>
        </w:rPr>
        <w:t>本公司董事会全面负责风险管理目标和政策的确定，并对风险管理目标和政策承担最终责任，管 理层对这些风险敞口进行管理和监控以确保将上述风险控制在限定的范围之内。本公司的主要金 融工具包括应收账款、应付账款、短期借款等，各项金融工具的详细情况说明见本附注</w:t>
      </w:r>
      <w:r>
        <w:rPr>
          <w:rFonts w:ascii="Times New Roman" w:eastAsia="Times New Roman" w:hAnsi="Times New Roman" w:cs="Times New Roman"/>
          <w:color w:val="000000"/>
          <w:spacing w:val="0"/>
          <w:w w:val="100"/>
          <w:position w:val="0"/>
        </w:rPr>
        <w:t>“</w:t>
      </w:r>
      <w:r>
        <w:rPr>
          <w:color w:val="000000"/>
          <w:spacing w:val="0"/>
          <w:w w:val="100"/>
          <w:position w:val="0"/>
        </w:rPr>
        <w:t>五、合并 财务报表项目注释''相关项目。与这些金融工具有关的风险，以及本公司为降低这些风险所采取的 风险管理政策如下所述：</w:t>
      </w:r>
    </w:p>
    <w:p>
      <w:pPr>
        <w:pStyle w:val="Style33"/>
        <w:keepNext w:val="0"/>
        <w:keepLines w:val="0"/>
        <w:widowControl w:val="0"/>
        <w:shd w:val="clear" w:color="auto" w:fill="auto"/>
        <w:bidi w:val="0"/>
        <w:spacing w:before="0" w:after="0" w:line="313" w:lineRule="exact"/>
        <w:ind w:left="720" w:right="0" w:firstLine="20"/>
        <w:jc w:val="both"/>
      </w:pPr>
      <w:r>
        <w:rPr>
          <w:color w:val="000000"/>
          <w:spacing w:val="0"/>
          <w:w w:val="100"/>
          <w:position w:val="0"/>
        </w:rPr>
        <w:t>本公司采用敏感性分析技术分析风险变量的合理性、可能变化对当期损益或股东权益可能产生的 影响。由于任何风险变量很少孤立地发生变化，而变量之间存在的相关性对某一风险变量的变化 的最终影响金额将产生重大作用，因此下述内容是在假设每一变量的变化是在独立的情况下进行 的。</w:t>
      </w:r>
    </w:p>
    <w:p>
      <w:pPr>
        <w:pStyle w:val="Style33"/>
        <w:keepNext w:val="0"/>
        <w:keepLines w:val="0"/>
        <w:widowControl w:val="0"/>
        <w:shd w:val="clear" w:color="auto" w:fill="auto"/>
        <w:bidi w:val="0"/>
        <w:spacing w:before="0" w:after="380" w:line="313" w:lineRule="exact"/>
        <w:ind w:left="720" w:right="0" w:firstLine="20"/>
        <w:jc w:val="both"/>
      </w:pPr>
      <w:r>
        <w:rPr>
          <w:color w:val="000000"/>
          <w:spacing w:val="0"/>
          <w:w w:val="100"/>
          <w:position w:val="0"/>
        </w:rPr>
        <w:t>本公司从事风险管理的目标是在风险和收益之间取得适当的平衡，将风险对本公司经营业绩的负 面影响降低到最低水平，使股东及其他权益投资者的利益最大化。基于该风险管理目标，本公司 风险管理的基本策略是确定和分析本公司所面临的各种风险，建立适当的风险承受底线和进行风 险管理，并及时可靠地对各种风险进行监督，在不过度影响公司竞争力和应变力的情况下，制定 尽可能降低风险的风险管理政策。</w:t>
      </w:r>
    </w:p>
    <w:p>
      <w:pPr>
        <w:pStyle w:val="Style33"/>
        <w:keepNext w:val="0"/>
        <w:keepLines w:val="0"/>
        <w:widowControl w:val="0"/>
        <w:shd w:val="clear" w:color="auto" w:fill="auto"/>
        <w:bidi w:val="0"/>
        <w:spacing w:before="0" w:after="0" w:line="312" w:lineRule="exact"/>
        <w:ind w:left="0" w:right="0" w:firstLine="340"/>
        <w:jc w:val="both"/>
      </w:pPr>
      <w:r>
        <w:rPr>
          <w:b/>
          <w:bCs/>
          <w:color w:val="000000"/>
          <w:spacing w:val="0"/>
          <w:w w:val="100"/>
          <w:position w:val="0"/>
        </w:rPr>
        <w:t>1.</w:t>
      </w:r>
      <w:r>
        <w:rPr>
          <w:b/>
          <w:bCs/>
          <w:color w:val="000000"/>
          <w:spacing w:val="0"/>
          <w:w w:val="100"/>
          <w:position w:val="0"/>
        </w:rPr>
        <w:t>信用风险</w:t>
      </w:r>
    </w:p>
    <w:p>
      <w:pPr>
        <w:pStyle w:val="Style3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信用风险是指金融工具的一方不履行义务，造成另一方发生财务损失的风险。本公司主要面临赊 销导致的客户信用风险。在签订新合同之前，本公司会对新客户的信用风险进行评估，包括外部 信用评级和在某些情况下的银行资信证明（当此信息可获取时）。</w:t>
      </w:r>
    </w:p>
    <w:p>
      <w:pPr>
        <w:pStyle w:val="Style33"/>
        <w:keepNext w:val="0"/>
        <w:keepLines w:val="0"/>
        <w:widowControl w:val="0"/>
        <w:shd w:val="clear" w:color="auto" w:fill="auto"/>
        <w:bidi w:val="0"/>
        <w:spacing w:before="0" w:after="300" w:line="312" w:lineRule="exact"/>
        <w:ind w:left="720" w:right="0" w:firstLine="0"/>
        <w:jc w:val="both"/>
      </w:pPr>
      <w:r>
        <w:rPr>
          <w:color w:val="000000"/>
          <w:spacing w:val="0"/>
          <w:w w:val="100"/>
          <w:position w:val="0"/>
        </w:rPr>
        <w:t>公司通过对已有客户信用评级的季度监控以及应收账款账龄分析的月度审核来确保公司的整体信 用风险在可控的范围内。</w:t>
      </w:r>
    </w:p>
    <w:p>
      <w:pPr>
        <w:pStyle w:val="Style33"/>
        <w:keepNext w:val="0"/>
        <w:keepLines w:val="0"/>
        <w:widowControl w:val="0"/>
        <w:shd w:val="clear" w:color="auto" w:fill="auto"/>
        <w:bidi w:val="0"/>
        <w:spacing w:before="0" w:after="0" w:line="312" w:lineRule="exact"/>
        <w:ind w:left="0" w:right="0" w:firstLine="340"/>
        <w:jc w:val="both"/>
      </w:pPr>
      <w:r>
        <w:rPr>
          <w:b/>
          <w:bCs/>
          <w:color w:val="000000"/>
          <w:spacing w:val="0"/>
          <w:w w:val="100"/>
          <w:position w:val="0"/>
        </w:rPr>
        <w:t>1.</w:t>
      </w:r>
      <w:r>
        <w:rPr>
          <w:b/>
          <w:bCs/>
          <w:color w:val="000000"/>
          <w:spacing w:val="0"/>
          <w:w w:val="100"/>
          <w:position w:val="0"/>
        </w:rPr>
        <w:t>流动性风险</w:t>
      </w:r>
    </w:p>
    <w:p>
      <w:pPr>
        <w:pStyle w:val="Style33"/>
        <w:keepNext w:val="0"/>
        <w:keepLines w:val="0"/>
        <w:widowControl w:val="0"/>
        <w:shd w:val="clear" w:color="auto" w:fill="auto"/>
        <w:bidi w:val="0"/>
        <w:spacing w:before="0" w:after="300" w:line="312" w:lineRule="exact"/>
        <w:ind w:left="720" w:right="0" w:firstLine="0"/>
        <w:jc w:val="both"/>
      </w:pPr>
      <w:r>
        <w:rPr>
          <w:color w:val="000000"/>
          <w:spacing w:val="0"/>
          <w:w w:val="100"/>
          <w:position w:val="0"/>
        </w:rPr>
        <w:t xml:space="preserve">流动风险，是指公司在履行以交付现金或其他金融资产的方式结算的义务时发生资金短缺的风险。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日，公司合并资产负债表中的短期借款余额为</w:t>
      </w:r>
      <w:r>
        <w:rPr>
          <w:rFonts w:ascii="Times New Roman" w:eastAsia="Times New Roman" w:hAnsi="Times New Roman" w:cs="Times New Roman"/>
          <w:color w:val="000000"/>
          <w:spacing w:val="0"/>
          <w:w w:val="100"/>
          <w:position w:val="0"/>
        </w:rPr>
        <w:t>15,029.19</w:t>
      </w:r>
      <w:r>
        <w:rPr>
          <w:color w:val="000000"/>
          <w:spacing w:val="0"/>
          <w:w w:val="100"/>
          <w:position w:val="0"/>
        </w:rPr>
        <w:t>万元，一年内到期的长期借 款余额为</w:t>
      </w:r>
      <w:r>
        <w:rPr>
          <w:rFonts w:ascii="Times New Roman" w:eastAsia="Times New Roman" w:hAnsi="Times New Roman" w:cs="Times New Roman"/>
          <w:color w:val="000000"/>
          <w:spacing w:val="0"/>
          <w:w w:val="100"/>
          <w:position w:val="0"/>
        </w:rPr>
        <w:t>1,840.00</w:t>
      </w:r>
      <w:r>
        <w:rPr>
          <w:color w:val="000000"/>
          <w:spacing w:val="0"/>
          <w:w w:val="100"/>
          <w:position w:val="0"/>
        </w:rPr>
        <w:t>万元，货币资金余额为</w:t>
      </w:r>
      <w:r>
        <w:rPr>
          <w:rFonts w:ascii="Times New Roman" w:eastAsia="Times New Roman" w:hAnsi="Times New Roman" w:cs="Times New Roman"/>
          <w:color w:val="000000"/>
          <w:spacing w:val="0"/>
          <w:w w:val="100"/>
          <w:position w:val="0"/>
        </w:rPr>
        <w:t>10,333.17</w:t>
      </w:r>
      <w:r>
        <w:rPr>
          <w:color w:val="000000"/>
          <w:spacing w:val="0"/>
          <w:w w:val="100"/>
          <w:position w:val="0"/>
        </w:rPr>
        <w:t>万元，面临一定的流动性风险。本公司将通过积 极推动项目回款和欠款回收等一系列措施来获得足够的资金，以满足自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日起至少</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个月的经营及偿还到期债务的资金需求。</w:t>
      </w:r>
    </w:p>
    <w:p>
      <w:pPr>
        <w:pStyle w:val="Style33"/>
        <w:keepNext w:val="0"/>
        <w:keepLines w:val="0"/>
        <w:widowControl w:val="0"/>
        <w:shd w:val="clear" w:color="auto" w:fill="auto"/>
        <w:bidi w:val="0"/>
        <w:spacing w:before="0" w:after="0" w:line="314" w:lineRule="exact"/>
        <w:ind w:left="0" w:right="0" w:firstLine="340"/>
        <w:jc w:val="both"/>
      </w:pPr>
      <w:r>
        <w:rPr>
          <w:b/>
          <w:bCs/>
          <w:color w:val="000000"/>
          <w:spacing w:val="0"/>
          <w:w w:val="100"/>
          <w:position w:val="0"/>
        </w:rPr>
        <w:t>1.</w:t>
      </w:r>
      <w:r>
        <w:rPr>
          <w:b/>
          <w:bCs/>
          <w:color w:val="000000"/>
          <w:spacing w:val="0"/>
          <w:w w:val="100"/>
          <w:position w:val="0"/>
        </w:rPr>
        <w:t>市场风险</w:t>
      </w:r>
    </w:p>
    <w:p>
      <w:pPr>
        <w:pStyle w:val="Style33"/>
        <w:keepNext w:val="0"/>
        <w:keepLines w:val="0"/>
        <w:widowControl w:val="0"/>
        <w:shd w:val="clear" w:color="auto" w:fill="auto"/>
        <w:bidi w:val="0"/>
        <w:spacing w:before="0" w:after="0" w:line="314" w:lineRule="exact"/>
        <w:ind w:left="720" w:right="0" w:firstLine="0"/>
        <w:jc w:val="both"/>
      </w:pPr>
      <w:r>
        <w:rPr>
          <w:color w:val="000000"/>
          <w:spacing w:val="0"/>
          <w:w w:val="100"/>
          <w:position w:val="0"/>
        </w:rPr>
        <w:t>金融工具的市场风险，是指金融工具的公允价值或未来现金流量因市场价格变动而发生波动的风 险，本公司的风险主要为利率风险。</w:t>
      </w:r>
    </w:p>
    <w:p>
      <w:pPr>
        <w:pStyle w:val="Style33"/>
        <w:keepNext w:val="0"/>
        <w:keepLines w:val="0"/>
        <w:widowControl w:val="0"/>
        <w:shd w:val="clear" w:color="auto" w:fill="auto"/>
        <w:bidi w:val="0"/>
        <w:spacing w:before="0" w:after="660" w:line="314" w:lineRule="exact"/>
        <w:ind w:left="720" w:right="0" w:firstLine="0"/>
        <w:jc w:val="both"/>
      </w:pPr>
      <w:r>
        <w:rPr>
          <w:color w:val="000000"/>
          <w:spacing w:val="0"/>
          <w:w w:val="100"/>
          <w:position w:val="0"/>
        </w:rPr>
        <w:t>利率风险，是指金融工具的公允价值或未来现金流量因市场利率变动而发生波动的风险。本公司 面临的利率风险主要来源于银行借款。公司通过建立良好的银企关系，对授信额度、授信品种以 及授信期限进行合理的设计，保障银行授信额度充足，满足公司各类融资需求。并且通过缩短单 笔借款的期限，特别约定提前还款条款，合理降低利率波动风险。</w:t>
      </w:r>
    </w:p>
    <w:p>
      <w:pPr>
        <w:pStyle w:val="Style22"/>
        <w:keepNext/>
        <w:keepLines/>
        <w:widowControl w:val="0"/>
        <w:shd w:val="clear" w:color="auto" w:fill="auto"/>
        <w:bidi w:val="0"/>
        <w:spacing w:before="0" w:line="240" w:lineRule="auto"/>
        <w:ind w:left="0" w:right="0" w:firstLine="0"/>
        <w:jc w:val="both"/>
      </w:pPr>
      <w:bookmarkStart w:id="1918" w:name="bookmark1918"/>
      <w:bookmarkStart w:id="1919" w:name="bookmark1919"/>
      <w:bookmarkStart w:id="1920" w:name="bookmark1920"/>
      <w:r>
        <w:rPr>
          <w:color w:val="000000"/>
          <w:spacing w:val="0"/>
          <w:w w:val="100"/>
          <w:position w:val="0"/>
        </w:rPr>
        <w:t>十^一、公允价值的披露</w:t>
      </w:r>
      <w:bookmarkEnd w:id="1918"/>
      <w:bookmarkEnd w:id="1919"/>
      <w:bookmarkEnd w:id="1920"/>
    </w:p>
    <w:p>
      <w:pPr>
        <w:pStyle w:val="Style28"/>
        <w:keepNext/>
        <w:keepLines/>
        <w:widowControl w:val="0"/>
        <w:shd w:val="clear" w:color="auto" w:fill="auto"/>
        <w:bidi w:val="0"/>
        <w:spacing w:before="0" w:after="360" w:line="240" w:lineRule="auto"/>
        <w:ind w:left="0" w:right="0" w:firstLine="0"/>
        <w:jc w:val="both"/>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21"/>
      <w:bookmarkEnd w:id="1922"/>
      <w:bookmarkEnd w:id="192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20,902,700.00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20,902,700.00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20,902,700.00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20,902,700.00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20,902,700.00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20,902,700.00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持续以公允价值计量的</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20,902,700.00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20,902,700.00</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keepLines/>
        <w:widowControl w:val="0"/>
        <w:shd w:val="clear" w:color="auto" w:fill="auto"/>
        <w:tabs>
          <w:tab w:pos="378" w:val="left"/>
        </w:tabs>
        <w:bidi w:val="0"/>
        <w:spacing w:before="0" w:after="300" w:line="312" w:lineRule="exact"/>
        <w:ind w:left="0" w:right="0" w:firstLine="0"/>
        <w:jc w:val="both"/>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2</w:t>
      </w:r>
      <w:bookmarkEnd w:id="1926"/>
      <w:r>
        <w:rPr>
          <w:color w:val="000000"/>
          <w:spacing w:val="0"/>
          <w:w w:val="100"/>
          <w:position w:val="0"/>
        </w:rPr>
        <w:t>、</w:t>
        <w:tab/>
        <w:t>持续和非持续第一层次公允价值计量项目市价的确定依据</w:t>
      </w:r>
      <w:bookmarkEnd w:id="1924"/>
      <w:bookmarkEnd w:id="1925"/>
      <w:bookmarkEnd w:id="1927"/>
    </w:p>
    <w:p>
      <w:pPr>
        <w:pStyle w:val="Style28"/>
        <w:keepNext/>
        <w:keepLines/>
        <w:widowControl w:val="0"/>
        <w:shd w:val="clear" w:color="auto" w:fill="auto"/>
        <w:tabs>
          <w:tab w:pos="378" w:val="left"/>
        </w:tabs>
        <w:bidi w:val="0"/>
        <w:spacing w:before="0" w:after="300" w:line="312" w:lineRule="exact"/>
        <w:ind w:left="0" w:right="0" w:firstLine="0"/>
        <w:jc w:val="both"/>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3</w:t>
      </w:r>
      <w:bookmarkEnd w:id="1930"/>
      <w:r>
        <w:rPr>
          <w:color w:val="000000"/>
          <w:spacing w:val="0"/>
          <w:w w:val="100"/>
          <w:position w:val="0"/>
        </w:rPr>
        <w:t>、</w:t>
        <w:tab/>
        <w:t>持续和非持续第二层次公允价值计量项目，采用的估值技术和重要参数的定性及定量信息</w:t>
      </w:r>
      <w:bookmarkEnd w:id="1928"/>
      <w:bookmarkEnd w:id="1929"/>
      <w:bookmarkEnd w:id="1931"/>
    </w:p>
    <w:p>
      <w:pPr>
        <w:pStyle w:val="Style28"/>
        <w:keepNext/>
        <w:keepLines/>
        <w:widowControl w:val="0"/>
        <w:shd w:val="clear" w:color="auto" w:fill="auto"/>
        <w:tabs>
          <w:tab w:pos="378" w:val="left"/>
        </w:tabs>
        <w:bidi w:val="0"/>
        <w:spacing w:before="0" w:after="300" w:line="312" w:lineRule="exact"/>
        <w:ind w:left="0" w:right="0" w:firstLine="0"/>
        <w:jc w:val="both"/>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4</w:t>
      </w:r>
      <w:bookmarkEnd w:id="1934"/>
      <w:r>
        <w:rPr>
          <w:color w:val="000000"/>
          <w:spacing w:val="0"/>
          <w:w w:val="100"/>
          <w:position w:val="0"/>
        </w:rPr>
        <w:t>、</w:t>
        <w:tab/>
        <w:t>持续和非持续第三层次公允价值计量项目，采用的估值技术和重要参数的定性及定量信息</w:t>
      </w:r>
      <w:bookmarkEnd w:id="1932"/>
      <w:bookmarkEnd w:id="1933"/>
      <w:bookmarkEnd w:id="1935"/>
    </w:p>
    <w:p>
      <w:pPr>
        <w:pStyle w:val="Style33"/>
        <w:keepNext w:val="0"/>
        <w:keepLines w:val="0"/>
        <w:widowControl w:val="0"/>
        <w:shd w:val="clear" w:color="auto" w:fill="auto"/>
        <w:bidi w:val="0"/>
        <w:spacing w:before="0" w:after="40" w:line="312" w:lineRule="exact"/>
        <w:ind w:left="0" w:right="0" w:firstLine="720"/>
        <w:jc w:val="both"/>
      </w:pPr>
      <w:r>
        <w:rPr>
          <w:color w:val="000000"/>
          <w:spacing w:val="0"/>
          <w:w w:val="100"/>
          <w:position w:val="0"/>
        </w:rPr>
        <w:t>其他非流动金融资产中权益工具投资</w:t>
      </w:r>
      <w:r>
        <w:rPr>
          <w:rFonts w:ascii="Times New Roman" w:eastAsia="Times New Roman" w:hAnsi="Times New Roman" w:cs="Times New Roman"/>
          <w:color w:val="000000"/>
          <w:spacing w:val="0"/>
          <w:w w:val="100"/>
          <w:position w:val="0"/>
        </w:rPr>
        <w:t>20,902,700.00</w:t>
      </w:r>
      <w:r>
        <w:rPr>
          <w:color w:val="000000"/>
          <w:spacing w:val="0"/>
          <w:w w:val="100"/>
          <w:position w:val="0"/>
        </w:rPr>
        <w:t>元，其中：</w:t>
      </w:r>
    </w:p>
    <w:p>
      <w:pPr>
        <w:pStyle w:val="Style33"/>
        <w:keepNext w:val="0"/>
        <w:keepLines w:val="0"/>
        <w:widowControl w:val="0"/>
        <w:shd w:val="clear" w:color="auto" w:fill="auto"/>
        <w:bidi w:val="0"/>
        <w:spacing w:before="0" w:after="640" w:line="312" w:lineRule="exact"/>
        <w:ind w:left="0" w:right="0" w:firstLine="0"/>
        <w:jc w:val="both"/>
      </w:pPr>
      <w:r>
        <w:rPr>
          <w:color w:val="000000"/>
          <w:spacing w:val="0"/>
          <w:w w:val="100"/>
          <w:position w:val="0"/>
        </w:rPr>
        <w:t>子公司信发资产管理有限责任公司于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月投资苏民投君信（上海）产业升级与科技创新股权投资合 伙企业（有限合伙）</w:t>
      </w:r>
      <w:r>
        <w:rPr>
          <w:rFonts w:ascii="Times New Roman" w:eastAsia="Times New Roman" w:hAnsi="Times New Roman" w:cs="Times New Roman"/>
          <w:color w:val="000000"/>
          <w:spacing w:val="0"/>
          <w:w w:val="100"/>
          <w:position w:val="0"/>
        </w:rPr>
        <w:t>0.86%</w:t>
      </w:r>
      <w:r>
        <w:rPr>
          <w:color w:val="000000"/>
          <w:spacing w:val="0"/>
          <w:w w:val="100"/>
          <w:position w:val="0"/>
        </w:rPr>
        <w:t>的股权。按期末评估值确定公允价值为</w:t>
      </w:r>
      <w:r>
        <w:rPr>
          <w:rFonts w:ascii="Times New Roman" w:eastAsia="Times New Roman" w:hAnsi="Times New Roman" w:cs="Times New Roman"/>
          <w:color w:val="000000"/>
          <w:spacing w:val="0"/>
          <w:w w:val="100"/>
          <w:position w:val="0"/>
        </w:rPr>
        <w:t>20,902,700.00</w:t>
      </w:r>
      <w:r>
        <w:rPr>
          <w:color w:val="000000"/>
          <w:spacing w:val="0"/>
          <w:w w:val="100"/>
          <w:position w:val="0"/>
        </w:rPr>
        <w:t>元</w:t>
      </w:r>
    </w:p>
    <w:p>
      <w:pPr>
        <w:pStyle w:val="Style28"/>
        <w:keepNext/>
        <w:keepLines/>
        <w:widowControl w:val="0"/>
        <w:shd w:val="clear" w:color="auto" w:fill="auto"/>
        <w:tabs>
          <w:tab w:pos="378" w:val="left"/>
        </w:tabs>
        <w:bidi w:val="0"/>
        <w:spacing w:before="0" w:after="300" w:line="312" w:lineRule="exact"/>
        <w:ind w:left="0" w:right="0" w:firstLine="0"/>
        <w:jc w:val="both"/>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5</w:t>
      </w:r>
      <w:bookmarkEnd w:id="1938"/>
      <w:r>
        <w:rPr>
          <w:color w:val="000000"/>
          <w:spacing w:val="0"/>
          <w:w w:val="100"/>
          <w:position w:val="0"/>
        </w:rPr>
        <w:t>、</w:t>
        <w:tab/>
        <w:t>持续的第三层次公允价值计量项目，期初与期末账面价值间的调节信息及不可观察参数敏感性分析</w:t>
      </w:r>
      <w:bookmarkEnd w:id="1936"/>
      <w:bookmarkEnd w:id="1937"/>
      <w:bookmarkEnd w:id="1939"/>
    </w:p>
    <w:p>
      <w:pPr>
        <w:pStyle w:val="Style28"/>
        <w:keepNext/>
        <w:keepLines/>
        <w:widowControl w:val="0"/>
        <w:shd w:val="clear" w:color="auto" w:fill="auto"/>
        <w:tabs>
          <w:tab w:pos="378" w:val="left"/>
        </w:tabs>
        <w:bidi w:val="0"/>
        <w:spacing w:before="0" w:after="300" w:line="312" w:lineRule="exact"/>
        <w:ind w:left="0" w:right="0" w:firstLine="0"/>
        <w:jc w:val="both"/>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6</w:t>
      </w:r>
      <w:bookmarkEnd w:id="1942"/>
      <w:r>
        <w:rPr>
          <w:color w:val="000000"/>
          <w:spacing w:val="0"/>
          <w:w w:val="100"/>
          <w:position w:val="0"/>
        </w:rPr>
        <w:t>、</w:t>
        <w:tab/>
        <w:t>持续的公允价值计量项目，本期内发生各层级之间转换的，转换的原因及确定转换时点的政策</w:t>
      </w:r>
      <w:bookmarkEnd w:id="1940"/>
      <w:bookmarkEnd w:id="1941"/>
      <w:bookmarkEnd w:id="1943"/>
    </w:p>
    <w:p>
      <w:pPr>
        <w:pStyle w:val="Style28"/>
        <w:keepNext/>
        <w:keepLines/>
        <w:widowControl w:val="0"/>
        <w:shd w:val="clear" w:color="auto" w:fill="auto"/>
        <w:tabs>
          <w:tab w:pos="378" w:val="left"/>
        </w:tabs>
        <w:bidi w:val="0"/>
        <w:spacing w:before="0" w:after="300" w:line="312" w:lineRule="exact"/>
        <w:ind w:left="0" w:right="0" w:firstLine="0"/>
        <w:jc w:val="both"/>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7</w:t>
      </w:r>
      <w:bookmarkEnd w:id="1946"/>
      <w:r>
        <w:rPr>
          <w:color w:val="000000"/>
          <w:spacing w:val="0"/>
          <w:w w:val="100"/>
          <w:position w:val="0"/>
        </w:rPr>
        <w:t>、</w:t>
        <w:tab/>
        <w:t>本期内发生的估值技术变更及变更原因</w:t>
      </w:r>
      <w:bookmarkEnd w:id="1944"/>
      <w:bookmarkEnd w:id="1945"/>
      <w:bookmarkEnd w:id="1947"/>
    </w:p>
    <w:p>
      <w:pPr>
        <w:pStyle w:val="Style28"/>
        <w:keepNext/>
        <w:keepLines/>
        <w:widowControl w:val="0"/>
        <w:shd w:val="clear" w:color="auto" w:fill="auto"/>
        <w:tabs>
          <w:tab w:pos="378" w:val="left"/>
        </w:tabs>
        <w:bidi w:val="0"/>
        <w:spacing w:before="0" w:after="300" w:line="312" w:lineRule="exact"/>
        <w:ind w:left="0" w:right="0" w:firstLine="0"/>
        <w:jc w:val="both"/>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8</w:t>
      </w:r>
      <w:bookmarkEnd w:id="1950"/>
      <w:r>
        <w:rPr>
          <w:color w:val="000000"/>
          <w:spacing w:val="0"/>
          <w:w w:val="100"/>
          <w:position w:val="0"/>
        </w:rPr>
        <w:t>、</w:t>
        <w:tab/>
        <w:t>不以公允价值计量的金融资产和金融负债的公允价值情况</w:t>
      </w:r>
      <w:bookmarkEnd w:id="1948"/>
      <w:bookmarkEnd w:id="1949"/>
      <w:bookmarkEnd w:id="1951"/>
    </w:p>
    <w:p>
      <w:pPr>
        <w:pStyle w:val="Style28"/>
        <w:keepNext/>
        <w:keepLines/>
        <w:widowControl w:val="0"/>
        <w:shd w:val="clear" w:color="auto" w:fill="auto"/>
        <w:tabs>
          <w:tab w:pos="378" w:val="left"/>
        </w:tabs>
        <w:bidi w:val="0"/>
        <w:spacing w:before="0" w:after="300" w:line="312" w:lineRule="exact"/>
        <w:ind w:left="0" w:right="0" w:firstLine="0"/>
        <w:jc w:val="both"/>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9</w:t>
      </w:r>
      <w:bookmarkEnd w:id="1954"/>
      <w:r>
        <w:rPr>
          <w:color w:val="000000"/>
          <w:spacing w:val="0"/>
          <w:w w:val="100"/>
          <w:position w:val="0"/>
        </w:rPr>
        <w:t>、</w:t>
        <w:tab/>
        <w:t>其他</w:t>
      </w:r>
      <w:bookmarkEnd w:id="1952"/>
      <w:bookmarkEnd w:id="1953"/>
      <w:bookmarkEnd w:id="1955"/>
    </w:p>
    <w:p>
      <w:pPr>
        <w:pStyle w:val="Style22"/>
        <w:keepNext/>
        <w:keepLines/>
        <w:widowControl w:val="0"/>
        <w:shd w:val="clear" w:color="auto" w:fill="auto"/>
        <w:bidi w:val="0"/>
        <w:spacing w:before="0" w:after="300" w:line="240" w:lineRule="auto"/>
        <w:ind w:left="0" w:right="0" w:firstLine="0"/>
        <w:jc w:val="both"/>
      </w:pPr>
      <w:bookmarkStart w:id="1956" w:name="bookmark1956"/>
      <w:bookmarkStart w:id="1957" w:name="bookmark1957"/>
      <w:bookmarkStart w:id="1958" w:name="bookmark1958"/>
      <w:r>
        <w:rPr>
          <w:color w:val="000000"/>
          <w:spacing w:val="0"/>
          <w:w w:val="100"/>
          <w:position w:val="0"/>
        </w:rPr>
        <w:t>十二、关联方及关联交易</w:t>
      </w:r>
      <w:bookmarkEnd w:id="1956"/>
      <w:bookmarkEnd w:id="1957"/>
      <w:bookmarkEnd w:id="1958"/>
    </w:p>
    <w:p>
      <w:pPr>
        <w:pStyle w:val="Style28"/>
        <w:keepNext/>
        <w:keepLines/>
        <w:widowControl w:val="0"/>
        <w:shd w:val="clear" w:color="auto" w:fill="auto"/>
        <w:bidi w:val="0"/>
        <w:spacing w:before="0" w:after="300" w:line="312" w:lineRule="exact"/>
        <w:ind w:left="0" w:right="0" w:firstLine="0"/>
        <w:jc w:val="both"/>
      </w:pPr>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59"/>
      <w:bookmarkEnd w:id="1960"/>
      <w:bookmarkEnd w:id="1961"/>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母公司对本企业的 表决权比例</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交信北斗（嘉兴）股 权投资有限公司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人民币</w:t>
            </w:r>
            <w:r>
              <w:rPr>
                <w:rFonts w:ascii="Times New Roman" w:eastAsia="Times New Roman" w:hAnsi="Times New Roman" w:cs="Times New Roman"/>
                <w:color w:val="000000"/>
                <w:spacing w:val="0"/>
                <w:w w:val="100"/>
                <w:position w:val="0"/>
                <w:sz w:val="18"/>
                <w:szCs w:val="18"/>
              </w:rPr>
              <w:t>26,767.68</w:t>
            </w:r>
            <w:r>
              <w:rPr>
                <w:color w:val="000000"/>
                <w:spacing w:val="0"/>
                <w:w w:val="100"/>
                <w:position w:val="0"/>
                <w:sz w:val="17"/>
                <w:szCs w:val="17"/>
              </w:rPr>
              <w:t>万 元人民币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w:t>
            </w:r>
          </w:p>
        </w:tc>
      </w:tr>
    </w:tbl>
    <w:p>
      <w:pPr>
        <w:widowControl w:val="0"/>
        <w:spacing w:after="99" w:line="1" w:lineRule="exact"/>
      </w:pPr>
    </w:p>
    <w:p>
      <w:pPr>
        <w:pStyle w:val="Style2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本企业的母公司情况的说明</w:t>
      </w:r>
    </w:p>
    <w:p>
      <w:pPr>
        <w:pStyle w:val="Style33"/>
        <w:keepNext w:val="0"/>
        <w:keepLines w:val="0"/>
        <w:widowControl w:val="0"/>
        <w:shd w:val="clear" w:color="auto" w:fill="auto"/>
        <w:bidi w:val="0"/>
        <w:spacing w:before="0" w:after="760" w:line="319" w:lineRule="exact"/>
        <w:ind w:left="7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年度，交信北斗（嘉兴）股权投资有限公司通过协议受让和表决权受托的方式，拥有本公司 </w:t>
      </w:r>
      <w:r>
        <w:rPr>
          <w:rFonts w:ascii="Times New Roman" w:eastAsia="Times New Roman" w:hAnsi="Times New Roman" w:cs="Times New Roman"/>
          <w:color w:val="000000"/>
          <w:spacing w:val="0"/>
          <w:w w:val="100"/>
          <w:position w:val="0"/>
        </w:rPr>
        <w:t>22.95%</w:t>
      </w:r>
      <w:r>
        <w:rPr>
          <w:color w:val="000000"/>
          <w:spacing w:val="0"/>
          <w:w w:val="100"/>
          <w:position w:val="0"/>
        </w:rPr>
        <w:t>的股份表决权，成为公司的新控股股东。交信北斗（嘉兴）股权投资有限公司系交通运输 通信信息集团有限公司控制的企业，交通运输通信信息集团有限公司成为公司实际控制人。</w:t>
      </w:r>
    </w:p>
    <w:p>
      <w:pPr>
        <w:pStyle w:val="Style24"/>
        <w:keepNext w:val="0"/>
        <w:keepLines w:val="0"/>
        <w:widowControl w:val="0"/>
        <w:shd w:val="clear" w:color="auto" w:fill="auto"/>
        <w:bidi w:val="0"/>
        <w:spacing w:before="0" w:after="160" w:line="240" w:lineRule="auto"/>
        <w:ind w:left="0" w:right="0" w:firstLine="0"/>
        <w:jc w:val="both"/>
        <w:rPr>
          <w:sz w:val="17"/>
          <w:szCs w:val="17"/>
        </w:rPr>
      </w:pPr>
      <w:r>
        <w:rPr>
          <w:color w:val="000000"/>
          <w:spacing w:val="0"/>
          <w:w w:val="100"/>
          <w:position w:val="0"/>
          <w:sz w:val="17"/>
          <w:szCs w:val="17"/>
        </w:rPr>
        <w:t>本企业最终控制方是交信北斗（嘉兴）股权投资有限公司。</w:t>
      </w:r>
    </w:p>
    <w:p>
      <w:pPr>
        <w:pStyle w:val="Style24"/>
        <w:keepNext w:val="0"/>
        <w:keepLines w:val="0"/>
        <w:widowControl w:val="0"/>
        <w:shd w:val="clear" w:color="auto" w:fill="auto"/>
        <w:bidi w:val="0"/>
        <w:spacing w:before="0" w:after="38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after="300" w:line="334" w:lineRule="auto"/>
        <w:ind w:left="0" w:right="0" w:firstLine="0"/>
        <w:jc w:val="both"/>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2</w:t>
      </w:r>
      <w:bookmarkEnd w:id="1964"/>
      <w:r>
        <w:rPr>
          <w:color w:val="000000"/>
          <w:spacing w:val="0"/>
          <w:w w:val="100"/>
          <w:position w:val="0"/>
        </w:rPr>
        <w:t>、本企业的子公司情况</w:t>
      </w:r>
      <w:bookmarkEnd w:id="1962"/>
      <w:bookmarkEnd w:id="1963"/>
      <w:bookmarkEnd w:id="1965"/>
    </w:p>
    <w:p>
      <w:pPr>
        <w:pStyle w:val="Style24"/>
        <w:keepNext w:val="0"/>
        <w:keepLines w:val="0"/>
        <w:widowControl w:val="0"/>
        <w:shd w:val="clear" w:color="auto" w:fill="auto"/>
        <w:bidi w:val="0"/>
        <w:spacing w:before="0" w:after="300" w:line="240" w:lineRule="auto"/>
        <w:ind w:left="0" w:right="0" w:firstLine="0"/>
        <w:jc w:val="both"/>
        <w:rPr>
          <w:sz w:val="17"/>
          <w:szCs w:val="17"/>
        </w:rPr>
      </w:pPr>
      <w:r>
        <w:rPr>
          <w:color w:val="000000"/>
          <w:spacing w:val="0"/>
          <w:w w:val="100"/>
          <w:position w:val="0"/>
          <w:sz w:val="17"/>
          <w:szCs w:val="17"/>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七、在其他主体中的权益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br w:type="page"/>
      </w:r>
    </w:p>
    <w:p>
      <w:pPr>
        <w:pStyle w:val="Style28"/>
        <w:keepNext/>
        <w:keepLines/>
        <w:widowControl w:val="0"/>
        <w:shd w:val="clear" w:color="auto" w:fill="auto"/>
        <w:bidi w:val="0"/>
        <w:spacing w:before="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3</w:t>
      </w:r>
      <w:bookmarkEnd w:id="1968"/>
      <w:r>
        <w:rPr>
          <w:color w:val="000000"/>
          <w:spacing w:val="0"/>
          <w:w w:val="100"/>
          <w:position w:val="0"/>
        </w:rPr>
        <w:t>、本企业合营和联营企业情况</w:t>
      </w:r>
      <w:bookmarkEnd w:id="1966"/>
      <w:bookmarkEnd w:id="1967"/>
      <w:bookmarkEnd w:id="1969"/>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七、在其他主体中的权益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p>
      <w:pPr>
        <w:pStyle w:val="Style24"/>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本期与本公司发生关联方交易，或前期与本公司发生关联方交易形成余额的其他合营或联营企业情况如下:</w:t>
      </w:r>
    </w:p>
    <w:tbl>
      <w:tblPr>
        <w:tblOverlap w:val="never"/>
        <w:jc w:val="center"/>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19" w:line="1" w:lineRule="exact"/>
      </w:pPr>
    </w:p>
    <w:p>
      <w:pPr>
        <w:pStyle w:val="Style28"/>
        <w:keepNext/>
        <w:keepLines/>
        <w:widowControl w:val="0"/>
        <w:shd w:val="clear" w:color="auto" w:fill="auto"/>
        <w:bidi w:val="0"/>
        <w:spacing w:before="0" w:after="32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4</w:t>
      </w:r>
      <w:bookmarkEnd w:id="1972"/>
      <w:r>
        <w:rPr>
          <w:color w:val="000000"/>
          <w:spacing w:val="0"/>
          <w:w w:val="100"/>
          <w:position w:val="0"/>
        </w:rPr>
        <w:t>、其他关联方情况</w:t>
      </w:r>
      <w:bookmarkEnd w:id="1970"/>
      <w:bookmarkEnd w:id="1971"/>
      <w:bookmarkEnd w:id="197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上海中信电子发展有限公司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持有公司</w:t>
            </w:r>
            <w:r>
              <w:rPr>
                <w:rFonts w:ascii="Times New Roman" w:eastAsia="Times New Roman" w:hAnsi="Times New Roman" w:cs="Times New Roman"/>
                <w:color w:val="000000"/>
                <w:spacing w:val="0"/>
                <w:w w:val="100"/>
                <w:position w:val="0"/>
                <w:sz w:val="18"/>
                <w:szCs w:val="18"/>
              </w:rPr>
              <w:t>13.35%</w:t>
            </w:r>
            <w:r>
              <w:rPr>
                <w:color w:val="000000"/>
                <w:spacing w:val="0"/>
                <w:w w:val="100"/>
                <w:position w:val="0"/>
                <w:sz w:val="17"/>
                <w:szCs w:val="17"/>
              </w:rPr>
              <w:t>的股权</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持有公司</w:t>
            </w:r>
            <w:r>
              <w:rPr>
                <w:rFonts w:ascii="Times New Roman" w:eastAsia="Times New Roman" w:hAnsi="Times New Roman" w:cs="Times New Roman"/>
                <w:color w:val="000000"/>
                <w:spacing w:val="0"/>
                <w:w w:val="100"/>
                <w:position w:val="0"/>
                <w:sz w:val="18"/>
                <w:szCs w:val="18"/>
              </w:rPr>
              <w:t>13.06%</w:t>
            </w:r>
            <w:r>
              <w:rPr>
                <w:color w:val="000000"/>
                <w:spacing w:val="0"/>
                <w:w w:val="100"/>
                <w:position w:val="0"/>
                <w:sz w:val="17"/>
                <w:szCs w:val="17"/>
              </w:rPr>
              <w:t>的股权、本公司董事长、法定代表人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庞文莉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张曙华之配偶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淘菜猫信息发展股份有限公司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受张曙华控制的公司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上海云令智享信息技术有限公司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受张曙华控制的公司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交通运输通信信息集团上海股权投资基金管理有限公司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同受一方控制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交信北斗科技有限公司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同受一方控制</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交信天玑（海南经济特区）企业管理合伙企业（有限合伙）</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同受一方控制</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5</w:t>
      </w:r>
      <w:bookmarkEnd w:id="1976"/>
      <w:r>
        <w:rPr>
          <w:color w:val="000000"/>
          <w:spacing w:val="0"/>
          <w:w w:val="100"/>
          <w:position w:val="0"/>
        </w:rPr>
        <w:t>、关联交易情况</w:t>
      </w:r>
      <w:bookmarkEnd w:id="1974"/>
      <w:bookmarkEnd w:id="1975"/>
      <w:bookmarkEnd w:id="1977"/>
    </w:p>
    <w:p>
      <w:pPr>
        <w:pStyle w:val="Style51"/>
        <w:keepNext/>
        <w:keepLines/>
        <w:widowControl w:val="0"/>
        <w:shd w:val="clear" w:color="auto" w:fill="auto"/>
        <w:bidi w:val="0"/>
        <w:spacing w:before="0" w:after="380" w:line="240" w:lineRule="auto"/>
        <w:ind w:left="0" w:right="0" w:firstLine="0"/>
        <w:jc w:val="left"/>
      </w:pPr>
      <w:bookmarkStart w:id="1978" w:name="bookmark1978"/>
      <w:bookmarkStart w:id="1979" w:name="bookmark1979"/>
      <w:bookmarkStart w:id="1980" w:name="bookmark19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78"/>
      <w:bookmarkEnd w:id="1979"/>
      <w:bookmarkEnd w:id="1980"/>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接受劳务情况表</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上海云令智享信息 技术有限公司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261"/>
        <w:gridCol w:w="2261"/>
        <w:gridCol w:w="2659"/>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购销商品、提供和接受劳务的关联交易说明</w:t>
      </w:r>
    </w:p>
    <w:p>
      <w:pPr>
        <w:pStyle w:val="Style51"/>
        <w:keepNext/>
        <w:keepLines/>
        <w:widowControl w:val="0"/>
        <w:shd w:val="clear" w:color="auto" w:fill="auto"/>
        <w:bidi w:val="0"/>
        <w:spacing w:before="0" w:after="380" w:line="240" w:lineRule="auto"/>
        <w:ind w:left="0" w:right="0" w:firstLine="0"/>
        <w:jc w:val="left"/>
      </w:pPr>
      <w:bookmarkStart w:id="1981" w:name="bookmark1981"/>
      <w:bookmarkStart w:id="1982" w:name="bookmark1982"/>
      <w:bookmarkStart w:id="1983" w:name="bookmark19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81"/>
      <w:bookmarkEnd w:id="1982"/>
      <w:bookmarkEnd w:id="1983"/>
    </w:p>
    <w:p>
      <w:pPr>
        <w:pStyle w:val="Style24"/>
        <w:keepNext w:val="0"/>
        <w:keepLines w:val="0"/>
        <w:widowControl w:val="0"/>
        <w:shd w:val="clear" w:color="auto" w:fill="auto"/>
        <w:bidi w:val="0"/>
        <w:spacing w:before="0" w:after="240" w:line="240" w:lineRule="auto"/>
        <w:ind w:left="0" w:right="0" w:firstLine="0"/>
        <w:jc w:val="left"/>
        <w:rPr>
          <w:sz w:val="17"/>
          <w:szCs w:val="17"/>
        </w:rPr>
      </w:pPr>
      <w:r>
        <w:rPr>
          <w:color w:val="000000"/>
          <w:spacing w:val="0"/>
          <w:w w:val="100"/>
          <w:position w:val="0"/>
          <w:sz w:val="17"/>
          <w:szCs w:val="17"/>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承包情况表：</w:t>
      </w:r>
      <w:r>
        <w:br w:type="page"/>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3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 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承包资产类 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 益定价依据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承包收益</w:t>
            </w:r>
          </w:p>
        </w:tc>
      </w:tr>
      <w:tr>
        <w:trPr>
          <w:trHeight w:val="1104" w:hRule="exact"/>
        </w:trPr>
        <w:tc>
          <w:tcPr>
            <w:gridSpan w:val="7"/>
            <w:tcBorders>
              <w:top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承包情况说明</w:t>
            </w:r>
          </w:p>
          <w:p>
            <w:pPr>
              <w:pStyle w:val="Style18"/>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出包情况表：</w:t>
            </w:r>
          </w:p>
          <w:p>
            <w:pPr>
              <w:pStyle w:val="Style18"/>
              <w:keepNext w:val="0"/>
              <w:keepLines w:val="0"/>
              <w:widowControl w:val="0"/>
              <w:shd w:val="clear" w:color="auto" w:fill="auto"/>
              <w:bidi w:val="0"/>
              <w:spacing w:before="0" w:after="140" w:line="240" w:lineRule="auto"/>
              <w:ind w:left="0" w:right="0" w:firstLine="0"/>
              <w:jc w:val="righ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出包费定 价依据</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rPr>
          <w:sz w:val="17"/>
          <w:szCs w:val="17"/>
        </w:rPr>
      </w:pPr>
      <w:r>
        <w:rPr>
          <w:color w:val="000000"/>
          <w:spacing w:val="0"/>
          <w:w w:val="100"/>
          <w:position w:val="0"/>
          <w:sz w:val="17"/>
          <w:szCs w:val="17"/>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出包情况说明</w:t>
      </w:r>
    </w:p>
    <w:p>
      <w:pPr>
        <w:pStyle w:val="Style51"/>
        <w:keepNext/>
        <w:keepLines/>
        <w:widowControl w:val="0"/>
        <w:shd w:val="clear" w:color="auto" w:fill="auto"/>
        <w:bidi w:val="0"/>
        <w:spacing w:before="0" w:after="400" w:line="240" w:lineRule="auto"/>
        <w:ind w:left="0" w:right="0" w:firstLine="0"/>
        <w:jc w:val="both"/>
      </w:pPr>
      <w:bookmarkStart w:id="1984" w:name="bookmark1984"/>
      <w:bookmarkStart w:id="1985" w:name="bookmark1985"/>
      <w:bookmarkStart w:id="1986" w:name="bookmark1986"/>
      <w:bookmarkStart w:id="1987" w:name="bookmark1987"/>
      <w:r>
        <w:rPr>
          <w:color w:val="000000"/>
          <w:spacing w:val="0"/>
          <w:w w:val="100"/>
          <w:position w:val="0"/>
        </w:rPr>
        <w:t>（</w:t>
      </w:r>
      <w:bookmarkEnd w:id="198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84"/>
      <w:bookmarkEnd w:id="1985"/>
      <w:bookmarkEnd w:id="1987"/>
    </w:p>
    <w:p>
      <w:pPr>
        <w:pStyle w:val="Style2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本公司作为出租方:</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2386"/>
        <w:gridCol w:w="24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754" w:hRule="exact"/>
        </w:trPr>
        <w:tc>
          <w:tcPr>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上期确认的租赁费</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51"/>
        <w:keepNext/>
        <w:keepLines/>
        <w:widowControl w:val="0"/>
        <w:shd w:val="clear" w:color="auto" w:fill="auto"/>
        <w:bidi w:val="0"/>
        <w:spacing w:before="0" w:after="400" w:line="240" w:lineRule="auto"/>
        <w:ind w:left="0" w:right="0" w:firstLine="0"/>
        <w:jc w:val="both"/>
      </w:pPr>
      <w:bookmarkStart w:id="1988" w:name="bookmark1988"/>
      <w:bookmarkStart w:id="1989" w:name="bookmark1989"/>
      <w:bookmarkStart w:id="1990" w:name="bookmark1990"/>
      <w:bookmarkStart w:id="1991" w:name="bookmark1991"/>
      <w:r>
        <w:rPr>
          <w:color w:val="000000"/>
          <w:spacing w:val="0"/>
          <w:w w:val="100"/>
          <w:position w:val="0"/>
        </w:rPr>
        <w:t>（</w:t>
      </w:r>
      <w:bookmarkEnd w:id="199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88"/>
      <w:bookmarkEnd w:id="1989"/>
      <w:bookmarkEnd w:id="1991"/>
    </w:p>
    <w:p>
      <w:pPr>
        <w:pStyle w:val="Style2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本公司作为担保方</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光典信息发展有限公司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光典信息发展有限公司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光典信息发展有限公司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张曙华、庞文莉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87,000,000.00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上海信联信息发展股份 有限公司、张曙华、庞 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上海信联信息发展股份 有限公司、张曙华、庞 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上海信联信息发展股份 有限公司、上海信联智 谷信息科技有限公司、 张曙华、庞文莉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张曙华、庞文莉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51"/>
        <w:keepNext/>
        <w:keepLines/>
        <w:widowControl w:val="0"/>
        <w:shd w:val="clear" w:color="auto" w:fill="auto"/>
        <w:bidi w:val="0"/>
        <w:spacing w:before="0" w:after="40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92"/>
      <w:bookmarkEnd w:id="1993"/>
      <w:bookmarkEnd w:id="1995"/>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0"/>
        <w:gridCol w:w="1920"/>
        <w:gridCol w:w="1910"/>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3,870,000.00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7,570,000.00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8,650,000.00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上海中信电子发展有限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拆出</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51"/>
        <w:keepNext/>
        <w:keepLines/>
        <w:widowControl w:val="0"/>
        <w:shd w:val="clear" w:color="auto" w:fill="auto"/>
        <w:bidi w:val="0"/>
        <w:spacing w:before="0" w:after="40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96"/>
      <w:bookmarkEnd w:id="1997"/>
      <w:bookmarkEnd w:id="1999"/>
    </w:p>
    <w:p>
      <w:pPr>
        <w:pStyle w:val="Style24"/>
        <w:keepNext w:val="0"/>
        <w:keepLines w:val="0"/>
        <w:widowControl w:val="0"/>
        <w:shd w:val="clear" w:color="auto" w:fill="auto"/>
        <w:bidi w:val="0"/>
        <w:spacing w:before="0" w:after="6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339" w:line="1" w:lineRule="exact"/>
      </w:pPr>
    </w:p>
    <w:p>
      <w:pPr>
        <w:pStyle w:val="Style51"/>
        <w:keepNext/>
        <w:keepLines/>
        <w:widowControl w:val="0"/>
        <w:shd w:val="clear" w:color="auto" w:fill="auto"/>
        <w:bidi w:val="0"/>
        <w:spacing w:before="0" w:after="400" w:line="240" w:lineRule="auto"/>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00"/>
      <w:bookmarkEnd w:id="2001"/>
      <w:bookmarkEnd w:id="2003"/>
    </w:p>
    <w:p>
      <w:pPr>
        <w:pStyle w:val="Style24"/>
        <w:keepNext w:val="0"/>
        <w:keepLines w:val="0"/>
        <w:widowControl w:val="0"/>
        <w:shd w:val="clear" w:color="auto" w:fill="auto"/>
        <w:bidi w:val="0"/>
        <w:spacing w:before="0" w:after="6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3,862,900.00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3,781,800.00</w:t>
            </w:r>
          </w:p>
        </w:tc>
      </w:tr>
    </w:tbl>
    <w:p>
      <w:pPr>
        <w:widowControl w:val="0"/>
        <w:spacing w:after="339" w:line="1" w:lineRule="exact"/>
      </w:pPr>
    </w:p>
    <w:p>
      <w:pPr>
        <w:pStyle w:val="Style51"/>
        <w:keepNext/>
        <w:keepLines/>
        <w:widowControl w:val="0"/>
        <w:shd w:val="clear" w:color="auto" w:fill="auto"/>
        <w:bidi w:val="0"/>
        <w:spacing w:before="0" w:after="340" w:line="240" w:lineRule="auto"/>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04"/>
      <w:bookmarkEnd w:id="2005"/>
      <w:bookmarkEnd w:id="2007"/>
    </w:p>
    <w:p>
      <w:pPr>
        <w:pStyle w:val="Style33"/>
        <w:keepNext w:val="0"/>
        <w:keepLines w:val="0"/>
        <w:widowControl w:val="0"/>
        <w:shd w:val="clear" w:color="auto" w:fill="auto"/>
        <w:bidi w:val="0"/>
        <w:spacing w:before="0" w:after="0" w:line="240" w:lineRule="auto"/>
        <w:ind w:left="0" w:right="0" w:firstLine="72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日召开的第五届董事会第十次会议、第五届监事会第八次会议审议通过，本 </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月与交通运输通信信息集团上海股权投资基金管理有限公司（代表</w:t>
      </w:r>
      <w:r>
        <w:rPr>
          <w:rFonts w:ascii="Times New Roman" w:eastAsia="Times New Roman" w:hAnsi="Times New Roman" w:cs="Times New Roman"/>
          <w:color w:val="000000"/>
          <w:spacing w:val="0"/>
          <w:w w:val="100"/>
          <w:position w:val="0"/>
        </w:rPr>
        <w:t>“</w:t>
      </w:r>
      <w:r>
        <w:rPr>
          <w:color w:val="000000"/>
          <w:spacing w:val="0"/>
          <w:w w:val="100"/>
          <w:position w:val="0"/>
        </w:rPr>
        <w:t>交信自由流私 募股权投资基金</w:t>
      </w:r>
      <w:r>
        <w:rPr>
          <w:rFonts w:ascii="Times New Roman" w:eastAsia="Times New Roman" w:hAnsi="Times New Roman" w:cs="Times New Roman"/>
          <w:color w:val="000000"/>
          <w:spacing w:val="0"/>
          <w:w w:val="100"/>
          <w:position w:val="0"/>
        </w:rPr>
        <w:t>”</w:t>
      </w:r>
      <w:r>
        <w:rPr>
          <w:color w:val="000000"/>
          <w:spacing w:val="0"/>
          <w:w w:val="100"/>
          <w:position w:val="0"/>
        </w:rPr>
        <w:t>）、交信北斗科技有限公司（北京中交创新投资发展有限公司于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 更名为现名称交信北斗科技有限公司）、交信天玑（海南经济特区）企业管理合伙企业（有限合 伙），签署对交信北斗（海南）科技有限公司的增资协议。本公司以货币出资的方式按照</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注册 资本的价格向交信北斗（海南）科技有限公司新增注册资本</w:t>
      </w:r>
      <w:r>
        <w:rPr>
          <w:rFonts w:ascii="Times New Roman" w:eastAsia="Times New Roman" w:hAnsi="Times New Roman" w:cs="Times New Roman"/>
          <w:color w:val="000000"/>
          <w:spacing w:val="0"/>
          <w:w w:val="100"/>
          <w:position w:val="0"/>
        </w:rPr>
        <w:t>10,410.00</w:t>
      </w:r>
      <w:r>
        <w:rPr>
          <w:color w:val="000000"/>
          <w:spacing w:val="0"/>
          <w:w w:val="100"/>
          <w:position w:val="0"/>
        </w:rPr>
        <w:t>万元，占该公司注册资本比 例</w:t>
      </w:r>
      <w:r>
        <w:rPr>
          <w:rFonts w:ascii="Times New Roman" w:eastAsia="Times New Roman" w:hAnsi="Times New Roman" w:cs="Times New Roman"/>
          <w:color w:val="000000"/>
          <w:spacing w:val="0"/>
          <w:w w:val="100"/>
          <w:position w:val="0"/>
        </w:rPr>
        <w:t>51.00%</w:t>
      </w:r>
      <w:r>
        <w:rPr>
          <w:color w:val="000000"/>
          <w:spacing w:val="0"/>
          <w:w w:val="100"/>
          <w:position w:val="0"/>
        </w:rPr>
        <w:t>；该增资款分三期支付：于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日之前支付第一笔增资款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日之前支付第二笔增资款</w:t>
      </w:r>
      <w:r>
        <w:rPr>
          <w:rFonts w:ascii="Times New Roman" w:eastAsia="Times New Roman" w:hAnsi="Times New Roman" w:cs="Times New Roman"/>
          <w:color w:val="000000"/>
          <w:spacing w:val="0"/>
          <w:w w:val="100"/>
          <w:position w:val="0"/>
        </w:rPr>
        <w:t>3,000.00</w:t>
      </w:r>
      <w:r>
        <w:rPr>
          <w:color w:val="000000"/>
          <w:spacing w:val="0"/>
          <w:w w:val="100"/>
          <w:position w:val="0"/>
        </w:rPr>
        <w:t>万元，于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日之前支付剩余第三笔增资款完 成全部出资。</w:t>
      </w:r>
    </w:p>
    <w:p>
      <w:pPr>
        <w:pStyle w:val="Style33"/>
        <w:keepNext w:val="0"/>
        <w:keepLines w:val="0"/>
        <w:widowControl w:val="0"/>
        <w:shd w:val="clear" w:color="auto" w:fill="auto"/>
        <w:bidi w:val="0"/>
        <w:spacing w:before="0" w:after="660" w:line="313" w:lineRule="exact"/>
        <w:ind w:left="72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日，公司向交信北斗（海南）科技有限公司实缴出资人民币</w:t>
      </w:r>
      <w:r>
        <w:rPr>
          <w:rFonts w:ascii="Times New Roman" w:eastAsia="Times New Roman" w:hAnsi="Times New Roman" w:cs="Times New Roman"/>
          <w:color w:val="000000"/>
          <w:spacing w:val="0"/>
          <w:w w:val="100"/>
          <w:position w:val="0"/>
        </w:rPr>
        <w:t>1,500.00</w:t>
      </w:r>
      <w:r>
        <w:rPr>
          <w:color w:val="000000"/>
          <w:spacing w:val="0"/>
          <w:w w:val="100"/>
          <w:position w:val="0"/>
        </w:rPr>
        <w:t>万元，交信 北斗（海南）科技有限公司已完成工商变更登记手续。交信北斗（海南）科技有限公司章程约定， 董事会成员</w:t>
      </w:r>
      <w:r>
        <w:rPr>
          <w:rFonts w:ascii="Times New Roman" w:eastAsia="Times New Roman" w:hAnsi="Times New Roman" w:cs="Times New Roman"/>
          <w:color w:val="000000"/>
          <w:spacing w:val="0"/>
          <w:w w:val="100"/>
          <w:position w:val="0"/>
        </w:rPr>
        <w:t>5</w:t>
      </w:r>
      <w:r>
        <w:rPr>
          <w:color w:val="000000"/>
          <w:spacing w:val="0"/>
          <w:w w:val="100"/>
          <w:position w:val="0"/>
        </w:rPr>
        <w:t>人其中本公司有权推荐</w:t>
      </w:r>
      <w:r>
        <w:rPr>
          <w:rFonts w:ascii="Times New Roman" w:eastAsia="Times New Roman" w:hAnsi="Times New Roman" w:cs="Times New Roman"/>
          <w:color w:val="000000"/>
          <w:spacing w:val="0"/>
          <w:w w:val="100"/>
          <w:position w:val="0"/>
        </w:rPr>
        <w:t>3</w:t>
      </w:r>
      <w:r>
        <w:rPr>
          <w:color w:val="000000"/>
          <w:spacing w:val="0"/>
          <w:w w:val="100"/>
          <w:position w:val="0"/>
        </w:rPr>
        <w:t>名董事、交通运输通信信息集团上海股权投资基金管理有限 公司（代表</w:t>
      </w:r>
      <w:r>
        <w:rPr>
          <w:rFonts w:ascii="Times New Roman" w:eastAsia="Times New Roman" w:hAnsi="Times New Roman" w:cs="Times New Roman"/>
          <w:color w:val="000000"/>
          <w:spacing w:val="0"/>
          <w:w w:val="100"/>
          <w:position w:val="0"/>
        </w:rPr>
        <w:t>“</w:t>
      </w:r>
      <w:r>
        <w:rPr>
          <w:color w:val="000000"/>
          <w:spacing w:val="0"/>
          <w:w w:val="100"/>
          <w:position w:val="0"/>
        </w:rPr>
        <w:t>交信自由流私募股权投资基金</w:t>
      </w:r>
      <w:r>
        <w:rPr>
          <w:rFonts w:ascii="Times New Roman" w:eastAsia="Times New Roman" w:hAnsi="Times New Roman" w:cs="Times New Roman"/>
          <w:color w:val="000000"/>
          <w:spacing w:val="0"/>
          <w:w w:val="100"/>
          <w:position w:val="0"/>
        </w:rPr>
        <w:t>”</w:t>
      </w:r>
      <w:r>
        <w:rPr>
          <w:color w:val="000000"/>
          <w:spacing w:val="0"/>
          <w:w w:val="100"/>
          <w:position w:val="0"/>
        </w:rPr>
        <w:t>）与交信北斗科技有限公司各有权推荐</w:t>
      </w:r>
      <w:r>
        <w:rPr>
          <w:rFonts w:ascii="Times New Roman" w:eastAsia="Times New Roman" w:hAnsi="Times New Roman" w:cs="Times New Roman"/>
          <w:color w:val="000000"/>
          <w:spacing w:val="0"/>
          <w:w w:val="100"/>
          <w:position w:val="0"/>
        </w:rPr>
        <w:t>1</w:t>
      </w:r>
      <w:r>
        <w:rPr>
          <w:color w:val="000000"/>
          <w:spacing w:val="0"/>
          <w:w w:val="100"/>
          <w:position w:val="0"/>
        </w:rPr>
        <w:t>名董事，董事 会做出决议须经三分之二（含本数）以上董事同意方可通过。截止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日交信北斗（海 南）科技有限公司尚未改选董事会成员，本公司尚未派出董事，本公司将对交信北斗（海南）科 技有限公司的股权投资作为合营企业投资在长期股权资核算，同时在其他应付款计提已承诺但尚 未支付的投资款人民币</w:t>
      </w:r>
      <w:r>
        <w:rPr>
          <w:rFonts w:ascii="Times New Roman" w:eastAsia="Times New Roman" w:hAnsi="Times New Roman" w:cs="Times New Roman"/>
          <w:color w:val="000000"/>
          <w:spacing w:val="0"/>
          <w:w w:val="100"/>
          <w:position w:val="0"/>
        </w:rPr>
        <w:t>8,910.00</w:t>
      </w:r>
      <w:r>
        <w:rPr>
          <w:color w:val="000000"/>
          <w:spacing w:val="0"/>
          <w:w w:val="100"/>
          <w:position w:val="0"/>
        </w:rPr>
        <w:t>万元。</w:t>
      </w:r>
    </w:p>
    <w:p>
      <w:pPr>
        <w:pStyle w:val="Style28"/>
        <w:keepNext/>
        <w:keepLines/>
        <w:widowControl w:val="0"/>
        <w:shd w:val="clear" w:color="auto" w:fill="auto"/>
        <w:bidi w:val="0"/>
        <w:spacing w:before="0" w:after="36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6</w:t>
      </w:r>
      <w:bookmarkEnd w:id="2010"/>
      <w:r>
        <w:rPr>
          <w:color w:val="000000"/>
          <w:spacing w:val="0"/>
          <w:w w:val="100"/>
          <w:position w:val="0"/>
        </w:rPr>
        <w:t>、关联方应收应付款项</w:t>
      </w:r>
      <w:bookmarkEnd w:id="2008"/>
      <w:bookmarkEnd w:id="2009"/>
      <w:bookmarkEnd w:id="2011"/>
    </w:p>
    <w:p>
      <w:pPr>
        <w:pStyle w:val="Style51"/>
        <w:keepNext/>
        <w:keepLines/>
        <w:widowControl w:val="0"/>
        <w:shd w:val="clear" w:color="auto" w:fill="auto"/>
        <w:bidi w:val="0"/>
        <w:spacing w:before="0" w:after="360" w:line="240" w:lineRule="auto"/>
        <w:ind w:left="0" w:right="0" w:firstLine="0"/>
        <w:jc w:val="left"/>
      </w:pPr>
      <w:bookmarkStart w:id="2012" w:name="bookmark2012"/>
      <w:bookmarkStart w:id="2013" w:name="bookmark2013"/>
      <w:bookmarkStart w:id="2014" w:name="bookmark20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12"/>
      <w:bookmarkEnd w:id="2013"/>
      <w:bookmarkEnd w:id="201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淘菜猫信息发展股</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8,800.00</w:t>
            </w:r>
          </w:p>
        </w:tc>
      </w:tr>
    </w:tbl>
    <w:p>
      <w:pPr>
        <w:pStyle w:val="Style41"/>
        <w:keepNext w:val="0"/>
        <w:keepLines w:val="0"/>
        <w:widowControl w:val="0"/>
        <w:shd w:val="clear" w:color="auto" w:fill="auto"/>
        <w:bidi w:val="0"/>
        <w:spacing w:before="0" w:after="0" w:line="240" w:lineRule="auto"/>
        <w:ind w:left="5" w:right="0" w:firstLine="0"/>
        <w:jc w:val="left"/>
        <w:rPr>
          <w:sz w:val="20"/>
          <w:szCs w:val="20"/>
        </w:rPr>
      </w:pPr>
      <w:bookmarkStart w:id="2015" w:name="bookmark201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）应付项目</w:t>
      </w:r>
      <w:bookmarkEnd w:id="2015"/>
    </w:p>
    <w:p>
      <w:pPr>
        <w:widowControl w:val="0"/>
        <w:spacing w:after="35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交信北斗（海南）科技有限公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tabs>
          <w:tab w:pos="313" w:val="left"/>
        </w:tabs>
        <w:bidi w:val="0"/>
        <w:spacing w:before="0" w:after="36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7</w:t>
      </w:r>
      <w:bookmarkEnd w:id="2018"/>
      <w:r>
        <w:rPr>
          <w:color w:val="000000"/>
          <w:spacing w:val="0"/>
          <w:w w:val="100"/>
          <w:position w:val="0"/>
        </w:rPr>
        <w:t>、</w:t>
        <w:tab/>
        <w:t>关联方承诺</w:t>
      </w:r>
      <w:bookmarkEnd w:id="2016"/>
      <w:bookmarkEnd w:id="2017"/>
      <w:bookmarkEnd w:id="2019"/>
    </w:p>
    <w:p>
      <w:pPr>
        <w:pStyle w:val="Style28"/>
        <w:keepNext/>
        <w:keepLines/>
        <w:widowControl w:val="0"/>
        <w:shd w:val="clear" w:color="auto" w:fill="auto"/>
        <w:tabs>
          <w:tab w:pos="318" w:val="left"/>
        </w:tabs>
        <w:bidi w:val="0"/>
        <w:spacing w:before="0" w:after="36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8</w:t>
      </w:r>
      <w:bookmarkEnd w:id="2022"/>
      <w:r>
        <w:rPr>
          <w:color w:val="000000"/>
          <w:spacing w:val="0"/>
          <w:w w:val="100"/>
          <w:position w:val="0"/>
        </w:rPr>
        <w:t>、</w:t>
        <w:tab/>
        <w:t>其他</w:t>
      </w:r>
      <w:bookmarkEnd w:id="2020"/>
      <w:bookmarkEnd w:id="2021"/>
      <w:bookmarkEnd w:id="2023"/>
      <w:r>
        <w:br w:type="page"/>
      </w:r>
    </w:p>
    <w:p>
      <w:pPr>
        <w:pStyle w:val="Style22"/>
        <w:keepNext/>
        <w:keepLines/>
        <w:widowControl w:val="0"/>
        <w:shd w:val="clear" w:color="auto" w:fill="auto"/>
        <w:bidi w:val="0"/>
        <w:spacing w:before="0" w:line="240" w:lineRule="auto"/>
        <w:ind w:left="0" w:right="0" w:firstLine="0"/>
        <w:jc w:val="left"/>
      </w:pPr>
      <w:bookmarkStart w:id="2024" w:name="bookmark2024"/>
      <w:bookmarkStart w:id="2025" w:name="bookmark2025"/>
      <w:bookmarkStart w:id="2026" w:name="bookmark2026"/>
      <w:r>
        <w:rPr>
          <w:color w:val="000000"/>
          <w:spacing w:val="0"/>
          <w:w w:val="100"/>
          <w:position w:val="0"/>
        </w:rPr>
        <w:t>十三、股份支付</w:t>
      </w:r>
      <w:bookmarkEnd w:id="2024"/>
      <w:bookmarkEnd w:id="2025"/>
      <w:bookmarkEnd w:id="2026"/>
    </w:p>
    <w:p>
      <w:pPr>
        <w:pStyle w:val="Style28"/>
        <w:keepNext/>
        <w:keepLines/>
        <w:widowControl w:val="0"/>
        <w:shd w:val="clear" w:color="auto" w:fill="auto"/>
        <w:bidi w:val="0"/>
        <w:spacing w:before="0" w:after="360" w:line="240" w:lineRule="auto"/>
        <w:ind w:left="0" w:right="0" w:firstLine="0"/>
        <w:jc w:val="left"/>
      </w:pPr>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27"/>
      <w:bookmarkEnd w:id="2028"/>
      <w:bookmarkEnd w:id="2029"/>
    </w:p>
    <w:p>
      <w:pPr>
        <w:pStyle w:val="Style24"/>
        <w:keepNext w:val="0"/>
        <w:keepLines w:val="0"/>
        <w:widowControl w:val="0"/>
        <w:shd w:val="clear" w:color="auto" w:fill="auto"/>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4"/>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）根据公司《第一期员工持股计划（草案）》，公 司回购专用证券账户中所持有的</w:t>
            </w:r>
            <w:r>
              <w:rPr>
                <w:rFonts w:ascii="Times New Roman" w:eastAsia="Times New Roman" w:hAnsi="Times New Roman" w:cs="Times New Roman"/>
                <w:color w:val="000000"/>
                <w:spacing w:val="0"/>
                <w:w w:val="100"/>
                <w:position w:val="0"/>
                <w:sz w:val="18"/>
                <w:szCs w:val="18"/>
              </w:rPr>
              <w:t>1,122,200</w:t>
            </w:r>
            <w:r>
              <w:rPr>
                <w:color w:val="000000"/>
                <w:spacing w:val="0"/>
                <w:w w:val="100"/>
                <w:position w:val="0"/>
                <w:sz w:val="17"/>
                <w:szCs w:val="17"/>
              </w:rPr>
              <w:t>股信息 发展股票已于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日非交易过户至公司员 工持股计划专户。（</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）本员工持股计划所获标的股票 分二期解锁，解锁时点分别为自公司公告最后一笔标 的股票过户至本员工持股计划名下之日起满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 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个月，最长锁定期为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个月，每期解锁的标 的股票比例分别为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）员工持股计划中 的解锁业绩条件为公司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年公司净利润不低于 </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年公司净利润不低于</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sz w:val="17"/>
                <w:szCs w:val="17"/>
              </w:rPr>
              <w:t>万元</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33"/>
        <w:keepNext w:val="0"/>
        <w:keepLines w:val="0"/>
        <w:widowControl w:val="0"/>
        <w:shd w:val="clear" w:color="auto" w:fill="auto"/>
        <w:bidi w:val="0"/>
        <w:spacing w:before="0" w:after="30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）根据公司《第一期员工持股计划（草案）》，公司回购专用证券账户中所持有的</w:t>
      </w:r>
      <w:r>
        <w:rPr>
          <w:rFonts w:ascii="Times New Roman" w:eastAsia="Times New Roman" w:hAnsi="Times New Roman" w:cs="Times New Roman"/>
          <w:color w:val="000000"/>
          <w:spacing w:val="0"/>
          <w:w w:val="100"/>
          <w:position w:val="0"/>
        </w:rPr>
        <w:t>1,122,200</w:t>
      </w:r>
      <w:r>
        <w:rPr>
          <w:color w:val="000000"/>
          <w:spacing w:val="0"/>
          <w:w w:val="100"/>
          <w:position w:val="0"/>
        </w:rPr>
        <w:t>股信息发 展股票已于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日非交易过户至公司员工持股计划专户。（</w:t>
      </w:r>
      <w:r>
        <w:rPr>
          <w:rFonts w:ascii="Times New Roman" w:eastAsia="Times New Roman" w:hAnsi="Times New Roman" w:cs="Times New Roman"/>
          <w:color w:val="000000"/>
          <w:spacing w:val="0"/>
          <w:w w:val="100"/>
          <w:position w:val="0"/>
        </w:rPr>
        <w:t>2</w:t>
      </w:r>
      <w:r>
        <w:rPr>
          <w:color w:val="000000"/>
          <w:spacing w:val="0"/>
          <w:w w:val="100"/>
          <w:position w:val="0"/>
        </w:rPr>
        <w:t>）本员工持股计划所获标的股票分二 期解锁，解锁时点分别为自公司公告最后一笔标的股票过户至本员工持股计划名下之日起满</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 月，最长锁定期为</w:t>
      </w:r>
      <w:r>
        <w:rPr>
          <w:rFonts w:ascii="Times New Roman" w:eastAsia="Times New Roman" w:hAnsi="Times New Roman" w:cs="Times New Roman"/>
          <w:color w:val="000000"/>
          <w:spacing w:val="0"/>
          <w:w w:val="100"/>
          <w:position w:val="0"/>
        </w:rPr>
        <w:t>24</w:t>
      </w:r>
      <w:r>
        <w:rPr>
          <w:color w:val="000000"/>
          <w:spacing w:val="0"/>
          <w:w w:val="100"/>
          <w:position w:val="0"/>
        </w:rPr>
        <w:t>个月，每期解锁的标的股票比例分别为</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）员工持股计划中的解锁业绩 条件为公司</w:t>
      </w:r>
      <w:r>
        <w:rPr>
          <w:rFonts w:ascii="Times New Roman" w:eastAsia="Times New Roman" w:hAnsi="Times New Roman" w:cs="Times New Roman"/>
          <w:color w:val="000000"/>
          <w:spacing w:val="0"/>
          <w:w w:val="100"/>
          <w:position w:val="0"/>
        </w:rPr>
        <w:t>2020</w:t>
      </w:r>
      <w:r>
        <w:rPr>
          <w:color w:val="000000"/>
          <w:spacing w:val="0"/>
          <w:w w:val="100"/>
          <w:position w:val="0"/>
        </w:rPr>
        <w:t>年公司净利润不低于</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年公司净利润不低于</w:t>
      </w:r>
      <w:r>
        <w:rPr>
          <w:rFonts w:ascii="Times New Roman" w:eastAsia="Times New Roman" w:hAnsi="Times New Roman" w:cs="Times New Roman"/>
          <w:color w:val="000000"/>
          <w:spacing w:val="0"/>
          <w:w w:val="100"/>
          <w:position w:val="0"/>
        </w:rPr>
        <w:t>6,000</w:t>
      </w:r>
      <w:r>
        <w:rPr>
          <w:color w:val="000000"/>
          <w:spacing w:val="0"/>
          <w:w w:val="100"/>
          <w:position w:val="0"/>
        </w:rPr>
        <w:t>万元</w:t>
      </w:r>
    </w:p>
    <w:p>
      <w:pPr>
        <w:pStyle w:val="Style28"/>
        <w:keepNext/>
        <w:keepLines/>
        <w:widowControl w:val="0"/>
        <w:shd w:val="clear" w:color="auto" w:fill="auto"/>
        <w:bidi w:val="0"/>
        <w:spacing w:before="0" w:after="360" w:line="310" w:lineRule="exact"/>
        <w:ind w:left="0" w:right="0" w:firstLine="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2</w:t>
      </w:r>
      <w:bookmarkEnd w:id="2032"/>
      <w:r>
        <w:rPr>
          <w:color w:val="000000"/>
          <w:spacing w:val="0"/>
          <w:w w:val="100"/>
          <w:position w:val="0"/>
        </w:rPr>
        <w:t>、以权益结算的股份支付情况</w:t>
      </w:r>
      <w:bookmarkEnd w:id="2030"/>
      <w:bookmarkEnd w:id="2031"/>
      <w:bookmarkEnd w:id="2033"/>
    </w:p>
    <w:p>
      <w:pPr>
        <w:pStyle w:val="Style24"/>
        <w:keepNext w:val="0"/>
        <w:keepLines w:val="0"/>
        <w:widowControl w:val="0"/>
        <w:shd w:val="clear" w:color="auto" w:fill="auto"/>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4"/>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董事会审议本次员工持股计划时最近一个交易日公司股票 收盘价。</w:t>
            </w:r>
          </w:p>
        </w:tc>
      </w:tr>
      <w:tr>
        <w:trPr>
          <w:trHeight w:val="164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依据《公司法》、《证券法》、《上市公司股权激励管理办法 （试行）》、《股权激励有关事项备忘录</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号》、《股权激励有 关事项备忘录</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号》、《股权激励有关事项备忘录</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号》及 《上海中信信息发展股份有限公司章程》的相关规定，并 结合公司实际情况确定。</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1,900,726.24</w:t>
            </w:r>
          </w:p>
        </w:tc>
      </w:tr>
    </w:tbl>
    <w:p>
      <w:pPr>
        <w:widowControl w:val="0"/>
        <w:spacing w:after="5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其他说明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w:t>
      </w:r>
      <w:r>
        <w:rPr>
          <w:color w:val="000000"/>
          <w:spacing w:val="0"/>
          <w:w w:val="100"/>
          <w:position w:val="0"/>
        </w:rPr>
        <w:t>十四、其他重要事项</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w:t>
      </w:r>
      <w:r>
        <w:rPr>
          <w:color w:val="000000"/>
          <w:spacing w:val="0"/>
          <w:w w:val="100"/>
          <w:position w:val="0"/>
        </w:rPr>
        <w:t>所述</w:t>
      </w:r>
    </w:p>
    <w:p>
      <w:pPr>
        <w:pStyle w:val="Style28"/>
        <w:keepNext/>
        <w:keepLines/>
        <w:widowControl w:val="0"/>
        <w:shd w:val="clear" w:color="auto" w:fill="auto"/>
        <w:tabs>
          <w:tab w:pos="378" w:val="left"/>
        </w:tabs>
        <w:bidi w:val="0"/>
        <w:spacing w:before="0" w:after="360" w:line="313" w:lineRule="exact"/>
        <w:ind w:left="0" w:right="0" w:firstLine="0"/>
        <w:jc w:val="both"/>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3</w:t>
      </w:r>
      <w:bookmarkEnd w:id="2036"/>
      <w:r>
        <w:rPr>
          <w:color w:val="000000"/>
          <w:spacing w:val="0"/>
          <w:w w:val="100"/>
          <w:position w:val="0"/>
        </w:rPr>
        <w:t>、</w:t>
        <w:tab/>
        <w:t>以现金结算的股份支付情况</w:t>
      </w:r>
      <w:bookmarkEnd w:id="2034"/>
      <w:bookmarkEnd w:id="2035"/>
      <w:bookmarkEnd w:id="2037"/>
    </w:p>
    <w:p>
      <w:pPr>
        <w:pStyle w:val="Style24"/>
        <w:keepNext w:val="0"/>
        <w:keepLines w:val="0"/>
        <w:widowControl w:val="0"/>
        <w:shd w:val="clear" w:color="auto" w:fill="auto"/>
        <w:bidi w:val="0"/>
        <w:spacing w:before="0" w:after="3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8"/>
        <w:keepNext/>
        <w:keepLines/>
        <w:widowControl w:val="0"/>
        <w:shd w:val="clear" w:color="auto" w:fill="auto"/>
        <w:tabs>
          <w:tab w:pos="378" w:val="left"/>
        </w:tabs>
        <w:bidi w:val="0"/>
        <w:spacing w:before="0" w:after="300" w:line="313" w:lineRule="exact"/>
        <w:ind w:left="0" w:right="0" w:firstLine="0"/>
        <w:jc w:val="both"/>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4</w:t>
      </w:r>
      <w:bookmarkEnd w:id="2040"/>
      <w:r>
        <w:rPr>
          <w:color w:val="000000"/>
          <w:spacing w:val="0"/>
          <w:w w:val="100"/>
          <w:position w:val="0"/>
        </w:rPr>
        <w:t>、</w:t>
        <w:tab/>
        <w:t>股份支付的修改、终止情况</w:t>
      </w:r>
      <w:bookmarkEnd w:id="2038"/>
      <w:bookmarkEnd w:id="2039"/>
      <w:bookmarkEnd w:id="2041"/>
    </w:p>
    <w:p>
      <w:pPr>
        <w:pStyle w:val="Style33"/>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日，公司第一期员工持股计划第一个锁定期届满。公司</w:t>
      </w:r>
      <w:r>
        <w:rPr>
          <w:rFonts w:ascii="Times New Roman" w:eastAsia="Times New Roman" w:hAnsi="Times New Roman" w:cs="Times New Roman"/>
          <w:color w:val="000000"/>
          <w:spacing w:val="0"/>
          <w:w w:val="100"/>
          <w:position w:val="0"/>
        </w:rPr>
        <w:t>2020</w:t>
      </w:r>
      <w:r>
        <w:rPr>
          <w:color w:val="000000"/>
          <w:spacing w:val="0"/>
          <w:w w:val="100"/>
          <w:position w:val="0"/>
        </w:rPr>
        <w:t>年度实现归属于上市 公司股东的净利润</w:t>
      </w:r>
      <w:r>
        <w:rPr>
          <w:rFonts w:ascii="Times New Roman" w:eastAsia="Times New Roman" w:hAnsi="Times New Roman" w:cs="Times New Roman"/>
          <w:color w:val="000000"/>
          <w:spacing w:val="0"/>
          <w:w w:val="100"/>
          <w:position w:val="0"/>
        </w:rPr>
        <w:t>-63,858,650.62</w:t>
      </w:r>
      <w:r>
        <w:rPr>
          <w:color w:val="000000"/>
          <w:spacing w:val="0"/>
          <w:w w:val="100"/>
          <w:position w:val="0"/>
        </w:rPr>
        <w:t>元（不包含本次员工持股计划所产生的股份支付费用），本次员 工持股计划</w:t>
      </w:r>
      <w:r>
        <w:rPr>
          <w:rFonts w:ascii="Times New Roman" w:eastAsia="Times New Roman" w:hAnsi="Times New Roman" w:cs="Times New Roman"/>
          <w:color w:val="000000"/>
          <w:spacing w:val="0"/>
          <w:w w:val="100"/>
          <w:position w:val="0"/>
        </w:rPr>
        <w:t>2020</w:t>
      </w:r>
      <w:r>
        <w:rPr>
          <w:color w:val="000000"/>
          <w:spacing w:val="0"/>
          <w:w w:val="100"/>
          <w:position w:val="0"/>
        </w:rPr>
        <w:t>年公司业绩考核指标未达成。</w:t>
      </w:r>
    </w:p>
    <w:p>
      <w:pPr>
        <w:pStyle w:val="Style33"/>
        <w:keepNext w:val="0"/>
        <w:keepLines w:val="0"/>
        <w:widowControl w:val="0"/>
        <w:shd w:val="clear" w:color="auto" w:fill="auto"/>
        <w:bidi w:val="0"/>
        <w:spacing w:before="0" w:after="300" w:line="314" w:lineRule="exact"/>
        <w:ind w:left="0" w:right="0" w:firstLine="7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月，公司已返还第一个锁定期的持有人原始出资</w:t>
      </w:r>
      <w:r>
        <w:rPr>
          <w:rFonts w:ascii="Times New Roman" w:eastAsia="Times New Roman" w:hAnsi="Times New Roman" w:cs="Times New Roman"/>
          <w:color w:val="000000"/>
          <w:spacing w:val="0"/>
          <w:w w:val="100"/>
          <w:position w:val="0"/>
        </w:rPr>
        <w:t>561,100.00</w:t>
      </w:r>
      <w:r>
        <w:rPr>
          <w:color w:val="000000"/>
          <w:spacing w:val="0"/>
          <w:w w:val="100"/>
          <w:position w:val="0"/>
        </w:rPr>
        <w:t>元。</w:t>
      </w:r>
    </w:p>
    <w:p>
      <w:pPr>
        <w:pStyle w:val="Style33"/>
        <w:keepNext w:val="0"/>
        <w:keepLines w:val="0"/>
        <w:widowControl w:val="0"/>
        <w:shd w:val="clear" w:color="auto" w:fill="auto"/>
        <w:bidi w:val="0"/>
        <w:spacing w:before="0" w:after="300" w:line="317" w:lineRule="exact"/>
        <w:ind w:left="72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日，第一期员工持股计划管理委员会召开关于第一期员工持股计划管理委员会会议， 主要内容为：</w:t>
      </w:r>
      <w:r>
        <w:rPr>
          <w:rFonts w:ascii="Times New Roman" w:eastAsia="Times New Roman" w:hAnsi="Times New Roman" w:cs="Times New Roman"/>
          <w:color w:val="000000"/>
          <w:spacing w:val="0"/>
          <w:w w:val="100"/>
          <w:position w:val="0"/>
        </w:rPr>
        <w:t>“</w:t>
      </w:r>
      <w:r>
        <w:rPr>
          <w:color w:val="000000"/>
          <w:spacing w:val="0"/>
          <w:w w:val="100"/>
          <w:position w:val="0"/>
        </w:rPr>
        <w:t>公司第二个解锁期涉及的</w:t>
      </w:r>
      <w:r>
        <w:rPr>
          <w:rFonts w:ascii="Times New Roman" w:eastAsia="Times New Roman" w:hAnsi="Times New Roman" w:cs="Times New Roman"/>
          <w:color w:val="000000"/>
          <w:spacing w:val="0"/>
          <w:w w:val="100"/>
          <w:position w:val="0"/>
        </w:rPr>
        <w:t>50%</w:t>
      </w:r>
      <w:r>
        <w:rPr>
          <w:color w:val="000000"/>
          <w:spacing w:val="0"/>
          <w:w w:val="100"/>
          <w:position w:val="0"/>
        </w:rPr>
        <w:t>份额将在</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日年报定期报告公布之后一个月 内，返还员工相应的原始出资额。</w:t>
      </w:r>
      <w:r>
        <w:rPr>
          <w:rFonts w:ascii="Times New Roman" w:eastAsia="Times New Roman" w:hAnsi="Times New Roman" w:cs="Times New Roman"/>
          <w:color w:val="000000"/>
          <w:spacing w:val="0"/>
          <w:w w:val="100"/>
          <w:position w:val="0"/>
        </w:rPr>
        <w:t>”</w:t>
      </w:r>
    </w:p>
    <w:p>
      <w:pPr>
        <w:pStyle w:val="Style28"/>
        <w:keepNext/>
        <w:keepLines/>
        <w:widowControl w:val="0"/>
        <w:shd w:val="clear" w:color="auto" w:fill="auto"/>
        <w:tabs>
          <w:tab w:pos="378" w:val="left"/>
        </w:tabs>
        <w:bidi w:val="0"/>
        <w:spacing w:before="0" w:after="360" w:line="313" w:lineRule="exact"/>
        <w:ind w:left="0" w:right="0" w:firstLine="0"/>
        <w:jc w:val="both"/>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5</w:t>
      </w:r>
      <w:bookmarkEnd w:id="2044"/>
      <w:r>
        <w:rPr>
          <w:color w:val="000000"/>
          <w:spacing w:val="0"/>
          <w:w w:val="100"/>
          <w:position w:val="0"/>
        </w:rPr>
        <w:t>、</w:t>
        <w:tab/>
        <w:t>其他</w:t>
      </w:r>
      <w:bookmarkEnd w:id="2042"/>
      <w:bookmarkEnd w:id="2043"/>
      <w:bookmarkEnd w:id="2045"/>
    </w:p>
    <w:p>
      <w:pPr>
        <w:pStyle w:val="Style22"/>
        <w:keepNext/>
        <w:keepLines/>
        <w:widowControl w:val="0"/>
        <w:shd w:val="clear" w:color="auto" w:fill="auto"/>
        <w:bidi w:val="0"/>
        <w:spacing w:before="0" w:after="300" w:line="240" w:lineRule="auto"/>
        <w:ind w:left="0" w:right="0" w:firstLine="0"/>
        <w:jc w:val="both"/>
      </w:pPr>
      <w:bookmarkStart w:id="2046" w:name="bookmark2046"/>
      <w:bookmarkStart w:id="2047" w:name="bookmark2047"/>
      <w:bookmarkStart w:id="2048" w:name="bookmark2048"/>
      <w:r>
        <w:rPr>
          <w:color w:val="000000"/>
          <w:spacing w:val="0"/>
          <w:w w:val="100"/>
          <w:position w:val="0"/>
        </w:rPr>
        <w:t>十四、承诺及或有事项</w:t>
      </w:r>
      <w:bookmarkEnd w:id="2046"/>
      <w:bookmarkEnd w:id="2047"/>
      <w:bookmarkEnd w:id="2048"/>
    </w:p>
    <w:p>
      <w:pPr>
        <w:pStyle w:val="Style28"/>
        <w:keepNext/>
        <w:keepLines/>
        <w:widowControl w:val="0"/>
        <w:shd w:val="clear" w:color="auto" w:fill="auto"/>
        <w:bidi w:val="0"/>
        <w:spacing w:before="0" w:after="360" w:line="313" w:lineRule="exact"/>
        <w:ind w:left="0" w:right="0" w:firstLine="0"/>
        <w:jc w:val="both"/>
      </w:pPr>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49"/>
      <w:bookmarkEnd w:id="2050"/>
      <w:bookmarkEnd w:id="2051"/>
    </w:p>
    <w:p>
      <w:pPr>
        <w:pStyle w:val="Style24"/>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资产负债表日存在的重要承诺</w:t>
      </w:r>
    </w:p>
    <w:p>
      <w:pPr>
        <w:pStyle w:val="Style33"/>
        <w:keepNext w:val="0"/>
        <w:keepLines w:val="0"/>
        <w:widowControl w:val="0"/>
        <w:shd w:val="clear" w:color="auto" w:fill="auto"/>
        <w:bidi w:val="0"/>
        <w:spacing w:before="0" w:after="300" w:line="312" w:lineRule="exact"/>
        <w:ind w:left="1300" w:right="0" w:hanging="360"/>
        <w:jc w:val="left"/>
      </w:pPr>
      <w:r>
        <w:rPr>
          <w:b/>
          <w:bCs/>
          <w:color w:val="000000"/>
          <w:spacing w:val="0"/>
          <w:w w:val="100"/>
          <w:position w:val="0"/>
        </w:rPr>
        <w:t>1.</w:t>
      </w:r>
      <w:r>
        <w:rPr>
          <w:b/>
          <w:bCs/>
          <w:color w:val="000000"/>
          <w:spacing w:val="0"/>
          <w:w w:val="100"/>
          <w:position w:val="0"/>
        </w:rPr>
        <w:t>截止</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日，本公司开具的尚未到期保函总额为</w:t>
      </w:r>
      <w:r>
        <w:rPr>
          <w:rFonts w:ascii="Times New Roman" w:eastAsia="Times New Roman" w:hAnsi="Times New Roman" w:cs="Times New Roman"/>
          <w:b/>
          <w:bCs/>
          <w:color w:val="000000"/>
          <w:spacing w:val="0"/>
          <w:w w:val="100"/>
          <w:position w:val="0"/>
        </w:rPr>
        <w:t>20,046,498.75</w:t>
      </w:r>
      <w:r>
        <w:rPr>
          <w:b/>
          <w:bCs/>
          <w:color w:val="000000"/>
          <w:spacing w:val="0"/>
          <w:w w:val="100"/>
          <w:position w:val="0"/>
        </w:rPr>
        <w:t>元，开具上述保函， 公司存入的保证金金额为</w:t>
      </w:r>
      <w:r>
        <w:rPr>
          <w:rFonts w:ascii="Times New Roman" w:eastAsia="Times New Roman" w:hAnsi="Times New Roman" w:cs="Times New Roman"/>
          <w:b/>
          <w:bCs/>
          <w:color w:val="000000"/>
          <w:spacing w:val="0"/>
          <w:w w:val="100"/>
          <w:position w:val="0"/>
        </w:rPr>
        <w:t>7,874,533.99</w:t>
      </w:r>
      <w:r>
        <w:rPr>
          <w:b/>
          <w:bCs/>
          <w:color w:val="000000"/>
          <w:spacing w:val="0"/>
          <w:w w:val="100"/>
          <w:position w:val="0"/>
        </w:rPr>
        <w:t xml:space="preserve">元。公司已贴现未到期的银行承兑汇票金额为 </w:t>
      </w:r>
      <w:r>
        <w:rPr>
          <w:rFonts w:ascii="Times New Roman" w:eastAsia="Times New Roman" w:hAnsi="Times New Roman" w:cs="Times New Roman"/>
          <w:b/>
          <w:bCs/>
          <w:color w:val="000000"/>
          <w:spacing w:val="0"/>
          <w:w w:val="100"/>
          <w:position w:val="0"/>
        </w:rPr>
        <w:t>10,000,0</w:t>
      </w:r>
      <w:r>
        <w:rPr>
          <w:rFonts w:ascii="Times New Roman" w:eastAsia="Times New Roman" w:hAnsi="Times New Roman" w:cs="Times New Roman"/>
          <w:b/>
          <w:bCs/>
          <w:color w:val="000000"/>
          <w:spacing w:val="0"/>
          <w:w w:val="100"/>
          <w:position w:val="0"/>
        </w:rPr>
        <w:t>00.00</w:t>
      </w:r>
      <w:r>
        <w:rPr>
          <w:b/>
          <w:bCs/>
          <w:color w:val="000000"/>
          <w:spacing w:val="0"/>
          <w:w w:val="100"/>
          <w:position w:val="0"/>
        </w:rPr>
        <w:t>元。</w:t>
      </w:r>
    </w:p>
    <w:p>
      <w:pPr>
        <w:pStyle w:val="Style33"/>
        <w:keepNext w:val="0"/>
        <w:keepLines w:val="0"/>
        <w:widowControl w:val="0"/>
        <w:shd w:val="clear" w:color="auto" w:fill="auto"/>
        <w:bidi w:val="0"/>
        <w:spacing w:before="0" w:after="0" w:line="313"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日，抵押资产的情况</w:t>
      </w:r>
    </w:p>
    <w:p>
      <w:pPr>
        <w:pStyle w:val="Style33"/>
        <w:keepNext w:val="0"/>
        <w:keepLines w:val="0"/>
        <w:widowControl w:val="0"/>
        <w:shd w:val="clear" w:color="auto" w:fill="auto"/>
        <w:bidi w:val="0"/>
        <w:spacing w:before="0" w:after="1000" w:line="313" w:lineRule="exact"/>
        <w:ind w:left="1300" w:right="0" w:firstLine="0"/>
        <w:jc w:val="both"/>
      </w:pPr>
      <w:r>
        <w:rPr>
          <w:color w:val="000000"/>
          <w:spacing w:val="0"/>
          <w:w w:val="100"/>
          <w:position w:val="0"/>
        </w:rPr>
        <w:t>子公司光典信息发展有限公司以账面原值</w:t>
      </w:r>
      <w:r>
        <w:rPr>
          <w:rFonts w:ascii="Times New Roman" w:eastAsia="Times New Roman" w:hAnsi="Times New Roman" w:cs="Times New Roman"/>
          <w:color w:val="000000"/>
          <w:spacing w:val="0"/>
          <w:w w:val="100"/>
          <w:position w:val="0"/>
        </w:rPr>
        <w:t>283,150,789.20</w:t>
      </w:r>
      <w:r>
        <w:rPr>
          <w:color w:val="000000"/>
          <w:spacing w:val="0"/>
          <w:w w:val="100"/>
          <w:position w:val="0"/>
        </w:rPr>
        <w:t>元、账面价值</w:t>
      </w:r>
      <w:r>
        <w:rPr>
          <w:rFonts w:ascii="Times New Roman" w:eastAsia="Times New Roman" w:hAnsi="Times New Roman" w:cs="Times New Roman"/>
          <w:color w:val="000000"/>
          <w:spacing w:val="0"/>
          <w:w w:val="100"/>
          <w:position w:val="0"/>
        </w:rPr>
        <w:t>281,372,474.76</w:t>
      </w:r>
      <w:r>
        <w:rPr>
          <w:color w:val="000000"/>
          <w:spacing w:val="0"/>
          <w:w w:val="100"/>
          <w:position w:val="0"/>
        </w:rPr>
        <w:t>元的固 定资产</w:t>
      </w:r>
      <w:r>
        <w:rPr>
          <w:color w:val="000000"/>
          <w:spacing w:val="0"/>
          <w:w w:val="100"/>
          <w:position w:val="0"/>
        </w:rPr>
        <w:t>一</w:t>
      </w:r>
      <w:r>
        <w:rPr>
          <w:color w:val="000000"/>
          <w:spacing w:val="0"/>
          <w:w w:val="100"/>
          <w:position w:val="0"/>
        </w:rPr>
        <w:t>房屋建筑物以及账面原值</w:t>
      </w:r>
      <w:r>
        <w:rPr>
          <w:rFonts w:ascii="Times New Roman" w:eastAsia="Times New Roman" w:hAnsi="Times New Roman" w:cs="Times New Roman"/>
          <w:color w:val="000000"/>
          <w:spacing w:val="0"/>
          <w:w w:val="100"/>
          <w:position w:val="0"/>
        </w:rPr>
        <w:t>32,388,620.00</w:t>
      </w:r>
      <w:r>
        <w:rPr>
          <w:color w:val="000000"/>
          <w:spacing w:val="0"/>
          <w:w w:val="100"/>
          <w:position w:val="0"/>
        </w:rPr>
        <w:t>元、账面价值</w:t>
      </w:r>
      <w:r>
        <w:rPr>
          <w:rFonts w:ascii="Times New Roman" w:eastAsia="Times New Roman" w:hAnsi="Times New Roman" w:cs="Times New Roman"/>
          <w:color w:val="000000"/>
          <w:spacing w:val="0"/>
          <w:w w:val="100"/>
          <w:position w:val="0"/>
        </w:rPr>
        <w:t>27,206,440.93</w:t>
      </w:r>
      <w:r>
        <w:rPr>
          <w:color w:val="000000"/>
          <w:spacing w:val="0"/>
          <w:w w:val="100"/>
          <w:position w:val="0"/>
        </w:rPr>
        <w:t>元的无形资产</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土地使用权作为抵押，向上海银行股份有限公司静安支行贷款人民币</w:t>
      </w:r>
      <w:r>
        <w:rPr>
          <w:rFonts w:ascii="Times New Roman" w:eastAsia="Times New Roman" w:hAnsi="Times New Roman" w:cs="Times New Roman"/>
          <w:color w:val="000000"/>
          <w:spacing w:val="0"/>
          <w:w w:val="100"/>
          <w:position w:val="0"/>
        </w:rPr>
        <w:t>9,400.00</w:t>
      </w:r>
      <w:r>
        <w:rPr>
          <w:color w:val="000000"/>
          <w:spacing w:val="0"/>
          <w:w w:val="100"/>
          <w:position w:val="0"/>
        </w:rPr>
        <w:t>万元，贷款期 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日，还款方式为按还款计划进行还款。截止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日，上述长期借款余额为人民币</w:t>
      </w:r>
      <w:r>
        <w:rPr>
          <w:rFonts w:ascii="Times New Roman" w:eastAsia="Times New Roman" w:hAnsi="Times New Roman" w:cs="Times New Roman"/>
          <w:color w:val="000000"/>
          <w:spacing w:val="0"/>
          <w:w w:val="100"/>
          <w:position w:val="0"/>
        </w:rPr>
        <w:t>9,400.00</w:t>
      </w:r>
      <w:r>
        <w:rPr>
          <w:color w:val="000000"/>
          <w:spacing w:val="0"/>
          <w:w w:val="100"/>
          <w:position w:val="0"/>
        </w:rPr>
        <w:t>万元，其中记入一年内到期的金额为</w:t>
      </w:r>
      <w:r>
        <w:rPr>
          <w:rFonts w:ascii="Times New Roman" w:eastAsia="Times New Roman" w:hAnsi="Times New Roman" w:cs="Times New Roman"/>
          <w:color w:val="000000"/>
          <w:spacing w:val="0"/>
          <w:w w:val="100"/>
          <w:position w:val="0"/>
        </w:rPr>
        <w:t>700.00</w:t>
      </w:r>
      <w:r>
        <w:rPr>
          <w:color w:val="000000"/>
          <w:spacing w:val="0"/>
          <w:w w:val="100"/>
          <w:position w:val="0"/>
        </w:rPr>
        <w:t>万元，记 入长期借款的金额为</w:t>
      </w:r>
      <w:r>
        <w:rPr>
          <w:rFonts w:ascii="Times New Roman" w:eastAsia="Times New Roman" w:hAnsi="Times New Roman" w:cs="Times New Roman"/>
          <w:color w:val="000000"/>
          <w:spacing w:val="0"/>
          <w:w w:val="100"/>
          <w:position w:val="0"/>
        </w:rPr>
        <w:t>8,700.00</w:t>
      </w:r>
      <w:r>
        <w:rPr>
          <w:color w:val="000000"/>
          <w:spacing w:val="0"/>
          <w:w w:val="100"/>
          <w:position w:val="0"/>
        </w:rPr>
        <w:t>万元。本公司、上海信联智谷信息科技有限公司、张曙华及庞 文莉就上述银行借款向贷款银行提供连带责任保证。</w:t>
      </w:r>
    </w:p>
    <w:p>
      <w:pPr>
        <w:pStyle w:val="Style28"/>
        <w:keepNext/>
        <w:keepLines/>
        <w:widowControl w:val="0"/>
        <w:shd w:val="clear" w:color="auto" w:fill="auto"/>
        <w:bidi w:val="0"/>
        <w:spacing w:before="0" w:after="36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2</w:t>
      </w:r>
      <w:bookmarkEnd w:id="2054"/>
      <w:r>
        <w:rPr>
          <w:color w:val="000000"/>
          <w:spacing w:val="0"/>
          <w:w w:val="100"/>
          <w:position w:val="0"/>
        </w:rPr>
        <w:t>、或有事项</w:t>
      </w:r>
      <w:bookmarkEnd w:id="2052"/>
      <w:bookmarkEnd w:id="2053"/>
      <w:bookmarkEnd w:id="2055"/>
    </w:p>
    <w:p>
      <w:pPr>
        <w:pStyle w:val="Style51"/>
        <w:keepNext/>
        <w:keepLines/>
        <w:widowControl w:val="0"/>
        <w:shd w:val="clear" w:color="auto" w:fill="auto"/>
        <w:bidi w:val="0"/>
        <w:spacing w:before="0" w:after="300" w:line="240" w:lineRule="auto"/>
        <w:ind w:left="0" w:right="0" w:firstLine="0"/>
        <w:jc w:val="left"/>
      </w:pPr>
      <w:bookmarkStart w:id="2056" w:name="bookmark2056"/>
      <w:bookmarkStart w:id="2057" w:name="bookmark2057"/>
      <w:bookmarkStart w:id="2058" w:name="bookmark20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56"/>
      <w:bookmarkEnd w:id="2057"/>
      <w:bookmarkEnd w:id="2058"/>
    </w:p>
    <w:p>
      <w:pPr>
        <w:pStyle w:val="Style51"/>
        <w:keepNext/>
        <w:keepLines/>
        <w:widowControl w:val="0"/>
        <w:shd w:val="clear" w:color="auto" w:fill="auto"/>
        <w:bidi w:val="0"/>
        <w:spacing w:before="0" w:after="380" w:line="240" w:lineRule="auto"/>
        <w:ind w:left="0" w:right="0" w:firstLine="0"/>
        <w:jc w:val="left"/>
      </w:pPr>
      <w:bookmarkStart w:id="2059" w:name="bookmark2059"/>
      <w:bookmarkStart w:id="2060" w:name="bookmark2060"/>
      <w:bookmarkStart w:id="2061" w:name="bookmark20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59"/>
      <w:bookmarkEnd w:id="2060"/>
      <w:bookmarkEnd w:id="2061"/>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公司不存在需要披露的重要或有事项。</w:t>
      </w:r>
    </w:p>
    <w:p>
      <w:pPr>
        <w:pStyle w:val="Style28"/>
        <w:keepNext/>
        <w:keepLines/>
        <w:widowControl w:val="0"/>
        <w:shd w:val="clear" w:color="auto" w:fill="auto"/>
        <w:bidi w:val="0"/>
        <w:spacing w:before="0" w:line="240" w:lineRule="auto"/>
        <w:ind w:left="0" w:right="0" w:firstLine="0"/>
        <w:jc w:val="left"/>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3</w:t>
      </w:r>
      <w:bookmarkEnd w:id="2064"/>
      <w:r>
        <w:rPr>
          <w:color w:val="000000"/>
          <w:spacing w:val="0"/>
          <w:w w:val="100"/>
          <w:position w:val="0"/>
        </w:rPr>
        <w:t>、其他</w:t>
      </w:r>
      <w:bookmarkEnd w:id="2062"/>
      <w:bookmarkEnd w:id="2063"/>
      <w:bookmarkEnd w:id="2065"/>
    </w:p>
    <w:p>
      <w:pPr>
        <w:pStyle w:val="Style22"/>
        <w:keepNext/>
        <w:keepLines/>
        <w:widowControl w:val="0"/>
        <w:shd w:val="clear" w:color="auto" w:fill="auto"/>
        <w:bidi w:val="0"/>
        <w:spacing w:before="0" w:after="380" w:line="240" w:lineRule="auto"/>
        <w:ind w:left="0" w:right="0" w:firstLine="0"/>
        <w:jc w:val="left"/>
      </w:pPr>
      <w:bookmarkStart w:id="2066" w:name="bookmark2066"/>
      <w:bookmarkStart w:id="2067" w:name="bookmark2067"/>
      <w:bookmarkStart w:id="2068" w:name="bookmark2068"/>
      <w:r>
        <w:rPr>
          <w:color w:val="000000"/>
          <w:spacing w:val="0"/>
          <w:w w:val="100"/>
          <w:position w:val="0"/>
        </w:rPr>
        <w:t>十五、资产负债表日后事项</w:t>
      </w:r>
      <w:bookmarkEnd w:id="2066"/>
      <w:bookmarkEnd w:id="2067"/>
      <w:bookmarkEnd w:id="2068"/>
    </w:p>
    <w:p>
      <w:pPr>
        <w:pStyle w:val="Style28"/>
        <w:keepNext/>
        <w:keepLines/>
        <w:widowControl w:val="0"/>
        <w:shd w:val="clear" w:color="auto" w:fill="auto"/>
        <w:bidi w:val="0"/>
        <w:spacing w:before="0" w:line="240" w:lineRule="auto"/>
        <w:ind w:left="0" w:right="0" w:firstLine="0"/>
        <w:jc w:val="left"/>
      </w:pPr>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69"/>
      <w:bookmarkEnd w:id="2070"/>
      <w:bookmarkEnd w:id="207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无法估计影响数的原因</w:t>
            </w:r>
          </w:p>
        </w:tc>
      </w:tr>
    </w:tbl>
    <w:p>
      <w:pPr>
        <w:pStyle w:val="Style41"/>
        <w:keepNext w:val="0"/>
        <w:keepLines w:val="0"/>
        <w:widowControl w:val="0"/>
        <w:shd w:val="clear" w:color="auto" w:fill="auto"/>
        <w:bidi w:val="0"/>
        <w:spacing w:before="0" w:after="0" w:line="240" w:lineRule="auto"/>
        <w:ind w:left="0" w:right="0" w:firstLine="0"/>
        <w:jc w:val="left"/>
        <w:rPr>
          <w:sz w:val="20"/>
          <w:szCs w:val="20"/>
        </w:rPr>
      </w:pPr>
      <w:bookmarkStart w:id="2072" w:name="bookmark207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2072"/>
    </w:p>
    <w:p>
      <w:pPr>
        <w:widowControl w:val="0"/>
        <w:spacing w:after="37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79" w:line="1" w:lineRule="exact"/>
      </w:pPr>
    </w:p>
    <w:p>
      <w:pPr>
        <w:pStyle w:val="Style28"/>
        <w:keepNext/>
        <w:keepLines/>
        <w:widowControl w:val="0"/>
        <w:shd w:val="clear" w:color="auto" w:fill="auto"/>
        <w:tabs>
          <w:tab w:pos="370" w:val="left"/>
        </w:tabs>
        <w:bidi w:val="0"/>
        <w:spacing w:before="0" w:after="280" w:line="319" w:lineRule="exact"/>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3</w:t>
      </w:r>
      <w:bookmarkEnd w:id="2075"/>
      <w:r>
        <w:rPr>
          <w:color w:val="000000"/>
          <w:spacing w:val="0"/>
          <w:w w:val="100"/>
          <w:position w:val="0"/>
        </w:rPr>
        <w:t>、</w:t>
        <w:tab/>
        <w:t>销售退回</w:t>
      </w:r>
      <w:bookmarkEnd w:id="2073"/>
      <w:bookmarkEnd w:id="2074"/>
      <w:bookmarkEnd w:id="2076"/>
    </w:p>
    <w:p>
      <w:pPr>
        <w:pStyle w:val="Style28"/>
        <w:keepNext/>
        <w:keepLines/>
        <w:widowControl w:val="0"/>
        <w:shd w:val="clear" w:color="auto" w:fill="auto"/>
        <w:tabs>
          <w:tab w:pos="370" w:val="left"/>
        </w:tabs>
        <w:bidi w:val="0"/>
        <w:spacing w:before="0" w:after="280" w:line="319" w:lineRule="exact"/>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4</w:t>
      </w:r>
      <w:bookmarkEnd w:id="2079"/>
      <w:r>
        <w:rPr>
          <w:color w:val="000000"/>
          <w:spacing w:val="0"/>
          <w:w w:val="100"/>
          <w:position w:val="0"/>
        </w:rPr>
        <w:t>、</w:t>
        <w:tab/>
        <w:t>其他资产负债表日后事项说明</w:t>
      </w:r>
      <w:bookmarkEnd w:id="2077"/>
      <w:bookmarkEnd w:id="2078"/>
      <w:bookmarkEnd w:id="2080"/>
    </w:p>
    <w:p>
      <w:pPr>
        <w:pStyle w:val="Style33"/>
        <w:keepNext w:val="0"/>
        <w:keepLines w:val="0"/>
        <w:widowControl w:val="0"/>
        <w:shd w:val="clear" w:color="auto" w:fill="auto"/>
        <w:bidi w:val="0"/>
        <w:spacing w:before="0" w:after="0" w:line="319" w:lineRule="exact"/>
        <w:ind w:left="720" w:right="0" w:firstLine="0"/>
        <w:jc w:val="both"/>
      </w:pPr>
      <w:bookmarkStart w:id="2081" w:name="bookmark2081"/>
      <w:r>
        <w:rPr>
          <w:rFonts w:ascii="Times New Roman" w:eastAsia="Times New Roman" w:hAnsi="Times New Roman" w:cs="Times New Roman"/>
          <w:color w:val="000000"/>
          <w:spacing w:val="0"/>
          <w:w w:val="100"/>
          <w:position w:val="0"/>
        </w:rPr>
        <w:t>1</w:t>
      </w:r>
      <w:bookmarkEnd w:id="2081"/>
      <w:r>
        <w:rPr>
          <w:color w:val="000000"/>
          <w:spacing w:val="0"/>
          <w:w w:val="100"/>
          <w:position w:val="0"/>
        </w:rPr>
        <w:t xml:space="preserve">、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日，公司召开第五届董事会第十八次会议，会议审议通过了《关于〈上海信联信 息发展股份有限公司第二期员工持股计划管理办法（修订稿）〉的议案》。</w:t>
      </w:r>
    </w:p>
    <w:p>
      <w:pPr>
        <w:pStyle w:val="Style33"/>
        <w:keepNext w:val="0"/>
        <w:keepLines w:val="0"/>
        <w:widowControl w:val="0"/>
        <w:shd w:val="clear" w:color="auto" w:fill="auto"/>
        <w:bidi w:val="0"/>
        <w:spacing w:before="0" w:after="0" w:line="319" w:lineRule="exact"/>
        <w:ind w:left="720" w:right="0" w:firstLine="0"/>
        <w:jc w:val="both"/>
      </w:pPr>
      <w:r>
        <w:rPr>
          <w:color w:val="000000"/>
          <w:spacing w:val="0"/>
          <w:w w:val="100"/>
          <w:position w:val="0"/>
        </w:rPr>
        <w:t>上述议案的主要内容为：参加本次持股计划的总人数为不超过</w:t>
      </w:r>
      <w:r>
        <w:rPr>
          <w:rFonts w:ascii="Times New Roman" w:eastAsia="Times New Roman" w:hAnsi="Times New Roman" w:cs="Times New Roman"/>
          <w:color w:val="000000"/>
          <w:spacing w:val="0"/>
          <w:w w:val="100"/>
          <w:position w:val="0"/>
        </w:rPr>
        <w:t>30</w:t>
      </w:r>
      <w:r>
        <w:rPr>
          <w:color w:val="000000"/>
          <w:spacing w:val="0"/>
          <w:w w:val="100"/>
          <w:position w:val="0"/>
        </w:rPr>
        <w:t>人，持股计划受让公司第一期员 工持股计划持有股票的价格为</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股。本次员工持股计划涉及的标的股票规模不超过</w:t>
      </w:r>
      <w:r>
        <w:rPr>
          <w:rFonts w:ascii="Times New Roman" w:eastAsia="Times New Roman" w:hAnsi="Times New Roman" w:cs="Times New Roman"/>
          <w:color w:val="000000"/>
          <w:spacing w:val="0"/>
          <w:w w:val="100"/>
          <w:position w:val="0"/>
        </w:rPr>
        <w:t>1,122,200</w:t>
      </w:r>
      <w:r>
        <w:rPr>
          <w:color w:val="000000"/>
          <w:spacing w:val="0"/>
          <w:w w:val="100"/>
          <w:position w:val="0"/>
        </w:rPr>
        <w:t>股。 本持股计划股票来源自第一期员工持股计划转让的股份，为公司回购专用账户已回购的股份。</w:t>
      </w:r>
    </w:p>
    <w:p>
      <w:pPr>
        <w:pStyle w:val="Style33"/>
        <w:keepNext w:val="0"/>
        <w:keepLines w:val="0"/>
        <w:widowControl w:val="0"/>
        <w:shd w:val="clear" w:color="auto" w:fill="auto"/>
        <w:bidi w:val="0"/>
        <w:spacing w:before="0" w:after="0" w:line="319" w:lineRule="exact"/>
        <w:ind w:left="720" w:right="0" w:firstLine="0"/>
        <w:jc w:val="both"/>
      </w:pPr>
      <w:r>
        <w:rPr>
          <w:color w:val="000000"/>
          <w:spacing w:val="0"/>
          <w:w w:val="100"/>
          <w:position w:val="0"/>
        </w:rPr>
        <w:t>本期员工持股计划的存续期为</w:t>
      </w:r>
      <w:r>
        <w:rPr>
          <w:rFonts w:ascii="Times New Roman" w:eastAsia="Times New Roman" w:hAnsi="Times New Roman" w:cs="Times New Roman"/>
          <w:color w:val="000000"/>
          <w:spacing w:val="0"/>
          <w:w w:val="100"/>
          <w:position w:val="0"/>
        </w:rPr>
        <w:t>24</w:t>
      </w:r>
      <w:r>
        <w:rPr>
          <w:color w:val="000000"/>
          <w:spacing w:val="0"/>
          <w:w w:val="100"/>
          <w:position w:val="0"/>
        </w:rPr>
        <w:t>个月，自公司公告最后一笔标的股票过户至本期员工持股计划名 下之日起算，涉及标的股票解锁需满足公司</w:t>
      </w:r>
      <w:r>
        <w:rPr>
          <w:rFonts w:ascii="Times New Roman" w:eastAsia="Times New Roman" w:hAnsi="Times New Roman" w:cs="Times New Roman"/>
          <w:color w:val="000000"/>
          <w:spacing w:val="0"/>
          <w:w w:val="100"/>
          <w:position w:val="0"/>
        </w:rPr>
        <w:t>2022</w:t>
      </w:r>
      <w:r>
        <w:rPr>
          <w:color w:val="000000"/>
          <w:spacing w:val="0"/>
          <w:w w:val="100"/>
          <w:position w:val="0"/>
        </w:rPr>
        <w:t>年度业绩考核目标，对激励对象设置了相应的业 绩考核目标和份额调整机制。</w:t>
      </w:r>
    </w:p>
    <w:p>
      <w:pPr>
        <w:pStyle w:val="Style33"/>
        <w:keepNext w:val="0"/>
        <w:keepLines w:val="0"/>
        <w:widowControl w:val="0"/>
        <w:shd w:val="clear" w:color="auto" w:fill="auto"/>
        <w:tabs>
          <w:tab w:pos="1090" w:val="left"/>
        </w:tabs>
        <w:bidi w:val="0"/>
        <w:spacing w:before="0" w:after="380" w:line="314" w:lineRule="exact"/>
        <w:ind w:left="720" w:right="0" w:firstLine="0"/>
        <w:jc w:val="both"/>
      </w:pPr>
      <w:bookmarkStart w:id="2082" w:name="bookmark2082"/>
      <w:r>
        <w:rPr>
          <w:rFonts w:ascii="Times New Roman" w:eastAsia="Times New Roman" w:hAnsi="Times New Roman" w:cs="Times New Roman"/>
          <w:color w:val="000000"/>
          <w:spacing w:val="0"/>
          <w:w w:val="100"/>
          <w:position w:val="0"/>
        </w:rPr>
        <w:t>2</w:t>
      </w:r>
      <w:bookmarkEnd w:id="2082"/>
      <w:r>
        <w:rPr>
          <w:color w:val="000000"/>
          <w:spacing w:val="0"/>
          <w:w w:val="100"/>
          <w:position w:val="0"/>
        </w:rPr>
        <w:t>、</w:t>
        <w:tab/>
        <w:t>本公司于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月向交信北斗（海南）科技有限公司缴纳出资款人民币</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日交信北斗（海南）科技有限公司召开股东会，股东决议通过：修改公司章程；改选公司董事 会，改选后公司董事会由</w:t>
      </w:r>
      <w:r>
        <w:rPr>
          <w:rFonts w:ascii="Times New Roman" w:eastAsia="Times New Roman" w:hAnsi="Times New Roman" w:cs="Times New Roman"/>
          <w:color w:val="000000"/>
          <w:spacing w:val="0"/>
          <w:w w:val="100"/>
          <w:position w:val="0"/>
        </w:rPr>
        <w:t>5</w:t>
      </w:r>
      <w:r>
        <w:rPr>
          <w:color w:val="000000"/>
          <w:spacing w:val="0"/>
          <w:w w:val="100"/>
          <w:position w:val="0"/>
        </w:rPr>
        <w:t>人组成，其中本公司委派</w:t>
      </w:r>
      <w:r>
        <w:rPr>
          <w:rFonts w:ascii="Times New Roman" w:eastAsia="Times New Roman" w:hAnsi="Times New Roman" w:cs="Times New Roman"/>
          <w:color w:val="000000"/>
          <w:spacing w:val="0"/>
          <w:w w:val="100"/>
          <w:position w:val="0"/>
        </w:rPr>
        <w:t>3</w:t>
      </w:r>
      <w:r>
        <w:rPr>
          <w:color w:val="000000"/>
          <w:spacing w:val="0"/>
          <w:w w:val="100"/>
          <w:position w:val="0"/>
        </w:rPr>
        <w:t>名董事。修订后的交信北斗（海南）科技有 限公司章程约定，董事会做出决议，必须经半数以上的董事同意方可通过；其中修改公司章程、 制订公司增加或减少注册资本以及发行公司债券的方案，制订公司合并、分立、解散或变更公司 形式的方案，应当经三分之二以上董事同意方可通过。截止本报告日，交信北斗（海南）科技有 限公司成为本公司控股子公司。</w:t>
      </w:r>
    </w:p>
    <w:p>
      <w:pPr>
        <w:pStyle w:val="Style22"/>
        <w:keepNext/>
        <w:keepLines/>
        <w:widowControl w:val="0"/>
        <w:shd w:val="clear" w:color="auto" w:fill="auto"/>
        <w:bidi w:val="0"/>
        <w:spacing w:before="0" w:line="240" w:lineRule="auto"/>
        <w:ind w:left="0" w:right="0" w:firstLine="0"/>
        <w:jc w:val="both"/>
      </w:pPr>
      <w:bookmarkStart w:id="2083" w:name="bookmark2083"/>
      <w:bookmarkStart w:id="2084" w:name="bookmark2084"/>
      <w:bookmarkStart w:id="2085" w:name="bookmark2085"/>
      <w:r>
        <w:rPr>
          <w:color w:val="000000"/>
          <w:spacing w:val="0"/>
          <w:w w:val="100"/>
          <w:position w:val="0"/>
        </w:rPr>
        <w:t>十六、其他重要事项</w:t>
      </w:r>
      <w:bookmarkEnd w:id="2083"/>
      <w:bookmarkEnd w:id="2084"/>
      <w:bookmarkEnd w:id="2085"/>
    </w:p>
    <w:p>
      <w:pPr>
        <w:pStyle w:val="Style28"/>
        <w:keepNext/>
        <w:keepLines/>
        <w:widowControl w:val="0"/>
        <w:shd w:val="clear" w:color="auto" w:fill="auto"/>
        <w:bidi w:val="0"/>
        <w:spacing w:before="0" w:after="360" w:line="240" w:lineRule="auto"/>
        <w:ind w:left="0" w:right="0" w:firstLine="0"/>
        <w:jc w:val="both"/>
      </w:pPr>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86"/>
      <w:bookmarkEnd w:id="2087"/>
      <w:bookmarkEnd w:id="2088"/>
    </w:p>
    <w:p>
      <w:pPr>
        <w:pStyle w:val="Style51"/>
        <w:keepNext/>
        <w:keepLines/>
        <w:widowControl w:val="0"/>
        <w:shd w:val="clear" w:color="auto" w:fill="auto"/>
        <w:bidi w:val="0"/>
        <w:spacing w:before="0" w:after="400" w:line="240" w:lineRule="auto"/>
        <w:ind w:left="0" w:right="0" w:firstLine="0"/>
        <w:jc w:val="both"/>
      </w:pPr>
      <w:bookmarkStart w:id="2089" w:name="bookmark2089"/>
      <w:bookmarkStart w:id="2090" w:name="bookmark2090"/>
      <w:bookmarkStart w:id="2091" w:name="bookmark20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89"/>
      <w:bookmarkEnd w:id="2090"/>
      <w:bookmarkEnd w:id="2091"/>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96"/>
        <w:gridCol w:w="2299"/>
        <w:gridCol w:w="2386"/>
        <w:gridCol w:w="2400"/>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both"/>
      </w:pPr>
      <w:bookmarkStart w:id="2092" w:name="bookmark2092"/>
      <w:bookmarkStart w:id="2093" w:name="bookmark2093"/>
      <w:bookmarkStart w:id="2094" w:name="bookmark20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92"/>
      <w:bookmarkEnd w:id="2093"/>
      <w:bookmarkEnd w:id="2094"/>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widowControl w:val="0"/>
        <w:spacing w:after="359" w:line="1" w:lineRule="exact"/>
      </w:pPr>
    </w:p>
    <w:p>
      <w:pPr>
        <w:pStyle w:val="Style28"/>
        <w:keepNext/>
        <w:keepLines/>
        <w:widowControl w:val="0"/>
        <w:shd w:val="clear" w:color="auto" w:fill="auto"/>
        <w:tabs>
          <w:tab w:pos="378" w:val="left"/>
        </w:tabs>
        <w:bidi w:val="0"/>
        <w:spacing w:before="0" w:after="360" w:line="240" w:lineRule="auto"/>
        <w:ind w:left="0" w:right="0" w:firstLine="0"/>
        <w:jc w:val="both"/>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2</w:t>
      </w:r>
      <w:bookmarkEnd w:id="2097"/>
      <w:r>
        <w:rPr>
          <w:color w:val="000000"/>
          <w:spacing w:val="0"/>
          <w:w w:val="100"/>
          <w:position w:val="0"/>
        </w:rPr>
        <w:t>、</w:t>
        <w:tab/>
        <w:t>债务重组</w:t>
      </w:r>
      <w:bookmarkEnd w:id="2095"/>
      <w:bookmarkEnd w:id="2096"/>
      <w:bookmarkEnd w:id="2098"/>
    </w:p>
    <w:p>
      <w:pPr>
        <w:pStyle w:val="Style33"/>
        <w:keepNext w:val="0"/>
        <w:keepLines w:val="0"/>
        <w:widowControl w:val="0"/>
        <w:shd w:val="clear" w:color="auto" w:fill="auto"/>
        <w:bidi w:val="0"/>
        <w:spacing w:before="0" w:after="680" w:line="240" w:lineRule="auto"/>
        <w:ind w:left="0" w:right="0" w:firstLine="720"/>
        <w:jc w:val="left"/>
      </w:pPr>
      <w:r>
        <w:rPr>
          <w:color w:val="000000"/>
          <w:spacing w:val="0"/>
          <w:w w:val="100"/>
          <w:position w:val="0"/>
        </w:rPr>
        <w:t>本报告期未发生重要的债务重组事项。</w:t>
      </w:r>
    </w:p>
    <w:p>
      <w:pPr>
        <w:pStyle w:val="Style28"/>
        <w:keepNext/>
        <w:keepLines/>
        <w:widowControl w:val="0"/>
        <w:shd w:val="clear" w:color="auto" w:fill="auto"/>
        <w:tabs>
          <w:tab w:pos="378" w:val="left"/>
        </w:tabs>
        <w:bidi w:val="0"/>
        <w:spacing w:before="0" w:after="360" w:line="240" w:lineRule="auto"/>
        <w:ind w:left="0" w:right="0" w:firstLine="0"/>
        <w:jc w:val="both"/>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3</w:t>
      </w:r>
      <w:bookmarkEnd w:id="2101"/>
      <w:r>
        <w:rPr>
          <w:color w:val="000000"/>
          <w:spacing w:val="0"/>
          <w:w w:val="100"/>
          <w:position w:val="0"/>
        </w:rPr>
        <w:t>、</w:t>
        <w:tab/>
        <w:t>资产置换</w:t>
      </w:r>
      <w:bookmarkEnd w:id="2099"/>
      <w:bookmarkEnd w:id="2100"/>
      <w:bookmarkEnd w:id="2102"/>
    </w:p>
    <w:p>
      <w:pPr>
        <w:pStyle w:val="Style51"/>
        <w:keepNext/>
        <w:keepLines/>
        <w:widowControl w:val="0"/>
        <w:shd w:val="clear" w:color="auto" w:fill="auto"/>
        <w:tabs>
          <w:tab w:pos="493" w:val="left"/>
        </w:tabs>
        <w:bidi w:val="0"/>
        <w:spacing w:before="0" w:after="360" w:line="240" w:lineRule="auto"/>
        <w:ind w:left="0" w:right="0" w:firstLine="0"/>
        <w:jc w:val="both"/>
      </w:pPr>
      <w:bookmarkStart w:id="2103" w:name="bookmark2103"/>
      <w:bookmarkStart w:id="2104" w:name="bookmark2104"/>
      <w:bookmarkStart w:id="2105" w:name="bookmark2105"/>
      <w:bookmarkStart w:id="2106" w:name="bookmark2106"/>
      <w:r>
        <w:rPr>
          <w:color w:val="000000"/>
          <w:spacing w:val="0"/>
          <w:w w:val="100"/>
          <w:position w:val="0"/>
        </w:rPr>
        <w:t>（</w:t>
      </w:r>
      <w:bookmarkEnd w:id="2105"/>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03"/>
      <w:bookmarkEnd w:id="2104"/>
      <w:bookmarkEnd w:id="2106"/>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本报告期未发生重要的非货币性资产交换</w:t>
      </w:r>
    </w:p>
    <w:p>
      <w:pPr>
        <w:pStyle w:val="Style51"/>
        <w:keepNext/>
        <w:keepLines/>
        <w:widowControl w:val="0"/>
        <w:shd w:val="clear" w:color="auto" w:fill="auto"/>
        <w:tabs>
          <w:tab w:pos="493" w:val="left"/>
        </w:tabs>
        <w:bidi w:val="0"/>
        <w:spacing w:before="0" w:after="360" w:line="240" w:lineRule="auto"/>
        <w:ind w:left="0" w:right="0" w:firstLine="0"/>
        <w:jc w:val="both"/>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07"/>
      <w:bookmarkEnd w:id="2108"/>
      <w:bookmarkEnd w:id="2110"/>
    </w:p>
    <w:p>
      <w:pPr>
        <w:pStyle w:val="Style28"/>
        <w:keepNext/>
        <w:keepLines/>
        <w:widowControl w:val="0"/>
        <w:shd w:val="clear" w:color="auto" w:fill="auto"/>
        <w:tabs>
          <w:tab w:pos="378" w:val="left"/>
        </w:tabs>
        <w:bidi w:val="0"/>
        <w:spacing w:before="0" w:after="360" w:line="240" w:lineRule="auto"/>
        <w:ind w:left="0" w:right="0" w:firstLine="0"/>
        <w:jc w:val="both"/>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4</w:t>
      </w:r>
      <w:bookmarkEnd w:id="2113"/>
      <w:r>
        <w:rPr>
          <w:color w:val="000000"/>
          <w:spacing w:val="0"/>
          <w:w w:val="100"/>
          <w:position w:val="0"/>
        </w:rPr>
        <w:t>、</w:t>
        <w:tab/>
        <w:t>年金计划</w:t>
      </w:r>
      <w:bookmarkEnd w:id="2111"/>
      <w:bookmarkEnd w:id="2112"/>
      <w:bookmarkEnd w:id="2114"/>
    </w:p>
    <w:p>
      <w:pPr>
        <w:pStyle w:val="Style33"/>
        <w:keepNext w:val="0"/>
        <w:keepLines w:val="0"/>
        <w:widowControl w:val="0"/>
        <w:shd w:val="clear" w:color="auto" w:fill="auto"/>
        <w:bidi w:val="0"/>
        <w:spacing w:before="0" w:after="680" w:line="240" w:lineRule="auto"/>
        <w:ind w:left="0" w:right="0" w:firstLine="720"/>
        <w:jc w:val="both"/>
      </w:pPr>
      <w:r>
        <w:rPr>
          <w:color w:val="000000"/>
          <w:spacing w:val="0"/>
          <w:w w:val="100"/>
          <w:position w:val="0"/>
        </w:rPr>
        <w:t>本报告期无年金计划。</w:t>
      </w:r>
    </w:p>
    <w:p>
      <w:pPr>
        <w:pStyle w:val="Style28"/>
        <w:keepNext/>
        <w:keepLines/>
        <w:widowControl w:val="0"/>
        <w:shd w:val="clear" w:color="auto" w:fill="auto"/>
        <w:tabs>
          <w:tab w:pos="378" w:val="left"/>
        </w:tabs>
        <w:bidi w:val="0"/>
        <w:spacing w:before="0" w:after="400" w:line="240" w:lineRule="auto"/>
        <w:ind w:left="0" w:right="0" w:firstLine="0"/>
        <w:jc w:val="both"/>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5</w:t>
      </w:r>
      <w:bookmarkEnd w:id="2117"/>
      <w:r>
        <w:rPr>
          <w:color w:val="000000"/>
          <w:spacing w:val="0"/>
          <w:w w:val="100"/>
          <w:position w:val="0"/>
        </w:rPr>
        <w:t>、</w:t>
        <w:tab/>
        <w:t>终止经营</w:t>
      </w:r>
      <w:bookmarkEnd w:id="2115"/>
      <w:bookmarkEnd w:id="2116"/>
      <w:bookmarkEnd w:id="2118"/>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8"/>
        <w:gridCol w:w="1368"/>
        <w:gridCol w:w="1363"/>
        <w:gridCol w:w="1368"/>
        <w:gridCol w:w="1378"/>
      </w:tblGrid>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归属于母公司所 有者的终止经营 利润</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6</w:t>
      </w:r>
      <w:bookmarkEnd w:id="2121"/>
      <w:r>
        <w:rPr>
          <w:color w:val="000000"/>
          <w:spacing w:val="0"/>
          <w:w w:val="100"/>
          <w:position w:val="0"/>
        </w:rPr>
        <w:t>、分部信息</w:t>
      </w:r>
      <w:bookmarkEnd w:id="2119"/>
      <w:bookmarkEnd w:id="2120"/>
      <w:bookmarkEnd w:id="2122"/>
    </w:p>
    <w:p>
      <w:pPr>
        <w:pStyle w:val="Style51"/>
        <w:keepNext/>
        <w:keepLines/>
        <w:widowControl w:val="0"/>
        <w:shd w:val="clear" w:color="auto" w:fill="auto"/>
        <w:tabs>
          <w:tab w:pos="493" w:val="left"/>
        </w:tabs>
        <w:bidi w:val="0"/>
        <w:spacing w:before="0" w:after="360" w:line="240" w:lineRule="auto"/>
        <w:ind w:left="0" w:right="0" w:firstLine="0"/>
        <w:jc w:val="left"/>
      </w:pPr>
      <w:bookmarkStart w:id="2123" w:name="bookmark2123"/>
      <w:bookmarkStart w:id="2124" w:name="bookmark2124"/>
      <w:bookmarkStart w:id="2125" w:name="bookmark2125"/>
      <w:bookmarkStart w:id="2126" w:name="bookmark2126"/>
      <w:r>
        <w:rPr>
          <w:color w:val="000000"/>
          <w:spacing w:val="0"/>
          <w:w w:val="100"/>
          <w:position w:val="0"/>
        </w:rPr>
        <w:t>（</w:t>
      </w:r>
      <w:bookmarkEnd w:id="212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23"/>
      <w:bookmarkEnd w:id="2124"/>
      <w:bookmarkEnd w:id="2126"/>
    </w:p>
    <w:p>
      <w:pPr>
        <w:pStyle w:val="Style51"/>
        <w:keepNext/>
        <w:keepLines/>
        <w:widowControl w:val="0"/>
        <w:shd w:val="clear" w:color="auto" w:fill="auto"/>
        <w:tabs>
          <w:tab w:pos="493" w:val="left"/>
        </w:tabs>
        <w:bidi w:val="0"/>
        <w:spacing w:before="0" w:after="360" w:line="240" w:lineRule="auto"/>
        <w:ind w:left="0" w:right="0" w:firstLine="0"/>
        <w:jc w:val="left"/>
      </w:pPr>
      <w:bookmarkStart w:id="2127" w:name="bookmark2127"/>
      <w:bookmarkStart w:id="2128" w:name="bookmark2128"/>
      <w:bookmarkStart w:id="2129" w:name="bookmark2129"/>
      <w:bookmarkStart w:id="2130" w:name="bookmark2130"/>
      <w:r>
        <w:rPr>
          <w:color w:val="000000"/>
          <w:spacing w:val="0"/>
          <w:w w:val="100"/>
          <w:position w:val="0"/>
        </w:rPr>
        <w:t>（</w:t>
      </w:r>
      <w:bookmarkEnd w:id="212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27"/>
      <w:bookmarkEnd w:id="2128"/>
      <w:bookmarkEnd w:id="213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1"/>
        <w:keepNext/>
        <w:keepLines/>
        <w:widowControl w:val="0"/>
        <w:shd w:val="clear" w:color="auto" w:fill="auto"/>
        <w:tabs>
          <w:tab w:pos="493" w:val="left"/>
        </w:tabs>
        <w:bidi w:val="0"/>
        <w:spacing w:before="0" w:after="260" w:line="319" w:lineRule="exact"/>
        <w:ind w:left="0" w:right="0" w:firstLine="0"/>
        <w:jc w:val="left"/>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31"/>
      <w:bookmarkEnd w:id="2132"/>
      <w:bookmarkEnd w:id="2134"/>
    </w:p>
    <w:p>
      <w:pPr>
        <w:pStyle w:val="Style51"/>
        <w:keepNext/>
        <w:keepLines/>
        <w:widowControl w:val="0"/>
        <w:shd w:val="clear" w:color="auto" w:fill="auto"/>
        <w:tabs>
          <w:tab w:pos="493" w:val="left"/>
        </w:tabs>
        <w:bidi w:val="0"/>
        <w:spacing w:before="0" w:after="260" w:line="319" w:lineRule="exact"/>
        <w:ind w:left="0" w:right="0" w:firstLine="0"/>
        <w:jc w:val="left"/>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35"/>
      <w:bookmarkEnd w:id="2136"/>
      <w:bookmarkEnd w:id="2138"/>
    </w:p>
    <w:p>
      <w:pPr>
        <w:pStyle w:val="Style28"/>
        <w:keepNext/>
        <w:keepLines/>
        <w:widowControl w:val="0"/>
        <w:shd w:val="clear" w:color="auto" w:fill="auto"/>
        <w:bidi w:val="0"/>
        <w:spacing w:before="0" w:after="360" w:line="319" w:lineRule="exact"/>
        <w:ind w:left="0" w:right="0" w:firstLine="0"/>
        <w:jc w:val="left"/>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7</w:t>
      </w:r>
      <w:bookmarkEnd w:id="2141"/>
      <w:r>
        <w:rPr>
          <w:color w:val="000000"/>
          <w:spacing w:val="0"/>
          <w:w w:val="100"/>
          <w:position w:val="0"/>
        </w:rPr>
        <w:t>、其他对投资者决策有影响的重要交易和事项</w:t>
      </w:r>
      <w:bookmarkEnd w:id="2139"/>
      <w:bookmarkEnd w:id="2140"/>
      <w:bookmarkEnd w:id="2142"/>
    </w:p>
    <w:p>
      <w:pPr>
        <w:pStyle w:val="Style28"/>
        <w:keepNext/>
        <w:keepLines/>
        <w:widowControl w:val="0"/>
        <w:shd w:val="clear" w:color="auto" w:fill="auto"/>
        <w:bidi w:val="0"/>
        <w:spacing w:before="0" w:after="0" w:line="240" w:lineRule="auto"/>
        <w:ind w:left="0" w:right="0" w:firstLine="940"/>
        <w:jc w:val="left"/>
      </w:pPr>
      <w:bookmarkStart w:id="2139" w:name="bookmark2139"/>
      <w:bookmarkStart w:id="2140" w:name="bookmark2140"/>
      <w:r>
        <w:rPr>
          <w:color w:val="000000"/>
          <w:spacing w:val="0"/>
          <w:w w:val="100"/>
          <w:position w:val="0"/>
        </w:rPr>
        <w:t>1.</w:t>
      </w:r>
      <w:r>
        <w:rPr>
          <w:color w:val="000000"/>
          <w:spacing w:val="0"/>
          <w:w w:val="100"/>
          <w:position w:val="0"/>
        </w:rPr>
        <w:t>关于公司向特定对象发行股票的事项</w:t>
      </w:r>
      <w:bookmarkEnd w:id="2139"/>
      <w:bookmarkEnd w:id="2140"/>
    </w:p>
    <w:p>
      <w:pPr>
        <w:pStyle w:val="Style33"/>
        <w:keepNext w:val="0"/>
        <w:keepLines w:val="0"/>
        <w:widowControl w:val="0"/>
        <w:shd w:val="clear" w:color="auto" w:fill="auto"/>
        <w:bidi w:val="0"/>
        <w:spacing w:before="0" w:after="0" w:line="319" w:lineRule="exact"/>
        <w:ind w:left="1300" w:right="0" w:firstLine="0"/>
        <w:jc w:val="both"/>
      </w:pPr>
      <w:r>
        <w:rPr>
          <w:color w:val="000000"/>
          <w:spacing w:val="0"/>
          <w:w w:val="100"/>
          <w:position w:val="0"/>
        </w:rPr>
        <w:t>本次发行股票方案已经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日公司第五届董事会第十二次会议、第五届监事会第九 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年度第五次临时股东大会审议通过《关于公司向特定对象 发行股票方案的议案》。</w:t>
      </w:r>
    </w:p>
    <w:p>
      <w:pPr>
        <w:pStyle w:val="Style33"/>
        <w:keepNext w:val="0"/>
        <w:keepLines w:val="0"/>
        <w:widowControl w:val="0"/>
        <w:shd w:val="clear" w:color="auto" w:fill="auto"/>
        <w:bidi w:val="0"/>
        <w:spacing w:before="0" w:after="0" w:line="319" w:lineRule="exact"/>
        <w:ind w:left="1300" w:right="0" w:firstLine="0"/>
        <w:jc w:val="both"/>
      </w:pPr>
      <w:r>
        <w:rPr>
          <w:color w:val="000000"/>
          <w:spacing w:val="0"/>
          <w:w w:val="100"/>
          <w:position w:val="0"/>
        </w:rPr>
        <w:t>本次发行股票拟募集资金总额不超过人民币</w:t>
      </w:r>
      <w:r>
        <w:rPr>
          <w:rFonts w:ascii="Times New Roman" w:eastAsia="Times New Roman" w:hAnsi="Times New Roman" w:cs="Times New Roman"/>
          <w:color w:val="000000"/>
          <w:spacing w:val="0"/>
          <w:w w:val="100"/>
          <w:position w:val="0"/>
        </w:rPr>
        <w:t>70,000.00</w:t>
      </w:r>
      <w:r>
        <w:rPr>
          <w:color w:val="000000"/>
          <w:spacing w:val="0"/>
          <w:w w:val="100"/>
          <w:position w:val="0"/>
        </w:rPr>
        <w:t>万元（含本数），且发行股份总数不超 过本次发行前总股本的</w:t>
      </w:r>
      <w:r>
        <w:rPr>
          <w:rFonts w:ascii="Times New Roman" w:eastAsia="Times New Roman" w:hAnsi="Times New Roman" w:cs="Times New Roman"/>
          <w:color w:val="000000"/>
          <w:spacing w:val="0"/>
          <w:w w:val="100"/>
          <w:position w:val="0"/>
        </w:rPr>
        <w:t>30%</w:t>
      </w:r>
      <w:r>
        <w:rPr>
          <w:color w:val="000000"/>
          <w:spacing w:val="0"/>
          <w:w w:val="100"/>
          <w:position w:val="0"/>
        </w:rPr>
        <w:t>，即不超过</w:t>
      </w:r>
      <w:r>
        <w:rPr>
          <w:rFonts w:ascii="Times New Roman" w:eastAsia="Times New Roman" w:hAnsi="Times New Roman" w:cs="Times New Roman"/>
          <w:color w:val="000000"/>
          <w:spacing w:val="0"/>
          <w:w w:val="100"/>
          <w:position w:val="0"/>
        </w:rPr>
        <w:t>61,540,612</w:t>
      </w:r>
      <w:r>
        <w:rPr>
          <w:color w:val="000000"/>
          <w:spacing w:val="0"/>
          <w:w w:val="100"/>
          <w:position w:val="0"/>
        </w:rPr>
        <w:t>股（含</w:t>
      </w:r>
      <w:r>
        <w:rPr>
          <w:rFonts w:ascii="Times New Roman" w:eastAsia="Times New Roman" w:hAnsi="Times New Roman" w:cs="Times New Roman"/>
          <w:color w:val="000000"/>
          <w:spacing w:val="0"/>
          <w:w w:val="100"/>
          <w:position w:val="0"/>
        </w:rPr>
        <w:t>61,540,612</w:t>
      </w:r>
      <w:r>
        <w:rPr>
          <w:color w:val="000000"/>
          <w:spacing w:val="0"/>
          <w:w w:val="100"/>
          <w:position w:val="0"/>
        </w:rPr>
        <w:t>股）。</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 报送的向特定对象发行股票募集说明书及相关申请文件已经深交所受理。</w:t>
      </w:r>
    </w:p>
    <w:p>
      <w:pPr>
        <w:pStyle w:val="Style33"/>
        <w:keepNext w:val="0"/>
        <w:keepLines w:val="0"/>
        <w:widowControl w:val="0"/>
        <w:shd w:val="clear" w:color="auto" w:fill="auto"/>
        <w:bidi w:val="0"/>
        <w:spacing w:before="0" w:after="680" w:line="319" w:lineRule="exact"/>
        <w:ind w:left="1020" w:right="0" w:firstLine="0"/>
        <w:jc w:val="left"/>
      </w:pPr>
      <w:r>
        <w:rPr>
          <w:color w:val="000000"/>
          <w:spacing w:val="0"/>
          <w:w w:val="100"/>
          <w:position w:val="0"/>
        </w:rPr>
        <w:t>本报告出具日，公司向特定对象发行股票的事项尚在审核过程中。</w:t>
      </w:r>
    </w:p>
    <w:p>
      <w:pPr>
        <w:pStyle w:val="Style41"/>
        <w:keepNext w:val="0"/>
        <w:keepLines w:val="0"/>
        <w:widowControl w:val="0"/>
        <w:shd w:val="clear" w:color="auto" w:fill="auto"/>
        <w:bidi w:val="0"/>
        <w:spacing w:before="0" w:after="60" w:line="240" w:lineRule="auto"/>
        <w:ind w:left="206"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关于公司股权质押等的事项</w:t>
      </w:r>
    </w:p>
    <w:p>
      <w:pPr>
        <w:pStyle w:val="Style41"/>
        <w:keepNext w:val="0"/>
        <w:keepLines w:val="0"/>
        <w:widowControl w:val="0"/>
        <w:shd w:val="clear" w:color="auto" w:fill="auto"/>
        <w:bidi w:val="0"/>
        <w:spacing w:before="0" w:after="0" w:line="240" w:lineRule="auto"/>
        <w:ind w:left="206"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公司股东张曙华和上海中信电子发展有限公司持有公司的股份及质押情况如下:</w:t>
      </w:r>
    </w:p>
    <w:tbl>
      <w:tblPr>
        <w:tblOverlap w:val="never"/>
        <w:jc w:val="center"/>
        <w:tblLayout w:type="fixed"/>
      </w:tblPr>
      <w:tblGrid>
        <w:gridCol w:w="2021"/>
        <w:gridCol w:w="1402"/>
        <w:gridCol w:w="1397"/>
        <w:gridCol w:w="1402"/>
        <w:gridCol w:w="1435"/>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股东名称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5"/>
                <w:szCs w:val="15"/>
              </w:rPr>
              <w:t>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本报告日</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持有的股份总数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质押的股份总数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持有的股份总数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质押的股份总数</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张曙华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22,688,679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18,971,000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20,640,279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上海中信电子发展有限公司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27,394,345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27,394,345</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50,083,024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18,971,000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48,034,624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33"/>
        <w:keepNext w:val="0"/>
        <w:keepLines w:val="0"/>
        <w:widowControl w:val="0"/>
        <w:shd w:val="clear" w:color="auto" w:fill="auto"/>
        <w:bidi w:val="0"/>
        <w:spacing w:before="0" w:after="0" w:line="320" w:lineRule="exact"/>
        <w:ind w:left="130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）公司股东上海中信电子发展有限公司与东北证券股份有限公司开展融资融券业务，将 其持有的公司部分股份转入东北证券客户信用交易担保证券账户中，该部分股份的所有权未 发生转移。</w:t>
      </w:r>
    </w:p>
    <w:p>
      <w:pPr>
        <w:pStyle w:val="Style33"/>
        <w:keepNext w:val="0"/>
        <w:keepLines w:val="0"/>
        <w:widowControl w:val="0"/>
        <w:shd w:val="clear" w:color="auto" w:fill="auto"/>
        <w:bidi w:val="0"/>
        <w:spacing w:before="0" w:after="0" w:line="320" w:lineRule="exact"/>
        <w:ind w:left="1300" w:right="0" w:firstLine="0"/>
        <w:jc w:val="both"/>
      </w:pPr>
      <w:r>
        <w:rPr>
          <w:color w:val="000000"/>
          <w:spacing w:val="0"/>
          <w:w w:val="100"/>
          <w:position w:val="0"/>
        </w:rPr>
        <w:t>上海中信电子发展有限公司累计存在于东北证券客户信用交易担保证券账户的公司股份如 下：</w:t>
      </w:r>
    </w:p>
    <w:tbl>
      <w:tblPr>
        <w:tblOverlap w:val="never"/>
        <w:jc w:val="center"/>
        <w:tblLayout w:type="fixed"/>
      </w:tblPr>
      <w:tblGrid>
        <w:gridCol w:w="1843"/>
        <w:gridCol w:w="1848"/>
        <w:gridCol w:w="1234"/>
        <w:gridCol w:w="1882"/>
        <w:gridCol w:w="1258"/>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本报告日</w:t>
            </w:r>
          </w:p>
        </w:tc>
      </w:tr>
      <w:tr>
        <w:trPr>
          <w:trHeight w:val="99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累计存在于东北证</w:t>
            </w:r>
          </w:p>
          <w:p>
            <w:pPr>
              <w:pStyle w:val="Style18"/>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券客户信用交易担 保证券账户的公司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占其持有公</w:t>
            </w:r>
          </w:p>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司股份比例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累计存在于东北证 券客户信用交易担 保证券账户的公司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占其持有公 司股份比例</w:t>
            </w:r>
          </w:p>
        </w:tc>
      </w:tr>
    </w:tbl>
    <w:p>
      <w:pPr>
        <w:widowControl w:val="0"/>
        <w:spacing w:line="1" w:lineRule="exact"/>
      </w:pPr>
    </w:p>
    <w:tbl>
      <w:tblPr>
        <w:tblOverlap w:val="never"/>
        <w:jc w:val="center"/>
        <w:tblLayout w:type="fixed"/>
      </w:tblPr>
      <w:tblGrid>
        <w:gridCol w:w="1843"/>
        <w:gridCol w:w="1848"/>
        <w:gridCol w:w="1234"/>
        <w:gridCol w:w="1882"/>
        <w:gridCol w:w="1229"/>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w:t>
            </w: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上海中信电子发展</w:t>
            </w:r>
          </w:p>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23,400,000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85.42%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23,400,000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85.42%</w:t>
            </w:r>
          </w:p>
        </w:tc>
      </w:tr>
    </w:tbl>
    <w:p>
      <w:pPr>
        <w:widowControl w:val="0"/>
        <w:spacing w:after="259" w:line="1" w:lineRule="exact"/>
      </w:pPr>
    </w:p>
    <w:p>
      <w:pPr>
        <w:pStyle w:val="Style33"/>
        <w:keepNext w:val="0"/>
        <w:keepLines w:val="0"/>
        <w:widowControl w:val="0"/>
        <w:numPr>
          <w:ilvl w:val="0"/>
          <w:numId w:val="55"/>
        </w:numPr>
        <w:shd w:val="clear" w:color="auto" w:fill="auto"/>
        <w:bidi w:val="0"/>
        <w:spacing w:before="0" w:after="0" w:line="313" w:lineRule="exact"/>
        <w:ind w:left="0" w:right="0" w:firstLine="1000"/>
        <w:jc w:val="left"/>
      </w:pPr>
      <w:bookmarkStart w:id="2143" w:name="bookmark2143"/>
      <w:bookmarkEnd w:id="2143"/>
      <w:r>
        <w:rPr>
          <w:b/>
          <w:bCs/>
          <w:color w:val="000000"/>
          <w:spacing w:val="0"/>
          <w:w w:val="100"/>
          <w:position w:val="0"/>
        </w:rPr>
        <w:t>关于张曙华业绩承诺的事项</w:t>
      </w:r>
    </w:p>
    <w:p>
      <w:pPr>
        <w:pStyle w:val="Style3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根据交信北斗、中信电子和张曙华签订的《股份转让协议》，关于业绩相关承诺为：股份交 割日后，交信北斗、中信电子、张曙华三方承诺公司保持现有业务持续稳定，不会做出致使 或可能致使公司在业务、经营或财务方面发生重大不利变化的行为。在交信北斗及交信北斗 推荐的上市公司董事、高管人员支持上市公司现有业务发展和支持上市公司现有业务团队人 员基本稳定的前提下，公司保持现有业务在</w:t>
      </w:r>
      <w:r>
        <w:rPr>
          <w:rFonts w:ascii="Times New Roman" w:eastAsia="Times New Roman" w:hAnsi="Times New Roman" w:cs="Times New Roman"/>
          <w:color w:val="000000"/>
          <w:spacing w:val="0"/>
          <w:w w:val="100"/>
          <w:position w:val="0"/>
        </w:rPr>
        <w:t>2021</w:t>
      </w:r>
      <w:r>
        <w:rPr>
          <w:color w:val="000000"/>
          <w:spacing w:val="0"/>
          <w:w w:val="100"/>
          <w:position w:val="0"/>
        </w:rPr>
        <w:t>年度和</w:t>
      </w:r>
      <w:r>
        <w:rPr>
          <w:rFonts w:ascii="Times New Roman" w:eastAsia="Times New Roman" w:hAnsi="Times New Roman" w:cs="Times New Roman"/>
          <w:color w:val="000000"/>
          <w:spacing w:val="0"/>
          <w:w w:val="100"/>
          <w:position w:val="0"/>
        </w:rPr>
        <w:t>2022</w:t>
      </w:r>
      <w:r>
        <w:rPr>
          <w:color w:val="000000"/>
          <w:spacing w:val="0"/>
          <w:w w:val="100"/>
          <w:position w:val="0"/>
        </w:rPr>
        <w:t>年度各年度经审计后的归属 母公司股东的净利润均为正数。否则，中信电子及上市公司实际控制人张曙华应当在上市公 司</w:t>
      </w:r>
      <w:r>
        <w:rPr>
          <w:rFonts w:ascii="Times New Roman" w:eastAsia="Times New Roman" w:hAnsi="Times New Roman" w:cs="Times New Roman"/>
          <w:color w:val="000000"/>
          <w:spacing w:val="0"/>
          <w:w w:val="100"/>
          <w:position w:val="0"/>
        </w:rPr>
        <w:t>2021</w:t>
      </w:r>
      <w:r>
        <w:rPr>
          <w:color w:val="000000"/>
          <w:spacing w:val="0"/>
          <w:w w:val="100"/>
          <w:position w:val="0"/>
        </w:rPr>
        <w:t>年度和</w:t>
      </w:r>
      <w:r>
        <w:rPr>
          <w:rFonts w:ascii="Times New Roman" w:eastAsia="Times New Roman" w:hAnsi="Times New Roman" w:cs="Times New Roman"/>
          <w:color w:val="000000"/>
          <w:spacing w:val="0"/>
          <w:w w:val="100"/>
          <w:position w:val="0"/>
        </w:rPr>
        <w:t>2022</w:t>
      </w:r>
      <w:r>
        <w:rPr>
          <w:color w:val="000000"/>
          <w:spacing w:val="0"/>
          <w:w w:val="100"/>
          <w:position w:val="0"/>
        </w:rPr>
        <w:t>年度各年度报告公告之日起的</w:t>
      </w:r>
      <w:r>
        <w:rPr>
          <w:rFonts w:ascii="Times New Roman" w:eastAsia="Times New Roman" w:hAnsi="Times New Roman" w:cs="Times New Roman"/>
          <w:color w:val="000000"/>
          <w:spacing w:val="0"/>
          <w:w w:val="100"/>
          <w:position w:val="0"/>
        </w:rPr>
        <w:t>30</w:t>
      </w:r>
      <w:r>
        <w:rPr>
          <w:color w:val="000000"/>
          <w:spacing w:val="0"/>
          <w:w w:val="100"/>
          <w:position w:val="0"/>
        </w:rPr>
        <w:t>日内将亏损的金额全部一次性向公 司进行现金补偿，但因不可抗力等原因造成的亏损中信电子及公司原实际控制人张曙华无需 补偿。</w:t>
      </w:r>
    </w:p>
    <w:p>
      <w:pPr>
        <w:pStyle w:val="Style33"/>
        <w:keepNext w:val="0"/>
        <w:keepLines w:val="0"/>
        <w:widowControl w:val="0"/>
        <w:shd w:val="clear" w:color="auto" w:fill="auto"/>
        <w:bidi w:val="0"/>
        <w:spacing w:before="0" w:after="1000" w:line="312" w:lineRule="exact"/>
        <w:ind w:left="130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年度上述协议中约定的现有业务经审计后的归属母公司股东的净利润为 </w:t>
      </w:r>
      <w:r>
        <w:rPr>
          <w:rFonts w:ascii="Times New Roman" w:eastAsia="Times New Roman" w:hAnsi="Times New Roman" w:cs="Times New Roman"/>
          <w:color w:val="000000"/>
          <w:spacing w:val="0"/>
          <w:w w:val="100"/>
          <w:position w:val="0"/>
        </w:rPr>
        <w:t>-79,791,124.95</w:t>
      </w:r>
      <w:r>
        <w:rPr>
          <w:color w:val="000000"/>
          <w:spacing w:val="0"/>
          <w:w w:val="100"/>
          <w:position w:val="0"/>
        </w:rPr>
        <w:t>元【已扣除对交信北斗（海南）科技有限公司的投资收益】，未完成业绩承诺。</w:t>
      </w:r>
    </w:p>
    <w:p>
      <w:pPr>
        <w:pStyle w:val="Style28"/>
        <w:keepNext/>
        <w:keepLines/>
        <w:widowControl w:val="0"/>
        <w:shd w:val="clear" w:color="auto" w:fill="auto"/>
        <w:bidi w:val="0"/>
        <w:spacing w:before="0" w:after="360" w:line="240" w:lineRule="auto"/>
        <w:ind w:left="0" w:right="0" w:firstLine="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8</w:t>
      </w:r>
      <w:bookmarkEnd w:id="2146"/>
      <w:r>
        <w:rPr>
          <w:color w:val="000000"/>
          <w:spacing w:val="0"/>
          <w:w w:val="100"/>
          <w:position w:val="0"/>
        </w:rPr>
        <w:t>、其他</w:t>
      </w:r>
      <w:bookmarkEnd w:id="2144"/>
      <w:bookmarkEnd w:id="2145"/>
      <w:bookmarkEnd w:id="2147"/>
    </w:p>
    <w:p>
      <w:pPr>
        <w:pStyle w:val="Style22"/>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0" w:name="bookmark2150"/>
      <w:r>
        <w:rPr>
          <w:color w:val="000000"/>
          <w:spacing w:val="0"/>
          <w:w w:val="100"/>
          <w:position w:val="0"/>
        </w:rPr>
        <w:t>十七、母公司财务报表主要项目注释</w:t>
      </w:r>
      <w:bookmarkEnd w:id="2148"/>
      <w:bookmarkEnd w:id="2149"/>
      <w:bookmarkEnd w:id="2150"/>
    </w:p>
    <w:p>
      <w:pPr>
        <w:pStyle w:val="Style28"/>
        <w:keepNext/>
        <w:keepLines/>
        <w:widowControl w:val="0"/>
        <w:shd w:val="clear" w:color="auto" w:fill="auto"/>
        <w:bidi w:val="0"/>
        <w:spacing w:before="0" w:after="360" w:line="240" w:lineRule="auto"/>
        <w:ind w:left="0" w:right="0" w:firstLine="0"/>
        <w:jc w:val="left"/>
      </w:pPr>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51"/>
      <w:bookmarkEnd w:id="2152"/>
      <w:bookmarkEnd w:id="2153"/>
    </w:p>
    <w:p>
      <w:pPr>
        <w:pStyle w:val="Style51"/>
        <w:keepNext/>
        <w:keepLines/>
        <w:widowControl w:val="0"/>
        <w:shd w:val="clear" w:color="auto" w:fill="auto"/>
        <w:bidi w:val="0"/>
        <w:spacing w:before="0" w:after="360" w:line="240" w:lineRule="auto"/>
        <w:ind w:left="0" w:right="0" w:firstLine="0"/>
        <w:jc w:val="left"/>
      </w:pPr>
      <w:bookmarkStart w:id="2154" w:name="bookmark2154"/>
      <w:bookmarkStart w:id="2155" w:name="bookmark2155"/>
      <w:bookmarkStart w:id="2156" w:name="bookmark2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54"/>
      <w:bookmarkEnd w:id="2155"/>
      <w:bookmarkEnd w:id="2156"/>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1,178,71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1,178,71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1,178,718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1,178,718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307,379,</w:t>
            </w:r>
          </w:p>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96,780,2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210,599,3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389,819,7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86,794,11</w:t>
            </w:r>
          </w:p>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303,025,59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307,379,</w:t>
            </w:r>
          </w:p>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96,780,2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210,599,3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386,642,9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86,794,11</w:t>
            </w:r>
          </w:p>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299,848,82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3,176,767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3,176,767.3</w:t>
            </w:r>
          </w:p>
        </w:tc>
      </w:tr>
    </w:tbl>
    <w:p>
      <w:pPr>
        <w:widowControl w:val="0"/>
        <w:spacing w:line="1" w:lineRule="exact"/>
      </w:pPr>
      <w:r>
        <w:br w:type="page"/>
      </w:r>
    </w:p>
    <w:tbl>
      <w:tblPr>
        <w:tblOverlap w:val="never"/>
        <w:jc w:val="center"/>
        <w:tblLayout w:type="fixed"/>
      </w:tblPr>
      <w:tblGrid>
        <w:gridCol w:w="1642"/>
        <w:gridCol w:w="278"/>
        <w:gridCol w:w="485"/>
        <w:gridCol w:w="758"/>
        <w:gridCol w:w="710"/>
        <w:gridCol w:w="816"/>
        <w:gridCol w:w="787"/>
        <w:gridCol w:w="278"/>
        <w:gridCol w:w="499"/>
        <w:gridCol w:w="797"/>
        <w:gridCol w:w="610"/>
        <w:gridCol w:w="187"/>
        <w:gridCol w:w="792"/>
        <w:gridCol w:w="1003"/>
      </w:tblGrid>
      <w:tr>
        <w:trPr>
          <w:trHeight w:val="365"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308,558,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97,958,9</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210,599,3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60.59</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390,998,4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87,972,83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303,025,59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r>
      <w:tr>
        <w:trPr>
          <w:trHeight w:val="754" w:hRule="exact"/>
        </w:trPr>
        <w:tc>
          <w:tcPr>
            <w:gridSpan w:val="14"/>
            <w:tcBorders>
              <w:top w:val="single" w:sz="4"/>
            </w:tcBorders>
            <w:shd w:val="clear" w:color="auto" w:fill="FFFFFF"/>
            <w:vAlign w:val="center"/>
          </w:tcPr>
          <w:p>
            <w:pPr>
              <w:pStyle w:val="Style18"/>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按单项计提坏账准备：</w:t>
            </w:r>
          </w:p>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gridSpan w:val="2"/>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账面余额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r>
        <w:trPr>
          <w:trHeight w:val="71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银川北环蔬菜果品综合 批发市场管理有限公司</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1,178,718.87</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1,178,718.87</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100.00%</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403"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1,178,718.87</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1,178,718.87</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r>
      <w:tr>
        <w:trPr>
          <w:trHeight w:val="317" w:hRule="exact"/>
        </w:trPr>
        <w:tc>
          <w:tcPr>
            <w:gridSpan w:val="14"/>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按单项计提坏账准备：</w:t>
            </w:r>
          </w:p>
        </w:tc>
      </w:tr>
    </w:tbl>
    <w:p>
      <w:pPr>
        <w:widowControl w:val="0"/>
        <w:spacing w:after="11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p>
      <w:pPr>
        <w:pStyle w:val="Style24"/>
        <w:keepNext w:val="0"/>
        <w:keepLines w:val="0"/>
        <w:widowControl w:val="0"/>
        <w:pBdr>
          <w:top w:val="single" w:sz="4" w:space="6" w:color="D3D3D3"/>
          <w:left w:val="single" w:sz="4" w:space="0" w:color="D3D3D3"/>
          <w:bottom w:val="single" w:sz="4" w:space="0" w:color="D3D3D3"/>
          <w:right w:val="single" w:sz="4" w:space="0" w:color="D3D3D3"/>
        </w:pBdr>
        <w:shd w:val="clear" w:color="auto" w:fill="D3D3D3"/>
        <w:bidi w:val="0"/>
        <w:spacing w:before="0" w:after="0" w:line="240" w:lineRule="auto"/>
        <w:ind w:left="0" w:right="0" w:firstLine="0"/>
        <w:jc w:val="center"/>
        <w:rPr>
          <w:sz w:val="17"/>
          <w:szCs w:val="17"/>
        </w:rPr>
      </w:pPr>
      <w:r>
        <w:rPr>
          <w:color w:val="000000"/>
          <w:spacing w:val="0"/>
          <w:w w:val="100"/>
          <w:position w:val="0"/>
          <w:sz w:val="17"/>
          <w:szCs w:val="17"/>
        </w:rPr>
        <w:t>期末余额</w:t>
      </w:r>
    </w:p>
    <w:p>
      <w:pPr>
        <w:pStyle w:val="Style2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922" w:val="left"/>
          <w:tab w:leader="hyphen" w:pos="3818" w:val="left"/>
          <w:tab w:leader="hyphen" w:pos="5729" w:val="left"/>
          <w:tab w:leader="hyphen" w:pos="7644" w:val="left"/>
          <w:tab w:leader="hyphen" w:pos="9550" w:val="left"/>
        </w:tabs>
        <w:bidi w:val="0"/>
        <w:spacing w:before="0" w:after="0" w:line="240" w:lineRule="auto"/>
        <w:ind w:left="0" w:right="0" w:firstLine="780"/>
        <w:jc w:val="left"/>
        <w:rPr>
          <w:sz w:val="17"/>
          <w:szCs w:val="17"/>
        </w:rPr>
      </w:pPr>
      <w:r>
        <w:rPr>
          <w:color w:val="000000"/>
          <w:spacing w:val="0"/>
          <w:w w:val="100"/>
          <w:position w:val="0"/>
          <w:sz w:val="17"/>
          <w:szCs w:val="17"/>
        </w:rPr>
        <w:t>名称</w:t>
        <w:tab/>
        <w:tab/>
        <w:tab/>
        <w:tab/>
        <w:tab/>
      </w:r>
    </w:p>
    <w:p>
      <w:pPr>
        <w:pStyle w:val="Style24"/>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4430" w:val="left"/>
          <w:tab w:pos="6346" w:val="left"/>
          <w:tab w:pos="8261" w:val="left"/>
        </w:tabs>
        <w:bidi w:val="0"/>
        <w:spacing w:before="0" w:after="66" w:line="240" w:lineRule="auto"/>
        <w:ind w:left="2520" w:right="0" w:firstLine="0"/>
        <w:jc w:val="left"/>
        <w:rPr>
          <w:sz w:val="17"/>
          <w:szCs w:val="17"/>
        </w:rPr>
      </w:pPr>
      <w:r>
        <w:rPr>
          <w:color w:val="000000"/>
          <w:spacing w:val="0"/>
          <w:w w:val="100"/>
          <w:position w:val="0"/>
          <w:sz w:val="17"/>
          <w:szCs w:val="17"/>
        </w:rPr>
        <w:t>账面余额</w:t>
        <w:tab/>
        <w:t>坏账准备</w:t>
        <w:tab/>
        <w:t>计提比例</w:t>
        <w:tab/>
        <w:t>计提理由</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按组合计提坏账准备：</w:t>
      </w:r>
    </w:p>
    <w:p>
      <w:pPr>
        <w:pStyle w:val="Style24"/>
        <w:keepNext w:val="0"/>
        <w:keepLines w:val="0"/>
        <w:widowControl w:val="0"/>
        <w:shd w:val="clear" w:color="auto" w:fill="auto"/>
        <w:bidi w:val="0"/>
        <w:spacing w:before="0" w:after="12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71,079,905.54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3,553,995.27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年（包含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76,034,652.72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7,603,465.27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年（包含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63,592,706.40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19,077,811.92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年（包含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47,966,284.01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23,983,142.01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年（包含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20,480,754.64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14,336,528.25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28,225,273.14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28,225,273.14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307,379,576.45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96,780,215.86</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按组合计提坏账准备：</w:t>
      </w:r>
    </w:p>
    <w:p>
      <w:pPr>
        <w:pStyle w:val="Style24"/>
        <w:keepNext w:val="0"/>
        <w:keepLines w:val="0"/>
        <w:widowControl w:val="0"/>
        <w:shd w:val="clear" w:color="auto" w:fill="auto"/>
        <w:bidi w:val="0"/>
        <w:spacing w:before="0" w:after="12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确定该组合依据的说明：</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按账龄披露</w:t>
      </w:r>
    </w:p>
    <w:p>
      <w:pPr>
        <w:pStyle w:val="Style24"/>
        <w:keepNext w:val="0"/>
        <w:keepLines w:val="0"/>
        <w:widowControl w:val="0"/>
        <w:shd w:val="clear" w:color="auto" w:fill="auto"/>
        <w:bidi w:val="0"/>
        <w:spacing w:before="0" w:after="12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71,079,905.54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76,034,652.72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64,771,425.27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96,672,311.79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47,966,284.01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20,480,754.64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28,225,273.14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308,558,295.32</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2157" w:name="bookmark2157"/>
      <w:bookmarkStart w:id="2158" w:name="bookmark2158"/>
      <w:bookmarkStart w:id="2159" w:name="bookmark21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57"/>
      <w:bookmarkEnd w:id="2158"/>
      <w:bookmarkEnd w:id="2159"/>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本期计提坏账准备情况：</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按单项计提坏账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1,178,718.87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4,088,605.70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4,088,605.70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1,178,718.87</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86,794,119.87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31,619,493.22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21,633,397.23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96,780,215.86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87,972,838.74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35,708,098.92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25,722,002.93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97,958,934.73</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2160" w:name="bookmark2160"/>
      <w:bookmarkStart w:id="2161" w:name="bookmark2161"/>
      <w:bookmarkStart w:id="2162" w:name="bookmark2162"/>
      <w:bookmarkStart w:id="2163" w:name="bookmark2163"/>
      <w:r>
        <w:rPr>
          <w:color w:val="000000"/>
          <w:spacing w:val="0"/>
          <w:w w:val="100"/>
          <w:position w:val="0"/>
        </w:rPr>
        <w:t>（</w:t>
      </w:r>
      <w:bookmarkEnd w:id="216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60"/>
      <w:bookmarkEnd w:id="2161"/>
      <w:bookmarkEnd w:id="2163"/>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25,722,002.92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2,601,886.79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长期无法收回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经董事会批准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2,536,430.55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长期无法收回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经董事会批准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1,889,795.21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长期无法收回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经董事会批准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应收货款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1,871,452.16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长期无法收回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经董事会批准</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7"/>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16,822,438.21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长期无法收回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经董事会批准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25,722,002.92</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应收账款核销说明：</w:t>
      </w:r>
    </w:p>
    <w:p>
      <w:pPr>
        <w:pStyle w:val="Style51"/>
        <w:keepNext/>
        <w:keepLines/>
        <w:widowControl w:val="0"/>
        <w:shd w:val="clear" w:color="auto" w:fill="auto"/>
        <w:bidi w:val="0"/>
        <w:spacing w:before="0" w:after="400" w:line="240" w:lineRule="auto"/>
        <w:ind w:left="0" w:right="0" w:firstLine="0"/>
        <w:jc w:val="left"/>
      </w:pPr>
      <w:bookmarkStart w:id="2164" w:name="bookmark2164"/>
      <w:bookmarkStart w:id="2165" w:name="bookmark2165"/>
      <w:bookmarkStart w:id="2166" w:name="bookmark2166"/>
      <w:bookmarkStart w:id="2167" w:name="bookmark2167"/>
      <w:r>
        <w:rPr>
          <w:color w:val="000000"/>
          <w:spacing w:val="0"/>
          <w:w w:val="100"/>
          <w:position w:val="0"/>
        </w:rPr>
        <w:t>（</w:t>
      </w:r>
      <w:bookmarkEnd w:id="216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64"/>
      <w:bookmarkEnd w:id="2165"/>
      <w:bookmarkEnd w:id="2167"/>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22,554,723.27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5,737,542.10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12,880,104.95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3,852,031.49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10,302,006.43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515,100.32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7,720,187.58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772,018.76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5,828,631.01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2,914,315.51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59,285,653.24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both"/>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168"/>
      <w:bookmarkEnd w:id="2169"/>
      <w:bookmarkEnd w:id="2171"/>
    </w:p>
    <w:p>
      <w:pPr>
        <w:pStyle w:val="Style51"/>
        <w:keepNext/>
        <w:keepLines/>
        <w:widowControl w:val="0"/>
        <w:shd w:val="clear" w:color="auto" w:fill="auto"/>
        <w:bidi w:val="0"/>
        <w:spacing w:before="0" w:after="400" w:line="240" w:lineRule="auto"/>
        <w:ind w:left="0" w:right="0" w:firstLine="0"/>
        <w:jc w:val="both"/>
      </w:pPr>
      <w:bookmarkStart w:id="2172" w:name="bookmark2172"/>
      <w:bookmarkStart w:id="2173" w:name="bookmark2173"/>
      <w:bookmarkStart w:id="2174" w:name="bookmark2174"/>
      <w:bookmarkStart w:id="2175" w:name="bookmark2175"/>
      <w:r>
        <w:rPr>
          <w:color w:val="000000"/>
          <w:spacing w:val="0"/>
          <w:w w:val="100"/>
          <w:position w:val="0"/>
        </w:rPr>
        <w:t>（</w:t>
      </w:r>
      <w:bookmarkEnd w:id="2174"/>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172"/>
      <w:bookmarkEnd w:id="2173"/>
      <w:bookmarkEnd w:id="2175"/>
    </w:p>
    <w:p>
      <w:pPr>
        <w:pStyle w:val="Style24"/>
        <w:keepNext w:val="0"/>
        <w:keepLines w:val="0"/>
        <w:widowControl w:val="0"/>
        <w:shd w:val="clear" w:color="auto" w:fill="auto"/>
        <w:bidi w:val="0"/>
        <w:spacing w:before="0" w:after="360" w:line="240" w:lineRule="auto"/>
        <w:ind w:left="0" w:right="0" w:firstLine="0"/>
        <w:jc w:val="both"/>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after="400" w:line="240" w:lineRule="auto"/>
        <w:ind w:left="0" w:right="0" w:firstLine="0"/>
        <w:jc w:val="both"/>
      </w:pPr>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76"/>
      <w:bookmarkEnd w:id="2177"/>
      <w:bookmarkEnd w:id="217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1,338,015.53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2,397,996.11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15,749,130.02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126,028,930.12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17,087,145.55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128,426,926.23</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both"/>
      </w:pPr>
      <w:bookmarkStart w:id="2179" w:name="bookmark2179"/>
      <w:bookmarkStart w:id="2180" w:name="bookmark2180"/>
      <w:bookmarkStart w:id="2181" w:name="bookmark21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79"/>
      <w:bookmarkEnd w:id="2180"/>
      <w:bookmarkEnd w:id="2181"/>
    </w:p>
    <w:p>
      <w:pPr>
        <w:pStyle w:val="Style94"/>
        <w:keepNext/>
        <w:keepLines/>
        <w:widowControl w:val="0"/>
        <w:shd w:val="clear" w:color="auto" w:fill="auto"/>
        <w:bidi w:val="0"/>
        <w:spacing w:before="0" w:line="240" w:lineRule="auto"/>
        <w:ind w:left="0" w:right="0" w:firstLine="0"/>
        <w:jc w:val="both"/>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1</w:t>
      </w:r>
      <w:bookmarkEnd w:id="2184"/>
      <w:r>
        <w:rPr>
          <w:color w:val="000000"/>
          <w:spacing w:val="0"/>
          <w:w w:val="100"/>
          <w:position w:val="0"/>
        </w:rPr>
        <w:t>）应收利息分类</w:t>
      </w:r>
      <w:bookmarkEnd w:id="2182"/>
      <w:bookmarkEnd w:id="2183"/>
      <w:bookmarkEnd w:id="2185"/>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企业借款利息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1,338,015.53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2,397,996.11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1,338,015.53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2,397,996.11</w:t>
            </w:r>
          </w:p>
        </w:tc>
      </w:tr>
    </w:tbl>
    <w:p>
      <w:pPr>
        <w:widowControl w:val="0"/>
        <w:spacing w:line="1" w:lineRule="exact"/>
      </w:pPr>
    </w:p>
    <w:tbl>
      <w:tblPr>
        <w:tblOverlap w:val="never"/>
        <w:jc w:val="center"/>
        <w:tblLayout w:type="fixed"/>
      </w:tblPr>
      <w:tblGrid>
        <w:gridCol w:w="1944"/>
        <w:gridCol w:w="1915"/>
        <w:gridCol w:w="1920"/>
        <w:gridCol w:w="1906"/>
        <w:gridCol w:w="2016"/>
      </w:tblGrid>
      <w:tr>
        <w:trPr>
          <w:trHeight w:val="955" w:hRule="exact"/>
        </w:trPr>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bookmarkStart w:id="2186" w:name="bookmark218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bookmarkEnd w:id="2186"/>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94"/>
        <w:keepNext/>
        <w:keepLines/>
        <w:widowControl w:val="0"/>
        <w:shd w:val="clear" w:color="auto" w:fill="auto"/>
        <w:bidi w:val="0"/>
        <w:spacing w:before="0" w:after="38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3</w:t>
      </w:r>
      <w:bookmarkEnd w:id="2189"/>
      <w:r>
        <w:rPr>
          <w:color w:val="000000"/>
          <w:spacing w:val="0"/>
          <w:w w:val="100"/>
          <w:position w:val="0"/>
        </w:rPr>
        <w:t>）坏账准备计提情况</w:t>
      </w:r>
      <w:bookmarkEnd w:id="2187"/>
      <w:bookmarkEnd w:id="2188"/>
      <w:bookmarkEnd w:id="2190"/>
    </w:p>
    <w:p>
      <w:pPr>
        <w:pStyle w:val="Style24"/>
        <w:keepNext w:val="0"/>
        <w:keepLines w:val="0"/>
        <w:widowControl w:val="0"/>
        <w:shd w:val="clear" w:color="auto" w:fill="auto"/>
        <w:bidi w:val="0"/>
        <w:spacing w:before="0" w:after="3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51"/>
        <w:keepNext/>
        <w:keepLines/>
        <w:widowControl w:val="0"/>
        <w:shd w:val="clear" w:color="auto" w:fill="auto"/>
        <w:bidi w:val="0"/>
        <w:spacing w:before="0" w:after="380" w:line="240" w:lineRule="auto"/>
        <w:ind w:left="0" w:right="0" w:firstLine="0"/>
        <w:jc w:val="left"/>
      </w:pPr>
      <w:bookmarkStart w:id="2191" w:name="bookmark2191"/>
      <w:bookmarkStart w:id="2192" w:name="bookmark2192"/>
      <w:bookmarkStart w:id="2193" w:name="bookmark21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91"/>
      <w:bookmarkEnd w:id="2192"/>
      <w:bookmarkEnd w:id="2193"/>
    </w:p>
    <w:p>
      <w:pPr>
        <w:pStyle w:val="Style94"/>
        <w:keepNext/>
        <w:keepLines/>
        <w:widowControl w:val="0"/>
        <w:shd w:val="clear" w:color="auto" w:fill="auto"/>
        <w:bidi w:val="0"/>
        <w:spacing w:before="0" w:after="38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1</w:t>
      </w:r>
      <w:bookmarkEnd w:id="2196"/>
      <w:r>
        <w:rPr>
          <w:color w:val="000000"/>
          <w:spacing w:val="0"/>
          <w:w w:val="100"/>
          <w:position w:val="0"/>
        </w:rPr>
        <w:t>）应收股利分类</w:t>
      </w:r>
      <w:bookmarkEnd w:id="2194"/>
      <w:bookmarkEnd w:id="2195"/>
      <w:bookmarkEnd w:id="2197"/>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94"/>
        <w:keepNext/>
        <w:keepLines/>
        <w:widowControl w:val="0"/>
        <w:shd w:val="clear" w:color="auto" w:fill="auto"/>
        <w:bidi w:val="0"/>
        <w:spacing w:before="0" w:after="38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2</w:t>
      </w:r>
      <w:bookmarkEnd w:id="220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98"/>
      <w:bookmarkEnd w:id="2199"/>
      <w:bookmarkEnd w:id="2201"/>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是否发生减值及其判断 依据</w:t>
            </w:r>
          </w:p>
        </w:tc>
      </w:tr>
    </w:tbl>
    <w:p>
      <w:pPr>
        <w:widowControl w:val="0"/>
        <w:spacing w:after="319" w:line="1" w:lineRule="exact"/>
      </w:pPr>
    </w:p>
    <w:p>
      <w:pPr>
        <w:pStyle w:val="Style94"/>
        <w:keepNext/>
        <w:keepLines/>
        <w:widowControl w:val="0"/>
        <w:shd w:val="clear" w:color="auto" w:fill="auto"/>
        <w:bidi w:val="0"/>
        <w:spacing w:before="0" w:after="380" w:line="240" w:lineRule="auto"/>
        <w:ind w:left="0" w:right="0" w:firstLine="0"/>
        <w:jc w:val="left"/>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3</w:t>
      </w:r>
      <w:bookmarkEnd w:id="2204"/>
      <w:r>
        <w:rPr>
          <w:color w:val="000000"/>
          <w:spacing w:val="0"/>
          <w:w w:val="100"/>
          <w:position w:val="0"/>
        </w:rPr>
        <w:t>）坏账准备计提情况</w:t>
      </w:r>
      <w:bookmarkEnd w:id="2202"/>
      <w:bookmarkEnd w:id="2203"/>
      <w:bookmarkEnd w:id="2205"/>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其他说明：</w:t>
      </w:r>
    </w:p>
    <w:p>
      <w:pPr>
        <w:pStyle w:val="Style51"/>
        <w:keepNext/>
        <w:keepLines/>
        <w:widowControl w:val="0"/>
        <w:shd w:val="clear" w:color="auto" w:fill="auto"/>
        <w:bidi w:val="0"/>
        <w:spacing w:before="0" w:after="380" w:line="240" w:lineRule="auto"/>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w:t>
      </w:r>
      <w:bookmarkEnd w:id="220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06"/>
      <w:bookmarkEnd w:id="2207"/>
      <w:bookmarkEnd w:id="2209"/>
    </w:p>
    <w:p>
      <w:pPr>
        <w:pStyle w:val="Style94"/>
        <w:keepNext/>
        <w:keepLines/>
        <w:widowControl w:val="0"/>
        <w:shd w:val="clear" w:color="auto" w:fill="auto"/>
        <w:bidi w:val="0"/>
        <w:spacing w:before="0" w:after="380" w:line="240" w:lineRule="auto"/>
        <w:ind w:left="0" w:right="0" w:firstLine="0"/>
        <w:jc w:val="left"/>
      </w:pPr>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10"/>
      <w:bookmarkEnd w:id="2211"/>
      <w:bookmarkEnd w:id="2212"/>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28,209,415.87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35,489,756.73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1,224,066.43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1,966,335.62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应收销售长期资产款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16,834,845.28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企业间借款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89,850,000.00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1,225,475.24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34,683,482.30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145,366,412.87</w:t>
            </w:r>
          </w:p>
        </w:tc>
      </w:tr>
    </w:tbl>
    <w:p>
      <w:pPr>
        <w:spacing w:lineRule="exact" w:line="1"/>
        <w:rPr>
          <w:sz w:val="2"/>
          <w:szCs w:val="2"/>
        </w:rPr>
      </w:pPr>
      <w:r>
        <w:br w:type="page"/>
      </w:r>
    </w:p>
    <w:p>
      <w:pPr>
        <w:pStyle w:val="Style94"/>
        <w:keepNext/>
        <w:keepLines/>
        <w:widowControl w:val="0"/>
        <w:shd w:val="clear" w:color="auto" w:fill="auto"/>
        <w:bidi w:val="0"/>
        <w:spacing w:before="0" w:after="400" w:line="240" w:lineRule="auto"/>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2</w:t>
      </w:r>
      <w:bookmarkEnd w:id="2215"/>
      <w:r>
        <w:rPr>
          <w:color w:val="000000"/>
          <w:spacing w:val="0"/>
          <w:w w:val="100"/>
          <w:position w:val="0"/>
        </w:rPr>
        <w:t>）坏账准备计提情况</w:t>
      </w:r>
      <w:bookmarkEnd w:id="2213"/>
      <w:bookmarkEnd w:id="2214"/>
      <w:bookmarkEnd w:id="2216"/>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sz w:val="17"/>
                <w:szCs w:val="17"/>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sz w:val="17"/>
                <w:szCs w:val="17"/>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793,859.52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13,693,623.23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4,850,000.00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19,337,482.75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51,229.32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-454,359.79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-403,130.47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845,088.84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13,239,263.44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4,850,000.00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18,934,352.28</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按账龄披露</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4,532,455.79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7,977,338.84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12,462,583.81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9,711,103.86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5,432,772.85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2,331,339.91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1,946,991.10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34,683,482.30</w:t>
            </w:r>
          </w:p>
        </w:tc>
      </w:tr>
    </w:tbl>
    <w:p>
      <w:pPr>
        <w:widowControl w:val="0"/>
        <w:spacing w:after="319" w:line="1" w:lineRule="exact"/>
      </w:pPr>
    </w:p>
    <w:p>
      <w:pPr>
        <w:pStyle w:val="Style94"/>
        <w:keepNext/>
        <w:keepLines/>
        <w:widowControl w:val="0"/>
        <w:shd w:val="clear" w:color="auto" w:fill="auto"/>
        <w:bidi w:val="0"/>
        <w:spacing w:before="0" w:after="400" w:line="240" w:lineRule="auto"/>
        <w:ind w:left="0" w:right="0" w:firstLine="0"/>
        <w:jc w:val="left"/>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3</w:t>
      </w:r>
      <w:bookmarkEnd w:id="2219"/>
      <w:r>
        <w:rPr>
          <w:color w:val="000000"/>
          <w:spacing w:val="0"/>
          <w:w w:val="100"/>
          <w:position w:val="0"/>
        </w:rPr>
        <w:t>）本期计提、收回或转回的坏账准备情况</w:t>
      </w:r>
      <w:bookmarkEnd w:id="2217"/>
      <w:bookmarkEnd w:id="2218"/>
      <w:bookmarkEnd w:id="2220"/>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本期计提坏账准备情况：</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按单项计提坏账准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按组合计提坏账准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14,487,482.7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-403,130.47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14,084,352.28</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19,337,482.7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-403,130.47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18,934,352.28</w:t>
            </w:r>
          </w:p>
        </w:tc>
      </w:tr>
    </w:tbl>
    <w:p>
      <w:pPr>
        <w:spacing w:lineRule="exact" w:line="1"/>
        <w:rPr>
          <w:sz w:val="2"/>
          <w:szCs w:val="2"/>
        </w:rPr>
      </w:pPr>
      <w:r>
        <w:br w:type="page"/>
      </w:r>
    </w:p>
    <w:p>
      <w:pPr>
        <w:pStyle w:val="Style2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其中本期坏账准备转回或收回金额重要的：</w:t>
      </w:r>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39" w:line="1" w:lineRule="exact"/>
      </w:pPr>
    </w:p>
    <w:p>
      <w:pPr>
        <w:pStyle w:val="Style94"/>
        <w:keepNext/>
        <w:keepLines/>
        <w:widowControl w:val="0"/>
        <w:shd w:val="clear" w:color="auto" w:fill="auto"/>
        <w:bidi w:val="0"/>
        <w:spacing w:before="0" w:after="380" w:line="240" w:lineRule="auto"/>
        <w:ind w:left="0" w:right="0" w:firstLine="0"/>
        <w:jc w:val="left"/>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4</w:t>
      </w:r>
      <w:bookmarkEnd w:id="2223"/>
      <w:r>
        <w:rPr>
          <w:color w:val="000000"/>
          <w:spacing w:val="0"/>
          <w:w w:val="100"/>
          <w:position w:val="0"/>
        </w:rPr>
        <w:t>）本期实际核销的其他应收款情况</w:t>
      </w:r>
      <w:bookmarkEnd w:id="2221"/>
      <w:bookmarkEnd w:id="2222"/>
      <w:bookmarkEnd w:id="222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7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46" w:hRule="exact"/>
        </w:trPr>
        <w:tc>
          <w:tcPr>
            <w:tcBorders>
              <w:top w:val="single" w:sz="4"/>
              <w:left w:val="single" w:sz="4"/>
            </w:tcBorders>
            <w:shd w:val="clear" w:color="auto" w:fill="D3D3D3"/>
            <w:vAlign w:val="bottom"/>
          </w:tcPr>
          <w:p>
            <w:pPr>
              <w:pStyle w:val="Style18"/>
              <w:keepNext w:val="0"/>
              <w:keepLines w:val="0"/>
              <w:widowControl w:val="0"/>
              <w:shd w:val="clear" w:color="auto" w:fill="auto"/>
              <w:tabs>
                <w:tab w:pos="1819" w:val="left"/>
                <w:tab w:pos="3643" w:val="left"/>
              </w:tabs>
              <w:bidi w:val="0"/>
              <w:spacing w:before="0" w:after="0" w:line="240" w:lineRule="auto"/>
              <w:ind w:left="0" w:right="0" w:firstLine="480"/>
              <w:jc w:val="left"/>
              <w:rPr>
                <w:sz w:val="17"/>
                <w:szCs w:val="17"/>
              </w:rPr>
            </w:pPr>
            <w:r>
              <w:rPr>
                <w:color w:val="000000"/>
                <w:spacing w:val="0"/>
                <w:w w:val="100"/>
                <w:position w:val="0"/>
                <w:sz w:val="17"/>
                <w:szCs w:val="17"/>
              </w:rPr>
              <w:t>单位名称</w:t>
              <w:tab/>
              <w:t>其他应收款性质</w:t>
              <w:tab/>
              <w:t>核销金额</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款项是否由关联交</w:t>
            </w:r>
          </w:p>
          <w:p>
            <w:pPr>
              <w:pStyle w:val="Style18"/>
              <w:keepNext w:val="0"/>
              <w:keepLines w:val="0"/>
              <w:widowControl w:val="0"/>
              <w:shd w:val="clear" w:color="auto" w:fill="auto"/>
              <w:tabs>
                <w:tab w:pos="1730" w:val="left"/>
                <w:tab w:pos="3742" w:val="left"/>
              </w:tabs>
              <w:bidi w:val="0"/>
              <w:spacing w:before="0" w:after="0" w:line="240" w:lineRule="auto"/>
              <w:ind w:left="0" w:right="0" w:firstLine="420"/>
              <w:jc w:val="left"/>
              <w:rPr>
                <w:sz w:val="17"/>
                <w:szCs w:val="17"/>
              </w:rPr>
            </w:pPr>
            <w:r>
              <w:rPr>
                <w:color w:val="000000"/>
                <w:spacing w:val="0"/>
                <w:w w:val="100"/>
                <w:position w:val="0"/>
                <w:sz w:val="17"/>
                <w:szCs w:val="17"/>
              </w:rPr>
              <w:t>核销原因</w:t>
              <w:tab/>
              <w:t>履行的核销程序</w:t>
              <w:tab/>
            </w:r>
            <w:r>
              <w:rPr>
                <w:color w:val="000000"/>
                <w:spacing w:val="0"/>
                <w:w w:val="100"/>
                <w:position w:val="0"/>
                <w:sz w:val="17"/>
                <w:szCs w:val="17"/>
              </w:rPr>
              <w:t>L —</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600" w:firstLine="0"/>
              <w:jc w:val="right"/>
              <w:rPr>
                <w:sz w:val="17"/>
                <w:szCs w:val="17"/>
              </w:rPr>
            </w:pPr>
            <w:r>
              <w:rPr>
                <w:color w:val="000000"/>
                <w:spacing w:val="0"/>
                <w:w w:val="100"/>
                <w:position w:val="0"/>
                <w:sz w:val="17"/>
                <w:szCs w:val="17"/>
              </w:rPr>
              <w:t>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其他应收款核销说明：</w:t>
      </w:r>
    </w:p>
    <w:p>
      <w:pPr>
        <w:pStyle w:val="Style94"/>
        <w:keepNext/>
        <w:keepLines/>
        <w:widowControl w:val="0"/>
        <w:shd w:val="clear" w:color="auto" w:fill="auto"/>
        <w:bidi w:val="0"/>
        <w:spacing w:before="0" w:after="380" w:line="240" w:lineRule="auto"/>
        <w:ind w:left="0" w:right="0" w:firstLine="0"/>
        <w:jc w:val="left"/>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5</w:t>
      </w:r>
      <w:bookmarkEnd w:id="2227"/>
      <w:r>
        <w:rPr>
          <w:color w:val="000000"/>
          <w:spacing w:val="0"/>
          <w:w w:val="100"/>
          <w:position w:val="0"/>
        </w:rPr>
        <w:t>）按欠款方归集的期末余额前五名的其他应收款情况</w:t>
      </w:r>
      <w:bookmarkEnd w:id="2225"/>
      <w:bookmarkEnd w:id="2226"/>
      <w:bookmarkEnd w:id="2228"/>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90"/>
        <w:gridCol w:w="1550"/>
        <w:gridCol w:w="1546"/>
        <w:gridCol w:w="1565"/>
        <w:gridCol w:w="1603"/>
        <w:gridCol w:w="163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企业间借款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4,850,000.00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1,649,000.00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247,350.00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1,430,293.40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1,430,293.40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1,299,190.00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194,878.50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1,059,284.20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425,543.58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10,287,767.60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7,148,065.48</w:t>
            </w:r>
          </w:p>
        </w:tc>
      </w:tr>
    </w:tbl>
    <w:p>
      <w:pPr>
        <w:widowControl w:val="0"/>
        <w:spacing w:after="339" w:line="1" w:lineRule="exact"/>
      </w:pPr>
    </w:p>
    <w:p>
      <w:pPr>
        <w:pStyle w:val="Style94"/>
        <w:keepNext/>
        <w:keepLines/>
        <w:widowControl w:val="0"/>
        <w:shd w:val="clear" w:color="auto" w:fill="auto"/>
        <w:bidi w:val="0"/>
        <w:spacing w:before="0" w:after="380" w:line="240" w:lineRule="auto"/>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6</w:t>
      </w:r>
      <w:bookmarkEnd w:id="2231"/>
      <w:r>
        <w:rPr>
          <w:color w:val="000000"/>
          <w:spacing w:val="0"/>
          <w:w w:val="100"/>
          <w:position w:val="0"/>
        </w:rPr>
        <w:t>）涉及政府补助的应收款项</w:t>
      </w:r>
      <w:bookmarkEnd w:id="2229"/>
      <w:bookmarkEnd w:id="2230"/>
      <w:bookmarkEnd w:id="2232"/>
    </w:p>
    <w:p>
      <w:pPr>
        <w:pStyle w:val="Style24"/>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030"/>
        <w:gridCol w:w="1867"/>
        <w:gridCol w:w="1867"/>
        <w:gridCol w:w="1867"/>
        <w:gridCol w:w="1954"/>
      </w:tblGrid>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预计收取的时间、金额 及依据</w:t>
            </w:r>
          </w:p>
        </w:tc>
      </w:tr>
    </w:tbl>
    <w:p>
      <w:pPr>
        <w:widowControl w:val="0"/>
        <w:spacing w:after="339" w:line="1" w:lineRule="exact"/>
      </w:pPr>
    </w:p>
    <w:p>
      <w:pPr>
        <w:pStyle w:val="Style94"/>
        <w:keepNext/>
        <w:keepLines/>
        <w:widowControl w:val="0"/>
        <w:shd w:val="clear" w:color="auto" w:fill="auto"/>
        <w:tabs>
          <w:tab w:pos="392" w:val="left"/>
        </w:tabs>
        <w:bidi w:val="0"/>
        <w:spacing w:before="0" w:after="38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7</w:t>
      </w:r>
      <w:bookmarkEnd w:id="2235"/>
      <w:r>
        <w:rPr>
          <w:color w:val="000000"/>
          <w:spacing w:val="0"/>
          <w:w w:val="100"/>
          <w:position w:val="0"/>
        </w:rPr>
        <w:t>）</w:t>
        <w:tab/>
        <w:t>因金融资产转移而终止确认的其他应收款</w:t>
      </w:r>
      <w:bookmarkEnd w:id="2233"/>
      <w:bookmarkEnd w:id="2234"/>
      <w:bookmarkEnd w:id="2236"/>
    </w:p>
    <w:p>
      <w:pPr>
        <w:pStyle w:val="Style94"/>
        <w:keepNext/>
        <w:keepLines/>
        <w:widowControl w:val="0"/>
        <w:shd w:val="clear" w:color="auto" w:fill="auto"/>
        <w:tabs>
          <w:tab w:pos="397" w:val="left"/>
        </w:tabs>
        <w:bidi w:val="0"/>
        <w:spacing w:before="0" w:after="38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8</w:t>
      </w:r>
      <w:bookmarkEnd w:id="2239"/>
      <w:r>
        <w:rPr>
          <w:color w:val="000000"/>
          <w:spacing w:val="0"/>
          <w:w w:val="100"/>
          <w:position w:val="0"/>
        </w:rPr>
        <w:t>）</w:t>
        <w:tab/>
        <w:t>转移其他应收款且继续涉入形成的资产、负债金额</w:t>
      </w:r>
      <w:bookmarkEnd w:id="2237"/>
      <w:bookmarkEnd w:id="2238"/>
      <w:bookmarkEnd w:id="2240"/>
    </w:p>
    <w:p>
      <w:pPr>
        <w:pStyle w:val="Style24"/>
        <w:keepNext w:val="0"/>
        <w:keepLines w:val="0"/>
        <w:widowControl w:val="0"/>
        <w:shd w:val="clear" w:color="auto" w:fill="auto"/>
        <w:bidi w:val="0"/>
        <w:spacing w:before="0" w:after="340" w:line="240" w:lineRule="auto"/>
        <w:ind w:left="0" w:right="0" w:firstLine="0"/>
        <w:jc w:val="left"/>
        <w:rPr>
          <w:sz w:val="17"/>
          <w:szCs w:val="17"/>
        </w:rPr>
      </w:pPr>
      <w:r>
        <w:rPr>
          <w:color w:val="000000"/>
          <w:spacing w:val="0"/>
          <w:w w:val="100"/>
          <w:position w:val="0"/>
          <w:sz w:val="17"/>
          <w:szCs w:val="17"/>
        </w:rPr>
        <w:t>其他说明：</w:t>
      </w:r>
      <w:r>
        <w:br w:type="page"/>
      </w:r>
    </w:p>
    <w:p>
      <w:pPr>
        <w:pStyle w:val="Style28"/>
        <w:keepNext/>
        <w:keepLines/>
        <w:widowControl w:val="0"/>
        <w:shd w:val="clear" w:color="auto" w:fill="auto"/>
        <w:bidi w:val="0"/>
        <w:spacing w:before="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3</w:t>
      </w:r>
      <w:bookmarkEnd w:id="2243"/>
      <w:r>
        <w:rPr>
          <w:color w:val="000000"/>
          <w:spacing w:val="0"/>
          <w:w w:val="100"/>
          <w:position w:val="0"/>
        </w:rPr>
        <w:t>、长期股权投资</w:t>
      </w:r>
      <w:bookmarkEnd w:id="2241"/>
      <w:bookmarkEnd w:id="2242"/>
      <w:bookmarkEnd w:id="2244"/>
    </w:p>
    <w:p>
      <w:pPr>
        <w:pStyle w:val="Style24"/>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112,800,000.00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110,100,000.00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103,371,340.27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103,371,340.27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216,171,340.27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216,171,340.27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110,100,000.00</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2245" w:name="bookmark2245"/>
      <w:bookmarkStart w:id="2246" w:name="bookmark2246"/>
      <w:bookmarkStart w:id="2247" w:name="bookmark22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45"/>
      <w:bookmarkEnd w:id="2246"/>
      <w:bookmarkEnd w:id="2247"/>
    </w:p>
    <w:p>
      <w:pPr>
        <w:pStyle w:val="Style24"/>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272"/>
        <w:gridCol w:w="1166"/>
        <w:gridCol w:w="1166"/>
        <w:gridCol w:w="1166"/>
        <w:gridCol w:w="1166"/>
        <w:gridCol w:w="1210"/>
        <w:gridCol w:w="1214"/>
        <w:gridCol w:w="1224"/>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rPr>
              <w:t>（</w:t>
            </w:r>
            <w:r>
              <w:rPr>
                <w:color w:val="000000"/>
                <w:spacing w:val="0"/>
                <w:w w:val="100"/>
                <w:position w:val="0"/>
                <w:sz w:val="17"/>
                <w:szCs w:val="17"/>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光典信息发展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信发资产管理</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智稼信息发展</w:t>
            </w:r>
          </w:p>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上海信联智谷</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信息科技有限</w:t>
            </w:r>
          </w:p>
          <w:p>
            <w:pPr>
              <w:pStyle w:val="Style18"/>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交信北斗（浙 江）科技有限公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110,100,000.0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2248" w:name="bookmark2248"/>
      <w:bookmarkStart w:id="2249" w:name="bookmark2249"/>
      <w:bookmarkStart w:id="2250" w:name="bookmark22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48"/>
      <w:bookmarkEnd w:id="2249"/>
      <w:bookmarkEnd w:id="2250"/>
    </w:p>
    <w:p>
      <w:pPr>
        <w:pStyle w:val="Style24"/>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期初余额</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7"/>
                <w:szCs w:val="17"/>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期末余额</w:t>
            </w:r>
          </w:p>
          <w:p>
            <w:pPr>
              <w:pStyle w:val="Style18"/>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7"/>
                <w:szCs w:val="17"/>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权益法下</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确认的投</w:t>
            </w:r>
          </w:p>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其他综合</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宣告发放</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现金股利</w:t>
            </w:r>
          </w:p>
          <w:p>
            <w:pPr>
              <w:pStyle w:val="Style18"/>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交信北斗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103,371,3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(海南)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104,100,0</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-728,659.</w:t>
            </w:r>
          </w:p>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103,371,3</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104,100,0</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-728,659.</w:t>
            </w:r>
          </w:p>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103,371,3</w:t>
            </w:r>
          </w:p>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1"/>
        <w:keepNext/>
        <w:keepLines/>
        <w:widowControl w:val="0"/>
        <w:numPr>
          <w:ilvl w:val="0"/>
          <w:numId w:val="57"/>
        </w:numPr>
        <w:shd w:val="clear" w:color="auto" w:fill="auto"/>
        <w:bidi w:val="0"/>
        <w:spacing w:before="0" w:after="340" w:line="240" w:lineRule="auto"/>
        <w:ind w:left="0" w:right="0" w:firstLine="0"/>
        <w:jc w:val="left"/>
      </w:pPr>
      <w:bookmarkStart w:id="2251" w:name="bookmark2251"/>
      <w:bookmarkStart w:id="2252" w:name="bookmark2252"/>
      <w:bookmarkStart w:id="2253" w:name="bookmark2253"/>
      <w:bookmarkStart w:id="2254" w:name="bookmark2254"/>
      <w:bookmarkEnd w:id="2253"/>
      <w:r>
        <w:rPr>
          <w:color w:val="000000"/>
          <w:spacing w:val="0"/>
          <w:w w:val="100"/>
          <w:position w:val="0"/>
        </w:rPr>
        <w:t>其他说明</w:t>
      </w:r>
      <w:bookmarkEnd w:id="2251"/>
      <w:bookmarkEnd w:id="2252"/>
      <w:bookmarkEnd w:id="2254"/>
    </w:p>
    <w:p>
      <w:pPr>
        <w:pStyle w:val="Style28"/>
        <w:keepNext/>
        <w:keepLines/>
        <w:widowControl w:val="0"/>
        <w:shd w:val="clear" w:color="auto" w:fill="auto"/>
        <w:bidi w:val="0"/>
        <w:spacing w:before="0" w:after="40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4</w:t>
      </w:r>
      <w:bookmarkEnd w:id="2257"/>
      <w:r>
        <w:rPr>
          <w:color w:val="000000"/>
          <w:spacing w:val="0"/>
          <w:w w:val="100"/>
          <w:position w:val="0"/>
        </w:rPr>
        <w:t>、营业收入和营业成本</w:t>
      </w:r>
      <w:bookmarkEnd w:id="2255"/>
      <w:bookmarkEnd w:id="2256"/>
      <w:bookmarkEnd w:id="2258"/>
    </w:p>
    <w:p>
      <w:pPr>
        <w:pStyle w:val="Style24"/>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249,091,680.24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235,397,401.35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457,444,944.70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401,284,426.56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249,091,680.24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235,397,401.35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457,444,944.70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401,284,426.56</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4"/>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与履约义务相关的信息：</w:t>
      </w:r>
    </w:p>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无</w:t>
      </w:r>
    </w:p>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与分摊至剩余履约义务的交易价格相关的信息：</w:t>
      </w:r>
    </w:p>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年度确认收入。</w:t>
      </w:r>
    </w:p>
    <w:p>
      <w:pPr>
        <w:pStyle w:val="Style24"/>
        <w:keepNext w:val="0"/>
        <w:keepLines w:val="0"/>
        <w:widowControl w:val="0"/>
        <w:shd w:val="clear" w:color="auto" w:fill="auto"/>
        <w:bidi w:val="0"/>
        <w:spacing w:before="0" w:after="400" w:line="322" w:lineRule="exact"/>
        <w:ind w:left="0" w:right="0" w:firstLine="0"/>
        <w:jc w:val="left"/>
        <w:rPr>
          <w:sz w:val="17"/>
          <w:szCs w:val="17"/>
        </w:rPr>
      </w:pPr>
      <w:r>
        <w:rPr>
          <w:color w:val="000000"/>
          <w:spacing w:val="0"/>
          <w:w w:val="100"/>
          <w:position w:val="0"/>
          <w:sz w:val="17"/>
          <w:szCs w:val="17"/>
        </w:rPr>
        <w:t>其他说明：</w:t>
      </w:r>
    </w:p>
    <w:p>
      <w:pPr>
        <w:pStyle w:val="Style28"/>
        <w:keepNext/>
        <w:keepLines/>
        <w:widowControl w:val="0"/>
        <w:shd w:val="clear" w:color="auto" w:fill="auto"/>
        <w:bidi w:val="0"/>
        <w:spacing w:before="0" w:after="40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5</w:t>
      </w:r>
      <w:bookmarkEnd w:id="2261"/>
      <w:r>
        <w:rPr>
          <w:color w:val="000000"/>
          <w:spacing w:val="0"/>
          <w:w w:val="100"/>
          <w:position w:val="0"/>
        </w:rPr>
        <w:t>、投资收益</w:t>
      </w:r>
      <w:bookmarkEnd w:id="2259"/>
      <w:bookmarkEnd w:id="2260"/>
      <w:bookmarkEnd w:id="2262"/>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-728,659.73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其他非流动金融资产在持有期间的投资收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-728,659.73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6</w:t>
      </w:r>
      <w:bookmarkEnd w:id="2265"/>
      <w:r>
        <w:rPr>
          <w:color w:val="000000"/>
          <w:spacing w:val="0"/>
          <w:w w:val="100"/>
          <w:position w:val="0"/>
        </w:rPr>
        <w:t>、其他</w:t>
      </w:r>
      <w:bookmarkEnd w:id="2263"/>
      <w:bookmarkEnd w:id="2264"/>
      <w:bookmarkEnd w:id="2266"/>
    </w:p>
    <w:p>
      <w:pPr>
        <w:pStyle w:val="Style22"/>
        <w:keepNext/>
        <w:keepLines/>
        <w:widowControl w:val="0"/>
        <w:shd w:val="clear" w:color="auto" w:fill="auto"/>
        <w:bidi w:val="0"/>
        <w:spacing w:before="0" w:line="240" w:lineRule="auto"/>
        <w:ind w:left="0" w:right="0" w:firstLine="0"/>
        <w:jc w:val="left"/>
      </w:pPr>
      <w:bookmarkStart w:id="2267" w:name="bookmark2267"/>
      <w:bookmarkStart w:id="2268" w:name="bookmark2268"/>
      <w:bookmarkStart w:id="2269" w:name="bookmark2269"/>
      <w:r>
        <w:rPr>
          <w:color w:val="000000"/>
          <w:spacing w:val="0"/>
          <w:w w:val="100"/>
          <w:position w:val="0"/>
        </w:rPr>
        <w:t>十八、补充资料</w:t>
      </w:r>
      <w:bookmarkEnd w:id="2267"/>
      <w:bookmarkEnd w:id="2268"/>
      <w:bookmarkEnd w:id="2269"/>
    </w:p>
    <w:p>
      <w:pPr>
        <w:pStyle w:val="Style28"/>
        <w:keepNext/>
        <w:keepLines/>
        <w:widowControl w:val="0"/>
        <w:shd w:val="clear" w:color="auto" w:fill="auto"/>
        <w:bidi w:val="0"/>
        <w:spacing w:before="0" w:after="360" w:line="240" w:lineRule="auto"/>
        <w:ind w:left="0" w:right="0" w:firstLine="0"/>
        <w:jc w:val="left"/>
      </w:pPr>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70"/>
      <w:bookmarkEnd w:id="2271"/>
      <w:bookmarkEnd w:id="2272"/>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4"/>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44,160.85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49,830,187.03</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58"/>
        <w:gridCol w:w="3197"/>
      </w:tblGrid>
      <w:tr>
        <w:trPr>
          <w:trHeight w:val="67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处置交易性金融资产交易性金融负债和可 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-1,224,855.53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2,867,820.29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9,245,259.19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2,816,084.32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45,561,969.13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140" w:line="322" w:lineRule="exact"/>
        <w:ind w:left="0" w:right="0" w:firstLine="0"/>
        <w:jc w:val="left"/>
        <w:rPr>
          <w:sz w:val="17"/>
          <w:szCs w:val="17"/>
        </w:rPr>
      </w:pPr>
      <w:r>
        <w:rPr>
          <w:color w:val="000000"/>
          <w:spacing w:val="0"/>
          <w:w w:val="100"/>
          <w:position w:val="0"/>
          <w:sz w:val="17"/>
          <w:szCs w:val="17"/>
        </w:rPr>
        <w:t>其他符合非经常性损益定义的损益项目的具体情况：</w:t>
      </w:r>
    </w:p>
    <w:p>
      <w:pPr>
        <w:pStyle w:val="Style24"/>
        <w:keepNext w:val="0"/>
        <w:keepLines w:val="0"/>
        <w:widowControl w:val="0"/>
        <w:shd w:val="clear" w:color="auto" w:fill="auto"/>
        <w:bidi w:val="0"/>
        <w:spacing w:before="0" w:after="0" w:line="374"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公司不存在其他符合非经常性损益定义的损益项目的具体情况。</w:t>
      </w:r>
    </w:p>
    <w:p>
      <w:pPr>
        <w:pStyle w:val="Style24"/>
        <w:keepNext w:val="0"/>
        <w:keepLines w:val="0"/>
        <w:widowControl w:val="0"/>
        <w:shd w:val="clear" w:color="auto" w:fill="auto"/>
        <w:bidi w:val="0"/>
        <w:spacing w:before="0" w:after="140" w:line="322" w:lineRule="exact"/>
        <w:ind w:left="0" w:right="0" w:firstLine="0"/>
        <w:jc w:val="left"/>
        <w:rPr>
          <w:sz w:val="17"/>
          <w:szCs w:val="17"/>
        </w:rPr>
      </w:pPr>
      <w:r>
        <w:rPr>
          <w:color w:val="000000"/>
          <w:spacing w:val="0"/>
          <w:w w:val="100"/>
          <w:position w:val="0"/>
          <w:sz w:val="17"/>
          <w:szCs w:val="17"/>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号一非经常性损益》中列举的非经常性损益项目界定为经常性损益项目 的情况说明</w:t>
      </w:r>
    </w:p>
    <w:p>
      <w:pPr>
        <w:pStyle w:val="Style24"/>
        <w:keepNext w:val="0"/>
        <w:keepLines w:val="0"/>
        <w:widowControl w:val="0"/>
        <w:shd w:val="clear" w:color="auto" w:fill="auto"/>
        <w:bidi w:val="0"/>
        <w:spacing w:before="0" w:after="280" w:line="374"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8"/>
        <w:keepNext/>
        <w:keepLines/>
        <w:widowControl w:val="0"/>
        <w:shd w:val="clear" w:color="auto" w:fill="auto"/>
        <w:bidi w:val="0"/>
        <w:spacing w:before="0" w:after="320" w:line="240" w:lineRule="auto"/>
        <w:ind w:left="0" w:right="0" w:firstLine="0"/>
        <w:jc w:val="left"/>
      </w:pPr>
      <w:bookmarkStart w:id="2273" w:name="bookmark2273"/>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2</w:t>
      </w:r>
      <w:bookmarkEnd w:id="2275"/>
      <w:r>
        <w:rPr>
          <w:color w:val="000000"/>
          <w:spacing w:val="0"/>
          <w:w w:val="100"/>
          <w:position w:val="0"/>
        </w:rPr>
        <w:t>、净资产收益率及每股收益</w:t>
      </w:r>
      <w:bookmarkEnd w:id="2273"/>
      <w:bookmarkEnd w:id="2274"/>
      <w:bookmarkEnd w:id="2276"/>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bl>
    <w:p>
      <w:pPr>
        <w:widowControl w:val="0"/>
        <w:spacing w:after="279" w:line="1" w:lineRule="exact"/>
      </w:pPr>
    </w:p>
    <w:p>
      <w:pPr>
        <w:pStyle w:val="Style28"/>
        <w:keepNext/>
        <w:keepLines/>
        <w:widowControl w:val="0"/>
        <w:shd w:val="clear" w:color="auto" w:fill="auto"/>
        <w:tabs>
          <w:tab w:pos="378" w:val="left"/>
        </w:tabs>
        <w:bidi w:val="0"/>
        <w:spacing w:before="0" w:after="280" w:line="322" w:lineRule="exact"/>
        <w:ind w:left="0" w:right="0" w:firstLine="0"/>
        <w:jc w:val="left"/>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3</w:t>
      </w:r>
      <w:bookmarkEnd w:id="2279"/>
      <w:r>
        <w:rPr>
          <w:color w:val="000000"/>
          <w:spacing w:val="0"/>
          <w:w w:val="100"/>
          <w:position w:val="0"/>
        </w:rPr>
        <w:t>、</w:t>
        <w:tab/>
        <w:t>境内外会计准则下会计数据差异</w:t>
      </w:r>
      <w:bookmarkEnd w:id="2277"/>
      <w:bookmarkEnd w:id="2278"/>
      <w:bookmarkEnd w:id="2280"/>
    </w:p>
    <w:p>
      <w:pPr>
        <w:pStyle w:val="Style51"/>
        <w:keepNext/>
        <w:keepLines/>
        <w:widowControl w:val="0"/>
        <w:shd w:val="clear" w:color="auto" w:fill="auto"/>
        <w:tabs>
          <w:tab w:pos="493" w:val="left"/>
        </w:tabs>
        <w:bidi w:val="0"/>
        <w:spacing w:before="0" w:after="380" w:line="322" w:lineRule="exact"/>
        <w:ind w:left="0" w:right="0" w:firstLine="0"/>
        <w:jc w:val="left"/>
      </w:pPr>
      <w:bookmarkStart w:id="2281" w:name="bookmark2281"/>
      <w:bookmarkStart w:id="2282" w:name="bookmark2282"/>
      <w:bookmarkStart w:id="2283" w:name="bookmark2283"/>
      <w:bookmarkStart w:id="2284" w:name="bookmark2284"/>
      <w:r>
        <w:rPr>
          <w:color w:val="000000"/>
          <w:spacing w:val="0"/>
          <w:w w:val="100"/>
          <w:position w:val="0"/>
        </w:rPr>
        <w:t>（</w:t>
      </w:r>
      <w:bookmarkEnd w:id="228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81"/>
      <w:bookmarkEnd w:id="2282"/>
      <w:bookmarkEnd w:id="2284"/>
    </w:p>
    <w:p>
      <w:pPr>
        <w:pStyle w:val="Style24"/>
        <w:keepNext w:val="0"/>
        <w:keepLines w:val="0"/>
        <w:widowControl w:val="0"/>
        <w:shd w:val="clear" w:color="auto" w:fill="auto"/>
        <w:bidi w:val="0"/>
        <w:spacing w:before="0" w:after="2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51"/>
        <w:keepNext/>
        <w:keepLines/>
        <w:widowControl w:val="0"/>
        <w:shd w:val="clear" w:color="auto" w:fill="auto"/>
        <w:tabs>
          <w:tab w:pos="493" w:val="left"/>
        </w:tabs>
        <w:bidi w:val="0"/>
        <w:spacing w:before="0" w:after="380" w:line="322" w:lineRule="exact"/>
        <w:ind w:left="0" w:right="0" w:firstLine="0"/>
        <w:jc w:val="left"/>
      </w:pPr>
      <w:bookmarkStart w:id="2285" w:name="bookmark2285"/>
      <w:bookmarkStart w:id="2286" w:name="bookmark2286"/>
      <w:bookmarkStart w:id="2287" w:name="bookmark2287"/>
      <w:bookmarkStart w:id="2288" w:name="bookmark2288"/>
      <w:r>
        <w:rPr>
          <w:color w:val="000000"/>
          <w:spacing w:val="0"/>
          <w:w w:val="100"/>
          <w:position w:val="0"/>
        </w:rPr>
        <w:t>（</w:t>
      </w:r>
      <w:bookmarkEnd w:id="228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85"/>
      <w:bookmarkEnd w:id="2286"/>
      <w:bookmarkEnd w:id="2288"/>
    </w:p>
    <w:p>
      <w:pPr>
        <w:pStyle w:val="Style24"/>
        <w:keepNext w:val="0"/>
        <w:keepLines w:val="0"/>
        <w:widowControl w:val="0"/>
        <w:shd w:val="clear" w:color="auto" w:fill="auto"/>
        <w:bidi w:val="0"/>
        <w:spacing w:before="0" w:after="2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51"/>
        <w:keepNext/>
        <w:keepLines/>
        <w:widowControl w:val="0"/>
        <w:shd w:val="clear" w:color="auto" w:fill="auto"/>
        <w:bidi w:val="0"/>
        <w:spacing w:before="0" w:after="280" w:line="322" w:lineRule="exact"/>
        <w:ind w:left="0" w:right="0" w:firstLine="0"/>
        <w:jc w:val="left"/>
      </w:pPr>
      <w:bookmarkStart w:id="2289" w:name="bookmark2289"/>
      <w:bookmarkStart w:id="2290" w:name="bookmark2290"/>
      <w:bookmarkStart w:id="2291" w:name="bookmark2291"/>
      <w:bookmarkStart w:id="2292" w:name="bookmark2292"/>
      <w:r>
        <w:rPr>
          <w:color w:val="000000"/>
          <w:spacing w:val="0"/>
          <w:w w:val="100"/>
          <w:position w:val="0"/>
        </w:rPr>
        <w:t>（</w:t>
      </w:r>
      <w:bookmarkEnd w:id="229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89"/>
      <w:bookmarkEnd w:id="2290"/>
      <w:bookmarkEnd w:id="2292"/>
    </w:p>
    <w:p>
      <w:pPr>
        <w:pStyle w:val="Style28"/>
        <w:keepNext/>
        <w:keepLines/>
        <w:widowControl w:val="0"/>
        <w:shd w:val="clear" w:color="auto" w:fill="auto"/>
        <w:tabs>
          <w:tab w:pos="378" w:val="left"/>
        </w:tabs>
        <w:bidi w:val="0"/>
        <w:spacing w:before="0" w:after="280" w:line="322" w:lineRule="exact"/>
        <w:ind w:left="0" w:right="0" w:firstLine="0"/>
        <w:jc w:val="left"/>
      </w:pP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4</w:t>
      </w:r>
      <w:bookmarkEnd w:id="2295"/>
      <w:r>
        <w:rPr>
          <w:color w:val="000000"/>
          <w:spacing w:val="0"/>
          <w:w w:val="100"/>
          <w:position w:val="0"/>
        </w:rPr>
        <w:t>、</w:t>
        <w:tab/>
        <w:t>其他</w:t>
      </w:r>
      <w:bookmarkEnd w:id="2293"/>
      <w:bookmarkEnd w:id="2294"/>
      <w:bookmarkEnd w:id="2296"/>
    </w:p>
    <w:p>
      <w:pPr>
        <w:pStyle w:val="Style4"/>
        <w:keepNext w:val="0"/>
        <w:keepLines w:val="0"/>
        <w:widowControl w:val="0"/>
        <w:shd w:val="clear" w:color="auto" w:fill="auto"/>
        <w:bidi w:val="0"/>
        <w:spacing w:before="0" w:after="880" w:line="240" w:lineRule="auto"/>
        <w:ind w:left="0" w:right="0" w:firstLine="0"/>
        <w:jc w:val="center"/>
      </w:pPr>
      <w:r>
        <w:rPr>
          <w:color w:val="000000"/>
          <w:spacing w:val="0"/>
          <w:w w:val="100"/>
          <w:position w:val="0"/>
        </w:rPr>
        <w:t>备查文件目录</w:t>
      </w:r>
    </w:p>
    <w:p>
      <w:pPr>
        <w:pStyle w:val="Style24"/>
        <w:keepNext w:val="0"/>
        <w:keepLines w:val="0"/>
        <w:widowControl w:val="0"/>
        <w:shd w:val="clear" w:color="auto" w:fill="auto"/>
        <w:tabs>
          <w:tab w:pos="435" w:val="left"/>
        </w:tabs>
        <w:bidi w:val="0"/>
        <w:spacing w:before="0" w:after="160" w:line="240" w:lineRule="auto"/>
        <w:ind w:left="0" w:right="0" w:firstLine="0"/>
        <w:jc w:val="left"/>
        <w:rPr>
          <w:sz w:val="17"/>
          <w:szCs w:val="17"/>
        </w:rPr>
      </w:pPr>
      <w:bookmarkStart w:id="2297" w:name="bookmark2297"/>
      <w:r>
        <w:rPr>
          <w:color w:val="000000"/>
          <w:spacing w:val="0"/>
          <w:w w:val="100"/>
          <w:position w:val="0"/>
          <w:sz w:val="17"/>
          <w:szCs w:val="17"/>
        </w:rPr>
        <w:t>一</w:t>
      </w:r>
      <w:bookmarkEnd w:id="2297"/>
      <w:r>
        <w:rPr>
          <w:color w:val="000000"/>
          <w:spacing w:val="0"/>
          <w:w w:val="100"/>
          <w:position w:val="0"/>
          <w:sz w:val="17"/>
          <w:szCs w:val="17"/>
        </w:rPr>
        <w:t>、</w:t>
        <w:tab/>
        <w:t>载有法定代表人张曙华先生、主管会计工作负责人赵艳女士、会计机构负责人赵艳女士签名并盖章的财务报表。</w:t>
      </w:r>
    </w:p>
    <w:p>
      <w:pPr>
        <w:pStyle w:val="Style24"/>
        <w:keepNext w:val="0"/>
        <w:keepLines w:val="0"/>
        <w:widowControl w:val="0"/>
        <w:shd w:val="clear" w:color="auto" w:fill="auto"/>
        <w:tabs>
          <w:tab w:pos="435" w:val="left"/>
        </w:tabs>
        <w:bidi w:val="0"/>
        <w:spacing w:before="0" w:after="160" w:line="240" w:lineRule="auto"/>
        <w:ind w:left="0" w:right="0" w:firstLine="0"/>
        <w:jc w:val="left"/>
        <w:rPr>
          <w:sz w:val="17"/>
          <w:szCs w:val="17"/>
        </w:rPr>
      </w:pPr>
      <w:bookmarkStart w:id="2298" w:name="bookmark2298"/>
      <w:r>
        <w:rPr>
          <w:color w:val="000000"/>
          <w:spacing w:val="0"/>
          <w:w w:val="100"/>
          <w:position w:val="0"/>
          <w:sz w:val="17"/>
          <w:szCs w:val="17"/>
        </w:rPr>
        <w:t>二</w:t>
      </w:r>
      <w:bookmarkEnd w:id="2298"/>
      <w:r>
        <w:rPr>
          <w:color w:val="000000"/>
          <w:spacing w:val="0"/>
          <w:w w:val="100"/>
          <w:position w:val="0"/>
          <w:sz w:val="17"/>
          <w:szCs w:val="17"/>
        </w:rPr>
        <w:t>、</w:t>
        <w:tab/>
        <w:t>载有会计师事务所盖章、注册会计师签名并盖章的审计报告原件。</w:t>
      </w:r>
    </w:p>
    <w:p>
      <w:pPr>
        <w:pStyle w:val="Style24"/>
        <w:keepNext w:val="0"/>
        <w:keepLines w:val="0"/>
        <w:widowControl w:val="0"/>
        <w:shd w:val="clear" w:color="auto" w:fill="auto"/>
        <w:tabs>
          <w:tab w:pos="435" w:val="left"/>
        </w:tabs>
        <w:bidi w:val="0"/>
        <w:spacing w:before="0" w:after="160" w:line="240" w:lineRule="auto"/>
        <w:ind w:left="0" w:right="0" w:firstLine="0"/>
        <w:jc w:val="left"/>
        <w:rPr>
          <w:sz w:val="17"/>
          <w:szCs w:val="17"/>
        </w:rPr>
      </w:pPr>
      <w:bookmarkStart w:id="2299" w:name="bookmark2299"/>
      <w:r>
        <w:rPr>
          <w:color w:val="000000"/>
          <w:spacing w:val="0"/>
          <w:w w:val="100"/>
          <w:position w:val="0"/>
          <w:sz w:val="17"/>
          <w:szCs w:val="17"/>
        </w:rPr>
        <w:t>三</w:t>
      </w:r>
      <w:bookmarkEnd w:id="2299"/>
      <w:r>
        <w:rPr>
          <w:color w:val="000000"/>
          <w:spacing w:val="0"/>
          <w:w w:val="100"/>
          <w:position w:val="0"/>
          <w:sz w:val="17"/>
          <w:szCs w:val="17"/>
        </w:rPr>
        <w:t>、</w:t>
        <w:tab/>
        <w:t>报告期内在中国证监会指定信息披露网站上披露的所有公司文件的正本及公告的原稿。</w:t>
      </w:r>
    </w:p>
    <w:p>
      <w:pPr>
        <w:pStyle w:val="Style2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以上备查文件备置地点：公司董事会办公室。</w:t>
      </w:r>
    </w:p>
    <w:sectPr>
      <w:footnotePr>
        <w:pos w:val="pageBottom"/>
        <w:numFmt w:val="decimal"/>
        <w:numRestart w:val="continuous"/>
      </w:footnotePr>
      <w:pgSz w:w="11900" w:h="16840"/>
      <w:pgMar w:top="1147" w:right="1001" w:bottom="1389" w:left="9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5)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6"/>
      <w:szCs w:val="26"/>
      <w:u w:val="none"/>
      <w:shd w:val="clear" w:color="auto" w:fill="auto"/>
    </w:rPr>
  </w:style>
  <w:style w:type="character" w:customStyle="1" w:styleId="CharStyle19">
    <w:name w:val="Other_"/>
    <w:basedOn w:val="DefaultParagraphFont"/>
    <w:link w:val="Style18"/>
    <w:rPr>
      <w:rFonts w:ascii="SimSun" w:eastAsia="SimSun" w:hAnsi="SimSun" w:cs="SimSun"/>
      <w:b w:val="0"/>
      <w:bCs w:val="0"/>
      <w:i w:val="0"/>
      <w:iCs w:val="0"/>
      <w:smallCaps w:val="0"/>
      <w:strike w:val="0"/>
      <w:color w:val="333333"/>
      <w:sz w:val="18"/>
      <w:szCs w:val="18"/>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5">
    <w:name w:val="Body text_"/>
    <w:basedOn w:val="DefaultParagraphFont"/>
    <w:link w:val="Style24"/>
    <w:rPr>
      <w:rFonts w:ascii="SimSun" w:eastAsia="SimSun" w:hAnsi="SimSun" w:cs="SimSun"/>
      <w:b w:val="0"/>
      <w:bCs w:val="0"/>
      <w:i w:val="0"/>
      <w:iCs w:val="0"/>
      <w:smallCaps w:val="0"/>
      <w:strike w:val="0"/>
      <w:color w:val="333333"/>
      <w:sz w:val="18"/>
      <w:szCs w:val="18"/>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4">
    <w:name w:val="Body text (3)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Table caption_"/>
    <w:basedOn w:val="DefaultParagraphFont"/>
    <w:link w:val="Style41"/>
    <w:rPr>
      <w:rFonts w:ascii="SimSun" w:eastAsia="SimSun" w:hAnsi="SimSun" w:cs="SimSun"/>
      <w:b w:val="0"/>
      <w:bCs w:val="0"/>
      <w:i w:val="0"/>
      <w:iCs w:val="0"/>
      <w:smallCaps w:val="0"/>
      <w:strike w:val="0"/>
      <w:sz w:val="17"/>
      <w:szCs w:val="17"/>
      <w:u w:val="none"/>
      <w:shd w:val="clear" w:color="auto" w:fill="auto"/>
    </w:rPr>
  </w:style>
  <w:style w:type="character" w:customStyle="1" w:styleId="CharStyle52">
    <w:name w:val="Heading #4_"/>
    <w:basedOn w:val="DefaultParagraphFont"/>
    <w:link w:val="Style51"/>
    <w:rPr>
      <w:rFonts w:ascii="SimSun" w:eastAsia="SimSun" w:hAnsi="SimSun" w:cs="SimSun"/>
      <w:b/>
      <w:bCs/>
      <w:i w:val="0"/>
      <w:iCs w:val="0"/>
      <w:smallCaps w:val="0"/>
      <w:strike w:val="0"/>
      <w:sz w:val="20"/>
      <w:szCs w:val="20"/>
      <w:u w:val="none"/>
      <w:shd w:val="clear" w:color="auto" w:fill="auto"/>
    </w:rPr>
  </w:style>
  <w:style w:type="character" w:customStyle="1" w:styleId="CharStyle61">
    <w:name w:val="Picture caption_"/>
    <w:basedOn w:val="DefaultParagraphFont"/>
    <w:link w:val="Style60"/>
    <w:rPr>
      <w:rFonts w:ascii="SimHei" w:eastAsia="SimHei" w:hAnsi="SimHei" w:cs="SimHei"/>
      <w:b w:val="0"/>
      <w:bCs w:val="0"/>
      <w:i w:val="0"/>
      <w:iCs w:val="0"/>
      <w:smallCaps w:val="0"/>
      <w:strike w:val="0"/>
      <w:color w:val="EBEBEB"/>
      <w:sz w:val="20"/>
      <w:szCs w:val="20"/>
      <w:u w:val="none"/>
      <w:shd w:val="clear" w:color="auto" w:fill="auto"/>
    </w:rPr>
  </w:style>
  <w:style w:type="character" w:customStyle="1" w:styleId="CharStyle95">
    <w:name w:val="Heading #5_"/>
    <w:basedOn w:val="DefaultParagraphFont"/>
    <w:link w:val="Style94"/>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before="700" w:after="10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5)"/>
    <w:basedOn w:val="Normal"/>
    <w:link w:val="CharStyle5"/>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5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Table of contents"/>
    <w:basedOn w:val="Normal"/>
    <w:link w:val="CharStyle16"/>
    <w:pPr>
      <w:widowControl w:val="0"/>
      <w:shd w:val="clear" w:color="auto" w:fill="auto"/>
      <w:spacing w:after="360"/>
    </w:pPr>
    <w:rPr>
      <w:rFonts w:ascii="SimSun" w:eastAsia="SimSun" w:hAnsi="SimSun" w:cs="SimSun"/>
      <w:b/>
      <w:bCs/>
      <w:i w:val="0"/>
      <w:iCs w:val="0"/>
      <w:smallCaps w:val="0"/>
      <w:strike w:val="0"/>
      <w:sz w:val="26"/>
      <w:szCs w:val="26"/>
      <w:u w:val="none"/>
      <w:shd w:val="clear" w:color="auto" w:fill="auto"/>
    </w:rPr>
  </w:style>
  <w:style w:type="paragraph" w:customStyle="1" w:styleId="Style18">
    <w:name w:val="Other"/>
    <w:basedOn w:val="Normal"/>
    <w:link w:val="CharStyle19"/>
    <w:pPr>
      <w:widowControl w:val="0"/>
      <w:shd w:val="clear" w:color="auto" w:fill="auto"/>
      <w:spacing w:line="360" w:lineRule="auto"/>
    </w:pPr>
    <w:rPr>
      <w:rFonts w:ascii="SimSun" w:eastAsia="SimSun" w:hAnsi="SimSun" w:cs="SimSun"/>
      <w:b w:val="0"/>
      <w:bCs w:val="0"/>
      <w:i w:val="0"/>
      <w:iCs w:val="0"/>
      <w:smallCaps w:val="0"/>
      <w:strike w:val="0"/>
      <w:color w:val="333333"/>
      <w:sz w:val="18"/>
      <w:szCs w:val="18"/>
      <w:u w:val="none"/>
      <w:shd w:val="clear" w:color="auto" w:fill="auto"/>
    </w:rPr>
  </w:style>
  <w:style w:type="paragraph" w:customStyle="1" w:styleId="Style22">
    <w:name w:val="Heading #2"/>
    <w:basedOn w:val="Normal"/>
    <w:link w:val="CharStyle23"/>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styleId="Style24">
    <w:name w:val="Body text"/>
    <w:basedOn w:val="Normal"/>
    <w:link w:val="CharStyle25"/>
    <w:qFormat/>
    <w:pPr>
      <w:widowControl w:val="0"/>
      <w:shd w:val="clear" w:color="auto" w:fill="auto"/>
      <w:spacing w:line="360" w:lineRule="auto"/>
    </w:pPr>
    <w:rPr>
      <w:rFonts w:ascii="SimSun" w:eastAsia="SimSun" w:hAnsi="SimSun" w:cs="SimSun"/>
      <w:b w:val="0"/>
      <w:bCs w:val="0"/>
      <w:i w:val="0"/>
      <w:iCs w:val="0"/>
      <w:smallCaps w:val="0"/>
      <w:strike w:val="0"/>
      <w:color w:val="333333"/>
      <w:sz w:val="18"/>
      <w:szCs w:val="18"/>
      <w:u w:val="none"/>
      <w:shd w:val="clear" w:color="auto" w:fill="auto"/>
    </w:rPr>
  </w:style>
  <w:style w:type="paragraph" w:customStyle="1" w:styleId="Style28">
    <w:name w:val="Heading #3"/>
    <w:basedOn w:val="Normal"/>
    <w:link w:val="CharStyle29"/>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Body text (3)"/>
    <w:basedOn w:val="Normal"/>
    <w:link w:val="CharStyle34"/>
    <w:pPr>
      <w:widowControl w:val="0"/>
      <w:shd w:val="clear" w:color="auto" w:fill="auto"/>
      <w:spacing w:line="310"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Table caption"/>
    <w:basedOn w:val="Normal"/>
    <w:link w:val="CharStyle4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1">
    <w:name w:val="Heading #4"/>
    <w:basedOn w:val="Normal"/>
    <w:link w:val="CharStyle52"/>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Picture caption"/>
    <w:basedOn w:val="Normal"/>
    <w:link w:val="CharStyle61"/>
    <w:pPr>
      <w:widowControl w:val="0"/>
      <w:shd w:val="clear" w:color="auto" w:fill="auto"/>
    </w:pPr>
    <w:rPr>
      <w:rFonts w:ascii="SimHei" w:eastAsia="SimHei" w:hAnsi="SimHei" w:cs="SimHei"/>
      <w:b w:val="0"/>
      <w:bCs w:val="0"/>
      <w:i w:val="0"/>
      <w:iCs w:val="0"/>
      <w:smallCaps w:val="0"/>
      <w:strike w:val="0"/>
      <w:color w:val="EBEBEB"/>
      <w:sz w:val="20"/>
      <w:szCs w:val="20"/>
      <w:u w:val="none"/>
      <w:shd w:val="clear" w:color="auto" w:fill="auto"/>
    </w:rPr>
  </w:style>
  <w:style w:type="paragraph" w:customStyle="1" w:styleId="Style94">
    <w:name w:val="Heading #5"/>
    <w:basedOn w:val="Normal"/>
    <w:link w:val="CharStyle95"/>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s>
</file>

<file path=docProps/core.xml><?xml version="1.0" encoding="utf-8"?>
<cp:coreProperties xmlns:cp="http://schemas.openxmlformats.org/package/2006/metadata/core-properties" xmlns:dc="http://purl.org/dc/elements/1.1/">
  <dc:title>上海信联信息发展股份有限公司2021年年度报告全文</dc:title>
  <dc:subject/>
  <dc:creator>上海信联信息发展股份有限公司</dc:creator>
  <cp:keywords/>
</cp:coreProperties>
</file>