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159" w:lineRule="exact"/>
        <w:ind w:left="310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2362975" cy="73609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362975" cy="736092"/>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8"/>
        <w:rPr>
          <w:rFonts w:ascii="Times New Roman" w:hAnsi="Times New Roman" w:cs="Times New Roman" w:eastAsia="Times New Roman" w:hint="default"/>
          <w:sz w:val="13"/>
          <w:szCs w:val="13"/>
        </w:rPr>
      </w:pPr>
    </w:p>
    <w:p>
      <w:pPr>
        <w:spacing w:line="460" w:lineRule="exact" w:before="0"/>
        <w:ind w:left="2421" w:right="2425" w:firstLine="0"/>
        <w:jc w:val="center"/>
        <w:rPr>
          <w:rFonts w:ascii="宋体" w:hAnsi="宋体" w:cs="宋体" w:eastAsia="宋体" w:hint="default"/>
          <w:sz w:val="36"/>
          <w:szCs w:val="36"/>
        </w:rPr>
      </w:pPr>
      <w:r>
        <w:rPr>
          <w:rFonts w:ascii="宋体" w:hAnsi="宋体" w:cs="宋体" w:eastAsia="宋体" w:hint="default"/>
          <w:b/>
          <w:bCs/>
          <w:sz w:val="36"/>
          <w:szCs w:val="36"/>
        </w:rPr>
        <w:t>北京万向新元科技股份有限公司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53"/>
        <w:jc w:val="left"/>
        <w:rPr>
          <w:b w:val="0"/>
          <w:bCs w:val="0"/>
        </w:rPr>
      </w:pPr>
      <w:bookmarkStart w:name="_TOC_250010"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公司负责人朱业胜、主管会计工作负责人张瑞英及会计机构负责人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孙洪涛声明：保证年度报告中财务报告的真实、准确、完整。</w:t>
      </w:r>
      <w:r>
        <w:rPr>
          <w:rFonts w:ascii="宋体" w:hAnsi="宋体" w:cs="宋体" w:eastAsia="宋体" w:hint="default"/>
          <w:sz w:val="28"/>
          <w:szCs w:val="28"/>
        </w:rPr>
      </w:r>
    </w:p>
    <w:p>
      <w:pPr>
        <w:spacing w:line="460"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、主营业务收入集中于橡胶轮胎行业客户的风险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公司的主营业务为工业智能化输送配料系统及配套设施的研发、生产和销</w:t>
      </w:r>
      <w:r>
        <w:rPr>
          <w:rFonts w:ascii="宋体" w:hAnsi="宋体" w:cs="宋体" w:eastAsia="宋体" w:hint="default"/>
          <w:spacing w:val="2"/>
          <w:sz w:val="28"/>
          <w:szCs w:val="28"/>
        </w:rPr>
      </w:r>
    </w:p>
    <w:p>
      <w:pPr>
        <w:spacing w:line="408" w:lineRule="auto" w:before="0"/>
        <w:ind w:left="152" w:right="151" w:firstLine="0"/>
        <w:jc w:val="both"/>
        <w:rPr>
          <w:rFonts w:ascii="宋体" w:hAnsi="宋体" w:cs="宋体" w:eastAsia="宋体" w:hint="default"/>
          <w:sz w:val="28"/>
          <w:szCs w:val="28"/>
        </w:rPr>
      </w:pPr>
      <w:r>
        <w:rPr>
          <w:rFonts w:ascii="宋体" w:hAnsi="宋体" w:cs="宋体" w:eastAsia="宋体" w:hint="default"/>
          <w:b/>
          <w:bCs/>
          <w:sz w:val="28"/>
          <w:szCs w:val="28"/>
        </w:rPr>
        <w:t>售，</w:t>
      </w:r>
      <w:r>
        <w:rPr>
          <w:rFonts w:ascii="宋体" w:hAnsi="宋体" w:cs="宋体" w:eastAsia="宋体" w:hint="default"/>
          <w:b/>
          <w:bCs/>
          <w:spacing w:val="-59"/>
          <w:sz w:val="28"/>
          <w:szCs w:val="28"/>
        </w:rPr>
        <w:t> </w:t>
      </w:r>
      <w:r>
        <w:rPr>
          <w:rFonts w:ascii="宋体" w:hAnsi="宋体" w:cs="宋体" w:eastAsia="宋体" w:hint="default"/>
          <w:b/>
          <w:bCs/>
          <w:sz w:val="28"/>
          <w:szCs w:val="28"/>
        </w:rPr>
        <w:t>是工业智能化应用的重要组成部分，可满足工业生产过程中各种原材料的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全程自动输送、贮存、称重配料与投料的工艺要求，在减轻劳动强度、提升劳</w:t>
      </w:r>
      <w:r>
        <w:rPr>
          <w:rFonts w:ascii="宋体" w:hAnsi="宋体" w:cs="宋体" w:eastAsia="宋体" w:hint="default"/>
          <w:b/>
          <w:bCs/>
          <w:w w:val="99"/>
          <w:sz w:val="28"/>
          <w:szCs w:val="28"/>
        </w:rPr>
        <w:t> </w:t>
      </w:r>
      <w:r>
        <w:rPr>
          <w:rFonts w:ascii="宋体" w:hAnsi="宋体" w:cs="宋体" w:eastAsia="宋体" w:hint="default"/>
          <w:b/>
          <w:bCs/>
          <w:sz w:val="28"/>
          <w:szCs w:val="28"/>
        </w:rPr>
        <w:t>动保护的同时可提升工业企业的经济效益与环境效益，</w:t>
      </w:r>
      <w:r>
        <w:rPr>
          <w:rFonts w:ascii="宋体" w:hAnsi="宋体" w:cs="宋体" w:eastAsia="宋体" w:hint="default"/>
          <w:b/>
          <w:bCs/>
          <w:spacing w:val="-60"/>
          <w:sz w:val="28"/>
          <w:szCs w:val="28"/>
        </w:rPr>
        <w:t> </w:t>
      </w:r>
      <w:r>
        <w:rPr>
          <w:rFonts w:ascii="宋体" w:hAnsi="宋体" w:cs="宋体" w:eastAsia="宋体" w:hint="default"/>
          <w:b/>
          <w:bCs/>
          <w:sz w:val="28"/>
          <w:szCs w:val="28"/>
        </w:rPr>
        <w:t>智能化输送配料系统可</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广泛应用于橡胶轮胎、电线电缆、石油化工、建材装饰等行业。若该行业整体</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处于低迷期，则将对公司主营业务产生不利影响。</w:t>
      </w:r>
      <w:r>
        <w:rPr>
          <w:rFonts w:ascii="宋体" w:hAnsi="宋体" w:cs="宋体" w:eastAsia="宋体" w:hint="default"/>
          <w:sz w:val="28"/>
          <w:szCs w:val="28"/>
        </w:rPr>
      </w:r>
    </w:p>
    <w:p>
      <w:pPr>
        <w:spacing w:line="408" w:lineRule="auto" w:before="162"/>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公司近年来加大了对环保、化工、建材、新材料等其他行业客户的市场开</w:t>
      </w:r>
      <w:r>
        <w:rPr>
          <w:rFonts w:ascii="宋体" w:hAnsi="宋体" w:cs="宋体" w:eastAsia="宋体" w:hint="default"/>
          <w:b/>
          <w:bCs/>
          <w:w w:val="99"/>
          <w:sz w:val="28"/>
          <w:szCs w:val="28"/>
        </w:rPr>
        <w:t> </w:t>
      </w:r>
      <w:r>
        <w:rPr>
          <w:rFonts w:ascii="宋体" w:hAnsi="宋体" w:cs="宋体" w:eastAsia="宋体" w:hint="default"/>
          <w:b/>
          <w:bCs/>
          <w:spacing w:val="2"/>
          <w:sz w:val="28"/>
          <w:szCs w:val="28"/>
        </w:rPr>
        <w:t>拓力度，在保持业绩稳步增长的情况下，保持竞争优势，提高创新能力，努力</w:t>
      </w:r>
      <w:r>
        <w:rPr>
          <w:rFonts w:ascii="宋体" w:hAnsi="宋体" w:cs="宋体" w:eastAsia="宋体" w:hint="default"/>
          <w:b/>
          <w:bCs/>
          <w:w w:val="99"/>
          <w:sz w:val="28"/>
          <w:szCs w:val="28"/>
        </w:rPr>
        <w:t> </w:t>
      </w:r>
      <w:r>
        <w:rPr>
          <w:rFonts w:ascii="宋体" w:hAnsi="宋体" w:cs="宋体" w:eastAsia="宋体" w:hint="default"/>
          <w:b/>
          <w:bCs/>
          <w:sz w:val="28"/>
          <w:szCs w:val="28"/>
        </w:rPr>
        <w:t>将公司的业务发展得更加多元化。</w:t>
      </w:r>
      <w:r>
        <w:rPr>
          <w:rFonts w:ascii="宋体" w:hAnsi="宋体" w:cs="宋体" w:eastAsia="宋体" w:hint="default"/>
          <w:sz w:val="28"/>
          <w:szCs w:val="28"/>
        </w:rPr>
      </w:r>
    </w:p>
    <w:p>
      <w:pPr>
        <w:spacing w:line="448" w:lineRule="auto" w:before="160"/>
        <w:ind w:left="714" w:right="1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、市场竞争的风险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目前国内市场上具有规模化的工业自动配料系统生产企业较少，国内企业</w:t>
      </w:r>
      <w:r>
        <w:rPr>
          <w:rFonts w:ascii="宋体" w:hAnsi="宋体" w:cs="宋体" w:eastAsia="宋体" w:hint="default"/>
          <w:spacing w:val="2"/>
          <w:sz w:val="28"/>
          <w:szCs w:val="28"/>
        </w:rPr>
      </w:r>
    </w:p>
    <w:p>
      <w:pPr>
        <w:spacing w:before="14"/>
        <w:ind w:left="15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主要有软控股份及本公司，基本主导了国内橡胶轮胎行业的智能化输送配料系</w:t>
      </w:r>
      <w:r>
        <w:rPr>
          <w:rFonts w:ascii="宋体" w:hAnsi="宋体" w:cs="宋体" w:eastAsia="宋体" w:hint="default"/>
          <w:spacing w:val="2"/>
          <w:sz w:val="28"/>
          <w:szCs w:val="28"/>
        </w:rPr>
      </w:r>
    </w:p>
    <w:p>
      <w:pPr>
        <w:spacing w:after="0"/>
        <w:jc w:val="both"/>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8" w:lineRule="auto" w:before="14"/>
        <w:ind w:left="152" w:right="161" w:firstLine="0"/>
        <w:jc w:val="both"/>
        <w:rPr>
          <w:rFonts w:ascii="宋体" w:hAnsi="宋体" w:cs="宋体" w:eastAsia="宋体" w:hint="default"/>
          <w:sz w:val="28"/>
          <w:szCs w:val="28"/>
        </w:rPr>
      </w:pPr>
      <w:r>
        <w:rPr>
          <w:rFonts w:ascii="宋体" w:hAnsi="宋体" w:cs="宋体" w:eastAsia="宋体" w:hint="default"/>
          <w:b/>
          <w:bCs/>
          <w:spacing w:val="2"/>
          <w:sz w:val="28"/>
          <w:szCs w:val="28"/>
        </w:rPr>
        <w:t>统市场。虽然本公司在智能输送配料系统产品生产方面积累了丰富的经验，亦</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在上述产品研发、生产中取得多项专利、非专利技术等，但若其他竞争者进入</w:t>
      </w:r>
      <w:r>
        <w:rPr>
          <w:rFonts w:ascii="宋体" w:hAnsi="宋体" w:cs="宋体" w:eastAsia="宋体" w:hint="default"/>
          <w:b/>
          <w:bCs/>
          <w:w w:val="99"/>
          <w:sz w:val="28"/>
          <w:szCs w:val="28"/>
        </w:rPr>
        <w:t> </w:t>
      </w:r>
      <w:r>
        <w:rPr>
          <w:rFonts w:ascii="宋体" w:hAnsi="宋体" w:cs="宋体" w:eastAsia="宋体" w:hint="default"/>
          <w:b/>
          <w:bCs/>
          <w:sz w:val="28"/>
          <w:szCs w:val="28"/>
        </w:rPr>
        <w:t>本行业将加剧公司面临市场竞争风险。</w:t>
      </w:r>
      <w:r>
        <w:rPr>
          <w:rFonts w:ascii="宋体" w:hAnsi="宋体" w:cs="宋体" w:eastAsia="宋体" w:hint="default"/>
          <w:sz w:val="28"/>
          <w:szCs w:val="28"/>
        </w:rPr>
      </w:r>
    </w:p>
    <w:p>
      <w:pPr>
        <w:spacing w:line="408" w:lineRule="auto" w:before="162"/>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面对激烈的市场竞争，公司将通过过硬的产品质量、专业化的服务树立品</w:t>
      </w:r>
      <w:r>
        <w:rPr>
          <w:rFonts w:ascii="宋体" w:hAnsi="宋体" w:cs="宋体" w:eastAsia="宋体" w:hint="default"/>
          <w:b/>
          <w:bCs/>
          <w:w w:val="99"/>
          <w:sz w:val="28"/>
          <w:szCs w:val="28"/>
        </w:rPr>
        <w:t> </w:t>
      </w:r>
      <w:r>
        <w:rPr>
          <w:rFonts w:ascii="宋体" w:hAnsi="宋体" w:cs="宋体" w:eastAsia="宋体" w:hint="default"/>
          <w:b/>
          <w:bCs/>
          <w:spacing w:val="2"/>
          <w:sz w:val="28"/>
          <w:szCs w:val="28"/>
        </w:rPr>
        <w:t>牌形象，增强客户稳定性；加大研发投入，提高产品技术含量，增强公司的核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心竞争力；不断跟踪新的应用需求，不断推出新技术产品，使公司产品在上述</w:t>
      </w:r>
      <w:r>
        <w:rPr>
          <w:rFonts w:ascii="宋体" w:hAnsi="宋体" w:cs="宋体" w:eastAsia="宋体" w:hint="default"/>
          <w:b/>
          <w:bCs/>
          <w:w w:val="99"/>
          <w:sz w:val="28"/>
          <w:szCs w:val="28"/>
        </w:rPr>
        <w:t> </w:t>
      </w:r>
      <w:r>
        <w:rPr>
          <w:rFonts w:ascii="宋体" w:hAnsi="宋体" w:cs="宋体" w:eastAsia="宋体" w:hint="default"/>
          <w:b/>
          <w:bCs/>
          <w:sz w:val="28"/>
          <w:szCs w:val="28"/>
        </w:rPr>
        <w:t>细分市场领域中始终保持着领先的优势。</w:t>
      </w:r>
      <w:r>
        <w:rPr>
          <w:rFonts w:ascii="宋体" w:hAnsi="宋体" w:cs="宋体" w:eastAsia="宋体" w:hint="default"/>
          <w:sz w:val="28"/>
          <w:szCs w:val="28"/>
        </w:rPr>
      </w:r>
    </w:p>
    <w:p>
      <w:pPr>
        <w:spacing w:line="448" w:lineRule="auto" w:before="160"/>
        <w:ind w:left="714" w:right="1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、技术泄密的风险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公司主营产品科技含量较高，在核心关键技术上拥有自主知识产权，且多</w:t>
      </w:r>
      <w:r>
        <w:rPr>
          <w:rFonts w:ascii="宋体" w:hAnsi="宋体" w:cs="宋体" w:eastAsia="宋体" w:hint="default"/>
          <w:spacing w:val="2"/>
          <w:sz w:val="28"/>
          <w:szCs w:val="28"/>
        </w:rPr>
      </w:r>
    </w:p>
    <w:p>
      <w:pPr>
        <w:spacing w:line="408" w:lineRule="auto" w:before="14"/>
        <w:ind w:left="152" w:right="161" w:firstLine="0"/>
        <w:jc w:val="both"/>
        <w:rPr>
          <w:rFonts w:ascii="宋体" w:hAnsi="宋体" w:cs="宋体" w:eastAsia="宋体" w:hint="default"/>
          <w:sz w:val="28"/>
          <w:szCs w:val="28"/>
        </w:rPr>
      </w:pPr>
      <w:r>
        <w:rPr>
          <w:rFonts w:ascii="宋体" w:hAnsi="宋体" w:cs="宋体" w:eastAsia="宋体" w:hint="default"/>
          <w:b/>
          <w:bCs/>
          <w:spacing w:val="2"/>
          <w:sz w:val="28"/>
          <w:szCs w:val="28"/>
        </w:rPr>
        <w:t>项核心技术为行业领先技术。公司多项关键技术由少数核心技术人员掌握，存</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在技术泄密风险。如果出现技术外泄或者核心技术人员外流的情况，将会对公</w:t>
      </w:r>
      <w:r>
        <w:rPr>
          <w:rFonts w:ascii="宋体" w:hAnsi="宋体" w:cs="宋体" w:eastAsia="宋体" w:hint="default"/>
          <w:b/>
          <w:bCs/>
          <w:w w:val="99"/>
          <w:sz w:val="28"/>
          <w:szCs w:val="28"/>
        </w:rPr>
        <w:t> </w:t>
      </w:r>
      <w:r>
        <w:rPr>
          <w:rFonts w:ascii="宋体" w:hAnsi="宋体" w:cs="宋体" w:eastAsia="宋体" w:hint="default"/>
          <w:b/>
          <w:bCs/>
          <w:sz w:val="28"/>
          <w:szCs w:val="28"/>
        </w:rPr>
        <w:t>司创新能力的保持和竞争优势的延续造成较大的影响。</w:t>
      </w:r>
      <w:r>
        <w:rPr>
          <w:rFonts w:ascii="宋体" w:hAnsi="宋体" w:cs="宋体" w:eastAsia="宋体" w:hint="default"/>
          <w:sz w:val="28"/>
          <w:szCs w:val="28"/>
        </w:rPr>
      </w:r>
    </w:p>
    <w:p>
      <w:pPr>
        <w:spacing w:line="408" w:lineRule="auto" w:before="162"/>
        <w:ind w:left="152" w:right="153" w:firstLine="562"/>
        <w:jc w:val="both"/>
        <w:rPr>
          <w:rFonts w:ascii="宋体" w:hAnsi="宋体" w:cs="宋体" w:eastAsia="宋体" w:hint="default"/>
          <w:sz w:val="28"/>
          <w:szCs w:val="28"/>
        </w:rPr>
      </w:pPr>
      <w:r>
        <w:rPr>
          <w:rFonts w:ascii="宋体" w:hAnsi="宋体" w:cs="宋体" w:eastAsia="宋体" w:hint="default"/>
          <w:b/>
          <w:bCs/>
          <w:spacing w:val="2"/>
          <w:sz w:val="28"/>
          <w:szCs w:val="28"/>
        </w:rPr>
        <w:t>近年来公司核心技术人员保持稳定，未发生离职情况，同时为防止技术泄</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密，公司与核心技术人员签订了《保密协议》，约定了保密条款。公司将进一步</w:t>
      </w:r>
      <w:r>
        <w:rPr>
          <w:rFonts w:ascii="宋体" w:hAnsi="宋体" w:cs="宋体" w:eastAsia="宋体" w:hint="default"/>
          <w:b/>
          <w:bCs/>
          <w:spacing w:val="-125"/>
          <w:w w:val="99"/>
          <w:sz w:val="28"/>
          <w:szCs w:val="28"/>
        </w:rPr>
        <w:t> </w:t>
      </w:r>
      <w:r>
        <w:rPr>
          <w:rFonts w:ascii="宋体" w:hAnsi="宋体" w:cs="宋体" w:eastAsia="宋体" w:hint="default"/>
          <w:b/>
          <w:bCs/>
          <w:spacing w:val="-125"/>
          <w:w w:val="99"/>
          <w:sz w:val="28"/>
          <w:szCs w:val="28"/>
        </w:rPr>
      </w:r>
      <w:r>
        <w:rPr>
          <w:rFonts w:ascii="宋体" w:hAnsi="宋体" w:cs="宋体" w:eastAsia="宋体" w:hint="default"/>
          <w:b/>
          <w:bCs/>
          <w:spacing w:val="2"/>
          <w:sz w:val="28"/>
          <w:szCs w:val="28"/>
        </w:rPr>
        <w:t>完善内控制度，并通过激励措施稳定核心技术人员，最大程度的防止技术秘密</w:t>
      </w:r>
      <w:r>
        <w:rPr>
          <w:rFonts w:ascii="宋体" w:hAnsi="宋体" w:cs="宋体" w:eastAsia="宋体" w:hint="default"/>
          <w:b/>
          <w:bCs/>
          <w:w w:val="99"/>
          <w:sz w:val="28"/>
          <w:szCs w:val="28"/>
        </w:rPr>
        <w:t> </w:t>
      </w:r>
      <w:r>
        <w:rPr>
          <w:rFonts w:ascii="宋体" w:hAnsi="宋体" w:cs="宋体" w:eastAsia="宋体" w:hint="default"/>
          <w:b/>
          <w:bCs/>
          <w:sz w:val="28"/>
          <w:szCs w:val="28"/>
        </w:rPr>
        <w:t>泄露。</w:t>
      </w:r>
      <w:r>
        <w:rPr>
          <w:rFonts w:ascii="宋体" w:hAnsi="宋体" w:cs="宋体" w:eastAsia="宋体" w:hint="default"/>
          <w:sz w:val="28"/>
          <w:szCs w:val="28"/>
        </w:rPr>
      </w:r>
    </w:p>
    <w:p>
      <w:pPr>
        <w:spacing w:before="160"/>
        <w:ind w:left="714" w:right="1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、汇率变动引起的风险</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line="400" w:lineRule="auto" w:before="0"/>
        <w:ind w:left="152" w:right="152" w:firstLine="562"/>
        <w:jc w:val="both"/>
        <w:rPr>
          <w:rFonts w:ascii="宋体" w:hAnsi="宋体" w:cs="宋体" w:eastAsia="宋体" w:hint="default"/>
          <w:sz w:val="28"/>
          <w:szCs w:val="28"/>
        </w:rPr>
      </w:pPr>
      <w:r>
        <w:rPr>
          <w:rFonts w:ascii="宋体" w:hAnsi="宋体" w:cs="宋体" w:eastAsia="宋体" w:hint="default"/>
          <w:b/>
          <w:bCs/>
          <w:sz w:val="28"/>
          <w:szCs w:val="28"/>
        </w:rPr>
        <w:t>自 </w:t>
      </w:r>
      <w:r>
        <w:rPr>
          <w:rFonts w:ascii="Times New Roman" w:hAnsi="Times New Roman" w:cs="Times New Roman" w:eastAsia="Times New Roman" w:hint="default"/>
          <w:b/>
          <w:bCs/>
          <w:sz w:val="28"/>
          <w:szCs w:val="28"/>
        </w:rPr>
        <w:t>2005</w:t>
      </w:r>
      <w:r>
        <w:rPr>
          <w:rFonts w:ascii="Times New Roman" w:hAnsi="Times New Roman" w:cs="Times New Roman" w:eastAsia="Times New Roman" w:hint="default"/>
          <w:b/>
          <w:bCs/>
          <w:spacing w:val="8"/>
          <w:sz w:val="28"/>
          <w:szCs w:val="28"/>
        </w:rPr>
        <w:t> </w:t>
      </w:r>
      <w:r>
        <w:rPr>
          <w:rFonts w:ascii="宋体" w:hAnsi="宋体" w:cs="宋体" w:eastAsia="宋体" w:hint="default"/>
          <w:b/>
          <w:bCs/>
          <w:spacing w:val="2"/>
          <w:sz w:val="28"/>
          <w:szCs w:val="28"/>
        </w:rPr>
        <w:t>年汇率改革以来，人民币对外币汇率实行有管理的浮动，随着汇</w:t>
      </w:r>
      <w:r>
        <w:rPr>
          <w:rFonts w:ascii="宋体" w:hAnsi="宋体" w:cs="宋体" w:eastAsia="宋体" w:hint="default"/>
          <w:b/>
          <w:bCs/>
          <w:w w:val="99"/>
          <w:sz w:val="28"/>
          <w:szCs w:val="28"/>
        </w:rPr>
        <w:t> </w:t>
      </w:r>
      <w:r>
        <w:rPr>
          <w:rFonts w:ascii="宋体" w:hAnsi="宋体" w:cs="宋体" w:eastAsia="宋体" w:hint="default"/>
          <w:b/>
          <w:bCs/>
          <w:sz w:val="28"/>
          <w:szCs w:val="28"/>
        </w:rPr>
        <w:t>率市场化进程的推进，</w:t>
      </w:r>
      <w:r>
        <w:rPr>
          <w:rFonts w:ascii="宋体" w:hAnsi="宋体" w:cs="宋体" w:eastAsia="宋体" w:hint="default"/>
          <w:b/>
          <w:bCs/>
          <w:spacing w:val="-61"/>
          <w:sz w:val="28"/>
          <w:szCs w:val="28"/>
        </w:rPr>
        <w:t> </w:t>
      </w:r>
      <w:r>
        <w:rPr>
          <w:rFonts w:ascii="宋体" w:hAnsi="宋体" w:cs="宋体" w:eastAsia="宋体" w:hint="default"/>
          <w:b/>
          <w:bCs/>
          <w:sz w:val="28"/>
          <w:szCs w:val="28"/>
        </w:rPr>
        <w:t>以外币为结算币种的企业出口业务将承担较大的汇率波</w:t>
      </w:r>
      <w:r>
        <w:rPr>
          <w:rFonts w:ascii="宋体" w:hAnsi="宋体" w:cs="宋体" w:eastAsia="宋体" w:hint="default"/>
          <w:b/>
          <w:bCs/>
          <w:w w:val="99"/>
          <w:sz w:val="28"/>
          <w:szCs w:val="28"/>
        </w:rPr>
        <w:t> </w:t>
      </w:r>
      <w:r>
        <w:rPr>
          <w:rFonts w:ascii="宋体" w:hAnsi="宋体" w:cs="宋体" w:eastAsia="宋体" w:hint="default"/>
          <w:b/>
          <w:bCs/>
          <w:sz w:val="28"/>
          <w:szCs w:val="28"/>
        </w:rPr>
        <w:t>动风险。</w:t>
      </w:r>
      <w:r>
        <w:rPr>
          <w:rFonts w:ascii="宋体" w:hAnsi="宋体" w:cs="宋体" w:eastAsia="宋体" w:hint="default"/>
          <w:b/>
          <w:bCs/>
          <w:spacing w:val="-59"/>
          <w:sz w:val="28"/>
          <w:szCs w:val="28"/>
        </w:rPr>
        <w:t> </w:t>
      </w:r>
      <w:r>
        <w:rPr>
          <w:rFonts w:ascii="宋体" w:hAnsi="宋体" w:cs="宋体" w:eastAsia="宋体" w:hint="default"/>
          <w:b/>
          <w:bCs/>
          <w:sz w:val="28"/>
          <w:szCs w:val="28"/>
        </w:rPr>
        <w:t>随着近年来公司对国外市场的拓展力度加大，公司技术水平和产品质</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量得到国外客户的高度认可，出口业务有了较快的发展。虽然公司通过多种方</w:t>
      </w:r>
      <w:r>
        <w:rPr>
          <w:rFonts w:ascii="宋体" w:hAnsi="宋体" w:cs="宋体" w:eastAsia="宋体" w:hint="default"/>
          <w:spacing w:val="2"/>
          <w:sz w:val="28"/>
          <w:szCs w:val="28"/>
        </w:rPr>
      </w:r>
    </w:p>
    <w:p>
      <w:pPr>
        <w:spacing w:after="0" w:line="400" w:lineRule="auto"/>
        <w:jc w:val="both"/>
        <w:rPr>
          <w:rFonts w:ascii="宋体" w:hAnsi="宋体" w:cs="宋体" w:eastAsia="宋体" w:hint="default"/>
          <w:sz w:val="28"/>
          <w:szCs w:val="2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4"/>
        <w:ind w:left="152" w:right="149" w:firstLine="0"/>
        <w:jc w:val="left"/>
        <w:rPr>
          <w:rFonts w:ascii="宋体" w:hAnsi="宋体" w:cs="宋体" w:eastAsia="宋体" w:hint="default"/>
          <w:sz w:val="28"/>
          <w:szCs w:val="28"/>
        </w:rPr>
      </w:pPr>
      <w:r>
        <w:rPr>
          <w:rFonts w:ascii="宋体" w:hAnsi="宋体" w:cs="宋体" w:eastAsia="宋体" w:hint="default"/>
          <w:b/>
          <w:bCs/>
          <w:spacing w:val="2"/>
          <w:sz w:val="28"/>
          <w:szCs w:val="28"/>
        </w:rPr>
        <w:t>式有效降低了汇率风险对公司效益的影响，但是公司进出口业务仍面临一定的</w:t>
      </w:r>
      <w:r>
        <w:rPr>
          <w:rFonts w:ascii="宋体" w:hAnsi="宋体" w:cs="宋体" w:eastAsia="宋体" w:hint="default"/>
          <w:b/>
          <w:bCs/>
          <w:w w:val="99"/>
          <w:sz w:val="28"/>
          <w:szCs w:val="28"/>
        </w:rPr>
        <w:t> </w:t>
      </w:r>
      <w:r>
        <w:rPr>
          <w:rFonts w:ascii="宋体" w:hAnsi="宋体" w:cs="宋体" w:eastAsia="宋体" w:hint="default"/>
          <w:b/>
          <w:bCs/>
          <w:sz w:val="28"/>
          <w:szCs w:val="28"/>
        </w:rPr>
        <w:t>汇率波动风险。</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66,670,000</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0.8</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2" w:right="153"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before="278"/>
            <w:ind w:right="0"/>
            <w:jc w:val="left"/>
            <w:rPr>
              <w:rFonts w:ascii="Times New Roman" w:hAnsi="Times New Roman" w:cs="Times New Roman" w:eastAsia="Times New Roman" w:hint="default"/>
              <w:b w:val="0"/>
              <w:bCs w:val="0"/>
            </w:rPr>
          </w:pPr>
          <w:hyperlink w:history="true" w:anchor="_TOC_250009">
            <w:r>
              <w:rPr/>
              <w:t>第二节 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before="275"/>
            <w:ind w:right="0"/>
            <w:jc w:val="left"/>
            <w:rPr>
              <w:rFonts w:ascii="Times New Roman" w:hAnsi="Times New Roman" w:cs="Times New Roman" w:eastAsia="Times New Roman" w:hint="default"/>
              <w:b w:val="0"/>
              <w:bCs w:val="0"/>
            </w:rPr>
          </w:pPr>
          <w:hyperlink w:history="true" w:anchor="_TOC_250008">
            <w:r>
              <w:rPr/>
              <w:t>第三节 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 管理层讨论与分析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 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TOC_250005">
            <w:r>
              <w:rPr/>
              <w:t>第六节 股份变动及股东情况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 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 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TOC_250002">
            <w:r>
              <w:rPr/>
              <w:t>第九节 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 财务报告</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135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980"/>
        </w:sectPr>
      </w:pPr>
    </w:p>
    <w:p>
      <w:pPr>
        <w:spacing w:before="945"/>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610"/>
        <w:gridCol w:w="5425"/>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公司、本公司、新元科技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北京万向新元科技股份有限公司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四方同兴</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北京四方同兴机电技术开发有限公司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芜湖万向</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芜湖万向新元环保科技有限公司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万向工程</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北京万向新元工程技术有限公司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天津京万</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天津京万科技有限公司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世纪万向</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北京世纪万向投资咨询有限公司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苏州思科</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苏州思科华泽创业投资中心（有限合伙）</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天津智泉</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56" w:lineRule="auto" w:before="28"/>
              <w:ind w:left="17" w:right="81"/>
              <w:jc w:val="left"/>
              <w:rPr>
                <w:rFonts w:ascii="宋体" w:hAnsi="宋体" w:cs="宋体" w:eastAsia="宋体" w:hint="default"/>
                <w:sz w:val="21"/>
                <w:szCs w:val="21"/>
              </w:rPr>
            </w:pPr>
            <w:r>
              <w:rPr>
                <w:rFonts w:ascii="宋体" w:hAnsi="宋体" w:cs="宋体" w:eastAsia="宋体" w:hint="default"/>
                <w:sz w:val="21"/>
                <w:szCs w:val="21"/>
              </w:rPr>
              <w:t>天津智泉股权投资基金有限公司，</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月更名为新疆</w:t>
            </w:r>
            <w:r>
              <w:rPr>
                <w:rFonts w:ascii="宋体" w:hAnsi="宋体" w:cs="宋体" w:eastAsia="宋体" w:hint="default"/>
                <w:w w:val="100"/>
                <w:sz w:val="21"/>
                <w:szCs w:val="21"/>
              </w:rPr>
              <w:t> </w:t>
            </w:r>
            <w:r>
              <w:rPr>
                <w:rFonts w:ascii="宋体" w:hAnsi="宋体" w:cs="宋体" w:eastAsia="宋体" w:hint="default"/>
                <w:sz w:val="21"/>
                <w:szCs w:val="21"/>
              </w:rPr>
              <w:t>智泉股权投资有限公司</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新疆智泉</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73" w:lineRule="auto" w:before="28"/>
              <w:ind w:left="17" w:right="16"/>
              <w:jc w:val="left"/>
              <w:rPr>
                <w:rFonts w:ascii="宋体" w:hAnsi="宋体" w:cs="宋体" w:eastAsia="宋体" w:hint="default"/>
                <w:sz w:val="21"/>
                <w:szCs w:val="21"/>
              </w:rPr>
            </w:pPr>
            <w:r>
              <w:rPr>
                <w:rFonts w:ascii="宋体" w:hAnsi="宋体" w:cs="宋体" w:eastAsia="宋体" w:hint="default"/>
                <w:spacing w:val="-5"/>
                <w:w w:val="100"/>
                <w:sz w:val="21"/>
                <w:szCs w:val="21"/>
              </w:rPr>
              <w:t>新疆智泉股权投资有限公司，原名天津智泉股权投资基金有</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限公司</w:t>
            </w:r>
          </w:p>
        </w:tc>
      </w:tr>
      <w:tr>
        <w:trPr>
          <w:trHeight w:val="391"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芜湖润瑞</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芜湖润瑞投资管理有限公司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北京万向新元科技股份有限公司董事会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北京万向新元科技股份有限公司监事会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北京万向新元科技股份有限公司股东大会</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53"/>
        <w:jc w:val="left"/>
        <w:rPr>
          <w:b w:val="0"/>
          <w:bCs w:val="0"/>
        </w:rPr>
      </w:pPr>
      <w:bookmarkStart w:name="_TOC_250009"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pict>
          <v:shape style="position:absolute;margin-left:163.099197pt;margin-top:94.635597pt;width:370.75pt;height:19.6pt;mso-position-horizontal-relative:page;mso-position-vertical-relative:paragraph;z-index:-701392"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group style="position:absolute;margin-left:172.339996pt;margin-top:94.635597pt;width:361.55pt;height:19.6pt;mso-position-horizontal-relative:page;mso-position-vertical-relative:paragraph;z-index:-701368" coordorigin="3447,1893" coordsize="7231,392">
            <v:shape style="position:absolute;left:3447;top:1893;width:7231;height:392" coordorigin="3447,1893" coordsize="7231,392" path="m3447,2284l10677,2284,10677,1893,3447,1893,3447,2284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新元科技</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left"/>
              <w:rPr>
                <w:rFonts w:ascii="Times New Roman" w:hAnsi="Times New Roman" w:cs="Times New Roman" w:eastAsia="Times New Roman" w:hint="default"/>
                <w:sz w:val="21"/>
                <w:szCs w:val="21"/>
              </w:rPr>
            </w:pPr>
            <w:r>
              <w:rPr>
                <w:rFonts w:ascii="Times New Roman"/>
                <w:sz w:val="21"/>
              </w:rPr>
              <w:t>300472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北京万向新元科技股份有限公司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新元科技</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Beijing New Universal Science and </w:t>
            </w:r>
            <w:r>
              <w:rPr>
                <w:rFonts w:ascii="Times New Roman"/>
                <w:spacing w:val="-3"/>
                <w:sz w:val="21"/>
              </w:rPr>
              <w:t>Technology </w:t>
            </w:r>
            <w:r>
              <w:rPr>
                <w:rFonts w:ascii="Times New Roman"/>
                <w:sz w:val="21"/>
              </w:rPr>
              <w:t>Co.,</w:t>
            </w:r>
            <w:r>
              <w:rPr>
                <w:rFonts w:ascii="Times New Roman"/>
                <w:spacing w:val="-3"/>
                <w:sz w:val="21"/>
              </w:rPr>
              <w:t> </w:t>
            </w:r>
            <w:r>
              <w:rPr>
                <w:rFonts w:ascii="Times New Roman"/>
                <w:sz w:val="21"/>
              </w:rPr>
              <w:t>Ltd.</w:t>
            </w:r>
          </w:p>
        </w:tc>
      </w:tr>
      <w:tr>
        <w:trPr>
          <w:trHeight w:val="716"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7"/>
              <w:jc w:val="left"/>
              <w:rPr>
                <w:rFonts w:ascii="宋体" w:hAnsi="宋体" w:cs="宋体" w:eastAsia="宋体" w:hint="default"/>
                <w:sz w:val="21"/>
                <w:szCs w:val="21"/>
              </w:rPr>
            </w:pPr>
            <w:r>
              <w:rPr>
                <w:rFonts w:ascii="宋体" w:hAnsi="宋体" w:cs="宋体" w:eastAsia="宋体" w:hint="default"/>
                <w:spacing w:val="-9"/>
                <w:w w:val="100"/>
                <w:sz w:val="21"/>
                <w:szCs w:val="21"/>
              </w:rPr>
              <w:t>公司的外文名称缩写（如</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NEWU</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朱业胜</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北京市海淀区阜成路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号新洲商务大厦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409 </w:t>
            </w:r>
            <w:r>
              <w:rPr>
                <w:rFonts w:ascii="宋体" w:hAnsi="宋体" w:cs="宋体" w:eastAsia="宋体" w:hint="default"/>
                <w:spacing w:val="-3"/>
                <w:sz w:val="21"/>
                <w:szCs w:val="21"/>
              </w:rPr>
              <w:t>房间</w:t>
            </w:r>
            <w:r>
              <w:rPr>
                <w:rFonts w:ascii="宋体" w:hAnsi="宋体" w:cs="宋体" w:eastAsia="宋体" w:hint="default"/>
                <w:sz w:val="21"/>
                <w:szCs w:val="21"/>
              </w:rPr>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100142</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北京市海淀区阜成路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号新洲商务大厦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409 </w:t>
            </w:r>
            <w:r>
              <w:rPr>
                <w:rFonts w:ascii="宋体" w:hAnsi="宋体" w:cs="宋体" w:eastAsia="宋体" w:hint="default"/>
                <w:spacing w:val="-3"/>
                <w:sz w:val="21"/>
                <w:szCs w:val="21"/>
              </w:rPr>
              <w:t>房间</w:t>
            </w:r>
            <w:r>
              <w:rPr>
                <w:rFonts w:ascii="宋体" w:hAnsi="宋体" w:cs="宋体" w:eastAsia="宋体" w:hint="default"/>
                <w:sz w:val="21"/>
                <w:szCs w:val="21"/>
              </w:rPr>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100142</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hyperlink r:id="rId9">
              <w:r>
                <w:rPr>
                  <w:rFonts w:ascii="Times New Roman"/>
                  <w:sz w:val="21"/>
                </w:rPr>
                <w:t>www.newu.com.cn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hyperlink r:id="rId10">
              <w:r>
                <w:rPr>
                  <w:rFonts w:ascii="Times New Roman"/>
                  <w:sz w:val="21"/>
                </w:rPr>
                <w:t>newu@newu.com.cn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潘帮南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朱强男</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28"/>
              <w:ind w:left="17" w:right="0"/>
              <w:jc w:val="left"/>
              <w:rPr>
                <w:rFonts w:ascii="宋体" w:hAnsi="宋体" w:cs="宋体" w:eastAsia="宋体" w:hint="default"/>
                <w:sz w:val="21"/>
                <w:szCs w:val="21"/>
              </w:rPr>
            </w:pPr>
            <w:r>
              <w:rPr>
                <w:rFonts w:ascii="宋体" w:hAnsi="宋体" w:cs="宋体" w:eastAsia="宋体" w:hint="default"/>
                <w:sz w:val="21"/>
                <w:szCs w:val="21"/>
              </w:rPr>
              <w:t>北京市海淀区阜成路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号新洲商</w:t>
            </w:r>
          </w:p>
          <w:p>
            <w:pPr>
              <w:pStyle w:val="TableParagraph"/>
              <w:spacing w:line="240" w:lineRule="auto" w:before="21"/>
              <w:ind w:left="17" w:right="0"/>
              <w:jc w:val="left"/>
              <w:rPr>
                <w:rFonts w:ascii="宋体" w:hAnsi="宋体" w:cs="宋体" w:eastAsia="宋体" w:hint="default"/>
                <w:sz w:val="21"/>
                <w:szCs w:val="21"/>
              </w:rPr>
            </w:pPr>
            <w:r>
              <w:rPr>
                <w:rFonts w:ascii="宋体" w:hAnsi="宋体" w:cs="宋体" w:eastAsia="宋体" w:hint="default"/>
                <w:sz w:val="21"/>
                <w:szCs w:val="21"/>
              </w:rPr>
              <w:t>务大厦</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房间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北京市海淀区阜成路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号新洲商</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务大厦</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房间</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13" w:right="0"/>
              <w:jc w:val="left"/>
              <w:rPr>
                <w:rFonts w:ascii="Times New Roman" w:hAnsi="Times New Roman" w:cs="Times New Roman" w:eastAsia="Times New Roman" w:hint="default"/>
                <w:sz w:val="21"/>
                <w:szCs w:val="21"/>
              </w:rPr>
            </w:pPr>
            <w:r>
              <w:rPr>
                <w:rFonts w:ascii="Times New Roman"/>
                <w:sz w:val="21"/>
              </w:rPr>
              <w:t>010-51607598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010-51607598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13" w:right="0"/>
              <w:jc w:val="left"/>
              <w:rPr>
                <w:rFonts w:ascii="Times New Roman" w:hAnsi="Times New Roman" w:cs="Times New Roman" w:eastAsia="Times New Roman" w:hint="default"/>
                <w:sz w:val="21"/>
                <w:szCs w:val="21"/>
              </w:rPr>
            </w:pPr>
            <w:r>
              <w:rPr>
                <w:rFonts w:ascii="Times New Roman"/>
                <w:sz w:val="21"/>
              </w:rPr>
              <w:t>010-88131355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010-88131355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13" w:right="0"/>
              <w:jc w:val="left"/>
              <w:rPr>
                <w:rFonts w:ascii="Times New Roman" w:hAnsi="Times New Roman" w:cs="Times New Roman" w:eastAsia="Times New Roman" w:hint="default"/>
                <w:sz w:val="21"/>
                <w:szCs w:val="21"/>
              </w:rPr>
            </w:pPr>
            <w:hyperlink r:id="rId10">
              <w:r>
                <w:rPr>
                  <w:rFonts w:ascii="Times New Roman"/>
                  <w:sz w:val="21"/>
                </w:rPr>
                <w:t>newu@newu.com.cn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0">
              <w:r>
                <w:rPr>
                  <w:rFonts w:ascii="Times New Roman"/>
                  <w:sz w:val="21"/>
                </w:rPr>
                <w:t>newu@newu.com.cn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中国证券报、上海证券报、证券日报、证券时报</w:t>
            </w:r>
          </w:p>
        </w:tc>
      </w:tr>
      <w:tr>
        <w:trPr>
          <w:trHeight w:val="715"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1"/>
              <w:jc w:val="left"/>
              <w:rPr>
                <w:rFonts w:ascii="宋体" w:hAnsi="宋体" w:cs="宋体" w:eastAsia="宋体" w:hint="default"/>
                <w:sz w:val="21"/>
                <w:szCs w:val="21"/>
              </w:rPr>
            </w:pPr>
            <w:r>
              <w:rPr>
                <w:rFonts w:ascii="宋体" w:hAnsi="宋体" w:cs="宋体" w:eastAsia="宋体" w:hint="default"/>
                <w:spacing w:val="-2"/>
                <w:sz w:val="21"/>
                <w:szCs w:val="21"/>
              </w:rPr>
              <w:t>登载年度报告的中国证监会指定网站的网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53"/>
        <w:jc w:val="left"/>
        <w:rPr>
          <w:b w:val="0"/>
          <w:bCs w:val="0"/>
        </w:rPr>
      </w:pPr>
      <w:r>
        <w:rPr/>
        <w:t>四、其他有关资料</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t>公司聘请的会计师事务所</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华普天健会计师事务所（特殊普通合伙）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北京市西城区阜成门外大街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幢外经贸大厦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901-22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901-26</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肖桂莲、张雪咏、孙建伟</w:t>
            </w:r>
          </w:p>
        </w:tc>
      </w:tr>
    </w:tbl>
    <w:p>
      <w:pPr>
        <w:pStyle w:val="BodyText"/>
        <w:spacing w:line="240" w:lineRule="auto" w:before="28"/>
        <w:ind w:right="153"/>
        <w:jc w:val="left"/>
      </w:pPr>
      <w:r>
        <w:rPr/>
        <w:t>公司聘请的报告期内履行持续督导职责的保荐机构</w:t>
      </w:r>
    </w:p>
    <w:p>
      <w:pPr>
        <w:pStyle w:val="BodyText"/>
        <w:spacing w:line="240" w:lineRule="auto" w:before="7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2"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57"/>
              <w:jc w:val="right"/>
              <w:rPr>
                <w:rFonts w:ascii="宋体" w:hAnsi="宋体" w:cs="宋体" w:eastAsia="宋体" w:hint="default"/>
                <w:sz w:val="21"/>
                <w:szCs w:val="21"/>
              </w:rPr>
            </w:pPr>
            <w:r>
              <w:rPr>
                <w:rFonts w:ascii="宋体" w:hAnsi="宋体" w:cs="宋体" w:eastAsia="宋体" w:hint="default"/>
                <w:spacing w:val="-1"/>
                <w:sz w:val="21"/>
                <w:szCs w:val="21"/>
              </w:rPr>
              <w:t>持续督导期间</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广州证券股份有限公司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0"/>
              <w:ind w:left="23" w:right="41"/>
              <w:jc w:val="both"/>
              <w:rPr>
                <w:rFonts w:ascii="宋体" w:hAnsi="宋体" w:cs="宋体" w:eastAsia="宋体" w:hint="default"/>
                <w:sz w:val="21"/>
                <w:szCs w:val="21"/>
              </w:rPr>
            </w:pPr>
            <w:r>
              <w:rPr>
                <w:rFonts w:ascii="宋体" w:hAnsi="宋体" w:cs="宋体" w:eastAsia="宋体" w:hint="default"/>
                <w:sz w:val="21"/>
                <w:szCs w:val="21"/>
              </w:rPr>
              <w:t>广州市天河区珠江西路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号广州国际金融中心主塔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sz w:val="21"/>
                <w:szCs w:val="21"/>
              </w:rPr>
              <w:t>19 </w:t>
            </w:r>
            <w:r>
              <w:rPr>
                <w:rFonts w:ascii="宋体" w:hAnsi="宋体" w:cs="宋体" w:eastAsia="宋体" w:hint="default"/>
                <w:sz w:val="21"/>
                <w:szCs w:val="21"/>
              </w:rPr>
              <w:t>层、</w:t>
            </w:r>
            <w:r>
              <w:rPr>
                <w:rFonts w:ascii="Times New Roman" w:hAnsi="Times New Roman" w:cs="Times New Roman" w:eastAsia="Times New Roman" w:hint="default"/>
                <w:sz w:val="21"/>
                <w:szCs w:val="21"/>
              </w:rPr>
              <w:t>20 </w:t>
            </w:r>
            <w:r>
              <w:rPr>
                <w:rFonts w:ascii="宋体" w:hAnsi="宋体" w:cs="宋体" w:eastAsia="宋体" w:hint="default"/>
                <w:sz w:val="21"/>
                <w:szCs w:val="21"/>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陈焱、陈志宏</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507"/>
              <w:jc w:val="right"/>
              <w:rPr>
                <w:rFonts w:ascii="Times New Roman" w:hAnsi="Times New Roman" w:cs="Times New Roman" w:eastAsia="Times New Roman" w:hint="default"/>
                <w:sz w:val="21"/>
                <w:szCs w:val="21"/>
              </w:rPr>
            </w:pPr>
            <w:r>
              <w:rPr>
                <w:rFonts w:ascii="Times New Roman"/>
                <w:spacing w:val="-1"/>
                <w:sz w:val="21"/>
              </w:rPr>
              <w:t>2015.6.11-2015.12.31</w:t>
            </w:r>
          </w:p>
        </w:tc>
      </w:tr>
    </w:tbl>
    <w:p>
      <w:pPr>
        <w:pStyle w:val="BodyText"/>
        <w:spacing w:line="240" w:lineRule="auto" w:before="28"/>
        <w:ind w:right="153"/>
        <w:jc w:val="left"/>
      </w:pPr>
      <w:r>
        <w:rPr/>
        <w:t>公司聘请的报告期内履行持续督导职责的财务顾问</w:t>
      </w:r>
    </w:p>
    <w:p>
      <w:pPr>
        <w:pStyle w:val="BodyText"/>
        <w:spacing w:line="240" w:lineRule="auto" w:before="7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53"/>
        <w:jc w:val="left"/>
        <w:rPr>
          <w:b w:val="0"/>
          <w:bCs w:val="0"/>
        </w:rPr>
      </w:pPr>
      <w:r>
        <w:rPr/>
        <w:t>五、主要会计数据和财务指标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t>公司是否因会计政策变更及会计差错更正等追溯调整或重述以前年度会计数据</w:t>
      </w:r>
    </w:p>
    <w:p>
      <w:pPr>
        <w:pStyle w:val="BodyText"/>
        <w:spacing w:line="240" w:lineRule="auto" w:before="78"/>
        <w:ind w:right="153"/>
        <w:jc w:val="left"/>
      </w:pPr>
      <w:r>
        <w:rPr/>
        <w:pict>
          <v:shape style="position:absolute;margin-left:170.660172pt;margin-top:106.303658pt;width:102.65pt;height:23pt;mso-position-horizontal-relative:page;mso-position-vertical-relative:paragraph;z-index:-701344" type="#_x0000_t202" filled="false" stroked="false">
            <v:textbox inset="0,0,0,0">
              <w:txbxContent>
                <w:p>
                  <w:pPr>
                    <w:spacing w:line="240" w:lineRule="auto" w:before="1"/>
                    <w:rPr>
                      <w:rFonts w:ascii="宋体" w:hAnsi="宋体" w:cs="宋体" w:eastAsia="宋体" w:hint="default"/>
                      <w:sz w:val="14"/>
                      <w:szCs w:val="14"/>
                    </w:rPr>
                  </w:pPr>
                </w:p>
                <w:p>
                  <w:pPr>
                    <w:pStyle w:val="BodyText"/>
                    <w:spacing w:line="240" w:lineRule="auto"/>
                    <w:ind w:left="0" w:right="0"/>
                    <w:jc w:val="left"/>
                  </w:pPr>
                  <w:r>
                    <w:rPr/>
                    <w:t>元）</w:t>
                  </w:r>
                </w:p>
              </w:txbxContent>
            </v:textbox>
            <w10:wrap type="none"/>
          </v:shape>
        </w:pict>
      </w:r>
      <w:r>
        <w:rPr/>
        <w:pict>
          <v:group style="position:absolute;margin-left:188.059998pt;margin-top:105.763657pt;width:86.45pt;height:27.9pt;mso-position-horizontal-relative:page;mso-position-vertical-relative:paragraph;z-index:-701320" coordorigin="3761,2115" coordsize="1729,558">
            <v:group style="position:absolute;left:3772;top:2126;width:2;height:392" coordorigin="3772,2126" coordsize="2,392">
              <v:shape style="position:absolute;left:3772;top:2126;width:2;height:392" coordorigin="3772,2126" coordsize="0,392" path="m3772,2126l3772,2517e" filled="false" stroked="true" strokeweight="1.08pt" strokecolor="#ffffff">
                <v:path arrowok="t"/>
              </v:shape>
            </v:group>
            <v:group style="position:absolute;left:3761;top:2517;width:1729;height:156" coordorigin="3761,2517" coordsize="1729,156">
              <v:shape style="position:absolute;left:3761;top:2517;width:1729;height:156" coordorigin="3761,2517" coordsize="1729,156" path="m3761,2673l5490,2673,5490,2517,3761,2517,3761,2673xe" filled="true" fillcolor="#ffffff" stroked="false">
                <v:path arrowok="t"/>
                <v:fill type="solid"/>
              </v:shape>
            </v:group>
            <v:group style="position:absolute;left:3783;top:2126;width:1683;height:392" coordorigin="3783,2126" coordsize="1683,392">
              <v:shape style="position:absolute;left:3783;top:2126;width:1683;height:392" coordorigin="3783,2126" coordsize="1683,392" path="m3783,2517l5466,2517,5466,2126,3783,2126,3783,2517xe" filled="true" fillcolor="#ffffff" stroked="false">
                <v:path arrowok="t"/>
                <v:fill type="solid"/>
              </v:shape>
            </v:group>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98"/>
        <w:gridCol w:w="304"/>
        <w:gridCol w:w="1445"/>
        <w:gridCol w:w="1738"/>
        <w:gridCol w:w="1738"/>
        <w:gridCol w:w="1736"/>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7"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397" w:right="0"/>
              <w:jc w:val="left"/>
              <w:rPr>
                <w:rFonts w:ascii="Times New Roman" w:hAnsi="Times New Roman" w:cs="Times New Roman" w:eastAsia="Times New Roman" w:hint="default"/>
                <w:sz w:val="21"/>
                <w:szCs w:val="21"/>
              </w:rPr>
            </w:pPr>
            <w:r>
              <w:rPr>
                <w:rFonts w:ascii="Times New Roman"/>
                <w:sz w:val="21"/>
              </w:rPr>
              <w:t>214,272,084.27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192,262,399.80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2"/>
                <w:sz w:val="21"/>
              </w:rPr>
              <w:t>11.45%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173,488,722.75</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Times New Roman" w:hAnsi="Times New Roman" w:cs="Times New Roman" w:eastAsia="Times New Roman" w:hint="default"/>
                <w:sz w:val="21"/>
                <w:szCs w:val="21"/>
              </w:rPr>
            </w:pPr>
            <w:r>
              <w:rPr>
                <w:rFonts w:ascii="Times New Roman"/>
                <w:sz w:val="21"/>
              </w:rPr>
              <w:t>25,228,234.56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34,535,460.14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33,337,281.33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非经常性损益的净利润（</w:t>
            </w:r>
          </w:p>
        </w:tc>
        <w:tc>
          <w:tcPr>
            <w:tcW w:w="304" w:type="dxa"/>
            <w:tcBorders>
              <w:top w:val="single" w:sz="4" w:space="0" w:color="000000"/>
              <w:left w:val="single" w:sz="10" w:space="0" w:color="D2D2D2"/>
              <w:bottom w:val="single" w:sz="4" w:space="0" w:color="000000"/>
              <w:right w:val="nil" w:sz="6" w:space="0" w:color="auto"/>
            </w:tcBorders>
          </w:tcPr>
          <w:p>
            <w:pPr/>
          </w:p>
        </w:tc>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20,844,504.74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33,033,797.32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32,092,861.38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2"/>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-34,151,190.71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25,481,505.68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-234.02%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10,435,222.91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-37.68%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0.67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-37.68%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0.67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19.38%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22.29%</w:t>
            </w:r>
          </w:p>
        </w:tc>
      </w:tr>
      <w:tr>
        <w:trPr>
          <w:trHeight w:val="161" w:hRule="exact"/>
        </w:trPr>
        <w:tc>
          <w:tcPr>
            <w:tcW w:w="2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58" w:right="19" w:hanging="735"/>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59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2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397" w:right="0"/>
              <w:jc w:val="left"/>
              <w:rPr>
                <w:rFonts w:ascii="Times New Roman" w:hAnsi="Times New Roman" w:cs="Times New Roman" w:eastAsia="Times New Roman" w:hint="default"/>
                <w:sz w:val="21"/>
                <w:szCs w:val="21"/>
              </w:rPr>
            </w:pPr>
            <w:r>
              <w:rPr>
                <w:rFonts w:ascii="Times New Roman"/>
                <w:sz w:val="21"/>
              </w:rPr>
              <w:t>503,013,276.36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354,969,448.35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41.71%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265,935,542.78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97" w:right="0"/>
              <w:jc w:val="left"/>
              <w:rPr>
                <w:rFonts w:ascii="Times New Roman" w:hAnsi="Times New Roman" w:cs="Times New Roman" w:eastAsia="Times New Roman" w:hint="default"/>
                <w:sz w:val="21"/>
                <w:szCs w:val="21"/>
              </w:rPr>
            </w:pPr>
            <w:r>
              <w:rPr>
                <w:rFonts w:ascii="Times New Roman"/>
                <w:sz w:val="21"/>
              </w:rPr>
              <w:t>375,079,792.89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193,761,583.93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93.58%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166,266,123.79</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7"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43,416,668.48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54,410,488.05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39,876,968.28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76,567,959.46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6,485,667.64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8,311,612.38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142,890.81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10,288,063.73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非经常性损益的净利润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6,427,903.95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6,285,619.69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-268,474.00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8,399,455.10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2"/>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-39,393,010.70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4,938,690.32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-11,291,480.73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11,594,610.40</w:t>
            </w:r>
          </w:p>
        </w:tc>
      </w:tr>
    </w:tbl>
    <w:p>
      <w:pPr>
        <w:pStyle w:val="BodyText"/>
        <w:spacing w:line="240" w:lineRule="auto" w:before="28"/>
        <w:ind w:right="153"/>
        <w:jc w:val="left"/>
      </w:pPr>
      <w:r>
        <w:rPr/>
        <w:t>上述财务指标或其加总数是否与公司已披露季度报告、半年度报告相关财务指标存在重大差异</w:t>
      </w:r>
    </w:p>
    <w:p>
      <w:pPr>
        <w:pStyle w:val="BodyText"/>
        <w:spacing w:line="240" w:lineRule="auto" w:before="7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22"/>
          <w:szCs w:val="22"/>
        </w:rPr>
      </w:pPr>
    </w:p>
    <w:p>
      <w:pPr>
        <w:pStyle w:val="Heading2"/>
        <w:spacing w:line="240" w:lineRule="auto"/>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公司报告期不存在按照国际会计准则与按照中国会计准则披露的财务报告中净利润和净资产差异情况。</w:t>
      </w:r>
    </w:p>
    <w:p>
      <w:pPr>
        <w:spacing w:line="240" w:lineRule="auto" w:before="3"/>
        <w:rPr>
          <w:rFonts w:ascii="宋体" w:hAnsi="宋体" w:cs="宋体" w:eastAsia="宋体" w:hint="default"/>
          <w:sz w:val="22"/>
          <w:szCs w:val="22"/>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公司报告期不存在按照境外会计准则与按照中国会计准则披露的财务报告中净利润和净资产差异情况。</w:t>
      </w:r>
    </w:p>
    <w:p>
      <w:pPr>
        <w:spacing w:line="240" w:lineRule="auto" w:before="6"/>
        <w:rPr>
          <w:rFonts w:ascii="宋体" w:hAnsi="宋体" w:cs="宋体" w:eastAsia="宋体" w:hint="default"/>
          <w:sz w:val="20"/>
          <w:szCs w:val="20"/>
        </w:rPr>
      </w:pPr>
    </w:p>
    <w:p>
      <w:pPr>
        <w:pStyle w:val="Heading2"/>
        <w:spacing w:line="240" w:lineRule="auto"/>
        <w:ind w:right="153"/>
        <w:jc w:val="left"/>
        <w:rPr>
          <w:b w:val="0"/>
          <w:bCs w:val="0"/>
        </w:rPr>
      </w:pPr>
      <w:r>
        <w:rPr/>
        <w:t>八、非经常性损益项目及金额</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62"/>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84"/>
        <w:gridCol w:w="1522"/>
        <w:gridCol w:w="1520"/>
        <w:gridCol w:w="1522"/>
        <w:gridCol w:w="1712"/>
      </w:tblGrid>
      <w:tr>
        <w:trPr>
          <w:trHeight w:val="401"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6"/>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17,049.52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-6,678.53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0" w:right="0"/>
              <w:jc w:val="left"/>
              <w:rPr>
                <w:rFonts w:ascii="Times New Roman" w:hAnsi="Times New Roman" w:cs="Times New Roman" w:eastAsia="Times New Roman" w:hint="default"/>
                <w:sz w:val="21"/>
                <w:szCs w:val="21"/>
              </w:rPr>
            </w:pPr>
            <w:r>
              <w:rPr>
                <w:rFonts w:ascii="Times New Roman"/>
                <w:sz w:val="21"/>
              </w:rPr>
              <w:t>-32,995.58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79" w:right="0"/>
              <w:jc w:val="left"/>
              <w:rPr>
                <w:rFonts w:ascii="Times New Roman" w:hAnsi="Times New Roman" w:cs="Times New Roman" w:eastAsia="Times New Roman" w:hint="default"/>
                <w:sz w:val="21"/>
                <w:szCs w:val="21"/>
              </w:rPr>
            </w:pPr>
            <w:r>
              <w:rPr>
                <w:rFonts w:ascii="Times New Roman"/>
                <w:sz w:val="21"/>
              </w:rPr>
              <w:t>4,397,604.88</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86" w:right="0"/>
              <w:jc w:val="left"/>
              <w:rPr>
                <w:rFonts w:ascii="Times New Roman" w:hAnsi="Times New Roman" w:cs="Times New Roman" w:eastAsia="Times New Roman" w:hint="default"/>
                <w:sz w:val="21"/>
                <w:szCs w:val="21"/>
              </w:rPr>
            </w:pPr>
            <w:r>
              <w:rPr>
                <w:rFonts w:ascii="Times New Roman"/>
                <w:sz w:val="21"/>
              </w:rPr>
              <w:t>1,745,280.82</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88" w:right="0"/>
              <w:jc w:val="left"/>
              <w:rPr>
                <w:rFonts w:ascii="Times New Roman" w:hAnsi="Times New Roman" w:cs="Times New Roman" w:eastAsia="Times New Roman" w:hint="default"/>
                <w:sz w:val="21"/>
                <w:szCs w:val="21"/>
              </w:rPr>
            </w:pPr>
            <w:r>
              <w:rPr>
                <w:rFonts w:ascii="Times New Roman"/>
                <w:sz w:val="21"/>
              </w:rPr>
              <w:t>1,567,978.85</w:t>
            </w:r>
          </w:p>
        </w:tc>
        <w:tc>
          <w:tcPr>
            <w:tcW w:w="1712"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5"/>
              <w:jc w:val="left"/>
              <w:rPr>
                <w:rFonts w:ascii="宋体" w:hAnsi="宋体" w:cs="宋体" w:eastAsia="宋体" w:hint="default"/>
                <w:sz w:val="21"/>
                <w:szCs w:val="21"/>
              </w:rPr>
            </w:pPr>
            <w:r>
              <w:rPr>
                <w:rFonts w:ascii="宋体" w:hAnsi="宋体" w:cs="宋体" w:eastAsia="宋体" w:hint="default"/>
                <w:sz w:val="21"/>
                <w:szCs w:val="21"/>
              </w:rPr>
              <w:t>与政府补助差额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为软件产品符合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即征即退政策的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增值税退税，不属</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于非经常性损益。</w:t>
            </w:r>
          </w:p>
        </w:tc>
      </w:tr>
      <w:tr>
        <w:trPr>
          <w:trHeight w:val="1015" w:hRule="exact"/>
        </w:trPr>
        <w:tc>
          <w:tcPr>
            <w:tcW w:w="32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106"/>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52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2" w:type="dxa"/>
            <w:vMerge/>
            <w:tcBorders>
              <w:left w:val="single" w:sz="4" w:space="0" w:color="000000"/>
              <w:right w:val="single" w:sz="4" w:space="0" w:color="000000"/>
            </w:tcBorders>
          </w:tcPr>
          <w:p>
            <w:pPr/>
          </w:p>
        </w:tc>
      </w:tr>
      <w:tr>
        <w:trPr>
          <w:trHeight w:val="317" w:hRule="exact"/>
        </w:trPr>
        <w:tc>
          <w:tcPr>
            <w:tcW w:w="3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r>
      <w:tr>
        <w:trPr>
          <w:trHeight w:val="1963"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6"/>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套期保值业务外，持有交易性金融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资产、交易性金融负债产生的公允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售金融资产取得的投资收益</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646,416.67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3"/>
                <w:sz w:val="21"/>
              </w:rPr>
              <w:t>114,411.82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2"/>
      </w:tblGrid>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6"/>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4,647.28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-37,580.04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13,567.65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681,988.53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313,771.25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304,130.97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4,383,729.82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1,501,662.82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1,244,419.95</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0"/>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spacing w:line="256" w:lineRule="auto" w:before="19"/>
        <w:ind w:right="0"/>
        <w:jc w:val="left"/>
      </w:pPr>
      <w:r>
        <w:rPr>
          <w:spacing w:val="-2"/>
        </w:rPr>
        <w:t>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非经常性损益》中列举的非经常性</w:t>
      </w:r>
      <w:r>
        <w:rPr>
          <w:spacing w:val="-99"/>
        </w:rPr>
        <w:t> </w:t>
      </w:r>
      <w:r>
        <w:rPr>
          <w:spacing w:val="-99"/>
        </w:rPr>
      </w:r>
      <w:r>
        <w:rPr/>
        <w:t>损益项目界定为经常性损益的项目，应说明原因</w:t>
      </w:r>
    </w:p>
    <w:p>
      <w:pPr>
        <w:pStyle w:val="BodyText"/>
        <w:spacing w:line="240" w:lineRule="auto" w:before="6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56" w:lineRule="auto" w:before="62"/>
        <w:ind w:right="145"/>
        <w:jc w:val="left"/>
      </w:pPr>
      <w:r>
        <w:rPr/>
        <w:t>公司报告期不存在将根据《公开发行证券的公司信息披露解释性公告第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号</w:t>
      </w:r>
      <w:r>
        <w:rPr>
          <w:rFonts w:ascii="Times New Roman" w:hAnsi="Times New Roman" w:cs="Times New Roman" w:eastAsia="Times New Roman" w:hint="default"/>
          <w:spacing w:val="-3"/>
        </w:rPr>
        <w:t>——</w:t>
      </w:r>
      <w:r>
        <w:rPr>
          <w:spacing w:val="-3"/>
        </w:rPr>
        <w:t>非经常性损益》定义、列</w:t>
      </w:r>
      <w:r>
        <w:rPr>
          <w:spacing w:val="-103"/>
        </w:rPr>
        <w:t> </w:t>
      </w:r>
      <w:r>
        <w:rPr>
          <w:spacing w:val="-103"/>
        </w:rPr>
      </w:r>
      <w:r>
        <w:rPr/>
        <w:t>举的非经常性损益项目界定为经常性损益的项目的情形。</w:t>
      </w:r>
    </w:p>
    <w:p>
      <w:pPr>
        <w:spacing w:after="0" w:line="256"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422"/>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1</w:t>
      </w:r>
      <w:r>
        <w:rPr/>
        <w:t>、主要业务</w:t>
      </w:r>
    </w:p>
    <w:p>
      <w:pPr>
        <w:pStyle w:val="BodyText"/>
        <w:spacing w:line="273" w:lineRule="auto" w:before="21"/>
        <w:ind w:right="146" w:firstLine="420"/>
        <w:jc w:val="both"/>
      </w:pPr>
      <w:r>
        <w:rPr>
          <w:spacing w:val="-2"/>
        </w:rPr>
        <w:t>公司以提供工业智能化输送、配料成套解决方案为主业，集方案设计、技术研发、设备制造、系统集</w:t>
      </w:r>
      <w:r>
        <w:rPr>
          <w:w w:val="100"/>
        </w:rPr>
        <w:t> </w:t>
      </w:r>
      <w:r>
        <w:rPr>
          <w:spacing w:val="-2"/>
        </w:rPr>
        <w:t>成、销售服务于一体，主要产品包括智能环保型密炼机上辅机系统、气力物料输送系统和小料自动配料称</w:t>
      </w:r>
      <w:r>
        <w:rPr>
          <w:spacing w:val="-43"/>
        </w:rPr>
        <w:t> </w:t>
      </w:r>
      <w:r>
        <w:rPr>
          <w:spacing w:val="-43"/>
        </w:rPr>
      </w:r>
      <w:r>
        <w:rPr/>
        <w:t>量系统等。</w:t>
      </w:r>
    </w:p>
    <w:p>
      <w:pPr>
        <w:pStyle w:val="BodyText"/>
        <w:spacing w:line="256" w:lineRule="auto" w:before="7"/>
        <w:ind w:left="573" w:right="153" w:hanging="421"/>
        <w:jc w:val="left"/>
      </w:pPr>
      <w:r>
        <w:rPr>
          <w:rFonts w:ascii="Times New Roman" w:hAnsi="Times New Roman" w:cs="Times New Roman" w:eastAsia="Times New Roman" w:hint="default"/>
        </w:rPr>
        <w:t>2</w:t>
      </w:r>
      <w:r>
        <w:rPr/>
        <w:t>、主要产品及其用途</w:t>
      </w:r>
      <w:r>
        <w:rPr>
          <w:w w:val="100"/>
        </w:rPr>
        <w:t> </w:t>
      </w:r>
      <w:r>
        <w:rPr>
          <w:spacing w:val="-2"/>
        </w:rPr>
        <w:t>配料是工业企业产品生产过程中一道非常重要的工序，配料工序的质量、效率和稳定性对整个工业生</w:t>
      </w:r>
    </w:p>
    <w:p>
      <w:pPr>
        <w:pStyle w:val="BodyText"/>
        <w:spacing w:line="273" w:lineRule="auto" w:before="22"/>
        <w:ind w:right="0"/>
        <w:jc w:val="left"/>
      </w:pPr>
      <w:r>
        <w:rPr/>
        <w:t>产过程和产品的质量起到举足轻重的作用，</w:t>
      </w:r>
      <w:r>
        <w:rPr>
          <w:spacing w:val="-24"/>
        </w:rPr>
        <w:t> </w:t>
      </w:r>
      <w:r>
        <w:rPr/>
        <w:t>落后的配料系统不仅效率低而且配料不准，手工操作配料又</w:t>
      </w:r>
      <w:r>
        <w:rPr>
          <w:w w:val="100"/>
        </w:rPr>
        <w:t> </w:t>
      </w:r>
      <w:r>
        <w:rPr>
          <w:spacing w:val="-2"/>
        </w:rPr>
        <w:t>将人为因素引入配料环节，严重影响产品质量的稳定和进一步的提高，并且具有劳动强度大、劳动保护欠</w:t>
      </w:r>
      <w:r>
        <w:rPr>
          <w:spacing w:val="-44"/>
        </w:rPr>
        <w:t> </w:t>
      </w:r>
      <w:r>
        <w:rPr>
          <w:spacing w:val="-44"/>
        </w:rPr>
      </w:r>
      <w:r>
        <w:rPr/>
        <w:t>缺、环保不达标等缺陷， 手工配料更使工业配方难以在大规模工业生产中实现。</w:t>
      </w:r>
      <w:r>
        <w:rPr>
          <w:spacing w:val="-48"/>
        </w:rPr>
        <w:t> </w:t>
      </w:r>
      <w:r>
        <w:rPr/>
        <w:t>因此，高精度、智能化</w:t>
      </w:r>
      <w:r>
        <w:rPr>
          <w:w w:val="100"/>
        </w:rPr>
        <w:t> </w:t>
      </w:r>
      <w:r>
        <w:rPr/>
        <w:t>配料系统对工业企业具有十分重要的意义。</w:t>
      </w:r>
    </w:p>
    <w:p>
      <w:pPr>
        <w:pStyle w:val="BodyText"/>
        <w:spacing w:line="273" w:lineRule="auto" w:before="7"/>
        <w:ind w:right="153" w:firstLine="420"/>
        <w:jc w:val="left"/>
      </w:pPr>
      <w:r>
        <w:rPr>
          <w:spacing w:val="-2"/>
        </w:rPr>
        <w:t>公司产品是工业智能化配料控制技术的精细化运用，智能化配料控制技术广泛使用如电气控制技术、</w:t>
      </w:r>
      <w:r>
        <w:rPr>
          <w:w w:val="100"/>
        </w:rPr>
        <w:t> </w:t>
      </w:r>
      <w:r>
        <w:rPr>
          <w:spacing w:val="-2"/>
        </w:rPr>
        <w:t>计量技术、传感技术、计算机软件技术、机械技术、材料和化学技术等多学科、多方面专业技术，智能化</w:t>
      </w:r>
      <w:r>
        <w:rPr>
          <w:spacing w:val="-42"/>
        </w:rPr>
        <w:t> </w:t>
      </w:r>
      <w:r>
        <w:rPr>
          <w:spacing w:val="-42"/>
        </w:rPr>
      </w:r>
      <w:r>
        <w:rPr/>
        <w:t>配料控制技术主要运用于工业生产企业原材料、辅料的计量、输送、贮存及投料等各环节。</w:t>
      </w:r>
      <w:r>
        <w:rPr>
          <w:spacing w:val="-24"/>
        </w:rPr>
        <w:t> </w:t>
      </w:r>
      <w:r>
        <w:rPr/>
        <w:t>公司生产的</w:t>
      </w:r>
      <w:r>
        <w:rPr>
          <w:w w:val="100"/>
        </w:rPr>
        <w:t> </w:t>
      </w:r>
      <w:r>
        <w:rPr>
          <w:spacing w:val="-2"/>
        </w:rPr>
        <w:t>工业智能化配料系统产品，一方面能大大提高工业生产企业配料环节的生产效率，有效地提高原材料、辅</w:t>
      </w:r>
      <w:r>
        <w:rPr>
          <w:spacing w:val="-44"/>
        </w:rPr>
        <w:t> </w:t>
      </w:r>
      <w:r>
        <w:rPr>
          <w:spacing w:val="-44"/>
        </w:rPr>
      </w:r>
      <w:r>
        <w:rPr/>
        <w:t>料的配量精准度，确保工业生产企业产品品质的提高，</w:t>
      </w:r>
      <w:r>
        <w:rPr>
          <w:spacing w:val="-24"/>
        </w:rPr>
        <w:t> </w:t>
      </w:r>
      <w:r>
        <w:rPr/>
        <w:t>另一方面还能有效解决工业生产企业生产配料过</w:t>
      </w:r>
      <w:r>
        <w:rPr>
          <w:w w:val="100"/>
        </w:rPr>
        <w:t> </w:t>
      </w:r>
      <w:r>
        <w:rPr/>
        <w:t>程中的粉尘污染和气味污染，提高生产企业的生产环境质量，强化员工劳动保护力度。</w:t>
      </w:r>
    </w:p>
    <w:p>
      <w:pPr>
        <w:pStyle w:val="BodyText"/>
        <w:spacing w:line="240" w:lineRule="auto" w:before="7"/>
        <w:ind w:right="0"/>
        <w:jc w:val="both"/>
      </w:pPr>
      <w:r>
        <w:rPr>
          <w:rFonts w:ascii="Times New Roman" w:hAnsi="Times New Roman" w:cs="Times New Roman" w:eastAsia="Times New Roman" w:hint="default"/>
        </w:rPr>
        <w:t>3</w:t>
      </w:r>
      <w:r>
        <w:rPr/>
        <w:t>、主要经营模式</w:t>
      </w:r>
    </w:p>
    <w:p>
      <w:pPr>
        <w:pStyle w:val="BodyText"/>
        <w:spacing w:line="256" w:lineRule="auto" w:before="21"/>
        <w:ind w:left="573" w:right="153"/>
        <w:jc w:val="left"/>
      </w:pPr>
      <w:r>
        <w:rPr/>
        <w:t>（</w:t>
      </w:r>
      <w:r>
        <w:rPr>
          <w:rFonts w:ascii="Times New Roman" w:hAnsi="Times New Roman" w:cs="Times New Roman" w:eastAsia="Times New Roman" w:hint="default"/>
        </w:rPr>
        <w:t>1</w:t>
      </w:r>
      <w:r>
        <w:rPr/>
        <w:t>）研发和设计模式</w:t>
      </w:r>
      <w:r>
        <w:rPr>
          <w:w w:val="100"/>
        </w:rPr>
        <w:t> </w:t>
      </w:r>
      <w:r>
        <w:rPr>
          <w:spacing w:val="-2"/>
        </w:rPr>
        <w:t>公司的研发设计以市场需求为导向，根据研发目的可分为基于项目的订单式研发和前沿技术研发。公</w:t>
      </w:r>
    </w:p>
    <w:p>
      <w:pPr>
        <w:pStyle w:val="BodyText"/>
        <w:spacing w:line="273" w:lineRule="auto" w:before="23"/>
        <w:ind w:right="146"/>
        <w:jc w:val="both"/>
      </w:pPr>
      <w:r>
        <w:rPr>
          <w:spacing w:val="-2"/>
        </w:rPr>
        <w:t>司设有设计部和研发部，设计部负责根据每个合同或订单的客户需求进行个性化项目设计，研发部负责跟</w:t>
      </w:r>
      <w:r>
        <w:rPr>
          <w:spacing w:val="-42"/>
        </w:rPr>
        <w:t> </w:t>
      </w:r>
      <w:r>
        <w:rPr>
          <w:spacing w:val="-42"/>
        </w:rPr>
      </w:r>
      <w:r>
        <w:rPr>
          <w:spacing w:val="-2"/>
        </w:rPr>
        <w:t>踪国内外最新技术发展情况，结合市场部对客户未来需求发展情况的反馈，研发行业新技术、新系统，并</w:t>
      </w:r>
      <w:r>
        <w:rPr>
          <w:spacing w:val="-47"/>
        </w:rPr>
        <w:t> </w:t>
      </w:r>
      <w:r>
        <w:rPr>
          <w:spacing w:val="-47"/>
        </w:rPr>
      </w:r>
      <w:r>
        <w:rPr/>
        <w:t>对已有软件程序进行不断的系统升级、对已有设备结构或加工不断优化创新。</w:t>
      </w:r>
    </w:p>
    <w:p>
      <w:pPr>
        <w:pStyle w:val="BodyText"/>
        <w:spacing w:line="256" w:lineRule="auto" w:before="7"/>
        <w:ind w:right="153" w:firstLine="420"/>
        <w:jc w:val="left"/>
      </w:pPr>
      <w:r>
        <w:rPr>
          <w:spacing w:val="-2"/>
        </w:rPr>
        <w:t>未来公司将以成为</w:t>
      </w:r>
      <w:r>
        <w:rPr>
          <w:rFonts w:ascii="Times New Roman" w:hAnsi="Times New Roman" w:cs="Times New Roman" w:eastAsia="Times New Roman" w:hint="default"/>
          <w:spacing w:val="-2"/>
        </w:rPr>
        <w:t>“</w:t>
      </w:r>
      <w:r>
        <w:rPr>
          <w:spacing w:val="-2"/>
        </w:rPr>
        <w:t>行业技术发展的先导者</w:t>
      </w:r>
      <w:r>
        <w:rPr>
          <w:rFonts w:ascii="Times New Roman" w:hAnsi="Times New Roman" w:cs="Times New Roman" w:eastAsia="Times New Roman" w:hint="default"/>
          <w:spacing w:val="-2"/>
        </w:rPr>
        <w:t>”</w:t>
      </w:r>
      <w:r>
        <w:rPr>
          <w:spacing w:val="-2"/>
        </w:rPr>
        <w:t>为目标，投入建设研发基地，加大前沿技术研发的投入力</w:t>
      </w:r>
      <w:r>
        <w:rPr>
          <w:spacing w:val="-3"/>
          <w:w w:val="100"/>
        </w:rPr>
        <w:t> </w:t>
      </w:r>
      <w:r>
        <w:rPr/>
        <w:t>度，以前沿技术研发成果优化公司订单研发成果，满足客户当期和长远需求。</w:t>
      </w:r>
    </w:p>
    <w:p>
      <w:pPr>
        <w:pStyle w:val="BodyText"/>
        <w:spacing w:line="256" w:lineRule="auto" w:before="22"/>
        <w:ind w:left="573" w:right="153"/>
        <w:jc w:val="left"/>
      </w:pPr>
      <w:r>
        <w:rPr/>
        <w:t>（</w:t>
      </w:r>
      <w:r>
        <w:rPr>
          <w:rFonts w:ascii="Times New Roman" w:hAnsi="Times New Roman" w:cs="Times New Roman" w:eastAsia="Times New Roman" w:hint="default"/>
        </w:rPr>
        <w:t>2</w:t>
      </w:r>
      <w:r>
        <w:rPr/>
        <w:t>）采购模式</w:t>
      </w:r>
      <w:r>
        <w:rPr>
          <w:w w:val="100"/>
        </w:rPr>
        <w:t> </w:t>
      </w:r>
      <w:r>
        <w:rPr>
          <w:spacing w:val="-2"/>
        </w:rPr>
        <w:t>公司钢材、标准件、电气件均通过公开市场采购；部分非标准机械件公司产能无法完成，由外协供应</w:t>
      </w:r>
    </w:p>
    <w:p>
      <w:pPr>
        <w:pStyle w:val="BodyText"/>
        <w:spacing w:line="273" w:lineRule="auto" w:before="22"/>
        <w:ind w:right="146"/>
        <w:jc w:val="both"/>
      </w:pPr>
      <w:r>
        <w:rPr>
          <w:spacing w:val="-2"/>
        </w:rPr>
        <w:t>商以包工包料方式生产完成，公司直接采购成品；上述公开市场均处于充分竞争状态，市场供应充足，不</w:t>
      </w:r>
      <w:r>
        <w:rPr>
          <w:spacing w:val="-44"/>
        </w:rPr>
        <w:t> </w:t>
      </w:r>
      <w:r>
        <w:rPr>
          <w:spacing w:val="-44"/>
        </w:rPr>
      </w:r>
      <w:r>
        <w:rPr>
          <w:spacing w:val="-2"/>
        </w:rPr>
        <w:t>存在对某一单一原材料供应商依赖的情形。公司采购根据项目设计和生产的实际需要及库存情况，按照项</w:t>
      </w:r>
      <w:r>
        <w:rPr>
          <w:spacing w:val="-44"/>
        </w:rPr>
        <w:t> </w:t>
      </w:r>
      <w:r>
        <w:rPr>
          <w:spacing w:val="-44"/>
        </w:rPr>
      </w:r>
      <w:r>
        <w:rPr/>
        <w:t>目设计图纸所列的部件需求列表和生产任务计划拟订采购清单， 采购部依据采购清单进行采购，</w:t>
      </w:r>
      <w:r>
        <w:rPr>
          <w:spacing w:val="-48"/>
        </w:rPr>
        <w:t> </w:t>
      </w:r>
      <w:r>
        <w:rPr/>
        <w:t>公司也</w:t>
      </w:r>
      <w:r>
        <w:rPr>
          <w:w w:val="100"/>
        </w:rPr>
        <w:t> </w:t>
      </w:r>
      <w:r>
        <w:rPr>
          <w:spacing w:val="-2"/>
        </w:rPr>
        <w:t>会对产品通用的钢材等原材料按市场价格趋势进行储备，为及时维修和生产需要，公司会储备少量标准配</w:t>
      </w:r>
      <w:r>
        <w:rPr>
          <w:spacing w:val="-42"/>
        </w:rPr>
        <w:t> </w:t>
      </w:r>
      <w:r>
        <w:rPr>
          <w:spacing w:val="-42"/>
        </w:rPr>
      </w:r>
      <w:r>
        <w:rPr>
          <w:spacing w:val="-2"/>
        </w:rPr>
        <w:t>套电气件。公司重要原材料供应商均为合作多年的战略伙伴，按项目进行采购的单次采购批量较小，一般</w:t>
      </w:r>
      <w:r>
        <w:rPr>
          <w:spacing w:val="-44"/>
        </w:rPr>
        <w:t> </w:t>
      </w:r>
      <w:r>
        <w:rPr>
          <w:spacing w:val="-44"/>
        </w:rPr>
      </w:r>
      <w:r>
        <w:rPr/>
        <w:t>情况下已合作过的供应商都能满足公司采购需求。 若原有供应商无法满足采购需求，</w:t>
      </w:r>
      <w:r>
        <w:rPr>
          <w:spacing w:val="-49"/>
        </w:rPr>
        <w:t> </w:t>
      </w:r>
      <w:r>
        <w:rPr/>
        <w:t>公司通过招标、实</w:t>
      </w:r>
      <w:r>
        <w:rPr>
          <w:w w:val="100"/>
        </w:rPr>
        <w:t> </w:t>
      </w:r>
      <w:r>
        <w:rPr>
          <w:spacing w:val="-2"/>
        </w:rPr>
        <w:t>地考察等方式确定供应商，一般每次采购至少选择三家以上供应商进行对比。若客户对电气件的品牌和规</w:t>
      </w:r>
      <w:r>
        <w:rPr>
          <w:spacing w:val="-44"/>
        </w:rPr>
        <w:t> </w:t>
      </w:r>
      <w:r>
        <w:rPr>
          <w:spacing w:val="-44"/>
        </w:rPr>
      </w:r>
      <w:r>
        <w:rPr/>
        <w:t>格另有要求也可主要依据合同或订单指定供应商。</w:t>
      </w:r>
    </w:p>
    <w:p>
      <w:pPr>
        <w:pStyle w:val="BodyText"/>
        <w:spacing w:line="256" w:lineRule="auto" w:before="7"/>
        <w:ind w:left="573" w:right="153"/>
        <w:jc w:val="left"/>
      </w:pPr>
      <w:r>
        <w:rPr/>
        <w:t>（</w:t>
      </w:r>
      <w:r>
        <w:rPr>
          <w:rFonts w:ascii="Times New Roman" w:hAnsi="Times New Roman" w:cs="Times New Roman" w:eastAsia="Times New Roman" w:hint="default"/>
        </w:rPr>
        <w:t>3</w:t>
      </w:r>
      <w:r>
        <w:rPr/>
        <w:t>）生产模式</w:t>
      </w:r>
      <w:r>
        <w:rPr>
          <w:w w:val="100"/>
        </w:rPr>
        <w:t> </w:t>
      </w:r>
      <w:r>
        <w:rPr>
          <w:spacing w:val="-2"/>
        </w:rPr>
        <w:t>公司的产品属于非标准化设备，应用领域广阔，同一应用领域的不同客户对产品型号、性能指标等也</w:t>
      </w:r>
    </w:p>
    <w:p>
      <w:pPr>
        <w:pStyle w:val="BodyText"/>
        <w:spacing w:line="256" w:lineRule="auto" w:before="22"/>
        <w:ind w:right="149"/>
        <w:jc w:val="both"/>
      </w:pPr>
      <w:r>
        <w:rPr>
          <w:spacing w:val="-2"/>
        </w:rPr>
        <w:t>会有不同的要求，产品具有定制化生产的经营特点，所以本公司主要采用</w:t>
      </w:r>
      <w:r>
        <w:rPr>
          <w:rFonts w:ascii="Times New Roman" w:hAnsi="Times New Roman" w:cs="Times New Roman" w:eastAsia="Times New Roman" w:hint="default"/>
          <w:spacing w:val="-2"/>
        </w:rPr>
        <w:t>“</w:t>
      </w:r>
      <w:r>
        <w:rPr>
          <w:spacing w:val="-2"/>
        </w:rPr>
        <w:t>以销定产</w:t>
      </w:r>
      <w:r>
        <w:rPr>
          <w:rFonts w:ascii="Times New Roman" w:hAnsi="Times New Roman" w:cs="Times New Roman" w:eastAsia="Times New Roman" w:hint="default"/>
          <w:spacing w:val="-2"/>
        </w:rPr>
        <w:t>”</w:t>
      </w:r>
      <w:r>
        <w:rPr>
          <w:spacing w:val="-2"/>
        </w:rPr>
        <w:t>的生产模式，即基于</w:t>
      </w:r>
      <w:r>
        <w:rPr>
          <w:spacing w:val="-23"/>
        </w:rPr>
        <w:t> </w:t>
      </w:r>
      <w:r>
        <w:rPr>
          <w:spacing w:val="-23"/>
        </w:rPr>
      </w:r>
      <w:r>
        <w:rPr>
          <w:spacing w:val="-2"/>
        </w:rPr>
        <w:t>客户用户对工艺流程、生产场地、环保节能、新建或改造设备、升级系统等多个方面的不同需求进行个性</w:t>
      </w:r>
    </w:p>
    <w:p>
      <w:pPr>
        <w:spacing w:after="0" w:line="256"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16"/>
        <w:jc w:val="left"/>
      </w:pPr>
      <w:r>
        <w:rPr/>
        <w:t>化解决方案设计，按照方案需要制定采购及设备生产计划。</w:t>
      </w:r>
    </w:p>
    <w:p>
      <w:pPr>
        <w:pStyle w:val="BodyText"/>
        <w:spacing w:line="240" w:lineRule="auto" w:before="37"/>
        <w:ind w:left="573" w:right="116"/>
        <w:jc w:val="left"/>
      </w:pPr>
      <w:r>
        <w:rPr/>
        <w:t>（</w:t>
      </w:r>
      <w:r>
        <w:rPr>
          <w:rFonts w:ascii="Times New Roman" w:hAnsi="Times New Roman" w:cs="Times New Roman" w:eastAsia="Times New Roman" w:hint="default"/>
        </w:rPr>
        <w:t>4</w:t>
      </w:r>
      <w:r>
        <w:rPr/>
        <w:t>）销售模式</w:t>
      </w:r>
    </w:p>
    <w:p>
      <w:pPr>
        <w:pStyle w:val="BodyText"/>
        <w:spacing w:line="273" w:lineRule="auto" w:before="21"/>
        <w:ind w:right="116" w:firstLine="420"/>
        <w:jc w:val="left"/>
      </w:pPr>
      <w:r>
        <w:rPr/>
        <w:t>公司国内市场的销售工作由市场部负责，</w:t>
      </w:r>
      <w:r>
        <w:rPr>
          <w:spacing w:val="-25"/>
        </w:rPr>
        <w:t> </w:t>
      </w:r>
      <w:r>
        <w:rPr/>
        <w:t>市场部紧密跟踪国内外轮胎橡胶等行业需求的相关信息，</w:t>
      </w:r>
      <w:r>
        <w:rPr>
          <w:w w:val="100"/>
        </w:rPr>
        <w:t> </w:t>
      </w:r>
      <w:r>
        <w:rPr>
          <w:spacing w:val="-2"/>
        </w:rPr>
        <w:t>通过独家协办中国国际橡胶技术、装备与市场论坛、在主流行业期刊上刊登广告、网络推广、橡胶机械协</w:t>
      </w:r>
      <w:r>
        <w:rPr>
          <w:spacing w:val="-47"/>
        </w:rPr>
        <w:t> </w:t>
      </w:r>
      <w:r>
        <w:rPr>
          <w:spacing w:val="-47"/>
        </w:rPr>
      </w:r>
      <w:r>
        <w:rPr>
          <w:spacing w:val="-2"/>
        </w:rPr>
        <w:t>会推荐及客户相互推荐、口碑宣传、组织客户实地考察等多种方式进行市场推广。同时，公司通过上述市</w:t>
      </w:r>
      <w:r>
        <w:rPr>
          <w:spacing w:val="-47"/>
        </w:rPr>
        <w:t> </w:t>
      </w:r>
      <w:r>
        <w:rPr>
          <w:spacing w:val="-47"/>
        </w:rPr>
      </w:r>
      <w:r>
        <w:rPr/>
        <w:t>场推广与潜在客户取得联系，经过对客户需求的分析、沟通，通过招投标等方式获取合同。</w:t>
      </w:r>
    </w:p>
    <w:p>
      <w:pPr>
        <w:pStyle w:val="BodyText"/>
        <w:spacing w:line="273" w:lineRule="auto" w:before="7"/>
        <w:ind w:right="116" w:firstLine="420"/>
        <w:jc w:val="left"/>
      </w:pPr>
      <w:r>
        <w:rPr>
          <w:spacing w:val="-2"/>
        </w:rPr>
        <w:t>国外市场开拓，目前主要通过公司或国内较大规模的外贸公司、国外客源地贸易公司获得国外客户投</w:t>
      </w:r>
      <w:r>
        <w:rPr>
          <w:w w:val="100"/>
        </w:rPr>
        <w:t> </w:t>
      </w:r>
      <w:r>
        <w:rPr>
          <w:spacing w:val="-2"/>
        </w:rPr>
        <w:t>资信息，在确定国外客户的产品需求后，国外客户与公司直接签订合同或通过外贸公司与公司签署产品订</w:t>
      </w:r>
      <w:r>
        <w:rPr>
          <w:spacing w:val="-43"/>
        </w:rPr>
        <w:t> </w:t>
      </w:r>
      <w:r>
        <w:rPr>
          <w:spacing w:val="-43"/>
        </w:rPr>
      </w:r>
      <w:r>
        <w:rPr/>
        <w:t>购合同，</w:t>
      </w:r>
      <w:r>
        <w:rPr>
          <w:spacing w:val="-24"/>
        </w:rPr>
        <w:t> </w:t>
      </w:r>
      <w:r>
        <w:rPr/>
        <w:t>并由公司与国外客户确定具体的技术要求。同时，公司还依靠与国际知名轮胎企业在国内建立</w:t>
      </w:r>
      <w:r>
        <w:rPr>
          <w:w w:val="100"/>
        </w:rPr>
        <w:t> </w:t>
      </w:r>
      <w:r>
        <w:rPr/>
        <w:t>的生产工厂已有的合作经验和顾客口碑，</w:t>
      </w:r>
      <w:r>
        <w:rPr>
          <w:spacing w:val="-25"/>
        </w:rPr>
        <w:t> </w:t>
      </w:r>
      <w:r>
        <w:rPr/>
        <w:t>进而与这些大型跨国轮胎企业建立长期稳固的战略合作关系，</w:t>
      </w:r>
      <w:r>
        <w:rPr>
          <w:w w:val="100"/>
        </w:rPr>
        <w:t> </w:t>
      </w:r>
      <w:r>
        <w:rPr>
          <w:spacing w:val="-2"/>
        </w:rPr>
        <w:t>随着国际知名轮胎企业在国外生产工厂的建设，公司产品配套出口用于这些国际知名轮胎企业海外工厂；</w:t>
      </w:r>
      <w:r>
        <w:rPr>
          <w:spacing w:val="-24"/>
        </w:rPr>
        <w:t> </w:t>
      </w:r>
      <w:r>
        <w:rPr>
          <w:spacing w:val="-24"/>
        </w:rPr>
      </w:r>
      <w:r>
        <w:rPr>
          <w:spacing w:val="-2"/>
        </w:rPr>
        <w:t>未来公司将通过积极参与国际行业展会与论坛、建立国外市场开拓小组等多种方式，以更多元化的渠道开</w:t>
      </w:r>
      <w:r>
        <w:rPr>
          <w:spacing w:val="-44"/>
        </w:rPr>
        <w:t> </w:t>
      </w:r>
      <w:r>
        <w:rPr>
          <w:spacing w:val="-44"/>
        </w:rPr>
      </w:r>
      <w:r>
        <w:rPr/>
        <w:t>拓国际市场。</w:t>
      </w:r>
    </w:p>
    <w:p>
      <w:pPr>
        <w:pStyle w:val="BodyText"/>
        <w:spacing w:line="273" w:lineRule="auto" w:before="8"/>
        <w:ind w:right="206" w:firstLine="420"/>
        <w:jc w:val="both"/>
      </w:pPr>
      <w:r>
        <w:rPr>
          <w:spacing w:val="-2"/>
        </w:rPr>
        <w:t>公司主要采取以销定产、直接销售的销售模式，所制造销售的产品均为非标准化设备，不同项目的同</w:t>
      </w:r>
      <w:r>
        <w:rPr>
          <w:w w:val="100"/>
        </w:rPr>
        <w:t> </w:t>
      </w:r>
      <w:r>
        <w:rPr>
          <w:spacing w:val="-2"/>
        </w:rPr>
        <w:t>一类型产品也往往在产品性能、配件选型、工艺难度、工程周期等方面存在差异，因此公司为每个项目配</w:t>
      </w:r>
      <w:r>
        <w:rPr>
          <w:spacing w:val="-47"/>
        </w:rPr>
        <w:t> </w:t>
      </w:r>
      <w:r>
        <w:rPr>
          <w:spacing w:val="-47"/>
        </w:rPr>
      </w:r>
      <w:r>
        <w:rPr/>
        <w:t>备一个项目负责人，并长期为客户进行技术咨询服务。</w:t>
      </w:r>
    </w:p>
    <w:p>
      <w:pPr>
        <w:pStyle w:val="BodyText"/>
        <w:spacing w:line="256" w:lineRule="auto" w:before="7"/>
        <w:ind w:left="573" w:right="116"/>
        <w:jc w:val="left"/>
      </w:pPr>
      <w:r>
        <w:rPr/>
        <w:t>（</w:t>
      </w:r>
      <w:r>
        <w:rPr>
          <w:rFonts w:ascii="Times New Roman" w:hAnsi="Times New Roman" w:cs="Times New Roman" w:eastAsia="Times New Roman" w:hint="default"/>
        </w:rPr>
        <w:t>5</w:t>
      </w:r>
      <w:r>
        <w:rPr/>
        <w:t>）售后服务</w:t>
      </w:r>
      <w:r>
        <w:rPr>
          <w:w w:val="100"/>
        </w:rPr>
        <w:t> </w:t>
      </w:r>
      <w:r>
        <w:rPr>
          <w:spacing w:val="-2"/>
        </w:rPr>
        <w:t>公司设立售后服务部及合肥、东营、青岛、雅加达及韩国首尔服务网点，负责协调验收后的售后服务</w:t>
      </w:r>
    </w:p>
    <w:p>
      <w:pPr>
        <w:pStyle w:val="BodyText"/>
        <w:spacing w:line="273" w:lineRule="auto" w:before="22"/>
        <w:ind w:right="116"/>
        <w:jc w:val="left"/>
      </w:pPr>
      <w:r>
        <w:rPr>
          <w:spacing w:val="-5"/>
        </w:rPr>
        <w:t>工作，公司北京总部售后服务部门及东营、青岛服务网点满足东北、华北、西南、西北市场售后服务需求，</w:t>
      </w:r>
      <w:r>
        <w:rPr>
          <w:spacing w:val="-6"/>
        </w:rPr>
        <w:t> </w:t>
      </w:r>
      <w:r>
        <w:rPr>
          <w:spacing w:val="-6"/>
        </w:rPr>
      </w:r>
      <w:r>
        <w:rPr>
          <w:spacing w:val="-2"/>
        </w:rPr>
        <w:t>合肥服务网点满足华南、华东售后服务需求，公司雅加达、韩国首尔服务网点满足东南亚及其他国外市场</w:t>
      </w:r>
      <w:r>
        <w:rPr>
          <w:spacing w:val="-42"/>
        </w:rPr>
        <w:t> </w:t>
      </w:r>
      <w:r>
        <w:rPr>
          <w:spacing w:val="-42"/>
        </w:rPr>
      </w:r>
      <w:r>
        <w:rPr/>
        <w:t>售后服务需求。</w:t>
      </w:r>
      <w:r>
        <w:rPr>
          <w:spacing w:val="-25"/>
        </w:rPr>
        <w:t> </w:t>
      </w:r>
      <w:r>
        <w:rPr/>
        <w:t>设计部和调试部相关项目人员协助售后服务部完成售后服务的技术工作。</w:t>
      </w:r>
    </w:p>
    <w:p>
      <w:pPr>
        <w:pStyle w:val="BodyText"/>
        <w:spacing w:line="264" w:lineRule="auto" w:before="7"/>
        <w:ind w:right="116" w:firstLine="420"/>
        <w:jc w:val="left"/>
      </w:pPr>
      <w:r>
        <w:rPr>
          <w:spacing w:val="-2"/>
        </w:rPr>
        <w:t>公司产品均为个性化定制的非标产品，对每个客户都建立详细的产品档案库，当产品出现故障时，设</w:t>
      </w:r>
      <w:r>
        <w:rPr>
          <w:w w:val="100"/>
        </w:rPr>
        <w:t> </w:t>
      </w:r>
      <w:r>
        <w:rPr>
          <w:spacing w:val="-2"/>
        </w:rPr>
        <w:t>计部可迅速调出客户及产品的相关资料，根据客户反馈问题，第一时间提供解决方案。对国内客户反馈的</w:t>
      </w:r>
      <w:r>
        <w:rPr>
          <w:spacing w:val="-45"/>
        </w:rPr>
        <w:t> </w:t>
      </w:r>
      <w:r>
        <w:rPr>
          <w:spacing w:val="-45"/>
        </w:rPr>
      </w:r>
      <w:r>
        <w:rPr/>
        <w:t>问题， 公司可保证在 </w:t>
      </w:r>
      <w:r>
        <w:rPr>
          <w:rFonts w:ascii="Times New Roman" w:hAnsi="Times New Roman" w:cs="Times New Roman" w:eastAsia="Times New Roman" w:hint="default"/>
        </w:rPr>
        <w:t>12 </w:t>
      </w:r>
      <w:r>
        <w:rPr/>
        <w:t>小时内响应并提出初步解决方案，</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t>小时内派维修工程师赶赴设备现场排除故</w:t>
      </w:r>
      <w:r>
        <w:rPr>
          <w:w w:val="100"/>
        </w:rPr>
        <w:t> </w:t>
      </w:r>
      <w:r>
        <w:rPr/>
        <w:t>障。对国外客户反馈的问题，经确认须现场解决故障的，公司在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天内派维修工程师进驻国外维修现场，</w:t>
      </w:r>
      <w:r>
        <w:rPr>
          <w:w w:val="100"/>
        </w:rPr>
        <w:t> </w:t>
      </w:r>
      <w:r>
        <w:rPr/>
        <w:t>而公司雅加达服务网点可为东南亚客户提供更加便捷的服务。</w:t>
      </w:r>
    </w:p>
    <w:p>
      <w:pPr>
        <w:pStyle w:val="BodyText"/>
        <w:spacing w:line="256" w:lineRule="auto" w:before="16"/>
        <w:ind w:right="259" w:firstLine="420"/>
        <w:jc w:val="left"/>
      </w:pPr>
      <w:r>
        <w:rPr/>
        <w:t>公司建立网络远程诊断系统，自动化控制 </w:t>
      </w:r>
      <w:r>
        <w:rPr>
          <w:rFonts w:ascii="Times New Roman" w:hAnsi="Times New Roman" w:cs="Times New Roman" w:eastAsia="Times New Roman" w:hint="default"/>
        </w:rPr>
        <w:t>PLC</w:t>
      </w:r>
      <w:r>
        <w:rPr>
          <w:rFonts w:ascii="Times New Roman" w:hAnsi="Times New Roman" w:cs="Times New Roman" w:eastAsia="Times New Roman" w:hint="default"/>
          <w:spacing w:val="2"/>
        </w:rPr>
        <w:t> </w:t>
      </w:r>
      <w:r>
        <w:rPr/>
        <w:t>程序和计算机系统软件程序可以通过在线诊断解决问</w:t>
      </w:r>
      <w:r>
        <w:rPr>
          <w:w w:val="100"/>
        </w:rPr>
        <w:t> </w:t>
      </w:r>
      <w:r>
        <w:rPr/>
        <w:t>题，提高效率、减少服务费用。</w:t>
      </w:r>
    </w:p>
    <w:p>
      <w:pPr>
        <w:pStyle w:val="BodyText"/>
        <w:spacing w:line="264" w:lineRule="auto" w:before="22"/>
        <w:ind w:right="206" w:firstLine="420"/>
        <w:jc w:val="both"/>
      </w:pPr>
      <w:r>
        <w:rPr>
          <w:spacing w:val="-3"/>
        </w:rPr>
        <w:t>公司承诺对产品实现</w:t>
      </w:r>
      <w:r>
        <w:rPr>
          <w:rFonts w:ascii="Times New Roman" w:hAnsi="Times New Roman" w:cs="Times New Roman" w:eastAsia="Times New Roman" w:hint="default"/>
          <w:spacing w:val="-3"/>
        </w:rPr>
        <w:t>“</w:t>
      </w:r>
      <w:r>
        <w:rPr>
          <w:spacing w:val="-3"/>
        </w:rPr>
        <w:t>一年质保，持续服务</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5"/>
        </w:rPr>
        <w:t> </w:t>
      </w:r>
      <w:r>
        <w:rPr>
          <w:spacing w:val="-4"/>
        </w:rPr>
        <w:t>。产品验收后一年质保期内实行免费售后服务，质保期后</w:t>
      </w:r>
      <w:r>
        <w:rPr>
          <w:w w:val="100"/>
        </w:rPr>
        <w:t> </w:t>
      </w:r>
      <w:r>
        <w:rPr>
          <w:spacing w:val="-2"/>
        </w:rPr>
        <w:t>公司为客户提供优质的协助服务，以优惠的价格协助客户实现物料配送工艺的顺利运作和技术升级，做到</w:t>
      </w:r>
      <w:r>
        <w:rPr>
          <w:spacing w:val="-43"/>
        </w:rPr>
        <w:t> </w:t>
      </w:r>
      <w:r>
        <w:rPr>
          <w:spacing w:val="-43"/>
        </w:rPr>
      </w:r>
      <w:r>
        <w:rPr/>
        <w:t>持续服务。</w:t>
      </w:r>
    </w:p>
    <w:p>
      <w:pPr>
        <w:pStyle w:val="BodyText"/>
        <w:spacing w:line="240" w:lineRule="auto" w:before="16"/>
        <w:ind w:right="116"/>
        <w:jc w:val="left"/>
      </w:pPr>
      <w:r>
        <w:rPr>
          <w:rFonts w:ascii="Times New Roman" w:hAnsi="Times New Roman" w:cs="Times New Roman" w:eastAsia="Times New Roman" w:hint="default"/>
        </w:rPr>
        <w:t>4</w:t>
      </w:r>
      <w:r>
        <w:rPr/>
        <w:t>、主要业绩驱动因素</w:t>
      </w:r>
    </w:p>
    <w:p>
      <w:pPr>
        <w:pStyle w:val="BodyText"/>
        <w:spacing w:line="273" w:lineRule="auto" w:before="21"/>
        <w:ind w:right="116" w:firstLine="420"/>
        <w:jc w:val="left"/>
      </w:pPr>
      <w:r>
        <w:rPr/>
        <w:t>工业智能化输送配料系统属于技术密集型行业，</w:t>
      </w:r>
      <w:r>
        <w:rPr>
          <w:spacing w:val="-25"/>
        </w:rPr>
        <w:t> </w:t>
      </w:r>
      <w:r>
        <w:rPr/>
        <w:t>领先的技术水平和持续创新能力是该类企业的核心</w:t>
      </w:r>
      <w:r>
        <w:rPr>
          <w:w w:val="100"/>
        </w:rPr>
        <w:t> </w:t>
      </w:r>
      <w:r>
        <w:rPr>
          <w:spacing w:val="-2"/>
        </w:rPr>
        <w:t>竞争优势。公司作为高新技术企业，目前拥有多项发明专利、实用新型专利和软件著作权，拥有多项核心</w:t>
      </w:r>
      <w:r>
        <w:rPr>
          <w:spacing w:val="-50"/>
        </w:rPr>
        <w:t> </w:t>
      </w:r>
      <w:r>
        <w:rPr>
          <w:spacing w:val="-50"/>
        </w:rPr>
      </w:r>
      <w:r>
        <w:rPr>
          <w:spacing w:val="-2"/>
        </w:rPr>
        <w:t>技术，并参与了多项本行业产品相关国家标准的制订，技术水平处于行业领先地位。随着行业整体技术水</w:t>
      </w:r>
      <w:r>
        <w:rPr>
          <w:spacing w:val="-43"/>
        </w:rPr>
        <w:t> </w:t>
      </w:r>
      <w:r>
        <w:rPr>
          <w:spacing w:val="-43"/>
        </w:rPr>
      </w:r>
      <w:r>
        <w:rPr>
          <w:spacing w:val="-2"/>
        </w:rPr>
        <w:t>平的提高，技术创新实力在市场竞争中的作用日益明显。因此，持续创新能力对公司具有核心意义，其变</w:t>
      </w:r>
      <w:r>
        <w:rPr>
          <w:spacing w:val="-47"/>
        </w:rPr>
        <w:t> </w:t>
      </w:r>
      <w:r>
        <w:rPr>
          <w:spacing w:val="-47"/>
        </w:rPr>
      </w:r>
      <w:r>
        <w:rPr/>
        <w:t>动对业绩变动具有较强预示作用。</w:t>
      </w:r>
    </w:p>
    <w:p>
      <w:pPr>
        <w:pStyle w:val="BodyText"/>
        <w:spacing w:line="256" w:lineRule="auto" w:before="8"/>
        <w:ind w:left="573" w:right="116" w:hanging="421"/>
        <w:jc w:val="left"/>
      </w:pPr>
      <w:r>
        <w:rPr>
          <w:rFonts w:ascii="Times New Roman" w:hAnsi="Times New Roman" w:cs="Times New Roman" w:eastAsia="Times New Roman" w:hint="default"/>
        </w:rPr>
        <w:t>5</w:t>
      </w:r>
      <w:r>
        <w:rPr/>
        <w:t>、行业技术水平及周期性特征</w:t>
      </w:r>
      <w:r>
        <w:rPr>
          <w:w w:val="100"/>
        </w:rPr>
        <w:t> </w:t>
      </w:r>
      <w:r>
        <w:rPr>
          <w:spacing w:val="-2"/>
        </w:rPr>
        <w:t>由于工业智能化输送配料系统是集自动控制技术、计量技术、传感器技术、计算机管理技术、环境保</w:t>
      </w:r>
    </w:p>
    <w:p>
      <w:pPr>
        <w:pStyle w:val="BodyText"/>
        <w:spacing w:line="273" w:lineRule="auto" w:before="22"/>
        <w:ind w:right="306"/>
        <w:jc w:val="left"/>
      </w:pPr>
      <w:r>
        <w:rPr/>
        <w:t>护技术等于一体的机电一体化系统，技术要求较高。经过国内企业技术引进吸收，</w:t>
      </w:r>
      <w:r>
        <w:rPr>
          <w:spacing w:val="-27"/>
        </w:rPr>
        <w:t> </w:t>
      </w:r>
      <w:r>
        <w:rPr/>
        <w:t>目前国内工业智能化</w:t>
      </w:r>
      <w:r>
        <w:rPr>
          <w:w w:val="100"/>
        </w:rPr>
        <w:t> </w:t>
      </w:r>
      <w:r>
        <w:rPr/>
        <w:t>输送配料系统技术水平与国际技术水平基本相当。</w:t>
      </w:r>
    </w:p>
    <w:p>
      <w:pPr>
        <w:pStyle w:val="BodyText"/>
        <w:spacing w:line="273" w:lineRule="auto" w:before="7"/>
        <w:ind w:right="206" w:firstLine="420"/>
        <w:jc w:val="both"/>
      </w:pPr>
      <w:r>
        <w:rPr>
          <w:spacing w:val="-2"/>
        </w:rPr>
        <w:t>工业智能化输送配料系统行业属于橡胶、石油、化工、玻璃、冶金、建材等行业的配套设备行业，配</w:t>
      </w:r>
      <w:r>
        <w:rPr>
          <w:w w:val="100"/>
        </w:rPr>
        <w:t> </w:t>
      </w:r>
      <w:r>
        <w:rPr>
          <w:spacing w:val="-2"/>
        </w:rPr>
        <w:t>套设备行业具有明显的周期性特征，与宏观经济和固定资产投资关联度比较高。国家周期性的宏观政策调</w:t>
      </w:r>
      <w:r>
        <w:rPr>
          <w:spacing w:val="-43"/>
        </w:rPr>
        <w:t> </w:t>
      </w:r>
      <w:r>
        <w:rPr>
          <w:spacing w:val="-43"/>
        </w:rPr>
      </w:r>
      <w:r>
        <w:rPr>
          <w:spacing w:val="-2"/>
        </w:rPr>
        <w:t>整，宏观经济运行所呈现出的周期性波动，都会对本行业造成较大影响。当经济不景气时，下游的需求就</w:t>
      </w:r>
    </w:p>
    <w:p>
      <w:pPr>
        <w:spacing w:after="0" w:line="273" w:lineRule="auto"/>
        <w:jc w:val="both"/>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会减缓，将会对本行业的生产经营产生负面影响。</w:t>
      </w:r>
    </w:p>
    <w:p>
      <w:pPr>
        <w:pStyle w:val="BodyText"/>
        <w:spacing w:line="256" w:lineRule="auto" w:before="37"/>
        <w:ind w:left="573" w:right="116" w:hanging="421"/>
        <w:jc w:val="left"/>
      </w:pPr>
      <w:r>
        <w:rPr>
          <w:rFonts w:ascii="Times New Roman" w:hAnsi="Times New Roman" w:cs="Times New Roman" w:eastAsia="Times New Roman" w:hint="default"/>
        </w:rPr>
        <w:t>6.</w:t>
      </w:r>
      <w:r>
        <w:rPr/>
        <w:t>公司的市场地位</w:t>
      </w:r>
      <w:r>
        <w:rPr>
          <w:w w:val="100"/>
        </w:rPr>
        <w:t> </w:t>
      </w:r>
      <w:r>
        <w:rPr>
          <w:spacing w:val="-2"/>
        </w:rPr>
        <w:t>公司在业务快速发展的同时，公司的盈利能力也在不断增强，盈利增长速度超过同行业上市公司，成</w:t>
      </w:r>
    </w:p>
    <w:p>
      <w:pPr>
        <w:pStyle w:val="BodyText"/>
        <w:spacing w:line="273" w:lineRule="auto" w:before="22"/>
        <w:ind w:right="206"/>
        <w:jc w:val="both"/>
      </w:pPr>
      <w:r>
        <w:rPr>
          <w:spacing w:val="-2"/>
        </w:rPr>
        <w:t>长性在同行业中处于前列。报告期内公司毛利率保持基本稳定，略有上升，公司的现金流状况良好。公司</w:t>
      </w:r>
      <w:r>
        <w:rPr>
          <w:spacing w:val="-47"/>
        </w:rPr>
        <w:t> </w:t>
      </w:r>
      <w:r>
        <w:rPr>
          <w:spacing w:val="-47"/>
        </w:rPr>
      </w:r>
      <w:r>
        <w:rPr>
          <w:spacing w:val="-2"/>
        </w:rPr>
        <w:t>一直专注于轮胎橡胶行业自动输送配料系统相关产品的研发和生产，拥有多项核心技术，技术水平处于行</w:t>
      </w:r>
      <w:r>
        <w:rPr>
          <w:spacing w:val="-44"/>
        </w:rPr>
        <w:t> </w:t>
      </w:r>
      <w:r>
        <w:rPr>
          <w:spacing w:val="-44"/>
        </w:rPr>
      </w:r>
      <w:r>
        <w:rPr>
          <w:spacing w:val="-2"/>
        </w:rPr>
        <w:t>业领先地位，是相关产品国家标准的主要起草单位之一。公司产品的技术含量高，产品质量好，得到了下</w:t>
      </w:r>
      <w:r>
        <w:rPr>
          <w:spacing w:val="-47"/>
        </w:rPr>
        <w:t> </w:t>
      </w:r>
      <w:r>
        <w:rPr>
          <w:spacing w:val="-47"/>
        </w:rPr>
      </w:r>
      <w:r>
        <w:rPr>
          <w:spacing w:val="-2"/>
        </w:rPr>
        <w:t>游知名客户的普遍认可，与知名大客户的合作关系不断稳固。随着市场份额的逐步增大，其市场地位和竞</w:t>
      </w:r>
      <w:r>
        <w:rPr>
          <w:spacing w:val="-43"/>
        </w:rPr>
        <w:t> </w:t>
      </w:r>
      <w:r>
        <w:rPr>
          <w:spacing w:val="-43"/>
        </w:rPr>
      </w:r>
      <w:r>
        <w:rPr>
          <w:spacing w:val="-2"/>
        </w:rPr>
        <w:t>争能力不断增强。在轮胎橡胶配料系统的细分行业，公司是相关产品的主要供应商，其市场地位和竞争能</w:t>
      </w:r>
      <w:r>
        <w:rPr>
          <w:spacing w:val="-44"/>
        </w:rPr>
        <w:t> </w:t>
      </w:r>
      <w:r>
        <w:rPr>
          <w:spacing w:val="-44"/>
        </w:rPr>
      </w:r>
      <w:r>
        <w:rPr/>
        <w:t>力突出。</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185"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7"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7"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募集资金投资项目正在建设，在建工程增加。</w:t>
            </w:r>
          </w:p>
        </w:tc>
      </w:tr>
    </w:tbl>
    <w:p>
      <w:pPr>
        <w:spacing w:line="240" w:lineRule="auto" w:before="3"/>
        <w:rPr>
          <w:rFonts w:ascii="宋体" w:hAnsi="宋体" w:cs="宋体" w:eastAsia="宋体" w:hint="default"/>
          <w:b/>
          <w:bCs/>
          <w:sz w:val="19"/>
          <w:szCs w:val="19"/>
        </w:rPr>
      </w:pPr>
    </w:p>
    <w:p>
      <w:pPr>
        <w:pStyle w:val="Heading4"/>
        <w:spacing w:line="240" w:lineRule="auto" w:before="36"/>
        <w:ind w:right="116"/>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16"/>
        <w:jc w:val="left"/>
        <w:rPr>
          <w:b w:val="0"/>
          <w:bCs w:val="0"/>
        </w:rPr>
      </w:pPr>
      <w:r>
        <w:rPr/>
        <w:t>三、核心竞争力分析</w:t>
      </w:r>
      <w:r>
        <w:rPr>
          <w:b w:val="0"/>
          <w:bCs w:val="0"/>
        </w:rPr>
      </w:r>
    </w:p>
    <w:p>
      <w:pPr>
        <w:spacing w:line="240" w:lineRule="auto" w:before="12"/>
        <w:rPr>
          <w:rFonts w:ascii="宋体" w:hAnsi="宋体" w:cs="宋体" w:eastAsia="宋体" w:hint="default"/>
          <w:b/>
          <w:bCs/>
          <w:sz w:val="24"/>
          <w:szCs w:val="24"/>
        </w:rPr>
      </w:pPr>
    </w:p>
    <w:p>
      <w:pPr>
        <w:pStyle w:val="BodyText"/>
        <w:spacing w:line="266" w:lineRule="auto"/>
        <w:ind w:right="206" w:firstLine="420"/>
        <w:jc w:val="both"/>
      </w:pPr>
      <w:r>
        <w:rPr>
          <w:spacing w:val="-2"/>
        </w:rPr>
        <w:t>公司是国家高新技术企业、国家标准化委员会橡胶塑料分会会员单位、全国橡塑机械信息中心理事单</w:t>
      </w:r>
      <w:r>
        <w:rPr>
          <w:w w:val="100"/>
        </w:rPr>
        <w:t> </w:t>
      </w:r>
      <w:r>
        <w:rPr>
          <w:spacing w:val="-2"/>
        </w:rPr>
        <w:t>位、中国石油和化工橡塑节能环保中心理事单位、中国塑料机械工业协会第五届理事会会员单位、中国环</w:t>
      </w:r>
      <w:r>
        <w:rPr>
          <w:spacing w:val="-43"/>
        </w:rPr>
        <w:t> </w:t>
      </w:r>
      <w:r>
        <w:rPr>
          <w:spacing w:val="-43"/>
        </w:rPr>
      </w:r>
      <w:r>
        <w:rPr/>
        <w:t>境保护产业协会会员单位、中国环保机械行业协会理事单位，也是《</w:t>
      </w:r>
      <w:r>
        <w:rPr>
          <w:rFonts w:ascii="Times New Roman" w:hAnsi="Times New Roman" w:cs="Times New Roman" w:eastAsia="Times New Roman" w:hint="default"/>
        </w:rPr>
        <w:t>GB/T 25939-2010</w:t>
      </w:r>
      <w:r>
        <w:rPr>
          <w:rFonts w:ascii="Times New Roman" w:hAnsi="Times New Roman" w:cs="Times New Roman" w:eastAsia="Times New Roman" w:hint="default"/>
          <w:spacing w:val="49"/>
        </w:rPr>
        <w:t> </w:t>
      </w:r>
      <w:r>
        <w:rPr/>
        <w:t>密闭式炼胶上辅机</w:t>
      </w:r>
      <w:r>
        <w:rPr>
          <w:w w:val="100"/>
        </w:rPr>
        <w:t> </w:t>
      </w:r>
      <w:r>
        <w:rPr>
          <w:spacing w:val="7"/>
        </w:rPr>
        <w:t>系统》和《</w:t>
      </w:r>
      <w:r>
        <w:rPr>
          <w:rFonts w:ascii="Times New Roman" w:hAnsi="Times New Roman" w:cs="Times New Roman" w:eastAsia="Times New Roman" w:hint="default"/>
          <w:spacing w:val="7"/>
        </w:rPr>
        <w:t>GB/T  </w:t>
      </w:r>
      <w:r>
        <w:rPr>
          <w:rFonts w:ascii="Times New Roman" w:hAnsi="Times New Roman" w:cs="Times New Roman" w:eastAsia="Times New Roman" w:hint="default"/>
        </w:rPr>
        <w:t>25938-2010  </w:t>
      </w:r>
      <w:r>
        <w:rPr>
          <w:rFonts w:ascii="Times New Roman" w:hAnsi="Times New Roman" w:cs="Times New Roman" w:eastAsia="Times New Roman" w:hint="default"/>
          <w:spacing w:val="10"/>
        </w:rPr>
        <w:t> </w:t>
      </w:r>
      <w:r>
        <w:rPr>
          <w:spacing w:val="14"/>
        </w:rPr>
        <w:t>炼胶工序中小料自动配料称量系统》等国家标准的主要起草单位，是</w:t>
      </w:r>
    </w:p>
    <w:p>
      <w:pPr>
        <w:pStyle w:val="BodyText"/>
        <w:spacing w:line="256" w:lineRule="auto"/>
        <w:ind w:left="573" w:right="116" w:hanging="421"/>
        <w:jc w:val="left"/>
      </w:pPr>
      <w:r>
        <w:rPr/>
        <w:t>《</w:t>
      </w:r>
      <w:r>
        <w:rPr>
          <w:rFonts w:ascii="Times New Roman" w:hAnsi="Times New Roman" w:cs="Times New Roman" w:eastAsia="Times New Roman" w:hint="default"/>
        </w:rPr>
        <w:t>GB50469-2008</w:t>
      </w:r>
      <w:r>
        <w:rPr>
          <w:rFonts w:ascii="Times New Roman" w:hAnsi="Times New Roman" w:cs="Times New Roman" w:eastAsia="Times New Roman" w:hint="default"/>
          <w:spacing w:val="31"/>
        </w:rPr>
        <w:t> </w:t>
      </w:r>
      <w:r>
        <w:rPr/>
        <w:t>橡胶工厂环境保护设计规范》国家标准的修订单位。</w:t>
      </w:r>
      <w:r>
        <w:rPr>
          <w:w w:val="100"/>
        </w:rPr>
        <w:t> </w:t>
      </w:r>
      <w:r>
        <w:rPr/>
        <w:t>公司目前拥有</w:t>
      </w:r>
      <w:r>
        <w:rPr>
          <w:rFonts w:ascii="Times New Roman" w:hAnsi="Times New Roman" w:cs="Times New Roman" w:eastAsia="Times New Roman" w:hint="default"/>
        </w:rPr>
        <w:t>35</w:t>
      </w:r>
      <w:r>
        <w:rPr/>
        <w:t>项软件著作权，</w:t>
      </w:r>
      <w:r>
        <w:rPr>
          <w:rFonts w:ascii="Times New Roman" w:hAnsi="Times New Roman" w:cs="Times New Roman" w:eastAsia="Times New Roman" w:hint="default"/>
        </w:rPr>
        <w:t>8</w:t>
      </w:r>
      <w:r>
        <w:rPr/>
        <w:t>项发明专利，</w:t>
      </w:r>
      <w:r>
        <w:rPr>
          <w:rFonts w:ascii="Times New Roman" w:hAnsi="Times New Roman" w:cs="Times New Roman" w:eastAsia="Times New Roman" w:hint="default"/>
        </w:rPr>
        <w:t>29</w:t>
      </w:r>
      <w:r>
        <w:rPr/>
        <w:t>项实用新型专利，在研发设计、机电产品系统集成</w:t>
      </w:r>
    </w:p>
    <w:p>
      <w:pPr>
        <w:pStyle w:val="BodyText"/>
        <w:spacing w:line="240" w:lineRule="auto" w:before="5"/>
        <w:ind w:right="116"/>
        <w:jc w:val="left"/>
      </w:pPr>
      <w:r>
        <w:rPr/>
        <w:t>方面具有明显优势，是北京市海淀区创新企业。</w:t>
      </w:r>
    </w:p>
    <w:p>
      <w:pPr>
        <w:pStyle w:val="BodyText"/>
        <w:spacing w:line="240" w:lineRule="auto" w:before="37"/>
        <w:ind w:left="573" w:right="116"/>
        <w:jc w:val="left"/>
      </w:pPr>
      <w:r>
        <w:rPr>
          <w:rFonts w:ascii="Times New Roman" w:hAnsi="Times New Roman" w:cs="Times New Roman" w:eastAsia="Times New Roman" w:hint="default"/>
        </w:rPr>
        <w:t>1</w:t>
      </w:r>
      <w:r>
        <w:rPr/>
        <w:t>、具备先进的技术水平及产品质量优势</w:t>
      </w:r>
    </w:p>
    <w:p>
      <w:pPr>
        <w:pStyle w:val="BodyText"/>
        <w:spacing w:line="268" w:lineRule="auto" w:before="21"/>
        <w:ind w:right="97" w:firstLine="420"/>
        <w:jc w:val="left"/>
      </w:pPr>
      <w:r>
        <w:rPr/>
        <w:t>公司拥有行业先进的核心技术及持续创新能力，</w:t>
      </w:r>
      <w:r>
        <w:rPr>
          <w:spacing w:val="28"/>
        </w:rPr>
        <w:t> </w:t>
      </w:r>
      <w:r>
        <w:rPr/>
        <w:t>使得公司在满足客户的个性化定制产品需求方面具</w:t>
      </w:r>
      <w:r>
        <w:rPr>
          <w:w w:val="100"/>
        </w:rPr>
        <w:t> </w:t>
      </w:r>
      <w:r>
        <w:rPr/>
        <w:t>有明显优势，</w:t>
      </w:r>
      <w:r>
        <w:rPr>
          <w:spacing w:val="-28"/>
        </w:rPr>
        <w:t> </w:t>
      </w:r>
      <w:r>
        <w:rPr/>
        <w:t>并且能够通过公司的智能化输送配料系统的使用提升客户及其所在行业的工业智能化水平、</w:t>
      </w:r>
      <w:r>
        <w:rPr>
          <w:w w:val="100"/>
        </w:rPr>
        <w:t> </w:t>
      </w:r>
      <w:r>
        <w:rPr>
          <w:spacing w:val="-2"/>
        </w:rPr>
        <w:t>生产效率和产品稳定性，提升其在环保达标、劳动保护等方面的能力。同时，公司建立了严格的产品质量</w:t>
      </w:r>
      <w:r>
        <w:rPr>
          <w:spacing w:val="-50"/>
        </w:rPr>
        <w:t> </w:t>
      </w:r>
      <w:r>
        <w:rPr>
          <w:spacing w:val="-50"/>
        </w:rPr>
      </w:r>
      <w:r>
        <w:rPr/>
        <w:t>保证体系，已通过 </w:t>
      </w:r>
      <w:r>
        <w:rPr>
          <w:rFonts w:ascii="Times New Roman" w:hAnsi="Times New Roman" w:cs="Times New Roman" w:eastAsia="Times New Roman" w:hint="default"/>
        </w:rPr>
        <w:t>GB/T19001-2008</w:t>
      </w:r>
      <w:r>
        <w:rPr>
          <w:rFonts w:ascii="Times New Roman" w:hAnsi="Times New Roman" w:cs="Times New Roman" w:eastAsia="Times New Roman" w:hint="default"/>
        </w:rPr>
        <w:t>—</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2008 </w:t>
      </w:r>
      <w:r>
        <w:rPr/>
        <w:t>质量管理体系认证，对原料采购、外协定制生产、</w:t>
      </w:r>
      <w:r>
        <w:rPr>
          <w:spacing w:val="-80"/>
        </w:rPr>
        <w:t> </w:t>
      </w:r>
      <w:r>
        <w:rPr>
          <w:spacing w:val="-80"/>
        </w:rPr>
      </w:r>
      <w:r>
        <w:rPr>
          <w:spacing w:val="-2"/>
        </w:rPr>
        <w:t>机械加工工艺等产品生产各环节建立了产品质量控制制度规章，并得到有效执行。公司产品的先进技术水</w:t>
      </w:r>
      <w:r>
        <w:rPr>
          <w:spacing w:val="-43"/>
        </w:rPr>
        <w:t> </w:t>
      </w:r>
      <w:r>
        <w:rPr>
          <w:spacing w:val="-43"/>
        </w:rPr>
      </w:r>
      <w:r>
        <w:rPr/>
        <w:t>平和良好产品质量，得到了公司客户的广泛好评。</w:t>
      </w:r>
    </w:p>
    <w:p>
      <w:pPr>
        <w:pStyle w:val="BodyText"/>
        <w:spacing w:line="256" w:lineRule="auto" w:before="12"/>
        <w:ind w:left="573" w:right="195"/>
        <w:jc w:val="left"/>
      </w:pPr>
      <w:r>
        <w:rPr>
          <w:rFonts w:ascii="Times New Roman" w:hAnsi="Times New Roman" w:cs="Times New Roman" w:eastAsia="Times New Roman" w:hint="default"/>
        </w:rPr>
        <w:t>2</w:t>
      </w:r>
      <w:r>
        <w:rPr/>
        <w:t>、持续创新研发能力及新产品开发优势</w:t>
      </w:r>
      <w:r>
        <w:rPr>
          <w:w w:val="100"/>
        </w:rPr>
        <w:t> </w:t>
      </w:r>
      <w:r>
        <w:rPr/>
        <w:t>公司是国内工业智能化输送配料行业内较早发展起来的公司之一，</w:t>
      </w:r>
      <w:r>
        <w:rPr>
          <w:spacing w:val="83"/>
        </w:rPr>
        <w:t> </w:t>
      </w:r>
      <w:r>
        <w:rPr/>
        <w:t>一直以来以信息化、智能化的软</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206"/>
        <w:jc w:val="both"/>
      </w:pPr>
      <w:r>
        <w:rPr>
          <w:spacing w:val="-2"/>
        </w:rPr>
        <w:t>件系统为基础，以高精度、高可靠性的电气控制和机械系统为载体，为工业企业提供物料智能化称量、输</w:t>
      </w:r>
      <w:r>
        <w:rPr>
          <w:spacing w:val="-47"/>
        </w:rPr>
        <w:t> </w:t>
      </w:r>
      <w:r>
        <w:rPr>
          <w:spacing w:val="-47"/>
        </w:rPr>
      </w:r>
      <w:r>
        <w:rPr/>
        <w:t>送、配料的专业化服务。公司技术研发队伍具有多年相关产品的研发和生产制造经验，</w:t>
      </w:r>
      <w:r>
        <w:rPr>
          <w:spacing w:val="69"/>
        </w:rPr>
        <w:t> </w:t>
      </w:r>
      <w:r>
        <w:rPr/>
        <w:t>公司的技术人员</w:t>
      </w:r>
      <w:r>
        <w:rPr>
          <w:spacing w:val="-93"/>
        </w:rPr>
        <w:t> </w:t>
      </w:r>
      <w:r>
        <w:rPr>
          <w:spacing w:val="-93"/>
        </w:rPr>
      </w:r>
      <w:r>
        <w:rPr>
          <w:spacing w:val="-2"/>
        </w:rPr>
        <w:t>多为行业资深设计人员，从事工业智能化配料系统行业研究多年，对工业智能化配料行业的业务特征、市</w:t>
      </w:r>
      <w:r>
        <w:rPr>
          <w:spacing w:val="-43"/>
        </w:rPr>
        <w:t> </w:t>
      </w:r>
      <w:r>
        <w:rPr>
          <w:spacing w:val="-43"/>
        </w:rPr>
      </w:r>
      <w:r>
        <w:rPr/>
        <w:t>场运作、技术发展趋势等有更为深刻理解。</w:t>
      </w:r>
    </w:p>
    <w:p>
      <w:pPr>
        <w:pStyle w:val="BodyText"/>
        <w:spacing w:line="273" w:lineRule="auto" w:before="7"/>
        <w:ind w:right="206" w:firstLine="420"/>
        <w:jc w:val="both"/>
      </w:pPr>
      <w:r>
        <w:rPr>
          <w:spacing w:val="-2"/>
        </w:rPr>
        <w:t>近年来，公司立足于橡胶轮胎行业的智能化输送配料系统产品的研发和生产，同时依靠持续创新研发</w:t>
      </w:r>
      <w:r>
        <w:rPr>
          <w:w w:val="100"/>
        </w:rPr>
        <w:t> </w:t>
      </w:r>
      <w:r>
        <w:rPr>
          <w:spacing w:val="-2"/>
        </w:rPr>
        <w:t>能力在石化、建材、新材料等行业研究开发出了多项新系统、新产品，具有较强的新产品开发和细分市场</w:t>
      </w:r>
      <w:r>
        <w:rPr>
          <w:spacing w:val="-44"/>
        </w:rPr>
        <w:t> </w:t>
      </w:r>
      <w:r>
        <w:rPr>
          <w:spacing w:val="-44"/>
        </w:rPr>
      </w:r>
      <w:r>
        <w:rPr/>
        <w:t>竞争能力。</w:t>
      </w:r>
    </w:p>
    <w:p>
      <w:pPr>
        <w:pStyle w:val="BodyText"/>
        <w:spacing w:line="240" w:lineRule="auto" w:before="7"/>
        <w:ind w:left="573" w:right="116"/>
        <w:jc w:val="left"/>
      </w:pPr>
      <w:r>
        <w:rPr>
          <w:rFonts w:ascii="Times New Roman" w:hAnsi="Times New Roman" w:cs="Times New Roman" w:eastAsia="Times New Roman" w:hint="default"/>
        </w:rPr>
        <w:t>3</w:t>
      </w:r>
      <w:r>
        <w:rPr/>
        <w:t>、突出的行业地位和市场知名度优势</w:t>
      </w:r>
    </w:p>
    <w:p>
      <w:pPr>
        <w:pStyle w:val="BodyText"/>
        <w:spacing w:line="273" w:lineRule="auto" w:before="21"/>
        <w:ind w:right="97" w:firstLine="420"/>
        <w:jc w:val="left"/>
      </w:pPr>
      <w:r>
        <w:rPr/>
        <w:t>凭借在国内橡胶制品业界内的高知名度和美誉度， 公司积累了丰富优质的客户资源，</w:t>
      </w:r>
      <w:r>
        <w:rPr>
          <w:spacing w:val="-33"/>
        </w:rPr>
        <w:t> </w:t>
      </w:r>
      <w:r>
        <w:rPr/>
        <w:t>已与多家国内</w:t>
      </w:r>
      <w:r>
        <w:rPr>
          <w:w w:val="100"/>
        </w:rPr>
        <w:t> </w:t>
      </w:r>
      <w:r>
        <w:rPr/>
        <w:t>外知名轮胎企业和其他橡胶制品类企业保持了长期稳定的合作关系。公司紧紧把握世界橡胶轮胎产业逐步</w:t>
      </w:r>
      <w:r>
        <w:rPr>
          <w:w w:val="100"/>
        </w:rPr>
        <w:t> </w:t>
      </w:r>
      <w:r>
        <w:rPr/>
        <w:t>向印尼、泰国、越南等东南亚国家战略转移的机遇，迅速拓展了公司在东南亚国家智能化输送配料系统的</w:t>
      </w:r>
      <w:r>
        <w:rPr>
          <w:w w:val="100"/>
        </w:rPr>
        <w:t> </w:t>
      </w:r>
      <w:r>
        <w:rPr>
          <w:spacing w:val="-3"/>
        </w:rPr>
        <w:t>市场，并取得了良好的效果。</w:t>
      </w:r>
      <w:r>
        <w:rPr>
          <w:spacing w:val="-7"/>
        </w:rPr>
        <w:t> </w:t>
      </w:r>
      <w:r>
        <w:rPr/>
        <w:t>同时，</w:t>
      </w:r>
      <w:r>
        <w:rPr>
          <w:spacing w:val="-11"/>
        </w:rPr>
        <w:t> </w:t>
      </w:r>
      <w:r>
        <w:rPr>
          <w:spacing w:val="-3"/>
        </w:rPr>
        <w:t>公司凭借技术优势和品牌优势快速拓展了石油化工、建筑装饰材料、</w:t>
      </w:r>
      <w:r>
        <w:rPr>
          <w:spacing w:val="-93"/>
        </w:rPr>
        <w:t> </w:t>
      </w:r>
      <w:r>
        <w:rPr>
          <w:spacing w:val="-93"/>
        </w:rPr>
      </w:r>
      <w:r>
        <w:rPr>
          <w:spacing w:val="-2"/>
        </w:rPr>
        <w:t>新材料、新能源等新细分市场，品牌优势在公司未来的新产品推广、新领域开发过程中将发挥更加显著的</w:t>
      </w:r>
      <w:r>
        <w:rPr>
          <w:spacing w:val="-44"/>
        </w:rPr>
        <w:t> </w:t>
      </w:r>
      <w:r>
        <w:rPr>
          <w:spacing w:val="-44"/>
        </w:rPr>
      </w:r>
      <w:r>
        <w:rPr/>
        <w:t>作用。</w:t>
      </w:r>
    </w:p>
    <w:p>
      <w:pPr>
        <w:pStyle w:val="BodyText"/>
        <w:spacing w:line="256" w:lineRule="auto" w:before="7"/>
        <w:ind w:left="573" w:right="116"/>
        <w:jc w:val="left"/>
      </w:pPr>
      <w:r>
        <w:rPr>
          <w:rFonts w:ascii="Times New Roman" w:hAnsi="Times New Roman" w:cs="Times New Roman" w:eastAsia="Times New Roman" w:hint="default"/>
        </w:rPr>
        <w:t>4</w:t>
      </w:r>
      <w:r>
        <w:rPr/>
        <w:t>、自动配料专业化及售后服务优势</w:t>
      </w:r>
      <w:r>
        <w:rPr>
          <w:w w:val="100"/>
        </w:rPr>
        <w:t> </w:t>
      </w:r>
      <w:r>
        <w:rPr>
          <w:spacing w:val="-5"/>
        </w:rPr>
        <w:t>公司成立至今始终坚持在工业智能化输送配料系统行业的深入发展，以绿色、环保、低碳为设计理念，</w:t>
      </w:r>
    </w:p>
    <w:p>
      <w:pPr>
        <w:pStyle w:val="BodyText"/>
        <w:spacing w:line="273" w:lineRule="auto" w:before="22"/>
        <w:ind w:right="116"/>
        <w:jc w:val="left"/>
      </w:pPr>
      <w:r>
        <w:rPr>
          <w:spacing w:val="-2"/>
        </w:rPr>
        <w:t>在智能化控制设计、精密计量、精确输送领域建立了显著的专业化服务优势。公司一直以项目制为主要工</w:t>
      </w:r>
      <w:r>
        <w:rPr>
          <w:spacing w:val="-44"/>
        </w:rPr>
        <w:t> </w:t>
      </w:r>
      <w:r>
        <w:rPr>
          <w:spacing w:val="-44"/>
        </w:rPr>
      </w:r>
      <w:r>
        <w:rPr>
          <w:spacing w:val="-2"/>
        </w:rPr>
        <w:t>作模式，销售、设计、生产和售后服务部门以项目组为单位，为每个项目建立详细的项目档案，对每个项</w:t>
      </w:r>
      <w:r>
        <w:rPr>
          <w:spacing w:val="-43"/>
        </w:rPr>
        <w:t> </w:t>
      </w:r>
      <w:r>
        <w:rPr>
          <w:spacing w:val="-43"/>
        </w:rPr>
      </w:r>
      <w:r>
        <w:rPr>
          <w:spacing w:val="-5"/>
        </w:rPr>
        <w:t>目遇到的问题和客户使用反馈进行总结。经历多年积累，公司已具有显著的专业化服务优势，在设计沟通、</w:t>
      </w:r>
      <w:r>
        <w:rPr>
          <w:spacing w:val="-4"/>
        </w:rPr>
        <w:t> </w:t>
      </w:r>
      <w:r>
        <w:rPr>
          <w:spacing w:val="-4"/>
        </w:rPr>
      </w:r>
      <w:r>
        <w:rPr/>
        <w:t>产品服务等方面均因技术专业、服务周到、反应快速而广受客户好评。</w:t>
      </w:r>
    </w:p>
    <w:p>
      <w:pPr>
        <w:spacing w:after="0" w:line="273"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153"/>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206" w:firstLine="360"/>
        <w:jc w:val="both"/>
      </w:pPr>
      <w:r>
        <w:rPr>
          <w:rFonts w:ascii="Times New Roman" w:hAnsi="Times New Roman" w:cs="Times New Roman" w:eastAsia="Times New Roman" w:hint="default"/>
        </w:rPr>
        <w:t>2015</w:t>
      </w:r>
      <w:r>
        <w:rPr/>
        <w:t>年，公司管理层紧密围绕年初制定的</w:t>
      </w:r>
      <w:r>
        <w:rPr>
          <w:rFonts w:ascii="Times New Roman" w:hAnsi="Times New Roman" w:cs="Times New Roman" w:eastAsia="Times New Roman" w:hint="default"/>
        </w:rPr>
        <w:t>2015</w:t>
      </w:r>
      <w:r>
        <w:rPr/>
        <w:t>年度工作计划</w:t>
      </w:r>
      <w:r>
        <w:rPr>
          <w:rFonts w:ascii="Times New Roman" w:hAnsi="Times New Roman" w:cs="Times New Roman" w:eastAsia="Times New Roman" w:hint="default"/>
        </w:rPr>
        <w:t>,</w:t>
      </w:r>
      <w:r>
        <w:rPr/>
        <w:t>贯彻董事会的战略部署</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积极开展各项工</w:t>
      </w:r>
      <w:r>
        <w:rPr>
          <w:w w:val="100"/>
        </w:rPr>
        <w:t> </w:t>
      </w:r>
      <w:r>
        <w:rPr>
          <w:spacing w:val="-2"/>
        </w:rPr>
        <w:t>作，根据年初既定的经营计划积极推进产品结构调整</w:t>
      </w:r>
      <w:r>
        <w:rPr>
          <w:rFonts w:ascii="Times New Roman" w:hAnsi="Times New Roman" w:cs="Times New Roman" w:eastAsia="Times New Roman" w:hint="default"/>
          <w:spacing w:val="-2"/>
        </w:rPr>
        <w:t>,</w:t>
      </w:r>
      <w:r>
        <w:rPr>
          <w:spacing w:val="-2"/>
        </w:rPr>
        <w:t>各项业务有序开展。公司以市场需求为导向</w:t>
      </w:r>
      <w:r>
        <w:rPr>
          <w:rFonts w:ascii="Times New Roman" w:hAnsi="Times New Roman" w:cs="Times New Roman" w:eastAsia="Times New Roman" w:hint="default"/>
          <w:spacing w:val="-2"/>
        </w:rPr>
        <w:t>,</w:t>
      </w:r>
      <w:r>
        <w:rPr>
          <w:spacing w:val="-2"/>
        </w:rPr>
        <w:t>加快实</w:t>
      </w:r>
      <w:r>
        <w:rPr>
          <w:spacing w:val="-26"/>
        </w:rPr>
        <w:t> </w:t>
      </w:r>
      <w:r>
        <w:rPr/>
        <w:t>施研发创新驱动发展战略</w:t>
      </w:r>
      <w:r>
        <w:rPr>
          <w:rFonts w:ascii="Times New Roman" w:hAnsi="Times New Roman" w:cs="Times New Roman" w:eastAsia="Times New Roman" w:hint="default"/>
        </w:rPr>
        <w:t>,</w:t>
      </w:r>
      <w:r>
        <w:rPr/>
        <w:t>用领先的技术、优异的产品质量和完善的服务为客户创造更大的价值。</w:t>
      </w:r>
    </w:p>
    <w:p>
      <w:pPr>
        <w:pStyle w:val="BodyText"/>
        <w:spacing w:line="261" w:lineRule="auto" w:before="103"/>
        <w:ind w:right="153" w:firstLine="360"/>
        <w:jc w:val="left"/>
      </w:pPr>
      <w:r>
        <w:rPr/>
        <w:t>报告期内，公司实现营业总收入</w:t>
      </w:r>
      <w:r>
        <w:rPr>
          <w:rFonts w:ascii="宋体" w:hAnsi="宋体" w:cs="宋体" w:eastAsia="宋体" w:hint="default"/>
        </w:rPr>
        <w:t>214,272,084.27</w:t>
      </w:r>
      <w:r>
        <w:rPr/>
        <w:t>元</w:t>
      </w:r>
      <w:r>
        <w:rPr>
          <w:rFonts w:ascii="Times New Roman" w:hAnsi="Times New Roman" w:cs="Times New Roman" w:eastAsia="Times New Roman" w:hint="default"/>
        </w:rPr>
        <w:t>,</w:t>
      </w:r>
      <w:r>
        <w:rPr/>
        <w:t>同比增长</w:t>
      </w:r>
      <w:r>
        <w:rPr>
          <w:rFonts w:ascii="宋体" w:hAnsi="宋体" w:cs="宋体" w:eastAsia="宋体" w:hint="default"/>
        </w:rPr>
        <w:t>11.45%;</w:t>
      </w:r>
      <w:r>
        <w:rPr/>
        <w:t>归属于上市公司股东的净利润</w:t>
      </w:r>
      <w:r>
        <w:rPr>
          <w:w w:val="100"/>
        </w:rPr>
        <w:t> </w:t>
      </w:r>
      <w:r>
        <w:rPr>
          <w:rFonts w:ascii="宋体" w:hAnsi="宋体" w:cs="宋体" w:eastAsia="宋体" w:hint="default"/>
        </w:rPr>
        <w:t>25,228,234.56</w:t>
      </w:r>
      <w:r>
        <w:rPr/>
        <w:t>元</w:t>
      </w:r>
      <w:r>
        <w:rPr>
          <w:rFonts w:ascii="Times New Roman" w:hAnsi="Times New Roman" w:cs="Times New Roman" w:eastAsia="Times New Roman" w:hint="default"/>
        </w:rPr>
        <w:t>,</w:t>
      </w:r>
      <w:r>
        <w:rPr/>
        <w:t>较上年同期下降</w:t>
      </w:r>
      <w:r>
        <w:rPr>
          <w:spacing w:val="-9"/>
        </w:rPr>
        <w:t> </w:t>
      </w:r>
      <w:r>
        <w:rPr>
          <w:rFonts w:ascii="宋体" w:hAnsi="宋体" w:cs="宋体" w:eastAsia="宋体" w:hint="default"/>
        </w:rPr>
        <w:t>26.95%</w:t>
      </w:r>
      <w:r>
        <w:rPr/>
        <w:t>。虽然由于受轮胎橡胶行业需求波动的影响</w:t>
      </w:r>
      <w:r>
        <w:rPr>
          <w:rFonts w:ascii="Times New Roman" w:hAnsi="Times New Roman" w:cs="Times New Roman" w:eastAsia="Times New Roman" w:hint="default"/>
        </w:rPr>
        <w:t>,</w:t>
      </w:r>
      <w:r>
        <w:rPr/>
        <w:t>同行业内竞争加剧</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产品毛利有所下降</w:t>
      </w:r>
      <w:r>
        <w:rPr>
          <w:rFonts w:ascii="Times New Roman" w:hAnsi="Times New Roman" w:cs="Times New Roman" w:eastAsia="Times New Roman" w:hint="default"/>
          <w:spacing w:val="-2"/>
        </w:rPr>
        <w:t>,</w:t>
      </w:r>
      <w:r>
        <w:rPr>
          <w:spacing w:val="-2"/>
        </w:rPr>
        <w:t>同时公司本年度加大了各领域的研发投入</w:t>
      </w:r>
      <w:r>
        <w:rPr>
          <w:rFonts w:ascii="Times New Roman" w:hAnsi="Times New Roman" w:cs="Times New Roman" w:eastAsia="Times New Roman" w:hint="default"/>
          <w:spacing w:val="-2"/>
        </w:rPr>
        <w:t>,</w:t>
      </w:r>
      <w:r>
        <w:rPr>
          <w:spacing w:val="-2"/>
        </w:rPr>
        <w:t>陆续引进了部分研发与业务方面的高级人才</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1"/>
        </w:rPr>
        <w:t> </w:t>
      </w:r>
      <w:r>
        <w:rPr>
          <w:spacing w:val="-4"/>
        </w:rPr>
        <w:t>导致费用较去年同期有一定上涨</w:t>
      </w:r>
      <w:r>
        <w:rPr>
          <w:rFonts w:ascii="Times New Roman" w:hAnsi="Times New Roman" w:cs="Times New Roman" w:eastAsia="Times New Roman" w:hint="default"/>
          <w:spacing w:val="-4"/>
        </w:rPr>
        <w:t>,</w:t>
      </w:r>
      <w:r>
        <w:rPr>
          <w:spacing w:val="-4"/>
        </w:rPr>
        <w:t>进而对利润产生影响，但是公司保持了持续发展，经受住了市场考验，公 </w:t>
      </w:r>
      <w:r>
        <w:rPr>
          <w:spacing w:val="-2"/>
        </w:rPr>
        <w:t>司的综合实力和市场影响也进一步的增强，发展基础更加扎实。公司在对外经营和市场拓展方面都取得了</w:t>
      </w:r>
      <w:r>
        <w:rPr>
          <w:spacing w:val="-44"/>
        </w:rPr>
        <w:t> </w:t>
      </w:r>
      <w:r>
        <w:rPr>
          <w:spacing w:val="-44"/>
        </w:rPr>
      </w:r>
      <w:r>
        <w:rPr/>
        <w:t>不错的成绩，内部管理和制度建设都有大的提升</w:t>
      </w:r>
      <w:r>
        <w:rPr>
          <w:rFonts w:ascii="Times New Roman" w:hAnsi="Times New Roman" w:cs="Times New Roman" w:eastAsia="Times New Roman" w:hint="default"/>
        </w:rPr>
        <w:t>,</w:t>
      </w:r>
      <w:r>
        <w:rPr/>
        <w:t>顺利完成了上年度股东会确定的经营发展计划。</w:t>
      </w:r>
    </w:p>
    <w:p>
      <w:pPr>
        <w:pStyle w:val="BodyText"/>
        <w:spacing w:line="240" w:lineRule="auto" w:before="101"/>
        <w:ind w:left="513" w:right="153"/>
        <w:jc w:val="left"/>
      </w:pPr>
      <w:r>
        <w:rPr/>
        <w:t>报告期内，公司总体经营情况如下：</w:t>
      </w:r>
    </w:p>
    <w:p>
      <w:pPr>
        <w:pStyle w:val="BodyText"/>
        <w:spacing w:line="240" w:lineRule="auto" w:before="138"/>
        <w:ind w:left="573" w:right="153"/>
        <w:jc w:val="left"/>
      </w:pPr>
      <w:r>
        <w:rPr>
          <w:rFonts w:ascii="Times New Roman" w:hAnsi="Times New Roman" w:cs="Times New Roman" w:eastAsia="Times New Roman" w:hint="default"/>
        </w:rPr>
        <w:t>1.</w:t>
      </w:r>
      <w:r>
        <w:rPr/>
        <w:t>大力加大研发投入，保持技术领先水平</w:t>
      </w:r>
    </w:p>
    <w:p>
      <w:pPr>
        <w:pStyle w:val="BodyText"/>
        <w:spacing w:line="264" w:lineRule="auto" w:before="119"/>
        <w:ind w:right="146" w:firstLine="360"/>
        <w:jc w:val="both"/>
      </w:pPr>
      <w:r>
        <w:rPr>
          <w:rFonts w:ascii="Times New Roman" w:hAnsi="Times New Roman" w:cs="Times New Roman" w:eastAsia="Times New Roman" w:hint="default"/>
          <w:spacing w:val="-2"/>
        </w:rPr>
        <w:t>2015</w:t>
      </w:r>
      <w:r>
        <w:rPr>
          <w:spacing w:val="-2"/>
        </w:rPr>
        <w:t>年公司在研发方面投入巨大</w:t>
      </w:r>
      <w:r>
        <w:rPr>
          <w:rFonts w:ascii="Times New Roman" w:hAnsi="Times New Roman" w:cs="Times New Roman" w:eastAsia="Times New Roman" w:hint="default"/>
          <w:spacing w:val="-2"/>
        </w:rPr>
        <w:t>,</w:t>
      </w:r>
      <w:r>
        <w:rPr>
          <w:spacing w:val="-2"/>
        </w:rPr>
        <w:t>也结出累累硕果。在各部门的共同努力下取得如下成果：湿法混炼自</w:t>
      </w:r>
      <w:r>
        <w:rPr>
          <w:w w:val="100"/>
        </w:rPr>
        <w:t> </w:t>
      </w:r>
      <w:r>
        <w:rPr>
          <w:spacing w:val="-2"/>
        </w:rPr>
        <w:t>动化生产线、智能化在线小药配料和输送系统、自动制袋机、自动封口机、开炼机自动翻胶技术、新型一</w:t>
      </w:r>
      <w:r>
        <w:rPr>
          <w:spacing w:val="-43"/>
        </w:rPr>
        <w:t> </w:t>
      </w:r>
      <w:r>
        <w:rPr>
          <w:spacing w:val="-43"/>
        </w:rPr>
      </w:r>
      <w:r>
        <w:rPr>
          <w:spacing w:val="-3"/>
        </w:rPr>
        <w:t>次法混炼生产线、浓缩燃烧处理技术；物流和信息化应用技术的完善等。目前国内轮胎橡胶行业在工业</w:t>
      </w:r>
      <w:r>
        <w:rPr>
          <w:rFonts w:ascii="Times New Roman" w:hAnsi="Times New Roman" w:cs="Times New Roman" w:eastAsia="Times New Roman" w:hint="default"/>
          <w:spacing w:val="-3"/>
        </w:rPr>
        <w:t>4.0</w:t>
      </w:r>
      <w:r>
        <w:rPr>
          <w:rFonts w:ascii="Times New Roman" w:hAnsi="Times New Roman" w:cs="Times New Roman" w:eastAsia="Times New Roman" w:hint="default"/>
          <w:spacing w:val="6"/>
        </w:rPr>
        <w:t> </w:t>
      </w:r>
      <w:r>
        <w:rPr>
          <w:spacing w:val="-2"/>
        </w:rPr>
        <w:t>方面走在行业前列的企业中，我们提供数字化炼胶方案和智能装置占了很大的比重。另外，公司申报专利</w:t>
      </w:r>
      <w:r>
        <w:rPr>
          <w:spacing w:val="-43"/>
        </w:rPr>
        <w:t> </w:t>
      </w:r>
      <w:r>
        <w:rPr>
          <w:spacing w:val="-43"/>
        </w:rPr>
      </w:r>
      <w:r>
        <w:rPr>
          <w:spacing w:val="-4"/>
        </w:rPr>
        <w:t>和软件著作权</w:t>
      </w:r>
      <w:r>
        <w:rPr>
          <w:rFonts w:ascii="Times New Roman" w:hAnsi="Times New Roman" w:cs="Times New Roman" w:eastAsia="Times New Roman" w:hint="default"/>
          <w:spacing w:val="-4"/>
        </w:rPr>
        <w:t>15</w:t>
      </w:r>
      <w:r>
        <w:rPr>
          <w:spacing w:val="-4"/>
        </w:rPr>
        <w:t>项，</w:t>
      </w:r>
      <w:r>
        <w:rPr>
          <w:rFonts w:ascii="Times New Roman" w:hAnsi="Times New Roman" w:cs="Times New Roman" w:eastAsia="Times New Roman" w:hint="default"/>
          <w:spacing w:val="-4"/>
        </w:rPr>
        <w:t>4</w:t>
      </w:r>
      <w:r>
        <w:rPr>
          <w:spacing w:val="-4"/>
        </w:rPr>
        <w:t>项发明专利、</w:t>
      </w:r>
      <w:r>
        <w:rPr>
          <w:rFonts w:ascii="Times New Roman" w:hAnsi="Times New Roman" w:cs="Times New Roman" w:eastAsia="Times New Roman" w:hint="default"/>
          <w:spacing w:val="-4"/>
        </w:rPr>
        <w:t>8</w:t>
      </w:r>
      <w:r>
        <w:rPr>
          <w:spacing w:val="-4"/>
        </w:rPr>
        <w:t>项实用新型、</w:t>
      </w:r>
      <w:r>
        <w:rPr>
          <w:rFonts w:ascii="Times New Roman" w:hAnsi="Times New Roman" w:cs="Times New Roman" w:eastAsia="Times New Roman" w:hint="default"/>
          <w:spacing w:val="-4"/>
        </w:rPr>
        <w:t>3</w:t>
      </w:r>
      <w:r>
        <w:rPr>
          <w:spacing w:val="-4"/>
        </w:rPr>
        <w:t>项软件著作权，并参与了</w:t>
      </w:r>
      <w:r>
        <w:rPr>
          <w:rFonts w:ascii="Times New Roman" w:hAnsi="Times New Roman" w:cs="Times New Roman" w:eastAsia="Times New Roman" w:hint="default"/>
          <w:spacing w:val="-4"/>
        </w:rPr>
        <w:t>“</w:t>
      </w:r>
      <w:r>
        <w:rPr>
          <w:spacing w:val="-4"/>
        </w:rPr>
        <w:t>橡胶工厂环保设计规范</w:t>
      </w:r>
      <w:r>
        <w:rPr>
          <w:rFonts w:ascii="Times New Roman" w:hAnsi="Times New Roman" w:cs="Times New Roman" w:eastAsia="Times New Roman" w:hint="default"/>
          <w:spacing w:val="-4"/>
        </w:rPr>
        <w:t>”</w:t>
      </w:r>
      <w:r>
        <w:rPr>
          <w:spacing w:val="-4"/>
        </w:rPr>
        <w:t>国家</w:t>
      </w:r>
      <w:r>
        <w:rPr>
          <w:spacing w:val="-21"/>
        </w:rPr>
        <w:t> </w:t>
      </w:r>
      <w:r>
        <w:rPr/>
        <w:t>标准制定工作。</w:t>
      </w:r>
    </w:p>
    <w:p>
      <w:pPr>
        <w:pStyle w:val="BodyText"/>
        <w:spacing w:line="340" w:lineRule="auto" w:before="117"/>
        <w:ind w:left="489" w:right="153" w:firstLine="84"/>
        <w:jc w:val="left"/>
      </w:pPr>
      <w:r>
        <w:rPr>
          <w:rFonts w:ascii="Times New Roman" w:hAnsi="Times New Roman" w:cs="Times New Roman" w:eastAsia="Times New Roman" w:hint="default"/>
        </w:rPr>
        <w:t>2.</w:t>
      </w:r>
      <w:r>
        <w:rPr/>
        <w:t>不断拓展发展视野，逐渐转变经营理念</w:t>
      </w:r>
      <w:r>
        <w:rPr>
          <w:w w:val="100"/>
        </w:rPr>
        <w:t> </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规划建议提出，实施智能制造工程，构建新型制造体系，促进新一代信息通信技术等产业发</w:t>
      </w:r>
    </w:p>
    <w:p>
      <w:pPr>
        <w:pStyle w:val="BodyText"/>
        <w:spacing w:line="198" w:lineRule="exact"/>
        <w:ind w:right="0"/>
        <w:jc w:val="both"/>
      </w:pPr>
      <w:r>
        <w:rPr/>
        <w:t>展壮大。推动生产方式向柔性、智能、精细转变。具体体现在生产过程信息化管理、无人化控制，包括智</w:t>
      </w:r>
    </w:p>
    <w:p>
      <w:pPr>
        <w:pStyle w:val="BodyText"/>
        <w:spacing w:line="264" w:lineRule="auto" w:before="37"/>
        <w:ind w:right="146"/>
        <w:jc w:val="both"/>
      </w:pPr>
      <w:r>
        <w:rPr>
          <w:spacing w:val="-3"/>
        </w:rPr>
        <w:t>能装备、</w:t>
      </w:r>
      <w:r>
        <w:rPr>
          <w:rFonts w:ascii="Times New Roman" w:hAnsi="Times New Roman" w:cs="Times New Roman" w:eastAsia="Times New Roman" w:hint="default"/>
          <w:spacing w:val="-3"/>
        </w:rPr>
        <w:t>MES</w:t>
      </w:r>
      <w:r>
        <w:rPr>
          <w:spacing w:val="-3"/>
        </w:rPr>
        <w:t>系统、信息物流系统等。另外，国家法律的完善，社会环保意识的增强提供了良好的市场需</w:t>
      </w:r>
      <w:r>
        <w:rPr>
          <w:spacing w:val="-6"/>
        </w:rPr>
        <w:t> </w:t>
      </w:r>
      <w:r>
        <w:rPr>
          <w:spacing w:val="-6"/>
        </w:rPr>
      </w:r>
      <w:r>
        <w:rPr>
          <w:spacing w:val="-2"/>
        </w:rPr>
        <w:t>求。我们目前以轮胎橡胶行业废气治理为基础，向其它行业拓展；利用国内外技术和市场资源进行环保产</w:t>
      </w:r>
      <w:r>
        <w:rPr>
          <w:spacing w:val="-44"/>
        </w:rPr>
        <w:t> </w:t>
      </w:r>
      <w:r>
        <w:rPr>
          <w:spacing w:val="-44"/>
        </w:rPr>
      </w:r>
      <w:r>
        <w:rPr/>
        <w:t>业整合，业务也在向水处理、土壤处理方向拓展。</w:t>
      </w:r>
    </w:p>
    <w:p>
      <w:pPr>
        <w:pStyle w:val="BodyText"/>
        <w:spacing w:line="273" w:lineRule="auto" w:before="114"/>
        <w:ind w:right="146" w:firstLine="360"/>
        <w:jc w:val="both"/>
      </w:pPr>
      <w:r>
        <w:rPr>
          <w:spacing w:val="-2"/>
        </w:rPr>
        <w:t>公司在理解和紧跟国家战略布局和产业规划方向，紧抓机会逐步跳出传统产业的圈子，着眼于国家大</w:t>
      </w:r>
      <w:r>
        <w:rPr>
          <w:w w:val="100"/>
        </w:rPr>
        <w:t> </w:t>
      </w:r>
      <w:r>
        <w:rPr>
          <w:spacing w:val="-2"/>
        </w:rPr>
        <w:t>力引导的技术和产业转型领域，要面向世界。要从仅提供设备向为客户提供整体方案转变，由满足生产需</w:t>
      </w:r>
      <w:r>
        <w:rPr>
          <w:spacing w:val="-45"/>
        </w:rPr>
        <w:t> </w:t>
      </w:r>
      <w:r>
        <w:rPr>
          <w:spacing w:val="-45"/>
        </w:rPr>
      </w:r>
      <w:r>
        <w:rPr>
          <w:spacing w:val="-2"/>
        </w:rPr>
        <w:t>求向优化生产工艺、提高产品品质、提高生产效率、提高管理效率、降低生产成本方面转变，从满足客户</w:t>
      </w:r>
      <w:r>
        <w:rPr>
          <w:spacing w:val="-43"/>
        </w:rPr>
        <w:t> </w:t>
      </w:r>
      <w:r>
        <w:rPr>
          <w:spacing w:val="-43"/>
        </w:rPr>
      </w:r>
      <w:r>
        <w:rPr/>
        <w:t>需求型销售向引导客户消费型销售转变，敢于进行创新型经营。</w:t>
      </w:r>
    </w:p>
    <w:p>
      <w:pPr>
        <w:pStyle w:val="BodyText"/>
        <w:spacing w:line="340" w:lineRule="auto" w:before="108"/>
        <w:ind w:left="489" w:right="153" w:firstLine="84"/>
        <w:jc w:val="left"/>
      </w:pPr>
      <w:r>
        <w:rPr>
          <w:rFonts w:ascii="Times New Roman" w:hAnsi="Times New Roman" w:cs="Times New Roman" w:eastAsia="Times New Roman" w:hint="default"/>
        </w:rPr>
        <w:t>3.</w:t>
      </w:r>
      <w:r>
        <w:rPr/>
        <w:t>努力开展资本运作，更好实现战略布局</w:t>
      </w:r>
      <w:r>
        <w:rPr>
          <w:w w:val="100"/>
        </w:rPr>
        <w:t> </w:t>
      </w:r>
      <w:r>
        <w:rPr>
          <w:spacing w:val="-4"/>
        </w:rPr>
        <w:t>公司于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11</w:t>
      </w:r>
      <w:r>
        <w:rPr>
          <w:spacing w:val="-4"/>
        </w:rPr>
        <w:t>日正式挂牌上市，报告期内</w:t>
      </w:r>
      <w:r>
        <w:rPr>
          <w:rFonts w:ascii="Times New Roman" w:hAnsi="Times New Roman" w:cs="Times New Roman" w:eastAsia="Times New Roman" w:hint="default"/>
          <w:spacing w:val="-4"/>
        </w:rPr>
        <w:t>,</w:t>
      </w:r>
      <w:r>
        <w:rPr>
          <w:spacing w:val="-4"/>
        </w:rPr>
        <w:t>公司积极开展资本运作，加快建设位于天津的募投项目</w:t>
      </w:r>
    </w:p>
    <w:p>
      <w:pPr>
        <w:pStyle w:val="BodyText"/>
        <w:spacing w:line="214" w:lineRule="exact"/>
        <w:ind w:right="0"/>
        <w:jc w:val="both"/>
      </w:pPr>
      <w:r>
        <w:rPr>
          <w:spacing w:val="-4"/>
        </w:rPr>
        <w:t>工程，对暂时闲置的募集资金进行现金管理，提高募集资金的使用效率，建立和健全投资者沟通机制</w:t>
      </w:r>
      <w:r>
        <w:rPr>
          <w:rFonts w:ascii="Times New Roman" w:hAnsi="Times New Roman" w:cs="Times New Roman" w:eastAsia="Times New Roman" w:hint="default"/>
          <w:spacing w:val="-4"/>
        </w:rPr>
        <w:t>,</w:t>
      </w:r>
      <w:r>
        <w:rPr>
          <w:spacing w:val="-4"/>
        </w:rPr>
        <w:t>并充</w:t>
      </w:r>
    </w:p>
    <w:p>
      <w:pPr>
        <w:pStyle w:val="BodyText"/>
        <w:spacing w:line="256" w:lineRule="auto" w:before="21"/>
        <w:ind w:right="180"/>
        <w:jc w:val="both"/>
      </w:pPr>
      <w:r>
        <w:rPr>
          <w:spacing w:val="-2"/>
        </w:rPr>
        <w:t>分利用投资者关系互动平台与广大投资者沟通和交流</w:t>
      </w:r>
      <w:r>
        <w:rPr>
          <w:rFonts w:ascii="Times New Roman" w:hAnsi="Times New Roman" w:cs="Times New Roman" w:eastAsia="Times New Roman" w:hint="default"/>
          <w:spacing w:val="-2"/>
        </w:rPr>
        <w:t>,</w:t>
      </w:r>
      <w:r>
        <w:rPr>
          <w:spacing w:val="-2"/>
        </w:rPr>
        <w:t>规范公司投资者关系工作</w:t>
      </w:r>
      <w:r>
        <w:rPr>
          <w:rFonts w:ascii="Times New Roman" w:hAnsi="Times New Roman" w:cs="Times New Roman" w:eastAsia="Times New Roman" w:hint="default"/>
          <w:spacing w:val="-2"/>
        </w:rPr>
        <w:t>,</w:t>
      </w:r>
      <w:r>
        <w:rPr>
          <w:spacing w:val="-2"/>
        </w:rPr>
        <w:t>重视投资者与机构的来访</w:t>
      </w:r>
      <w:r>
        <w:rPr>
          <w:spacing w:val="-24"/>
        </w:rPr>
        <w:t> </w:t>
      </w:r>
      <w:r>
        <w:rPr>
          <w:spacing w:val="-24"/>
        </w:rPr>
      </w:r>
      <w:r>
        <w:rPr>
          <w:spacing w:val="-2"/>
        </w:rPr>
        <w:t>调研，加深投资者对公司的了解和认同</w:t>
      </w:r>
      <w:r>
        <w:rPr>
          <w:rFonts w:ascii="Times New Roman" w:hAnsi="Times New Roman" w:cs="Times New Roman" w:eastAsia="Times New Roman" w:hint="default"/>
          <w:spacing w:val="-2"/>
        </w:rPr>
        <w:t>,</w:t>
      </w:r>
      <w:r>
        <w:rPr>
          <w:spacing w:val="-2"/>
        </w:rPr>
        <w:t>增强投资者信心</w:t>
      </w:r>
      <w:r>
        <w:rPr>
          <w:rFonts w:ascii="Times New Roman" w:hAnsi="Times New Roman" w:cs="Times New Roman" w:eastAsia="Times New Roman" w:hint="default"/>
          <w:spacing w:val="-2"/>
        </w:rPr>
        <w:t>,</w:t>
      </w:r>
      <w:r>
        <w:rPr>
          <w:spacing w:val="-2"/>
        </w:rPr>
        <w:t>促进公司与投资者之间长期、良好、稳定的关系</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1"/>
        </w:rPr>
        <w:t> </w:t>
      </w:r>
      <w:r>
        <w:rPr/>
        <w:t>提升公司的诚信度、核心竞争能力和持续发展能力</w:t>
      </w:r>
      <w:r>
        <w:rPr>
          <w:rFonts w:ascii="Times New Roman" w:hAnsi="Times New Roman" w:cs="Times New Roman" w:eastAsia="Times New Roman" w:hint="default"/>
        </w:rPr>
        <w:t>,</w:t>
      </w:r>
      <w:r>
        <w:rPr/>
        <w:t>实现公司价值最大化和股东利益最大化。</w:t>
      </w:r>
    </w:p>
    <w:p>
      <w:pPr>
        <w:pStyle w:val="BodyText"/>
        <w:spacing w:line="240" w:lineRule="auto" w:before="103"/>
        <w:ind w:left="573" w:right="153"/>
        <w:jc w:val="left"/>
      </w:pPr>
      <w:r>
        <w:rPr>
          <w:rFonts w:ascii="Times New Roman" w:hAnsi="Times New Roman" w:cs="Times New Roman" w:eastAsia="Times New Roman" w:hint="default"/>
        </w:rPr>
        <w:t>4.</w:t>
      </w:r>
      <w:r>
        <w:rPr/>
        <w:t>有效强化公司治理，全面提升管理水平</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6" w:firstLine="420"/>
        <w:jc w:val="both"/>
      </w:pPr>
      <w:r>
        <w:rPr>
          <w:spacing w:val="-2"/>
        </w:rPr>
        <w:t>报告期内，公司不断充实壮大技术研发团队，一方面研发人员不断增加，另一方面研发人员素质不断</w:t>
      </w:r>
      <w:r>
        <w:rPr>
          <w:w w:val="100"/>
        </w:rPr>
        <w:t> </w:t>
      </w:r>
      <w:r>
        <w:rPr>
          <w:spacing w:val="-2"/>
        </w:rPr>
        <w:t>提高。公司此前已在研发投入及队伍建设方面打下了良好的基础，未来要在此基础上更上一层楼。公司在</w:t>
      </w:r>
      <w:r>
        <w:rPr>
          <w:spacing w:val="-45"/>
        </w:rPr>
        <w:t> </w:t>
      </w:r>
      <w:r>
        <w:rPr>
          <w:spacing w:val="-45"/>
        </w:rPr>
      </w:r>
      <w:r>
        <w:rPr>
          <w:spacing w:val="-2"/>
        </w:rPr>
        <w:t>本年度进行了干部队伍年轻化调整，补充复合型人才，整合团队优势，并聘请了专业培训机构进行全程培</w:t>
      </w:r>
      <w:r>
        <w:rPr>
          <w:spacing w:val="-44"/>
        </w:rPr>
        <w:t> </w:t>
      </w:r>
      <w:r>
        <w:rPr>
          <w:spacing w:val="-44"/>
        </w:rPr>
      </w:r>
      <w:r>
        <w:rPr/>
        <w:t>训，使公司管理人员的意识、行动、技巧、效率有显著提高。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right="15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06" w:lineRule="auto" w:before="0"/>
        <w:ind w:left="152" w:right="45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2"/>
          <w:sz w:val="21"/>
          <w:szCs w:val="21"/>
        </w:rPr>
        <w:t>参见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管理层讨论与分析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一、概述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相关内容。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66"/>
        <w:ind w:right="15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48"/>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4"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4"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214,272,084.27</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77"/>
              <w:ind w:right="15"/>
              <w:jc w:val="right"/>
              <w:rPr>
                <w:rFonts w:ascii="Times New Roman" w:hAnsi="Times New Roman" w:cs="Times New Roman" w:eastAsia="Times New Roman" w:hint="default"/>
                <w:sz w:val="21"/>
                <w:szCs w:val="21"/>
              </w:rPr>
            </w:pPr>
            <w:r>
              <w:rPr>
                <w:rFonts w:ascii="Times New Roman"/>
                <w:spacing w:val="-1"/>
                <w:sz w:val="21"/>
              </w:rPr>
              <w:t>192,262,399.80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z w:val="21"/>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pacing w:val="-2"/>
                <w:sz w:val="21"/>
              </w:rPr>
              <w:t>11.45%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专用设备制造业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214,272,084.27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Times New Roman" w:hAnsi="Times New Roman" w:cs="Times New Roman" w:eastAsia="Times New Roman" w:hint="default"/>
                <w:sz w:val="21"/>
                <w:szCs w:val="21"/>
              </w:rPr>
            </w:pPr>
            <w:r>
              <w:rPr>
                <w:rFonts w:ascii="Times New Roman"/>
                <w:spacing w:val="-1"/>
                <w:sz w:val="21"/>
              </w:rPr>
              <w:t>192,262,399.80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z w:val="21"/>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pacing w:val="-2"/>
                <w:sz w:val="21"/>
              </w:rPr>
              <w:t>11.45%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上辅机系统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70,107,420.34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6"/>
              <w:jc w:val="right"/>
              <w:rPr>
                <w:rFonts w:ascii="Times New Roman" w:hAnsi="Times New Roman" w:cs="Times New Roman" w:eastAsia="Times New Roman" w:hint="default"/>
                <w:sz w:val="21"/>
                <w:szCs w:val="21"/>
              </w:rPr>
            </w:pPr>
            <w:r>
              <w:rPr>
                <w:rFonts w:ascii="Times New Roman"/>
                <w:sz w:val="21"/>
              </w:rPr>
              <w:t>32.72%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21"/>
                <w:szCs w:val="21"/>
              </w:rPr>
            </w:pPr>
            <w:r>
              <w:rPr>
                <w:rFonts w:ascii="Times New Roman"/>
                <w:spacing w:val="-2"/>
                <w:sz w:val="21"/>
              </w:rPr>
              <w:t>79,752,118.41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
              <w:jc w:val="right"/>
              <w:rPr>
                <w:rFonts w:ascii="Times New Roman" w:hAnsi="Times New Roman" w:cs="Times New Roman" w:eastAsia="Times New Roman" w:hint="default"/>
                <w:sz w:val="21"/>
                <w:szCs w:val="21"/>
              </w:rPr>
            </w:pPr>
            <w:r>
              <w:rPr>
                <w:rFonts w:ascii="Times New Roman"/>
                <w:sz w:val="21"/>
              </w:rPr>
              <w:t>41.48%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8"/>
              <w:jc w:val="right"/>
              <w:rPr>
                <w:rFonts w:ascii="Times New Roman" w:hAnsi="Times New Roman" w:cs="Times New Roman" w:eastAsia="Times New Roman" w:hint="default"/>
                <w:sz w:val="21"/>
                <w:szCs w:val="21"/>
              </w:rPr>
            </w:pPr>
            <w:r>
              <w:rPr>
                <w:rFonts w:ascii="Times New Roman"/>
                <w:spacing w:val="-1"/>
                <w:sz w:val="21"/>
              </w:rPr>
              <w:t>-12.09%</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90"/>
              <w:jc w:val="left"/>
              <w:rPr>
                <w:rFonts w:ascii="宋体" w:hAnsi="宋体" w:cs="宋体" w:eastAsia="宋体" w:hint="default"/>
                <w:sz w:val="21"/>
                <w:szCs w:val="21"/>
              </w:rPr>
            </w:pPr>
            <w:r>
              <w:rPr>
                <w:rFonts w:ascii="宋体" w:hAnsi="宋体" w:cs="宋体" w:eastAsia="宋体" w:hint="default"/>
                <w:sz w:val="21"/>
                <w:szCs w:val="21"/>
              </w:rPr>
              <w:t>小料配料称量系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46,897,114.53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21.89%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24,806,813.83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21"/>
                <w:szCs w:val="21"/>
              </w:rPr>
            </w:pPr>
            <w:r>
              <w:rPr>
                <w:rFonts w:ascii="Times New Roman"/>
                <w:sz w:val="21"/>
              </w:rPr>
              <w:t>12.90%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89.05%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气力输送系统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48,184,826.06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22.49%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Times New Roman" w:hAnsi="Times New Roman" w:cs="Times New Roman" w:eastAsia="Times New Roman" w:hint="default"/>
                <w:sz w:val="21"/>
                <w:szCs w:val="21"/>
              </w:rPr>
            </w:pPr>
            <w:r>
              <w:rPr>
                <w:rFonts w:ascii="Times New Roman"/>
                <w:spacing w:val="-1"/>
                <w:sz w:val="21"/>
              </w:rPr>
              <w:t>75,603,432.63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z w:val="21"/>
              </w:rPr>
              <w:t>39.32%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-36.27%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49,082,723.34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22.90%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12,100,034.93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6.30%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305.64%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163,577,024.77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76.34%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148,615,512.72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77.30%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国外销售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50,695,059.50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23.66%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Times New Roman" w:hAnsi="Times New Roman" w:cs="Times New Roman" w:eastAsia="Times New Roman" w:hint="default"/>
                <w:sz w:val="21"/>
                <w:szCs w:val="21"/>
              </w:rPr>
            </w:pPr>
            <w:r>
              <w:rPr>
                <w:rFonts w:ascii="Times New Roman"/>
                <w:spacing w:val="-1"/>
                <w:sz w:val="21"/>
              </w:rPr>
              <w:t>43,646,887.08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z w:val="21"/>
              </w:rPr>
              <w:t>22.70%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16.15%</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6"/>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59"/>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4" w:right="43" w:hanging="106"/>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3" w:right="46" w:hanging="106"/>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1" w:right="45" w:hanging="212"/>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同期增减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专用设备制造</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214,272,084.2</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144,967,131.6</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2"/>
                <w:sz w:val="21"/>
              </w:rPr>
              <w:t>11.45%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26.91%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-8.24%</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上辅机系统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70,107,420.34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48,641,630.49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-12.09%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-8.26%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0"/>
              <w:jc w:val="left"/>
              <w:rPr>
                <w:rFonts w:ascii="宋体" w:hAnsi="宋体" w:cs="宋体" w:eastAsia="宋体" w:hint="default"/>
                <w:sz w:val="21"/>
                <w:szCs w:val="21"/>
              </w:rPr>
            </w:pPr>
            <w:r>
              <w:rPr>
                <w:rFonts w:ascii="宋体" w:hAnsi="宋体" w:cs="宋体" w:eastAsia="宋体" w:hint="default"/>
                <w:sz w:val="21"/>
                <w:szCs w:val="21"/>
              </w:rPr>
              <w:t>小料配料称量</w:t>
            </w:r>
            <w:r>
              <w:rPr>
                <w:rFonts w:ascii="宋体" w:hAnsi="宋体" w:cs="宋体" w:eastAsia="宋体" w:hint="default"/>
                <w:w w:val="100"/>
                <w:sz w:val="21"/>
                <w:szCs w:val="21"/>
              </w:rPr>
              <w:t> </w:t>
            </w:r>
            <w:r>
              <w:rPr>
                <w:rFonts w:ascii="宋体" w:hAnsi="宋体" w:cs="宋体" w:eastAsia="宋体" w:hint="default"/>
                <w:sz w:val="21"/>
                <w:szCs w:val="21"/>
              </w:rPr>
              <w:t>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46,897,114.53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32,735,580.31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89.05%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113.12%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-7.88%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气力输送系统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48,184,826.06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31,723,086.16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-36.27%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-8.86%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49,082,723.34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31,866,834.71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35.08%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305.64%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352.40%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-6.70%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163,577,024.7</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110,015,165.40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21.59%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-6.38%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国外销售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50,695,059.50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34,951,966.27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16.15%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47.19%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-14.54%</w:t>
            </w:r>
          </w:p>
        </w:tc>
      </w:tr>
    </w:tbl>
    <w:p>
      <w:pPr>
        <w:pStyle w:val="BodyText"/>
        <w:spacing w:line="256" w:lineRule="auto" w:before="28"/>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t>年按报告期末口径调整后的主营业务</w:t>
      </w:r>
      <w:r>
        <w:rPr>
          <w:spacing w:val="-98"/>
        </w:rPr>
        <w:t> </w:t>
      </w:r>
      <w:r>
        <w:rPr>
          <w:spacing w:val="-98"/>
        </w:rPr>
      </w:r>
      <w:r>
        <w:rPr/>
        <w:t>数据</w:t>
      </w:r>
    </w:p>
    <w:p>
      <w:pPr>
        <w:pStyle w:val="BodyText"/>
        <w:spacing w:line="240" w:lineRule="auto" w:before="6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专用设备制造业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w w:val="100"/>
                <w:sz w:val="21"/>
                <w:szCs w:val="21"/>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3"/>
                <w:sz w:val="21"/>
              </w:rPr>
              <w:t>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23.28%</w:t>
            </w:r>
          </w:p>
        </w:tc>
      </w:tr>
      <w:tr>
        <w:trPr>
          <w:trHeight w:val="404"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w w:val="100"/>
                <w:sz w:val="21"/>
                <w:szCs w:val="21"/>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3"/>
                <w:sz w:val="21"/>
              </w:rPr>
              <w:t>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23.28%</w:t>
            </w:r>
          </w:p>
        </w:tc>
      </w:tr>
    </w:tbl>
    <w:p>
      <w:pPr>
        <w:pStyle w:val="BodyText"/>
        <w:spacing w:line="240" w:lineRule="auto" w:before="28"/>
        <w:ind w:right="153"/>
        <w:jc w:val="left"/>
      </w:pPr>
      <w:r>
        <w:rPr/>
        <w:t>相关数据同比发生变动</w:t>
      </w:r>
      <w:r>
        <w:rPr>
          <w:spacing w:val="-59"/>
        </w:rPr>
        <w:t> </w:t>
      </w:r>
      <w:r>
        <w:rPr>
          <w:rFonts w:ascii="Times New Roman" w:hAnsi="Times New Roman" w:cs="Times New Roman" w:eastAsia="Times New Roman" w:hint="default"/>
        </w:rPr>
        <w:t>30%</w:t>
      </w:r>
      <w:r>
        <w:rPr/>
        <w:t>以上的原因说明</w:t>
      </w:r>
    </w:p>
    <w:p>
      <w:pPr>
        <w:pStyle w:val="BodyText"/>
        <w:spacing w:line="240" w:lineRule="auto" w:before="5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53"/>
        <w:jc w:val="left"/>
      </w:pPr>
      <w:r>
        <w:rPr/>
        <w:t>行业分类</w:t>
      </w:r>
    </w:p>
    <w:p>
      <w:pPr>
        <w:pStyle w:val="BodyText"/>
        <w:spacing w:line="240" w:lineRule="auto" w:before="78"/>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73" w:right="43" w:hanging="526"/>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73" w:right="44" w:hanging="526"/>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专用设备制造</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120,705,866.0</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93,970,636.71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28.45%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专用设备制造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直接人工费用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7" w:right="0"/>
              <w:jc w:val="left"/>
              <w:rPr>
                <w:rFonts w:ascii="Times New Roman" w:hAnsi="Times New Roman" w:cs="Times New Roman" w:eastAsia="Times New Roman" w:hint="default"/>
                <w:sz w:val="21"/>
                <w:szCs w:val="21"/>
              </w:rPr>
            </w:pPr>
            <w:r>
              <w:rPr>
                <w:rFonts w:ascii="Times New Roman"/>
                <w:sz w:val="21"/>
              </w:rPr>
              <w:t>13,868,674.73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3" w:right="0"/>
              <w:jc w:val="center"/>
              <w:rPr>
                <w:rFonts w:ascii="Times New Roman" w:hAnsi="Times New Roman" w:cs="Times New Roman" w:eastAsia="Times New Roman" w:hint="default"/>
                <w:sz w:val="21"/>
                <w:szCs w:val="21"/>
              </w:rPr>
            </w:pPr>
            <w:r>
              <w:rPr>
                <w:rFonts w:ascii="Times New Roman"/>
                <w:sz w:val="21"/>
              </w:rPr>
              <w:t>11,032,168.96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25.71%</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专用设备制造</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10,392,590.90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9,221,095.32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12.70%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专用设备制造</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144,967,131.6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114,223,900.99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26.91%</w:t>
            </w:r>
          </w:p>
        </w:tc>
      </w:tr>
    </w:tbl>
    <w:p>
      <w:pPr>
        <w:pStyle w:val="BodyText"/>
        <w:spacing w:line="240" w:lineRule="auto" w:before="28"/>
        <w:ind w:right="153"/>
        <w:jc w:val="left"/>
      </w:pPr>
      <w:r>
        <w:rPr/>
        <w:t>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spacing w:line="506" w:lineRule="auto" w:before="0"/>
        <w:ind w:left="152" w:right="4525" w:firstLine="0"/>
        <w:jc w:val="left"/>
        <w:rPr>
          <w:rFonts w:ascii="宋体" w:hAnsi="宋体" w:cs="宋体" w:eastAsia="宋体" w:hint="default"/>
          <w:sz w:val="21"/>
          <w:szCs w:val="21"/>
        </w:rPr>
      </w:pPr>
      <w:r>
        <w:rPr/>
        <w:pict>
          <v:shape style="position:absolute;margin-left:56.459999pt;margin-top:48.983665pt;width:479.2pt;height:40.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100,250,751.30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pacing w:val="-2"/>
                            <w:sz w:val="21"/>
                            <w:szCs w:val="21"/>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Times New Roman" w:hAnsi="Times New Roman" w:cs="Times New Roman" w:eastAsia="Times New Roman" w:hint="default"/>
                            <w:sz w:val="21"/>
                            <w:szCs w:val="21"/>
                          </w:rPr>
                        </w:pPr>
                        <w:r>
                          <w:rPr>
                            <w:rFonts w:ascii="Times New Roman"/>
                            <w:sz w:val="21"/>
                          </w:rPr>
                          <w:t>46.79%</w:t>
                        </w:r>
                      </w:p>
                    </w:tc>
                  </w:tr>
                </w:tbl>
                <w:p>
                  <w:pPr/>
                </w:p>
              </w:txbxContent>
            </v:textbox>
            <w10:wrap type="none"/>
          </v:shape>
        </w:pict>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）主要销售客户和主要供应商情况</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right="153"/>
        <w:jc w:val="left"/>
      </w:pPr>
      <w:r>
        <w:rPr/>
        <w:t>公司前</w:t>
      </w:r>
      <w:r>
        <w:rPr>
          <w:spacing w:val="-52"/>
        </w:rPr>
        <w:t> </w:t>
      </w:r>
      <w:r>
        <w:rPr>
          <w:rFonts w:ascii="Times New Roman" w:hAnsi="Times New Roman" w:cs="Times New Roman" w:eastAsia="Times New Roman" w:hint="default"/>
        </w:rPr>
        <w:t>5 </w:t>
      </w:r>
      <w:r>
        <w:rPr/>
        <w:t>大客户资料</w:t>
      </w:r>
    </w:p>
    <w:p>
      <w:pPr>
        <w:spacing w:line="240" w:lineRule="auto" w:before="7"/>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7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21"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w w:val="100"/>
                <w:sz w:val="21"/>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29,354,273.50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13.70%</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2" w:right="0"/>
              <w:jc w:val="left"/>
              <w:rPr>
                <w:rFonts w:ascii="Times New Roman" w:hAnsi="Times New Roman" w:cs="Times New Roman" w:eastAsia="Times New Roman" w:hint="default"/>
                <w:sz w:val="21"/>
                <w:szCs w:val="21"/>
              </w:rPr>
            </w:pPr>
            <w:r>
              <w:rPr>
                <w:rFonts w:ascii="Times New Roman"/>
                <w:w w:val="100"/>
                <w:sz w:val="21"/>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1"/>
              <w:ind w:left="27"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24,418,468.59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8"/>
              <w:jc w:val="right"/>
              <w:rPr>
                <w:rFonts w:ascii="Times New Roman" w:hAnsi="Times New Roman" w:cs="Times New Roman" w:eastAsia="Times New Roman" w:hint="default"/>
                <w:sz w:val="21"/>
                <w:szCs w:val="21"/>
              </w:rPr>
            </w:pPr>
            <w:r>
              <w:rPr>
                <w:rFonts w:ascii="Times New Roman"/>
                <w:spacing w:val="-2"/>
                <w:sz w:val="21"/>
              </w:rPr>
              <w:t>11.40%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w w:val="100"/>
                <w:sz w:val="21"/>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20,425,734.00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9.53%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2" w:right="0"/>
              <w:jc w:val="left"/>
              <w:rPr>
                <w:rFonts w:ascii="Times New Roman" w:hAnsi="Times New Roman" w:cs="Times New Roman" w:eastAsia="Times New Roman" w:hint="default"/>
                <w:sz w:val="21"/>
                <w:szCs w:val="21"/>
              </w:rPr>
            </w:pPr>
            <w:r>
              <w:rPr>
                <w:rFonts w:ascii="Times New Roman"/>
                <w:w w:val="100"/>
                <w:sz w:val="21"/>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7"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14,700,854.70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6.86%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w w:val="100"/>
                <w:sz w:val="21"/>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11,351,420.51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5.30%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 w:right="0"/>
              <w:jc w:val="center"/>
              <w:rPr>
                <w:rFonts w:ascii="Times New Roman" w:hAnsi="Times New Roman" w:cs="Times New Roman" w:eastAsia="Times New Roman" w:hint="default"/>
                <w:sz w:val="21"/>
                <w:szCs w:val="21"/>
              </w:rPr>
            </w:pPr>
            <w:r>
              <w:rPr>
                <w:rFonts w:ascii="Times New Roman"/>
                <w:sz w:val="21"/>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100,250,751.30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46.79%</w:t>
            </w:r>
          </w:p>
        </w:tc>
      </w:tr>
    </w:tbl>
    <w:p>
      <w:pPr>
        <w:pStyle w:val="BodyText"/>
        <w:spacing w:line="240" w:lineRule="auto" w:before="28"/>
        <w:ind w:right="153"/>
        <w:jc w:val="left"/>
      </w:pPr>
      <w:r>
        <w:rPr/>
        <w:t>公司主要供应商情况</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35,425,055.61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2"/>
                <w:sz w:val="21"/>
                <w:szCs w:val="21"/>
              </w:rPr>
              <w:t>前五名供应商合计采购金额占年度采购总额比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18.24%</w:t>
            </w:r>
          </w:p>
        </w:tc>
      </w:tr>
    </w:tbl>
    <w:p>
      <w:pPr>
        <w:pStyle w:val="BodyText"/>
        <w:spacing w:line="240" w:lineRule="auto" w:before="28"/>
        <w:ind w:right="153"/>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7"/>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5" w:right="0"/>
              <w:jc w:val="left"/>
              <w:rPr>
                <w:rFonts w:ascii="宋体" w:hAnsi="宋体" w:cs="宋体" w:eastAsia="宋体" w:hint="default"/>
                <w:sz w:val="21"/>
                <w:szCs w:val="21"/>
              </w:rPr>
            </w:pPr>
            <w:r>
              <w:rPr>
                <w:rFonts w:ascii="宋体" w:hAnsi="宋体" w:cs="宋体" w:eastAsia="宋体" w:hint="default"/>
                <w:sz w:val="21"/>
                <w:szCs w:val="21"/>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1"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2" w:right="0"/>
              <w:jc w:val="left"/>
              <w:rPr>
                <w:rFonts w:ascii="Times New Roman" w:hAnsi="Times New Roman" w:cs="Times New Roman" w:eastAsia="Times New Roman" w:hint="default"/>
                <w:sz w:val="21"/>
                <w:szCs w:val="21"/>
              </w:rPr>
            </w:pPr>
            <w:r>
              <w:rPr>
                <w:rFonts w:ascii="Times New Roman"/>
                <w:w w:val="100"/>
                <w:sz w:val="21"/>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11,769,423.73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6.06%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w w:val="100"/>
                <w:sz w:val="21"/>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8,120,000.00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4.18%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2" w:right="0"/>
              <w:jc w:val="left"/>
              <w:rPr>
                <w:rFonts w:ascii="Times New Roman" w:hAnsi="Times New Roman" w:cs="Times New Roman" w:eastAsia="Times New Roman" w:hint="default"/>
                <w:sz w:val="21"/>
                <w:szCs w:val="21"/>
              </w:rPr>
            </w:pPr>
            <w:r>
              <w:rPr>
                <w:rFonts w:ascii="Times New Roman"/>
                <w:w w:val="100"/>
                <w:sz w:val="21"/>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6,587,050.78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3.39%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w w:val="100"/>
                <w:sz w:val="21"/>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5,084,384.00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2.62%</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w w:val="100"/>
                <w:sz w:val="21"/>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3,864,197.10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1.99%</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1" w:right="0"/>
              <w:jc w:val="center"/>
              <w:rPr>
                <w:rFonts w:ascii="Times New Roman" w:hAnsi="Times New Roman" w:cs="Times New Roman" w:eastAsia="Times New Roman" w:hint="default"/>
                <w:sz w:val="21"/>
                <w:szCs w:val="21"/>
              </w:rPr>
            </w:pPr>
            <w:r>
              <w:rPr>
                <w:rFonts w:ascii="Times New Roman"/>
                <w:sz w:val="21"/>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35,425,055.61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8"/>
              <w:jc w:val="right"/>
              <w:rPr>
                <w:rFonts w:ascii="Times New Roman" w:hAnsi="Times New Roman" w:cs="Times New Roman" w:eastAsia="Times New Roman" w:hint="default"/>
                <w:sz w:val="21"/>
                <w:szCs w:val="21"/>
              </w:rPr>
            </w:pPr>
            <w:r>
              <w:rPr>
                <w:rFonts w:ascii="Times New Roman"/>
                <w:sz w:val="21"/>
              </w:rPr>
              <w:t>18.24%</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04"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4,036,228.54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5,214,199.21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-22.59%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35,163,357.22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29,834,040.23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17.86%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6" w:right="0"/>
              <w:jc w:val="left"/>
              <w:rPr>
                <w:rFonts w:ascii="Times New Roman" w:hAnsi="Times New Roman" w:cs="Times New Roman" w:eastAsia="Times New Roman" w:hint="default"/>
                <w:sz w:val="21"/>
                <w:szCs w:val="21"/>
              </w:rPr>
            </w:pPr>
            <w:r>
              <w:rPr>
                <w:rFonts w:ascii="Times New Roman"/>
                <w:sz w:val="21"/>
              </w:rPr>
              <w:t>-1,643,401.05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631,373.74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5" w:right="0"/>
              <w:jc w:val="left"/>
              <w:rPr>
                <w:rFonts w:ascii="Times New Roman" w:hAnsi="Times New Roman" w:cs="Times New Roman" w:eastAsia="Times New Roman" w:hint="default"/>
                <w:sz w:val="21"/>
                <w:szCs w:val="21"/>
              </w:rPr>
            </w:pPr>
            <w:r>
              <w:rPr>
                <w:rFonts w:ascii="Times New Roman"/>
                <w:sz w:val="21"/>
              </w:rPr>
              <w:t>-360.29%</w:t>
            </w:r>
          </w:p>
        </w:tc>
        <w:tc>
          <w:tcPr>
            <w:tcW w:w="2919"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7"/>
                <w:sz w:val="21"/>
                <w:szCs w:val="21"/>
              </w:rPr>
              <w:t>本期美元汇兑收益增加，从而财</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务费用下降</w:t>
            </w: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3"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left="489" w:right="153" w:hanging="3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t>公司作为国家级高新技术企业，为取得技术领先的市场地位，公司持续进行大力的研发投入，并取得</w:t>
      </w:r>
    </w:p>
    <w:p>
      <w:pPr>
        <w:pStyle w:val="BodyText"/>
        <w:spacing w:line="256" w:lineRule="auto"/>
        <w:ind w:right="107"/>
        <w:jc w:val="both"/>
      </w:pPr>
      <w:r>
        <w:rPr/>
        <w:t>了一定的研发成果。研发手段不断完善， </w:t>
      </w:r>
      <w:r>
        <w:rPr>
          <w:rFonts w:ascii="Times New Roman" w:hAnsi="Times New Roman" w:cs="Times New Roman" w:eastAsia="Times New Roman" w:hint="default"/>
        </w:rPr>
        <w:t>PLM</w:t>
      </w:r>
      <w:r>
        <w:rPr/>
        <w:t>软件项目的实施逐步实现从二维向三维转换。研发团队不</w:t>
      </w:r>
      <w:r>
        <w:rPr>
          <w:spacing w:val="-39"/>
        </w:rPr>
        <w:t> </w:t>
      </w:r>
      <w:r>
        <w:rPr>
          <w:spacing w:val="-39"/>
        </w:rPr>
      </w:r>
      <w:r>
        <w:rPr>
          <w:spacing w:val="-2"/>
        </w:rPr>
        <w:t>断壮大、充实，报告期末研发人员达到</w:t>
      </w:r>
      <w:r>
        <w:rPr>
          <w:rFonts w:ascii="Times New Roman" w:hAnsi="Times New Roman" w:cs="Times New Roman" w:eastAsia="Times New Roman" w:hint="default"/>
          <w:spacing w:val="-2"/>
        </w:rPr>
        <w:t>92</w:t>
      </w:r>
      <w:r>
        <w:rPr>
          <w:spacing w:val="-2"/>
        </w:rPr>
        <w:t>人，占公司人员总数的</w:t>
      </w:r>
      <w:r>
        <w:rPr>
          <w:rFonts w:ascii="Times New Roman" w:hAnsi="Times New Roman" w:cs="Times New Roman" w:eastAsia="Times New Roman" w:hint="default"/>
          <w:spacing w:val="-2"/>
        </w:rPr>
        <w:t>22%</w:t>
      </w:r>
      <w:r>
        <w:rPr>
          <w:spacing w:val="-2"/>
        </w:rPr>
        <w:t>，</w:t>
      </w:r>
      <w:r>
        <w:rPr>
          <w:rFonts w:ascii="Times New Roman" w:hAnsi="Times New Roman" w:cs="Times New Roman" w:eastAsia="Times New Roman" w:hint="default"/>
          <w:spacing w:val="-2"/>
        </w:rPr>
        <w:t>2015</w:t>
      </w:r>
      <w:r>
        <w:rPr>
          <w:spacing w:val="-2"/>
        </w:rPr>
        <w:t>年研发投入金额</w:t>
      </w:r>
      <w:r>
        <w:rPr>
          <w:rFonts w:ascii="Times New Roman" w:hAnsi="Times New Roman" w:cs="Times New Roman" w:eastAsia="Times New Roman" w:hint="default"/>
          <w:spacing w:val="-2"/>
        </w:rPr>
        <w:t>1404.91</w:t>
      </w:r>
      <w:r>
        <w:rPr>
          <w:spacing w:val="-2"/>
        </w:rPr>
        <w:t>万元，</w:t>
      </w:r>
      <w:r>
        <w:rPr>
          <w:spacing w:val="-5"/>
        </w:rPr>
        <w:t> </w:t>
      </w:r>
      <w:r>
        <w:rPr>
          <w:spacing w:val="-5"/>
        </w:rPr>
      </w:r>
      <w:r>
        <w:rPr>
          <w:spacing w:val="-3"/>
        </w:rPr>
        <w:t>占当年营业收入的</w:t>
      </w:r>
      <w:r>
        <w:rPr>
          <w:rFonts w:ascii="Times New Roman" w:hAnsi="Times New Roman" w:cs="Times New Roman" w:eastAsia="Times New Roman" w:hint="default"/>
          <w:spacing w:val="-3"/>
        </w:rPr>
        <w:t>6.56%</w:t>
      </w:r>
      <w:r>
        <w:rPr>
          <w:spacing w:val="-3"/>
        </w:rPr>
        <w:t>。公司累计获得了各种专利及著作权</w:t>
      </w:r>
      <w:r>
        <w:rPr>
          <w:rFonts w:ascii="Times New Roman" w:hAnsi="Times New Roman" w:cs="Times New Roman" w:eastAsia="Times New Roman" w:hint="default"/>
          <w:spacing w:val="-3"/>
        </w:rPr>
        <w:t>72</w:t>
      </w:r>
      <w:r>
        <w:rPr>
          <w:spacing w:val="-3"/>
        </w:rPr>
        <w:t>项，其中发明专利</w:t>
      </w:r>
      <w:r>
        <w:rPr>
          <w:rFonts w:ascii="Times New Roman" w:hAnsi="Times New Roman" w:cs="Times New Roman" w:eastAsia="Times New Roman" w:hint="default"/>
          <w:spacing w:val="-3"/>
        </w:rPr>
        <w:t>8</w:t>
      </w:r>
      <w:r>
        <w:rPr>
          <w:spacing w:val="-3"/>
        </w:rPr>
        <w:t>项，实用新型</w:t>
      </w:r>
      <w:r>
        <w:rPr>
          <w:rFonts w:ascii="Times New Roman" w:hAnsi="Times New Roman" w:cs="Times New Roman" w:eastAsia="Times New Roman" w:hint="default"/>
          <w:spacing w:val="-3"/>
        </w:rPr>
        <w:t>29</w:t>
      </w:r>
      <w:r>
        <w:rPr>
          <w:spacing w:val="-3"/>
        </w:rPr>
        <w:t>项，软</w:t>
      </w:r>
    </w:p>
    <w:p>
      <w:pPr>
        <w:pStyle w:val="BodyText"/>
        <w:spacing w:line="256" w:lineRule="auto" w:before="5"/>
        <w:ind w:right="148"/>
        <w:jc w:val="both"/>
      </w:pPr>
      <w:r>
        <w:rPr/>
        <w:t>件著作权</w:t>
      </w:r>
      <w:r>
        <w:rPr>
          <w:rFonts w:ascii="Times New Roman" w:hAnsi="Times New Roman" w:cs="Times New Roman" w:eastAsia="Times New Roman" w:hint="default"/>
        </w:rPr>
        <w:t>35</w:t>
      </w:r>
      <w:r>
        <w:rPr/>
        <w:t>项。在</w:t>
      </w:r>
      <w:r>
        <w:rPr>
          <w:rFonts w:ascii="Times New Roman" w:hAnsi="Times New Roman" w:cs="Times New Roman" w:eastAsia="Times New Roman" w:hint="default"/>
        </w:rPr>
        <w:t>2015</w:t>
      </w:r>
      <w:r>
        <w:rPr/>
        <w:t>年公司与合作方联合研发的</w:t>
      </w:r>
      <w:r>
        <w:rPr>
          <w:rFonts w:ascii="Times New Roman" w:hAnsi="Times New Roman" w:cs="Times New Roman" w:eastAsia="Times New Roman" w:hint="default"/>
        </w:rPr>
        <w:t>“</w:t>
      </w:r>
      <w:r>
        <w:rPr/>
        <w:t>万吨级天然橡胶</w:t>
      </w:r>
      <w:r>
        <w:rPr>
          <w:rFonts w:ascii="Times New Roman" w:hAnsi="Times New Roman" w:cs="Times New Roman" w:eastAsia="Times New Roman" w:hint="default"/>
        </w:rPr>
        <w:t>/</w:t>
      </w:r>
      <w:r>
        <w:rPr/>
        <w:t>白炭黑湿法混炼连续化生产线项目</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完成并通过了技术鉴定。</w:t>
      </w:r>
    </w:p>
    <w:p>
      <w:pPr>
        <w:pStyle w:val="BodyText"/>
        <w:spacing w:line="240" w:lineRule="auto" w:before="22"/>
        <w:ind w:left="558" w:right="153"/>
        <w:jc w:val="left"/>
      </w:pPr>
      <w:r>
        <w:rPr/>
        <w:t>近三年公司研发投入金额及占营业收入的比例：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985"/>
        <w:gridCol w:w="2180"/>
        <w:gridCol w:w="2180"/>
        <w:gridCol w:w="2180"/>
      </w:tblGrid>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研发人员总数（人）</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8" w:right="0"/>
              <w:jc w:val="center"/>
              <w:rPr>
                <w:rFonts w:ascii="Times New Roman" w:hAnsi="Times New Roman" w:cs="Times New Roman" w:eastAsia="Times New Roman" w:hint="default"/>
                <w:sz w:val="21"/>
                <w:szCs w:val="21"/>
              </w:rPr>
            </w:pPr>
            <w:r>
              <w:rPr>
                <w:rFonts w:ascii="Times New Roman"/>
                <w:sz w:val="21"/>
              </w:rPr>
              <w:t>54</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7" w:right="0"/>
              <w:jc w:val="center"/>
              <w:rPr>
                <w:rFonts w:ascii="Times New Roman" w:hAnsi="Times New Roman" w:cs="Times New Roman" w:eastAsia="Times New Roman" w:hint="default"/>
                <w:sz w:val="21"/>
                <w:szCs w:val="21"/>
              </w:rPr>
            </w:pPr>
            <w:r>
              <w:rPr>
                <w:rFonts w:ascii="Times New Roman"/>
                <w:sz w:val="21"/>
              </w:rPr>
              <w:t>87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7" w:right="0"/>
              <w:jc w:val="center"/>
              <w:rPr>
                <w:rFonts w:ascii="Times New Roman" w:hAnsi="Times New Roman" w:cs="Times New Roman" w:eastAsia="Times New Roman" w:hint="default"/>
                <w:sz w:val="21"/>
                <w:szCs w:val="21"/>
              </w:rPr>
            </w:pPr>
            <w:r>
              <w:rPr>
                <w:rFonts w:ascii="Times New Roman"/>
                <w:sz w:val="21"/>
              </w:rPr>
              <w:t>92</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研发人员占比</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1" w:right="0"/>
              <w:jc w:val="center"/>
              <w:rPr>
                <w:rFonts w:ascii="Times New Roman" w:hAnsi="Times New Roman" w:cs="Times New Roman" w:eastAsia="Times New Roman" w:hint="default"/>
                <w:sz w:val="21"/>
                <w:szCs w:val="21"/>
              </w:rPr>
            </w:pPr>
            <w:r>
              <w:rPr>
                <w:rFonts w:ascii="Times New Roman"/>
                <w:sz w:val="21"/>
              </w:rPr>
              <w:t>16%</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center"/>
              <w:rPr>
                <w:rFonts w:ascii="Times New Roman" w:hAnsi="Times New Roman" w:cs="Times New Roman" w:eastAsia="Times New Roman" w:hint="default"/>
                <w:sz w:val="21"/>
                <w:szCs w:val="21"/>
              </w:rPr>
            </w:pPr>
            <w:r>
              <w:rPr>
                <w:rFonts w:ascii="Times New Roman"/>
                <w:sz w:val="21"/>
              </w:rPr>
              <w:t>21%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center"/>
              <w:rPr>
                <w:rFonts w:ascii="Times New Roman" w:hAnsi="Times New Roman" w:cs="Times New Roman" w:eastAsia="Times New Roman" w:hint="default"/>
                <w:sz w:val="21"/>
                <w:szCs w:val="21"/>
              </w:rPr>
            </w:pPr>
            <w:r>
              <w:rPr>
                <w:rFonts w:ascii="Times New Roman"/>
                <w:sz w:val="21"/>
              </w:rPr>
              <w:t>22%</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研发投入（员）</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2" w:right="0"/>
              <w:jc w:val="center"/>
              <w:rPr>
                <w:rFonts w:ascii="Times New Roman" w:hAnsi="Times New Roman" w:cs="Times New Roman" w:eastAsia="Times New Roman" w:hint="default"/>
                <w:sz w:val="21"/>
                <w:szCs w:val="21"/>
              </w:rPr>
            </w:pPr>
            <w:r>
              <w:rPr>
                <w:rFonts w:ascii="Times New Roman"/>
                <w:sz w:val="21"/>
              </w:rPr>
              <w:t>9,020,701.17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2" w:right="0"/>
              <w:jc w:val="center"/>
              <w:rPr>
                <w:rFonts w:ascii="Times New Roman" w:hAnsi="Times New Roman" w:cs="Times New Roman" w:eastAsia="Times New Roman" w:hint="default"/>
                <w:sz w:val="21"/>
                <w:szCs w:val="21"/>
              </w:rPr>
            </w:pPr>
            <w:r>
              <w:rPr>
                <w:rFonts w:ascii="Times New Roman"/>
                <w:sz w:val="21"/>
              </w:rPr>
              <w:t>13,466,560.88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2" w:right="0"/>
              <w:jc w:val="center"/>
              <w:rPr>
                <w:rFonts w:ascii="Times New Roman" w:hAnsi="Times New Roman" w:cs="Times New Roman" w:eastAsia="Times New Roman" w:hint="default"/>
                <w:sz w:val="21"/>
                <w:szCs w:val="21"/>
              </w:rPr>
            </w:pPr>
            <w:r>
              <w:rPr>
                <w:rFonts w:ascii="Times New Roman"/>
                <w:sz w:val="21"/>
              </w:rPr>
              <w:t>14,049,133.01</w:t>
            </w:r>
          </w:p>
        </w:tc>
      </w:tr>
      <w:tr>
        <w:trPr>
          <w:trHeight w:val="6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70"/>
              <w:jc w:val="left"/>
              <w:rPr>
                <w:rFonts w:ascii="宋体" w:hAnsi="宋体" w:cs="宋体" w:eastAsia="宋体" w:hint="default"/>
                <w:sz w:val="21"/>
                <w:szCs w:val="21"/>
              </w:rPr>
            </w:pPr>
            <w:r>
              <w:rPr>
                <w:rFonts w:ascii="宋体" w:hAnsi="宋体" w:cs="宋体" w:eastAsia="宋体" w:hint="default"/>
                <w:sz w:val="21"/>
                <w:szCs w:val="21"/>
              </w:rPr>
              <w:t>研发投入占营业收入</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1" w:right="0"/>
              <w:jc w:val="center"/>
              <w:rPr>
                <w:rFonts w:ascii="Times New Roman" w:hAnsi="Times New Roman" w:cs="Times New Roman" w:eastAsia="Times New Roman" w:hint="default"/>
                <w:sz w:val="21"/>
                <w:szCs w:val="21"/>
              </w:rPr>
            </w:pPr>
            <w:r>
              <w:rPr>
                <w:rFonts w:ascii="Times New Roman"/>
                <w:sz w:val="21"/>
              </w:rPr>
              <w:t>5.20%</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center"/>
              <w:rPr>
                <w:rFonts w:ascii="Times New Roman" w:hAnsi="Times New Roman" w:cs="Times New Roman" w:eastAsia="Times New Roman" w:hint="default"/>
                <w:sz w:val="21"/>
                <w:szCs w:val="21"/>
              </w:rPr>
            </w:pPr>
            <w:r>
              <w:rPr>
                <w:rFonts w:ascii="Times New Roman"/>
                <w:sz w:val="21"/>
              </w:rPr>
              <w:t>7.00%</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center"/>
              <w:rPr>
                <w:rFonts w:ascii="Times New Roman" w:hAnsi="Times New Roman" w:cs="Times New Roman" w:eastAsia="Times New Roman" w:hint="default"/>
                <w:sz w:val="21"/>
                <w:szCs w:val="21"/>
              </w:rPr>
            </w:pPr>
            <w:r>
              <w:rPr>
                <w:rFonts w:ascii="Times New Roman"/>
                <w:sz w:val="21"/>
              </w:rPr>
              <w:t>6.56%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36"/>
        <w:ind w:right="153"/>
        <w:jc w:val="left"/>
      </w:pPr>
      <w:r>
        <w:rPr/>
        <w:t>近三年公司研发投入金额及占营业收入的比例</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54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16.00%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14,049,133.01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13,466,560.88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9,020,701.17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5.20%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研发支出资本化的金额</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资本化研发支出占研发投</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入的比例</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43"/>
              <w:jc w:val="left"/>
              <w:rPr>
                <w:rFonts w:ascii="宋体" w:hAnsi="宋体" w:cs="宋体" w:eastAsia="宋体" w:hint="default"/>
                <w:sz w:val="21"/>
                <w:szCs w:val="21"/>
              </w:rPr>
            </w:pPr>
            <w:r>
              <w:rPr>
                <w:rFonts w:ascii="宋体" w:hAnsi="宋体" w:cs="宋体" w:eastAsia="宋体" w:hint="default"/>
                <w:spacing w:val="-2"/>
                <w:sz w:val="21"/>
                <w:szCs w:val="21"/>
              </w:rPr>
              <w:t>资本化研发支出占当期净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240" w:lineRule="auto" w:before="28"/>
        <w:ind w:right="153"/>
        <w:jc w:val="left"/>
      </w:pPr>
      <w:r>
        <w:rPr/>
        <w:t>研发投入总额占营业收入的比重较上年发生显著变化的原因</w:t>
      </w:r>
    </w:p>
    <w:p>
      <w:pPr>
        <w:pStyle w:val="BodyText"/>
        <w:spacing w:line="290" w:lineRule="auto" w:before="78"/>
        <w:ind w:right="4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研发投入资本化率大幅变动的原因及其合理性说明</w:t>
      </w:r>
    </w:p>
    <w:p>
      <w:pPr>
        <w:pStyle w:val="BodyText"/>
        <w:spacing w:line="290" w:lineRule="auto" w:before="34"/>
        <w:ind w:right="78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100"/>
        </w:rPr>
        <w:t> </w:t>
      </w:r>
      <w:r>
        <w:rPr>
          <w:spacing w:val="-2"/>
        </w:rPr>
        <w:t>近两年专利数情况</w:t>
      </w:r>
    </w:p>
    <w:p>
      <w:pPr>
        <w:pStyle w:val="BodyText"/>
        <w:spacing w:line="240" w:lineRule="auto" w:before="3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97"/>
        <w:gridCol w:w="2113"/>
        <w:gridCol w:w="2225"/>
        <w:gridCol w:w="2024"/>
      </w:tblGrid>
      <w:tr>
        <w:trPr>
          <w:trHeight w:val="161" w:hRule="exact"/>
        </w:trPr>
        <w:tc>
          <w:tcPr>
            <w:tcW w:w="3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1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5"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903" w:right="55" w:hanging="841"/>
              <w:jc w:val="left"/>
              <w:rPr>
                <w:rFonts w:ascii="宋体" w:hAnsi="宋体" w:cs="宋体" w:eastAsia="宋体" w:hint="default"/>
                <w:sz w:val="21"/>
                <w:szCs w:val="21"/>
              </w:rPr>
            </w:pPr>
            <w:r>
              <w:rPr>
                <w:rFonts w:ascii="宋体" w:hAnsi="宋体" w:cs="宋体" w:eastAsia="宋体" w:hint="default"/>
                <w:sz w:val="21"/>
                <w:szCs w:val="21"/>
              </w:rPr>
              <w:t>截至报告期末累计获</w:t>
            </w:r>
            <w:r>
              <w:rPr>
                <w:rFonts w:ascii="宋体" w:hAnsi="宋体" w:cs="宋体" w:eastAsia="宋体" w:hint="default"/>
                <w:w w:val="100"/>
                <w:sz w:val="21"/>
                <w:szCs w:val="21"/>
              </w:rPr>
              <w:t> </w:t>
            </w:r>
            <w:r>
              <w:rPr>
                <w:rFonts w:ascii="宋体" w:hAnsi="宋体" w:cs="宋体" w:eastAsia="宋体" w:hint="default"/>
                <w:sz w:val="21"/>
                <w:szCs w:val="21"/>
              </w:rPr>
              <w:t>得</w:t>
            </w:r>
          </w:p>
        </w:tc>
      </w:tr>
      <w:tr>
        <w:trPr>
          <w:trHeight w:val="394" w:hRule="exact"/>
        </w:trPr>
        <w:tc>
          <w:tcPr>
            <w:tcW w:w="3197" w:type="dxa"/>
            <w:tcBorders>
              <w:top w:val="nil" w:sz="6" w:space="0" w:color="auto"/>
              <w:left w:val="single" w:sz="4" w:space="0" w:color="000000"/>
              <w:bottom w:val="nil" w:sz="6" w:space="0" w:color="auto"/>
              <w:right w:val="single" w:sz="4" w:space="0" w:color="000000"/>
            </w:tcBorders>
            <w:shd w:val="clear" w:color="auto" w:fill="D2D2D2"/>
          </w:tcPr>
          <w:p>
            <w:pPr/>
          </w:p>
        </w:tc>
        <w:tc>
          <w:tcPr>
            <w:tcW w:w="21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已申请</w:t>
            </w:r>
          </w:p>
        </w:tc>
        <w:tc>
          <w:tcPr>
            <w:tcW w:w="22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已获得</w:t>
            </w:r>
          </w:p>
        </w:tc>
        <w:tc>
          <w:tcPr>
            <w:tcW w:w="2024" w:type="dxa"/>
            <w:vMerge/>
            <w:tcBorders>
              <w:left w:val="single" w:sz="4" w:space="0" w:color="000000"/>
              <w:right w:val="single" w:sz="4" w:space="0" w:color="000000"/>
            </w:tcBorders>
            <w:shd w:val="clear" w:color="auto" w:fill="D2D2D2"/>
          </w:tcPr>
          <w:p>
            <w:pPr/>
          </w:p>
        </w:tc>
      </w:tr>
      <w:tr>
        <w:trPr>
          <w:trHeight w:val="161" w:hRule="exact"/>
        </w:trPr>
        <w:tc>
          <w:tcPr>
            <w:tcW w:w="3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1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25"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1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12</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5</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8</w:t>
            </w:r>
          </w:p>
        </w:tc>
      </w:tr>
      <w:tr>
        <w:trPr>
          <w:trHeight w:val="403"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1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21</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21</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29</w:t>
            </w:r>
          </w:p>
        </w:tc>
      </w:tr>
      <w:tr>
        <w:trPr>
          <w:trHeight w:val="401"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21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
              <w:jc w:val="left"/>
              <w:rPr>
                <w:rFonts w:ascii="宋体" w:hAnsi="宋体" w:cs="宋体" w:eastAsia="宋体" w:hint="default"/>
                <w:sz w:val="21"/>
                <w:szCs w:val="21"/>
              </w:rPr>
            </w:pPr>
            <w:r>
              <w:rPr>
                <w:rFonts w:ascii="宋体" w:hAnsi="宋体" w:cs="宋体" w:eastAsia="宋体" w:hint="default"/>
                <w:spacing w:val="-2"/>
                <w:sz w:val="21"/>
                <w:szCs w:val="21"/>
              </w:rPr>
              <w:t>本年度核心技术团队或关键技术人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员变动情况</w:t>
            </w:r>
          </w:p>
        </w:tc>
        <w:tc>
          <w:tcPr>
            <w:tcW w:w="636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无变动</w:t>
            </w:r>
          </w:p>
        </w:tc>
      </w:tr>
      <w:tr>
        <w:trPr>
          <w:trHeight w:val="401"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是否属于科技部认定高新企业</w:t>
            </w:r>
          </w:p>
        </w:tc>
        <w:tc>
          <w:tcPr>
            <w:tcW w:w="636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129,170,660.42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171,654,257.95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-24.75%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163,321,851.13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146,172,752.27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2"/>
                <w:sz w:val="21"/>
              </w:rPr>
              <w:t>11.73%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1"/>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-34,151,190.71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25,481,505.68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-234.02%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24,673.40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116,061.82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-78.74%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85,941,257.76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1,900,449.13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4,422.16%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31"/>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-85,916,584.36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-1,784,387.31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-4,714.91%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180,961,300.00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2"/>
                <w:sz w:val="21"/>
              </w:rPr>
              <w:t>1,114.51%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37,452,749.77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21,581,749.13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73.54%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1"/>
              <w:jc w:val="left"/>
              <w:rPr>
                <w:rFonts w:ascii="宋体" w:hAnsi="宋体" w:cs="宋体" w:eastAsia="宋体" w:hint="default"/>
                <w:sz w:val="21"/>
                <w:szCs w:val="21"/>
              </w:rPr>
            </w:pPr>
            <w:r>
              <w:rPr>
                <w:rFonts w:ascii="宋体" w:hAnsi="宋体" w:cs="宋体" w:eastAsia="宋体" w:hint="default"/>
                <w:spacing w:val="-2"/>
                <w:sz w:val="21"/>
                <w:szCs w:val="21"/>
              </w:rPr>
              <w:t>筹资活动产生的现金流量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143,508,550.23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-6,681,749.13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2,247.77%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31"/>
              <w:jc w:val="left"/>
              <w:rPr>
                <w:rFonts w:ascii="宋体" w:hAnsi="宋体" w:cs="宋体" w:eastAsia="宋体" w:hint="default"/>
                <w:sz w:val="21"/>
                <w:szCs w:val="21"/>
              </w:rPr>
            </w:pPr>
            <w:r>
              <w:rPr>
                <w:rFonts w:ascii="宋体" w:hAnsi="宋体" w:cs="宋体" w:eastAsia="宋体" w:hint="default"/>
                <w:spacing w:val="-2"/>
                <w:sz w:val="21"/>
                <w:szCs w:val="21"/>
              </w:rPr>
              <w:t>现金及现金等价物净增加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24,327,472.52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17,175,643.92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41.64%</w:t>
            </w:r>
          </w:p>
        </w:tc>
      </w:tr>
    </w:tbl>
    <w:p>
      <w:pPr>
        <w:pStyle w:val="BodyText"/>
        <w:spacing w:line="240" w:lineRule="auto" w:before="28"/>
        <w:ind w:right="153"/>
        <w:jc w:val="left"/>
      </w:pPr>
      <w:r>
        <w:rPr/>
        <w:t>相关数据同比发生重大变动的主要影响因素说明</w:t>
      </w:r>
    </w:p>
    <w:p>
      <w:pPr>
        <w:pStyle w:val="BodyText"/>
        <w:spacing w:line="240" w:lineRule="auto" w:before="7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8" w:lineRule="auto" w:before="36"/>
        <w:ind w:right="153"/>
        <w:jc w:val="left"/>
      </w:pPr>
      <w:r>
        <w:rPr/>
        <w:t>报告期内，经营活动现金流净额较去年同期下降</w:t>
      </w:r>
      <w:r>
        <w:rPr>
          <w:rFonts w:ascii="Times New Roman" w:hAnsi="Times New Roman" w:cs="Times New Roman" w:eastAsia="Times New Roman" w:hint="default"/>
        </w:rPr>
        <w:t>234.02%</w:t>
      </w:r>
      <w:r>
        <w:rPr/>
        <w:t>，主要系本期销售商品收到的现金下降所致；</w:t>
      </w:r>
      <w:r>
        <w:rPr>
          <w:w w:val="100"/>
        </w:rPr>
        <w:t> </w:t>
      </w:r>
      <w:r>
        <w:rPr/>
        <w:t>报告期内，投资活动现金流净额较去年同期下降</w:t>
      </w:r>
      <w:r>
        <w:rPr>
          <w:rFonts w:ascii="Times New Roman" w:hAnsi="Times New Roman" w:cs="Times New Roman" w:eastAsia="Times New Roman" w:hint="default"/>
        </w:rPr>
        <w:t>4714.91%</w:t>
      </w:r>
      <w:r>
        <w:rPr/>
        <w:t>，主要系本期购买理财产品所致；</w:t>
      </w:r>
      <w:r>
        <w:rPr>
          <w:w w:val="100"/>
        </w:rPr>
        <w:t> </w:t>
      </w:r>
      <w:r>
        <w:rPr>
          <w:spacing w:val="-3"/>
        </w:rPr>
        <w:t>报告期内，筹资活动现金流净额较去年同期增长</w:t>
      </w:r>
      <w:r>
        <w:rPr>
          <w:rFonts w:ascii="Times New Roman" w:hAnsi="Times New Roman" w:cs="Times New Roman" w:eastAsia="Times New Roman" w:hint="default"/>
          <w:spacing w:val="-3"/>
        </w:rPr>
        <w:t>2247.77%</w:t>
      </w:r>
      <w:r>
        <w:rPr>
          <w:spacing w:val="-3"/>
        </w:rPr>
        <w:t>，主要系本期首次公开发行新股，收到募集资金</w:t>
      </w:r>
      <w:r>
        <w:rPr>
          <w:spacing w:val="-11"/>
        </w:rPr>
        <w:t> </w:t>
      </w:r>
      <w:r>
        <w:rPr>
          <w:spacing w:val="-11"/>
        </w:rPr>
      </w:r>
      <w:r>
        <w:rPr/>
        <w:t>所致。</w:t>
      </w:r>
    </w:p>
    <w:p>
      <w:pPr>
        <w:pStyle w:val="BodyText"/>
        <w:spacing w:line="240" w:lineRule="auto" w:before="44"/>
        <w:ind w:right="153"/>
        <w:jc w:val="left"/>
      </w:pPr>
      <w:r>
        <w:rPr/>
        <w:t>报告期内公司经营活动产生的现金净流量与本年度净利润存在重大差异的原因说明</w:t>
      </w:r>
    </w:p>
    <w:p>
      <w:pPr>
        <w:pStyle w:val="BodyText"/>
        <w:spacing w:line="290" w:lineRule="auto" w:before="78"/>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2"/>
        </w:rPr>
        <w:t>本期经营活动产生的现金净流量与本年度净利润存在较大差异，主要系销售商品收到的现金下降所致。</w:t>
      </w:r>
    </w:p>
    <w:p>
      <w:pPr>
        <w:spacing w:line="240" w:lineRule="auto" w:before="6"/>
        <w:rPr>
          <w:rFonts w:ascii="宋体" w:hAnsi="宋体" w:cs="宋体" w:eastAsia="宋体" w:hint="default"/>
          <w:sz w:val="20"/>
          <w:szCs w:val="20"/>
        </w:rPr>
      </w:pPr>
    </w:p>
    <w:p>
      <w:pPr>
        <w:pStyle w:val="Heading2"/>
        <w:spacing w:line="240" w:lineRule="auto"/>
        <w:ind w:right="153"/>
        <w:jc w:val="left"/>
        <w:rPr>
          <w:b w:val="0"/>
          <w:bCs w:val="0"/>
        </w:rPr>
      </w:pPr>
      <w:r>
        <w:rPr/>
        <w:t>三、非主营业务情况</w:t>
      </w:r>
      <w:r>
        <w:rPr>
          <w:b w:val="0"/>
          <w:bCs w:val="0"/>
        </w:rPr>
      </w:r>
    </w:p>
    <w:p>
      <w:pPr>
        <w:spacing w:line="240" w:lineRule="auto" w:before="2"/>
        <w:rPr>
          <w:rFonts w:ascii="宋体" w:hAnsi="宋体" w:cs="宋体" w:eastAsia="宋体" w:hint="default"/>
          <w:b/>
          <w:bCs/>
          <w:sz w:val="22"/>
          <w:szCs w:val="22"/>
        </w:rPr>
      </w:pPr>
    </w:p>
    <w:p>
      <w:pPr>
        <w:pStyle w:val="BodyText"/>
        <w:spacing w:line="240" w:lineRule="auto" w:before="36"/>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62"/>
        <w:ind w:left="0" w:right="148"/>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254"/>
        <w:gridCol w:w="2254"/>
      </w:tblGrid>
      <w:tr>
        <w:trPr>
          <w:trHeight w:val="404"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65"/>
              <w:jc w:val="right"/>
              <w:rPr>
                <w:rFonts w:ascii="宋体" w:hAnsi="宋体" w:cs="宋体" w:eastAsia="宋体" w:hint="default"/>
                <w:sz w:val="21"/>
                <w:szCs w:val="21"/>
              </w:rPr>
            </w:pPr>
            <w:r>
              <w:rPr>
                <w:rFonts w:ascii="宋体" w:hAnsi="宋体" w:cs="宋体" w:eastAsia="宋体" w:hint="default"/>
                <w:spacing w:val="-1"/>
                <w:sz w:val="21"/>
                <w:szCs w:val="21"/>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92" w:right="0"/>
              <w:jc w:val="left"/>
              <w:rPr>
                <w:rFonts w:ascii="宋体" w:hAnsi="宋体" w:cs="宋体" w:eastAsia="宋体" w:hint="default"/>
                <w:sz w:val="21"/>
                <w:szCs w:val="21"/>
              </w:rPr>
            </w:pPr>
            <w:r>
              <w:rPr>
                <w:rFonts w:ascii="宋体" w:hAnsi="宋体" w:cs="宋体" w:eastAsia="宋体" w:hint="default"/>
                <w:sz w:val="21"/>
                <w:szCs w:val="21"/>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83" w:right="0"/>
              <w:jc w:val="left"/>
              <w:rPr>
                <w:rFonts w:ascii="宋体" w:hAnsi="宋体" w:cs="宋体" w:eastAsia="宋体" w:hint="default"/>
                <w:sz w:val="21"/>
                <w:szCs w:val="21"/>
              </w:rPr>
            </w:pPr>
            <w:r>
              <w:rPr>
                <w:rFonts w:ascii="宋体" w:hAnsi="宋体" w:cs="宋体" w:eastAsia="宋体" w:hint="default"/>
                <w:sz w:val="21"/>
                <w:szCs w:val="21"/>
              </w:rPr>
              <w:t>是否具有可持续性</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26"/>
              <w:jc w:val="left"/>
              <w:rPr>
                <w:rFonts w:ascii="宋体" w:hAnsi="宋体" w:cs="宋体" w:eastAsia="宋体" w:hint="default"/>
                <w:sz w:val="21"/>
                <w:szCs w:val="21"/>
              </w:rPr>
            </w:pPr>
            <w:r>
              <w:rPr>
                <w:rFonts w:ascii="宋体" w:hAnsi="宋体" w:cs="宋体" w:eastAsia="宋体" w:hint="default"/>
                <w:sz w:val="21"/>
                <w:szCs w:val="21"/>
              </w:rPr>
              <w:t>公允价值变动</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646,416.67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2.25%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购买理财产品收益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9,036,346.76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31.41%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计提坏账</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75" w:right="0"/>
              <w:jc w:val="left"/>
              <w:rPr>
                <w:rFonts w:ascii="Times New Roman" w:hAnsi="Times New Roman" w:cs="Times New Roman" w:eastAsia="Times New Roman" w:hint="default"/>
                <w:sz w:val="21"/>
                <w:szCs w:val="21"/>
              </w:rPr>
            </w:pPr>
            <w:r>
              <w:rPr>
                <w:rFonts w:ascii="Times New Roman"/>
                <w:sz w:val="21"/>
              </w:rPr>
              <w:t>7,128,506.97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43" w:right="0"/>
              <w:jc w:val="left"/>
              <w:rPr>
                <w:rFonts w:ascii="Times New Roman" w:hAnsi="Times New Roman" w:cs="Times New Roman" w:eastAsia="Times New Roman" w:hint="default"/>
                <w:sz w:val="21"/>
                <w:szCs w:val="21"/>
              </w:rPr>
            </w:pPr>
            <w:r>
              <w:rPr>
                <w:rFonts w:ascii="Times New Roman"/>
                <w:sz w:val="21"/>
              </w:rPr>
              <w:t>24.78%</w:t>
            </w:r>
          </w:p>
        </w:tc>
        <w:tc>
          <w:tcPr>
            <w:tcW w:w="2254" w:type="dxa"/>
            <w:vMerge w:val="restart"/>
            <w:tcBorders>
              <w:top w:val="single" w:sz="4" w:space="0" w:color="000000"/>
              <w:left w:val="single" w:sz="4" w:space="0" w:color="000000"/>
              <w:right w:val="single" w:sz="4" w:space="0" w:color="000000"/>
            </w:tcBorders>
          </w:tcPr>
          <w:p>
            <w:pPr>
              <w:pStyle w:val="TableParagraph"/>
              <w:spacing w:line="273" w:lineRule="auto" w:before="28"/>
              <w:ind w:left="24" w:right="115"/>
              <w:jc w:val="both"/>
              <w:rPr>
                <w:rFonts w:ascii="宋体" w:hAnsi="宋体" w:cs="宋体" w:eastAsia="宋体" w:hint="default"/>
                <w:sz w:val="21"/>
                <w:szCs w:val="21"/>
              </w:rPr>
            </w:pPr>
            <w:r>
              <w:rPr>
                <w:rFonts w:ascii="宋体" w:hAnsi="宋体" w:cs="宋体" w:eastAsia="宋体" w:hint="default"/>
                <w:spacing w:val="-2"/>
                <w:sz w:val="21"/>
                <w:szCs w:val="21"/>
              </w:rPr>
              <w:t>软件产品增值税退税、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高新技术成果转化项目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补助、企业改制上市补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贴等</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9,359.14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处置固定资产损失等</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5"/>
        <w:gridCol w:w="1064"/>
        <w:gridCol w:w="797"/>
        <w:gridCol w:w="2919"/>
      </w:tblGrid>
      <w:tr>
        <w:trPr>
          <w:trHeight w:val="20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2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239"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88" w:right="72" w:hanging="209"/>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spacing w:val="-102"/>
                <w:sz w:val="21"/>
                <w:szCs w:val="21"/>
              </w:rPr>
              <w:t> </w:t>
            </w:r>
            <w:r>
              <w:rPr>
                <w:rFonts w:ascii="宋体" w:hAnsi="宋体" w:cs="宋体" w:eastAsia="宋体" w:hint="default"/>
                <w:sz w:val="21"/>
                <w:szCs w:val="21"/>
              </w:rPr>
              <w:t>减</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1"/>
              <w:ind w:left="317" w:right="101" w:hanging="210"/>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1"/>
              <w:ind w:left="316" w:right="101"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92,559,444.77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66,694,866.51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pacing w:val="-6"/>
                <w:sz w:val="18"/>
              </w:rPr>
              <w:t>142,162,445.25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73,434,055.49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83,511,791.16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87,312,010.30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42,957,794.75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43,841,596.02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29,242,401.03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6,146,662.83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75"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59"/>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208"/>
        <w:gridCol w:w="1218"/>
        <w:gridCol w:w="1210"/>
        <w:gridCol w:w="1212"/>
        <w:gridCol w:w="1214"/>
        <w:gridCol w:w="1213"/>
        <w:gridCol w:w="933"/>
        <w:gridCol w:w="1354"/>
      </w:tblGrid>
      <w:tr>
        <w:trPr>
          <w:trHeight w:val="161"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6" w:right="70"/>
              <w:jc w:val="center"/>
              <w:rPr>
                <w:rFonts w:ascii="宋体" w:hAnsi="宋体" w:cs="宋体" w:eastAsia="宋体" w:hint="default"/>
                <w:sz w:val="21"/>
                <w:szCs w:val="21"/>
              </w:rPr>
            </w:pPr>
            <w:r>
              <w:rPr>
                <w:rFonts w:ascii="宋体" w:hAnsi="宋体" w:cs="宋体" w:eastAsia="宋体" w:hint="default"/>
                <w:sz w:val="21"/>
                <w:szCs w:val="21"/>
              </w:rPr>
              <w:t>计入权益的</w:t>
            </w:r>
            <w:r>
              <w:rPr>
                <w:rFonts w:ascii="宋体" w:hAnsi="宋体" w:cs="宋体" w:eastAsia="宋体" w:hint="default"/>
                <w:w w:val="100"/>
                <w:sz w:val="21"/>
                <w:szCs w:val="21"/>
              </w:rPr>
              <w:t> </w:t>
            </w:r>
            <w:r>
              <w:rPr>
                <w:rFonts w:ascii="宋体" w:hAnsi="宋体" w:cs="宋体" w:eastAsia="宋体" w:hint="default"/>
                <w:sz w:val="21"/>
                <w:szCs w:val="21"/>
              </w:rPr>
              <w:t>累计公允价</w:t>
            </w:r>
            <w:r>
              <w:rPr>
                <w:rFonts w:ascii="宋体" w:hAnsi="宋体" w:cs="宋体" w:eastAsia="宋体" w:hint="default"/>
                <w:w w:val="100"/>
                <w:sz w:val="21"/>
                <w:szCs w:val="21"/>
              </w:rPr>
              <w:t> </w:t>
            </w:r>
            <w:r>
              <w:rPr>
                <w:rFonts w:ascii="宋体" w:hAnsi="宋体" w:cs="宋体" w:eastAsia="宋体" w:hint="default"/>
                <w:sz w:val="21"/>
                <w:szCs w:val="21"/>
              </w:rPr>
              <w:t>值变动</w:t>
            </w:r>
          </w:p>
        </w:tc>
        <w:tc>
          <w:tcPr>
            <w:tcW w:w="12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70" w:right="73"/>
              <w:jc w:val="left"/>
              <w:rPr>
                <w:rFonts w:ascii="宋体" w:hAnsi="宋体" w:cs="宋体" w:eastAsia="宋体" w:hint="default"/>
                <w:sz w:val="21"/>
                <w:szCs w:val="21"/>
              </w:rPr>
            </w:pPr>
            <w:r>
              <w:rPr>
                <w:rFonts w:ascii="宋体" w:hAnsi="宋体" w:cs="宋体" w:eastAsia="宋体" w:hint="default"/>
                <w:sz w:val="21"/>
                <w:szCs w:val="21"/>
              </w:rPr>
              <w:t>本期公允价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值变动损益</w:t>
            </w:r>
          </w:p>
        </w:tc>
        <w:tc>
          <w:tcPr>
            <w:tcW w:w="1212" w:type="dxa"/>
            <w:vMerge/>
            <w:tcBorders>
              <w:left w:val="single" w:sz="4" w:space="0" w:color="000000"/>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90" w:right="72" w:hanging="315"/>
              <w:jc w:val="left"/>
              <w:rPr>
                <w:rFonts w:ascii="宋体" w:hAnsi="宋体" w:cs="宋体" w:eastAsia="宋体" w:hint="default"/>
                <w:sz w:val="21"/>
                <w:szCs w:val="21"/>
              </w:rPr>
            </w:pPr>
            <w:r>
              <w:rPr>
                <w:rFonts w:ascii="宋体" w:hAnsi="宋体" w:cs="宋体" w:eastAsia="宋体" w:hint="default"/>
                <w:sz w:val="21"/>
                <w:szCs w:val="21"/>
              </w:rPr>
              <w:t>本期计提的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减值</w:t>
            </w: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496" w:right="70" w:hanging="420"/>
              <w:jc w:val="left"/>
              <w:rPr>
                <w:rFonts w:ascii="宋体" w:hAnsi="宋体" w:cs="宋体" w:eastAsia="宋体" w:hint="default"/>
                <w:sz w:val="21"/>
                <w:szCs w:val="21"/>
              </w:rPr>
            </w:pPr>
            <w:r>
              <w:rPr>
                <w:rFonts w:ascii="宋体" w:hAnsi="宋体" w:cs="宋体" w:eastAsia="宋体" w:hint="default"/>
                <w:sz w:val="21"/>
                <w:szCs w:val="21"/>
              </w:rPr>
              <w:t>本期购买金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93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53" w:right="33" w:hanging="209"/>
              <w:jc w:val="left"/>
              <w:rPr>
                <w:rFonts w:ascii="宋体" w:hAnsi="宋体" w:cs="宋体" w:eastAsia="宋体" w:hint="default"/>
                <w:sz w:val="21"/>
                <w:szCs w:val="21"/>
              </w:rPr>
            </w:pPr>
            <w:r>
              <w:rPr>
                <w:rFonts w:ascii="宋体" w:hAnsi="宋体" w:cs="宋体" w:eastAsia="宋体" w:hint="default"/>
                <w:sz w:val="21"/>
                <w:szCs w:val="21"/>
              </w:rPr>
              <w:t>本期出售</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54"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8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10"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14"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13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5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14"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933" w:type="dxa"/>
            <w:vMerge/>
            <w:tcBorders>
              <w:left w:val="single" w:sz="4" w:space="0" w:color="000000"/>
              <w:bottom w:val="nil" w:sz="6" w:space="0" w:color="auto"/>
              <w:right w:val="single" w:sz="4" w:space="0" w:color="000000"/>
            </w:tcBorders>
            <w:shd w:val="clear" w:color="auto" w:fill="D2D2D2"/>
          </w:tcPr>
          <w:p>
            <w:pPr/>
          </w:p>
        </w:tc>
        <w:tc>
          <w:tcPr>
            <w:tcW w:w="1354"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4"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835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值计量且其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变动计入当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期损益的金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融资产（不含</w:t>
            </w:r>
            <w:r>
              <w:rPr>
                <w:rFonts w:ascii="宋体" w:hAnsi="宋体" w:cs="宋体" w:eastAsia="宋体" w:hint="default"/>
                <w:w w:val="100"/>
                <w:sz w:val="21"/>
                <w:szCs w:val="21"/>
              </w:rPr>
              <w:t> </w:t>
            </w:r>
            <w:r>
              <w:rPr>
                <w:rFonts w:ascii="宋体" w:hAnsi="宋体" w:cs="宋体" w:eastAsia="宋体" w:hint="default"/>
                <w:sz w:val="21"/>
                <w:szCs w:val="21"/>
              </w:rPr>
              <w:t>衍生金融资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p>
        </w:tc>
        <w:tc>
          <w:tcPr>
            <w:tcW w:w="12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9" w:right="0"/>
              <w:jc w:val="left"/>
              <w:rPr>
                <w:rFonts w:ascii="Times New Roman" w:hAnsi="Times New Roman" w:cs="Times New Roman" w:eastAsia="Times New Roman" w:hint="default"/>
                <w:sz w:val="21"/>
                <w:szCs w:val="21"/>
              </w:rPr>
            </w:pPr>
            <w:r>
              <w:rPr>
                <w:rFonts w:ascii="Times New Roman"/>
                <w:sz w:val="21"/>
              </w:rPr>
              <w:t>646,416.67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4" w:right="0"/>
              <w:jc w:val="left"/>
              <w:rPr>
                <w:rFonts w:ascii="Times New Roman" w:hAnsi="Times New Roman" w:cs="Times New Roman" w:eastAsia="Times New Roman" w:hint="default"/>
                <w:sz w:val="21"/>
                <w:szCs w:val="21"/>
              </w:rPr>
            </w:pPr>
            <w:r>
              <w:rPr>
                <w:rFonts w:ascii="Times New Roman"/>
                <w:sz w:val="21"/>
              </w:rPr>
              <w:t>646,416.67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60,000,000.0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100"/>
                <w:sz w:val="21"/>
              </w:rPr>
              <w:t>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39" w:right="0"/>
              <w:jc w:val="left"/>
              <w:rPr>
                <w:rFonts w:ascii="Times New Roman" w:hAnsi="Times New Roman" w:cs="Times New Roman" w:eastAsia="Times New Roman" w:hint="default"/>
                <w:sz w:val="21"/>
                <w:szCs w:val="21"/>
              </w:rPr>
            </w:pPr>
            <w:r>
              <w:rPr>
                <w:rFonts w:ascii="Times New Roman"/>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60,646,416.67</w:t>
            </w:r>
          </w:p>
        </w:tc>
      </w:tr>
      <w:tr>
        <w:trPr>
          <w:trHeight w:val="163"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9" w:right="0"/>
              <w:jc w:val="left"/>
              <w:rPr>
                <w:rFonts w:ascii="Times New Roman" w:hAnsi="Times New Roman" w:cs="Times New Roman" w:eastAsia="Times New Roman" w:hint="default"/>
                <w:sz w:val="21"/>
                <w:szCs w:val="21"/>
              </w:rPr>
            </w:pPr>
            <w:r>
              <w:rPr>
                <w:rFonts w:ascii="Times New Roman"/>
                <w:sz w:val="21"/>
              </w:rPr>
              <w:t>646,416.67</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4" w:right="0"/>
              <w:jc w:val="left"/>
              <w:rPr>
                <w:rFonts w:ascii="Times New Roman" w:hAnsi="Times New Roman" w:cs="Times New Roman" w:eastAsia="Times New Roman" w:hint="default"/>
                <w:sz w:val="21"/>
                <w:szCs w:val="21"/>
              </w:rPr>
            </w:pPr>
            <w:r>
              <w:rPr>
                <w:rFonts w:ascii="Times New Roman"/>
                <w:sz w:val="21"/>
              </w:rPr>
              <w:t>646,416.67</w:t>
            </w: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60,000,000.0</w:t>
            </w:r>
          </w:p>
          <w:p>
            <w:pPr>
              <w:pStyle w:val="TableParagraph"/>
              <w:spacing w:line="240" w:lineRule="auto" w:before="68"/>
              <w:ind w:right="20"/>
              <w:jc w:val="right"/>
              <w:rPr>
                <w:rFonts w:ascii="Times New Roman" w:hAnsi="Times New Roman" w:cs="Times New Roman" w:eastAsia="Times New Roman" w:hint="default"/>
                <w:sz w:val="21"/>
                <w:szCs w:val="21"/>
              </w:rPr>
            </w:pPr>
            <w:r>
              <w:rPr>
                <w:rFonts w:ascii="Times New Roman"/>
                <w:w w:val="100"/>
                <w:sz w:val="21"/>
              </w:rPr>
              <w:t>0</w:t>
            </w:r>
          </w:p>
        </w:tc>
        <w:tc>
          <w:tcPr>
            <w:tcW w:w="93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39" w:right="0"/>
              <w:jc w:val="left"/>
              <w:rPr>
                <w:rFonts w:ascii="Times New Roman" w:hAnsi="Times New Roman" w:cs="Times New Roman" w:eastAsia="Times New Roman" w:hint="default"/>
                <w:sz w:val="21"/>
                <w:szCs w:val="21"/>
              </w:rPr>
            </w:pPr>
            <w:r>
              <w:rPr>
                <w:rFonts w:ascii="Times New Roman"/>
                <w:sz w:val="21"/>
              </w:rPr>
              <w:t>0.00</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3" w:right="0"/>
              <w:jc w:val="left"/>
              <w:rPr>
                <w:rFonts w:ascii="Times New Roman" w:hAnsi="Times New Roman" w:cs="Times New Roman" w:eastAsia="Times New Roman" w:hint="default"/>
                <w:sz w:val="21"/>
                <w:szCs w:val="21"/>
              </w:rPr>
            </w:pPr>
            <w:r>
              <w:rPr>
                <w:rFonts w:ascii="Times New Roman"/>
                <w:sz w:val="21"/>
              </w:rPr>
              <w:t>60,646,416.67</w:t>
            </w:r>
          </w:p>
        </w:tc>
      </w:tr>
      <w:tr>
        <w:trPr>
          <w:trHeight w:val="391"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218" w:type="dxa"/>
            <w:vMerge/>
            <w:tcBorders>
              <w:left w:val="single" w:sz="9" w:space="0" w:color="D2D2D2"/>
              <w:right w:val="single" w:sz="4" w:space="0" w:color="000000"/>
            </w:tcBorders>
          </w:tcPr>
          <w:p>
            <w:pPr/>
          </w:p>
        </w:tc>
        <w:tc>
          <w:tcPr>
            <w:tcW w:w="1210"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933" w:type="dxa"/>
            <w:vMerge/>
            <w:tcBorders>
              <w:left w:val="single" w:sz="4" w:space="0" w:color="000000"/>
              <w:right w:val="single" w:sz="4" w:space="0" w:color="000000"/>
            </w:tcBorders>
          </w:tcPr>
          <w:p>
            <w:pPr/>
          </w:p>
        </w:tc>
        <w:tc>
          <w:tcPr>
            <w:tcW w:w="1354"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9" w:space="0" w:color="D2D2D2"/>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933"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2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240" w:lineRule="auto" w:before="28"/>
        <w:ind w:right="153"/>
        <w:jc w:val="left"/>
      </w:pPr>
      <w:r>
        <w:rPr/>
        <w:t>报告期内公司主要资产计量属性是否发生重大变化</w:t>
      </w:r>
    </w:p>
    <w:p>
      <w:pPr>
        <w:spacing w:line="484" w:lineRule="auto" w:before="75"/>
        <w:ind w:left="152" w:right="78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否</w:t>
      </w:r>
      <w:r>
        <w:rPr>
          <w:rFonts w:ascii="宋体" w:hAnsi="宋体" w:cs="宋体" w:eastAsia="宋体" w:hint="default"/>
          <w:spacing w:val="-103"/>
          <w:sz w:val="21"/>
          <w:szCs w:val="21"/>
        </w:rPr>
        <w:t> </w:t>
      </w:r>
      <w:r>
        <w:rPr>
          <w:rFonts w:ascii="宋体" w:hAnsi="宋体" w:cs="宋体" w:eastAsia="宋体" w:hint="default"/>
          <w:b/>
          <w:bCs/>
          <w:sz w:val="24"/>
          <w:szCs w:val="24"/>
        </w:rPr>
        <w:t>五、投资状况分析</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pStyle w:val="BodyText"/>
        <w:spacing w:line="240" w:lineRule="auto" w:before="86"/>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59"/>
        <w:ind w:left="0" w:right="148"/>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64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324" w:right="108" w:hanging="212"/>
              <w:jc w:val="left"/>
              <w:rPr>
                <w:rFonts w:ascii="宋体" w:hAnsi="宋体" w:cs="宋体" w:eastAsia="宋体" w:hint="default"/>
                <w:sz w:val="21"/>
                <w:szCs w:val="21"/>
              </w:rPr>
            </w:pPr>
            <w:r>
              <w:rPr>
                <w:rFonts w:ascii="宋体" w:hAnsi="宋体" w:cs="宋体" w:eastAsia="宋体" w:hint="default"/>
                <w:sz w:val="21"/>
                <w:szCs w:val="21"/>
              </w:rPr>
              <w:t>募集年</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321" w:right="107" w:hanging="212"/>
              <w:jc w:val="left"/>
              <w:rPr>
                <w:rFonts w:ascii="宋体" w:hAnsi="宋体" w:cs="宋体" w:eastAsia="宋体" w:hint="default"/>
                <w:sz w:val="21"/>
                <w:szCs w:val="21"/>
              </w:rPr>
            </w:pPr>
            <w:r>
              <w:rPr>
                <w:rFonts w:ascii="宋体" w:hAnsi="宋体" w:cs="宋体" w:eastAsia="宋体" w:hint="default"/>
                <w:sz w:val="21"/>
                <w:szCs w:val="21"/>
              </w:rPr>
              <w:t>募集方</w:t>
            </w:r>
            <w:r>
              <w:rPr>
                <w:rFonts w:ascii="宋体" w:hAnsi="宋体" w:cs="宋体" w:eastAsia="宋体" w:hint="default"/>
                <w:spacing w:val="-102"/>
                <w:sz w:val="21"/>
                <w:szCs w:val="21"/>
              </w:rPr>
              <w:t> </w:t>
            </w:r>
            <w:r>
              <w:rPr>
                <w:rFonts w:ascii="宋体" w:hAnsi="宋体" w:cs="宋体" w:eastAsia="宋体" w:hint="default"/>
                <w:sz w:val="21"/>
                <w:szCs w:val="21"/>
              </w:rPr>
              <w:t>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20" w:right="113"/>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本期已</w:t>
            </w:r>
            <w:r>
              <w:rPr>
                <w:rFonts w:ascii="宋体" w:hAnsi="宋体" w:cs="宋体" w:eastAsia="宋体" w:hint="default"/>
                <w:spacing w:val="-102"/>
                <w:sz w:val="21"/>
                <w:szCs w:val="21"/>
              </w:rPr>
              <w:t> </w:t>
            </w:r>
            <w:r>
              <w:rPr>
                <w:rFonts w:ascii="宋体" w:hAnsi="宋体" w:cs="宋体" w:eastAsia="宋体" w:hint="default"/>
                <w:sz w:val="21"/>
                <w:szCs w:val="21"/>
              </w:rPr>
              <w:t>使用募</w:t>
            </w:r>
            <w:r>
              <w:rPr>
                <w:rFonts w:ascii="宋体" w:hAnsi="宋体" w:cs="宋体" w:eastAsia="宋体" w:hint="default"/>
                <w:spacing w:val="-102"/>
                <w:sz w:val="21"/>
                <w:szCs w:val="21"/>
              </w:rPr>
              <w:t> </w:t>
            </w:r>
            <w:r>
              <w:rPr>
                <w:rFonts w:ascii="宋体" w:hAnsi="宋体" w:cs="宋体" w:eastAsia="宋体" w:hint="default"/>
                <w:sz w:val="21"/>
                <w:szCs w:val="21"/>
              </w:rPr>
              <w:t>集资金</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已累计</w:t>
            </w:r>
            <w:r>
              <w:rPr>
                <w:rFonts w:ascii="宋体" w:hAnsi="宋体" w:cs="宋体" w:eastAsia="宋体" w:hint="default"/>
                <w:spacing w:val="-102"/>
                <w:sz w:val="21"/>
                <w:szCs w:val="21"/>
              </w:rPr>
              <w:t> </w:t>
            </w:r>
            <w:r>
              <w:rPr>
                <w:rFonts w:ascii="宋体" w:hAnsi="宋体" w:cs="宋体" w:eastAsia="宋体" w:hint="default"/>
                <w:sz w:val="21"/>
                <w:szCs w:val="21"/>
              </w:rPr>
              <w:t>使用募</w:t>
            </w:r>
            <w:r>
              <w:rPr>
                <w:rFonts w:ascii="宋体" w:hAnsi="宋体" w:cs="宋体" w:eastAsia="宋体" w:hint="default"/>
                <w:spacing w:val="-102"/>
                <w:sz w:val="21"/>
                <w:szCs w:val="21"/>
              </w:rPr>
              <w:t> </w:t>
            </w:r>
            <w:r>
              <w:rPr>
                <w:rFonts w:ascii="宋体" w:hAnsi="宋体" w:cs="宋体" w:eastAsia="宋体" w:hint="default"/>
                <w:sz w:val="21"/>
                <w:szCs w:val="21"/>
              </w:rPr>
              <w:t>集资金</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8"/>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内变更</w:t>
            </w:r>
            <w:r>
              <w:rPr>
                <w:rFonts w:ascii="宋体" w:hAnsi="宋体" w:cs="宋体" w:eastAsia="宋体" w:hint="default"/>
                <w:spacing w:val="-102"/>
                <w:sz w:val="21"/>
                <w:szCs w:val="21"/>
              </w:rPr>
              <w:t> </w:t>
            </w:r>
            <w:r>
              <w:rPr>
                <w:rFonts w:ascii="宋体" w:hAnsi="宋体" w:cs="宋体" w:eastAsia="宋体" w:hint="default"/>
                <w:sz w:val="21"/>
                <w:szCs w:val="21"/>
              </w:rPr>
              <w:t>用途的</w:t>
            </w:r>
            <w:r>
              <w:rPr>
                <w:rFonts w:ascii="宋体" w:hAnsi="宋体" w:cs="宋体" w:eastAsia="宋体" w:hint="default"/>
                <w:spacing w:val="-102"/>
                <w:sz w:val="21"/>
                <w:szCs w:val="21"/>
              </w:rPr>
              <w:t> </w:t>
            </w: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8"/>
              <w:jc w:val="center"/>
              <w:rPr>
                <w:rFonts w:ascii="宋体" w:hAnsi="宋体" w:cs="宋体" w:eastAsia="宋体" w:hint="default"/>
                <w:sz w:val="21"/>
                <w:szCs w:val="21"/>
              </w:rPr>
            </w:pPr>
            <w:r>
              <w:rPr>
                <w:rFonts w:ascii="宋体" w:hAnsi="宋体" w:cs="宋体" w:eastAsia="宋体" w:hint="default"/>
                <w:sz w:val="21"/>
                <w:szCs w:val="21"/>
              </w:rPr>
              <w:t>累计变</w:t>
            </w:r>
            <w:r>
              <w:rPr>
                <w:rFonts w:ascii="宋体" w:hAnsi="宋体" w:cs="宋体" w:eastAsia="宋体" w:hint="default"/>
                <w:w w:val="100"/>
                <w:sz w:val="21"/>
                <w:szCs w:val="21"/>
              </w:rPr>
              <w:t> </w:t>
            </w:r>
            <w:r>
              <w:rPr>
                <w:rFonts w:ascii="宋体" w:hAnsi="宋体" w:cs="宋体" w:eastAsia="宋体" w:hint="default"/>
                <w:sz w:val="21"/>
                <w:szCs w:val="21"/>
              </w:rPr>
              <w:t>更用途</w:t>
            </w:r>
            <w:r>
              <w:rPr>
                <w:rFonts w:ascii="宋体" w:hAnsi="宋体" w:cs="宋体" w:eastAsia="宋体" w:hint="default"/>
                <w:w w:val="100"/>
                <w:sz w:val="21"/>
                <w:szCs w:val="21"/>
              </w:rPr>
              <w:t> </w:t>
            </w:r>
            <w:r>
              <w:rPr>
                <w:rFonts w:ascii="宋体" w:hAnsi="宋体" w:cs="宋体" w:eastAsia="宋体" w:hint="default"/>
                <w:sz w:val="21"/>
                <w:szCs w:val="21"/>
              </w:rPr>
              <w:t>的募集</w:t>
            </w:r>
            <w:r>
              <w:rPr>
                <w:rFonts w:ascii="宋体" w:hAnsi="宋体" w:cs="宋体" w:eastAsia="宋体" w:hint="default"/>
                <w:w w:val="100"/>
                <w:sz w:val="21"/>
                <w:szCs w:val="21"/>
              </w:rPr>
              <w:t> </w:t>
            </w:r>
            <w:r>
              <w:rPr>
                <w:rFonts w:ascii="宋体" w:hAnsi="宋体" w:cs="宋体" w:eastAsia="宋体" w:hint="default"/>
                <w:sz w:val="21"/>
                <w:szCs w:val="21"/>
              </w:rPr>
              <w:t>资金总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7" w:right="108"/>
              <w:jc w:val="both"/>
              <w:rPr>
                <w:rFonts w:ascii="宋体" w:hAnsi="宋体" w:cs="宋体" w:eastAsia="宋体" w:hint="default"/>
                <w:sz w:val="21"/>
                <w:szCs w:val="21"/>
              </w:rPr>
            </w:pPr>
            <w:r>
              <w:rPr>
                <w:rFonts w:ascii="宋体" w:hAnsi="宋体" w:cs="宋体" w:eastAsia="宋体" w:hint="default"/>
                <w:sz w:val="21"/>
                <w:szCs w:val="21"/>
              </w:rPr>
              <w:t>累计变</w:t>
            </w:r>
            <w:r>
              <w:rPr>
                <w:rFonts w:ascii="宋体" w:hAnsi="宋体" w:cs="宋体" w:eastAsia="宋体" w:hint="default"/>
                <w:spacing w:val="-102"/>
                <w:sz w:val="21"/>
                <w:szCs w:val="21"/>
              </w:rPr>
              <w:t> </w:t>
            </w:r>
            <w:r>
              <w:rPr>
                <w:rFonts w:ascii="宋体" w:hAnsi="宋体" w:cs="宋体" w:eastAsia="宋体" w:hint="default"/>
                <w:sz w:val="21"/>
                <w:szCs w:val="21"/>
              </w:rPr>
              <w:t>更用途</w:t>
            </w:r>
            <w:r>
              <w:rPr>
                <w:rFonts w:ascii="宋体" w:hAnsi="宋体" w:cs="宋体" w:eastAsia="宋体" w:hint="default"/>
                <w:spacing w:val="-102"/>
                <w:sz w:val="21"/>
                <w:szCs w:val="21"/>
              </w:rPr>
              <w:t> </w:t>
            </w:r>
            <w:r>
              <w:rPr>
                <w:rFonts w:ascii="宋体" w:hAnsi="宋体" w:cs="宋体" w:eastAsia="宋体" w:hint="default"/>
                <w:sz w:val="21"/>
                <w:szCs w:val="21"/>
              </w:rPr>
              <w:t>的募集</w:t>
            </w:r>
            <w:r>
              <w:rPr>
                <w:rFonts w:ascii="宋体" w:hAnsi="宋体" w:cs="宋体" w:eastAsia="宋体" w:hint="default"/>
                <w:spacing w:val="-102"/>
                <w:sz w:val="21"/>
                <w:szCs w:val="21"/>
              </w:rPr>
              <w:t> </w:t>
            </w:r>
            <w:r>
              <w:rPr>
                <w:rFonts w:ascii="宋体" w:hAnsi="宋体" w:cs="宋体" w:eastAsia="宋体" w:hint="default"/>
                <w:sz w:val="21"/>
                <w:szCs w:val="21"/>
              </w:rPr>
              <w:t>资金总</w:t>
            </w:r>
            <w:r>
              <w:rPr>
                <w:rFonts w:ascii="宋体" w:hAnsi="宋体" w:cs="宋体" w:eastAsia="宋体" w:hint="default"/>
                <w:spacing w:val="-102"/>
                <w:sz w:val="21"/>
                <w:szCs w:val="21"/>
              </w:rPr>
              <w:t> </w:t>
            </w:r>
            <w:r>
              <w:rPr>
                <w:rFonts w:ascii="宋体" w:hAnsi="宋体" w:cs="宋体" w:eastAsia="宋体" w:hint="default"/>
                <w:sz w:val="21"/>
                <w:szCs w:val="21"/>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15" w:right="108"/>
              <w:jc w:val="center"/>
              <w:rPr>
                <w:rFonts w:ascii="宋体" w:hAnsi="宋体" w:cs="宋体" w:eastAsia="宋体" w:hint="default"/>
                <w:sz w:val="21"/>
                <w:szCs w:val="21"/>
              </w:rPr>
            </w:pPr>
            <w:r>
              <w:rPr>
                <w:rFonts w:ascii="宋体" w:hAnsi="宋体" w:cs="宋体" w:eastAsia="宋体" w:hint="default"/>
                <w:sz w:val="21"/>
                <w:szCs w:val="21"/>
              </w:rPr>
              <w:t>尚未使</w:t>
            </w:r>
            <w:r>
              <w:rPr>
                <w:rFonts w:ascii="宋体" w:hAnsi="宋体" w:cs="宋体" w:eastAsia="宋体" w:hint="default"/>
                <w:w w:val="100"/>
                <w:sz w:val="21"/>
                <w:szCs w:val="21"/>
              </w:rPr>
              <w:t> </w:t>
            </w:r>
            <w:r>
              <w:rPr>
                <w:rFonts w:ascii="宋体" w:hAnsi="宋体" w:cs="宋体" w:eastAsia="宋体" w:hint="default"/>
                <w:sz w:val="21"/>
                <w:szCs w:val="21"/>
              </w:rPr>
              <w:t>用募集</w:t>
            </w:r>
            <w:r>
              <w:rPr>
                <w:rFonts w:ascii="宋体" w:hAnsi="宋体" w:cs="宋体" w:eastAsia="宋体" w:hint="default"/>
                <w:w w:val="100"/>
                <w:sz w:val="21"/>
                <w:szCs w:val="21"/>
              </w:rPr>
              <w:t> </w:t>
            </w:r>
            <w:r>
              <w:rPr>
                <w:rFonts w:ascii="宋体" w:hAnsi="宋体" w:cs="宋体" w:eastAsia="宋体" w:hint="default"/>
                <w:sz w:val="21"/>
                <w:szCs w:val="21"/>
              </w:rPr>
              <w:t>资金总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7" w:right="110"/>
              <w:jc w:val="center"/>
              <w:rPr>
                <w:rFonts w:ascii="宋体" w:hAnsi="宋体" w:cs="宋体" w:eastAsia="宋体" w:hint="default"/>
                <w:sz w:val="21"/>
                <w:szCs w:val="21"/>
              </w:rPr>
            </w:pPr>
            <w:r>
              <w:rPr>
                <w:rFonts w:ascii="宋体" w:hAnsi="宋体" w:cs="宋体" w:eastAsia="宋体" w:hint="default"/>
                <w:sz w:val="21"/>
                <w:szCs w:val="21"/>
              </w:rPr>
              <w:t>尚未使</w:t>
            </w:r>
            <w:r>
              <w:rPr>
                <w:rFonts w:ascii="宋体" w:hAnsi="宋体" w:cs="宋体" w:eastAsia="宋体" w:hint="default"/>
                <w:w w:val="100"/>
                <w:sz w:val="21"/>
                <w:szCs w:val="21"/>
              </w:rPr>
              <w:t> </w:t>
            </w:r>
            <w:r>
              <w:rPr>
                <w:rFonts w:ascii="宋体" w:hAnsi="宋体" w:cs="宋体" w:eastAsia="宋体" w:hint="default"/>
                <w:sz w:val="21"/>
                <w:szCs w:val="21"/>
              </w:rPr>
              <w:t>用募集</w:t>
            </w:r>
            <w:r>
              <w:rPr>
                <w:rFonts w:ascii="宋体" w:hAnsi="宋体" w:cs="宋体" w:eastAsia="宋体" w:hint="default"/>
                <w:w w:val="100"/>
                <w:sz w:val="21"/>
                <w:szCs w:val="21"/>
              </w:rPr>
              <w:t> </w:t>
            </w:r>
            <w:r>
              <w:rPr>
                <w:rFonts w:ascii="宋体" w:hAnsi="宋体" w:cs="宋体" w:eastAsia="宋体" w:hint="default"/>
                <w:sz w:val="21"/>
                <w:szCs w:val="21"/>
              </w:rPr>
              <w:t>资金用</w:t>
            </w:r>
            <w:r>
              <w:rPr>
                <w:rFonts w:ascii="宋体" w:hAnsi="宋体" w:cs="宋体" w:eastAsia="宋体" w:hint="default"/>
                <w:w w:val="100"/>
                <w:sz w:val="21"/>
                <w:szCs w:val="21"/>
              </w:rPr>
              <w:t> </w:t>
            </w:r>
            <w:r>
              <w:rPr>
                <w:rFonts w:ascii="宋体" w:hAnsi="宋体" w:cs="宋体" w:eastAsia="宋体" w:hint="default"/>
                <w:sz w:val="21"/>
                <w:szCs w:val="21"/>
              </w:rPr>
              <w:t>途及去</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15" w:right="108"/>
              <w:jc w:val="both"/>
              <w:rPr>
                <w:rFonts w:ascii="宋体" w:hAnsi="宋体" w:cs="宋体" w:eastAsia="宋体" w:hint="default"/>
                <w:sz w:val="21"/>
                <w:szCs w:val="21"/>
              </w:rPr>
            </w:pPr>
            <w:r>
              <w:rPr>
                <w:rFonts w:ascii="宋体" w:hAnsi="宋体" w:cs="宋体" w:eastAsia="宋体" w:hint="default"/>
                <w:sz w:val="21"/>
                <w:szCs w:val="21"/>
              </w:rPr>
              <w:t>闲置两</w:t>
            </w:r>
            <w:r>
              <w:rPr>
                <w:rFonts w:ascii="宋体" w:hAnsi="宋体" w:cs="宋体" w:eastAsia="宋体" w:hint="default"/>
                <w:spacing w:val="-102"/>
                <w:sz w:val="21"/>
                <w:szCs w:val="21"/>
              </w:rPr>
              <w:t> </w:t>
            </w:r>
            <w:r>
              <w:rPr>
                <w:rFonts w:ascii="宋体" w:hAnsi="宋体" w:cs="宋体" w:eastAsia="宋体" w:hint="default"/>
                <w:sz w:val="21"/>
                <w:szCs w:val="21"/>
              </w:rPr>
              <w:t>年以上</w:t>
            </w:r>
            <w:r>
              <w:rPr>
                <w:rFonts w:ascii="宋体" w:hAnsi="宋体" w:cs="宋体" w:eastAsia="宋体" w:hint="default"/>
                <w:spacing w:val="-102"/>
                <w:sz w:val="21"/>
                <w:szCs w:val="21"/>
              </w:rPr>
              <w:t> </w:t>
            </w: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金金额</w:t>
            </w:r>
          </w:p>
        </w:tc>
      </w:tr>
      <w:tr>
        <w:trPr>
          <w:trHeight w:val="446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1" w:lineRule="auto"/>
              <w:ind w:left="23" w:right="192"/>
              <w:jc w:val="left"/>
              <w:rPr>
                <w:rFonts w:ascii="宋体" w:hAnsi="宋体" w:cs="宋体" w:eastAsia="宋体" w:hint="default"/>
                <w:sz w:val="21"/>
                <w:szCs w:val="21"/>
              </w:rPr>
            </w:pP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16,309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13,465.2</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15,486.4</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822.51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6" w:right="-7"/>
              <w:jc w:val="left"/>
              <w:rPr>
                <w:rFonts w:ascii="宋体" w:hAnsi="宋体" w:cs="宋体" w:eastAsia="宋体" w:hint="default"/>
                <w:sz w:val="21"/>
                <w:szCs w:val="21"/>
              </w:rPr>
            </w:pPr>
            <w:r>
              <w:rPr>
                <w:rFonts w:ascii="宋体" w:hAnsi="宋体" w:cs="宋体" w:eastAsia="宋体" w:hint="default"/>
                <w:sz w:val="21"/>
                <w:szCs w:val="21"/>
              </w:rPr>
              <w:t>尚未使</w:t>
            </w:r>
            <w:r>
              <w:rPr>
                <w:rFonts w:ascii="宋体" w:hAnsi="宋体" w:cs="宋体" w:eastAsia="宋体" w:hint="default"/>
                <w:spacing w:val="-102"/>
                <w:sz w:val="21"/>
                <w:szCs w:val="21"/>
              </w:rPr>
              <w:t> </w:t>
            </w:r>
            <w:r>
              <w:rPr>
                <w:rFonts w:ascii="宋体" w:hAnsi="宋体" w:cs="宋体" w:eastAsia="宋体" w:hint="default"/>
                <w:sz w:val="21"/>
                <w:szCs w:val="21"/>
              </w:rPr>
              <w:t>用的募</w:t>
            </w:r>
            <w:r>
              <w:rPr>
                <w:rFonts w:ascii="宋体" w:hAnsi="宋体" w:cs="宋体" w:eastAsia="宋体" w:hint="default"/>
                <w:spacing w:val="-102"/>
                <w:sz w:val="21"/>
                <w:szCs w:val="21"/>
              </w:rPr>
              <w:t> </w:t>
            </w:r>
            <w:r>
              <w:rPr>
                <w:rFonts w:ascii="宋体" w:hAnsi="宋体" w:cs="宋体" w:eastAsia="宋体" w:hint="default"/>
                <w:sz w:val="21"/>
                <w:szCs w:val="21"/>
              </w:rPr>
              <w:t>集资金</w:t>
            </w:r>
            <w:r>
              <w:rPr>
                <w:rFonts w:ascii="宋体" w:hAnsi="宋体" w:cs="宋体" w:eastAsia="宋体" w:hint="default"/>
                <w:spacing w:val="-102"/>
                <w:sz w:val="21"/>
                <w:szCs w:val="21"/>
              </w:rPr>
              <w:t> </w:t>
            </w:r>
            <w:r>
              <w:rPr>
                <w:rFonts w:ascii="宋体" w:hAnsi="宋体" w:cs="宋体" w:eastAsia="宋体" w:hint="default"/>
                <w:sz w:val="21"/>
                <w:szCs w:val="21"/>
              </w:rPr>
              <w:t>仍存放</w:t>
            </w:r>
            <w:r>
              <w:rPr>
                <w:rFonts w:ascii="宋体" w:hAnsi="宋体" w:cs="宋体" w:eastAsia="宋体" w:hint="default"/>
                <w:spacing w:val="-102"/>
                <w:sz w:val="21"/>
                <w:szCs w:val="21"/>
              </w:rPr>
              <w:t> </w:t>
            </w:r>
            <w:r>
              <w:rPr>
                <w:rFonts w:ascii="宋体" w:hAnsi="宋体" w:cs="宋体" w:eastAsia="宋体" w:hint="default"/>
                <w:sz w:val="21"/>
                <w:szCs w:val="21"/>
              </w:rPr>
              <w:t>于募集</w:t>
            </w:r>
            <w:r>
              <w:rPr>
                <w:rFonts w:ascii="宋体" w:hAnsi="宋体" w:cs="宋体" w:eastAsia="宋体" w:hint="default"/>
                <w:spacing w:val="-102"/>
                <w:sz w:val="21"/>
                <w:szCs w:val="21"/>
              </w:rPr>
              <w:t> </w:t>
            </w:r>
            <w:r>
              <w:rPr>
                <w:rFonts w:ascii="宋体" w:hAnsi="宋体" w:cs="宋体" w:eastAsia="宋体" w:hint="default"/>
                <w:sz w:val="21"/>
                <w:szCs w:val="21"/>
              </w:rPr>
              <w:t>资金专</w:t>
            </w:r>
            <w:r>
              <w:rPr>
                <w:rFonts w:ascii="宋体" w:hAnsi="宋体" w:cs="宋体" w:eastAsia="宋体" w:hint="default"/>
                <w:spacing w:val="-102"/>
                <w:sz w:val="21"/>
                <w:szCs w:val="21"/>
              </w:rPr>
              <w:t> </w:t>
            </w:r>
            <w:r>
              <w:rPr>
                <w:rFonts w:ascii="宋体" w:hAnsi="宋体" w:cs="宋体" w:eastAsia="宋体" w:hint="default"/>
                <w:sz w:val="21"/>
                <w:szCs w:val="21"/>
              </w:rPr>
              <w:t>项账户，</w:t>
            </w:r>
            <w:r>
              <w:rPr>
                <w:rFonts w:ascii="宋体" w:hAnsi="宋体" w:cs="宋体" w:eastAsia="宋体" w:hint="default"/>
                <w:w w:val="100"/>
                <w:sz w:val="21"/>
                <w:szCs w:val="21"/>
              </w:rPr>
              <w:t> </w:t>
            </w:r>
            <w:r>
              <w:rPr>
                <w:rFonts w:ascii="宋体" w:hAnsi="宋体" w:cs="宋体" w:eastAsia="宋体" w:hint="default"/>
                <w:sz w:val="21"/>
                <w:szCs w:val="21"/>
              </w:rPr>
              <w:t>将继续</w:t>
            </w:r>
            <w:r>
              <w:rPr>
                <w:rFonts w:ascii="宋体" w:hAnsi="宋体" w:cs="宋体" w:eastAsia="宋体" w:hint="default"/>
                <w:spacing w:val="-102"/>
                <w:sz w:val="21"/>
                <w:szCs w:val="21"/>
              </w:rPr>
              <w:t> </w:t>
            </w:r>
            <w:r>
              <w:rPr>
                <w:rFonts w:ascii="宋体" w:hAnsi="宋体" w:cs="宋体" w:eastAsia="宋体" w:hint="default"/>
                <w:sz w:val="21"/>
                <w:szCs w:val="21"/>
              </w:rPr>
              <w:t>用于原</w:t>
            </w:r>
            <w:r>
              <w:rPr>
                <w:rFonts w:ascii="宋体" w:hAnsi="宋体" w:cs="宋体" w:eastAsia="宋体" w:hint="default"/>
                <w:spacing w:val="-102"/>
                <w:sz w:val="21"/>
                <w:szCs w:val="21"/>
              </w:rPr>
              <w:t> </w:t>
            </w:r>
            <w:r>
              <w:rPr>
                <w:rFonts w:ascii="宋体" w:hAnsi="宋体" w:cs="宋体" w:eastAsia="宋体" w:hint="default"/>
                <w:sz w:val="21"/>
                <w:szCs w:val="21"/>
              </w:rPr>
              <w:t>承诺投</w:t>
            </w:r>
            <w:r>
              <w:rPr>
                <w:rFonts w:ascii="宋体" w:hAnsi="宋体" w:cs="宋体" w:eastAsia="宋体" w:hint="default"/>
                <w:spacing w:val="-102"/>
                <w:sz w:val="21"/>
                <w:szCs w:val="21"/>
              </w:rPr>
              <w:t> </w:t>
            </w:r>
            <w:r>
              <w:rPr>
                <w:rFonts w:ascii="宋体" w:hAnsi="宋体" w:cs="宋体" w:eastAsia="宋体" w:hint="default"/>
                <w:sz w:val="21"/>
                <w:szCs w:val="21"/>
              </w:rPr>
              <w:t>资的募</w:t>
            </w:r>
            <w:r>
              <w:rPr>
                <w:rFonts w:ascii="宋体" w:hAnsi="宋体" w:cs="宋体" w:eastAsia="宋体" w:hint="default"/>
                <w:spacing w:val="-102"/>
                <w:sz w:val="21"/>
                <w:szCs w:val="21"/>
              </w:rPr>
              <w:t> </w:t>
            </w:r>
            <w:r>
              <w:rPr>
                <w:rFonts w:ascii="宋体" w:hAnsi="宋体" w:cs="宋体" w:eastAsia="宋体" w:hint="default"/>
                <w:sz w:val="21"/>
                <w:szCs w:val="21"/>
              </w:rPr>
              <w:t>集资金</w:t>
            </w:r>
            <w:r>
              <w:rPr>
                <w:rFonts w:ascii="宋体" w:hAnsi="宋体" w:cs="宋体" w:eastAsia="宋体" w:hint="default"/>
                <w:spacing w:val="-102"/>
                <w:sz w:val="21"/>
                <w:szCs w:val="21"/>
              </w:rPr>
              <w:t> </w:t>
            </w:r>
            <w:r>
              <w:rPr>
                <w:rFonts w:ascii="宋体" w:hAnsi="宋体" w:cs="宋体" w:eastAsia="宋体" w:hint="default"/>
                <w:sz w:val="21"/>
                <w:szCs w:val="21"/>
              </w:rPr>
              <w:t>投资项</w:t>
            </w:r>
            <w:r>
              <w:rPr>
                <w:rFonts w:ascii="宋体" w:hAnsi="宋体" w:cs="宋体" w:eastAsia="宋体" w:hint="default"/>
                <w:spacing w:val="-102"/>
                <w:sz w:val="21"/>
                <w:szCs w:val="21"/>
              </w:rPr>
              <w:t> </w:t>
            </w:r>
            <w:r>
              <w:rPr>
                <w:rFonts w:ascii="宋体" w:hAnsi="宋体" w:cs="宋体" w:eastAsia="宋体" w:hint="default"/>
                <w:sz w:val="21"/>
                <w:szCs w:val="21"/>
              </w:rPr>
              <w:t>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161" w:hRule="exact"/>
        </w:trPr>
        <w:tc>
          <w:tcPr>
            <w:tcW w:w="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78"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16,309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13,465.2</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7</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15,486.4</w:t>
            </w:r>
          </w:p>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w w:val="100"/>
                <w:sz w:val="21"/>
              </w:rPr>
              <w:t>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0.00%</w:t>
            </w:r>
          </w:p>
        </w:tc>
        <w:tc>
          <w:tcPr>
            <w:tcW w:w="869"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822.51</w:t>
            </w:r>
          </w:p>
        </w:tc>
        <w:tc>
          <w:tcPr>
            <w:tcW w:w="8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391" w:hRule="exact"/>
        </w:trPr>
        <w:tc>
          <w:tcPr>
            <w:tcW w:w="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878" w:type="dxa"/>
            <w:vMerge/>
            <w:tcBorders>
              <w:left w:val="single" w:sz="10" w:space="0" w:color="D2D2D2"/>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10" w:space="0" w:color="D2D2D2"/>
            </w:tcBorders>
          </w:tcPr>
          <w:p>
            <w:pPr/>
          </w:p>
        </w:tc>
        <w:tc>
          <w:tcPr>
            <w:tcW w:w="8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869" w:type="dxa"/>
            <w:vMerge/>
            <w:tcBorders>
              <w:left w:val="single" w:sz="9" w:space="0" w:color="D2D2D2"/>
              <w:right w:val="single" w:sz="4" w:space="0" w:color="000000"/>
            </w:tcBorders>
          </w:tcPr>
          <w:p>
            <w:pPr/>
          </w:p>
        </w:tc>
      </w:tr>
      <w:tr>
        <w:trPr>
          <w:trHeight w:val="162" w:hRule="exact"/>
        </w:trPr>
        <w:tc>
          <w:tcPr>
            <w:tcW w:w="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78" w:type="dxa"/>
            <w:vMerge/>
            <w:tcBorders>
              <w:left w:val="single" w:sz="10" w:space="0" w:color="D2D2D2"/>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10" w:space="0" w:color="D2D2D2"/>
            </w:tcBorders>
          </w:tcPr>
          <w:p>
            <w:pPr/>
          </w:p>
        </w:tc>
        <w:tc>
          <w:tcPr>
            <w:tcW w:w="8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3250"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14" w:firstLine="42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2015</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8"/>
                <w:w w:val="100"/>
                <w:sz w:val="21"/>
                <w:szCs w:val="21"/>
              </w:rPr>
              <w:t>年度，公司募集资金使用情况为：（</w:t>
            </w:r>
            <w:r>
              <w:rPr>
                <w:rFonts w:ascii="Times New Roman" w:hAnsi="Times New Roman" w:cs="Times New Roman" w:eastAsia="Times New Roman" w:hint="default"/>
                <w:spacing w:val="-8"/>
                <w:w w:val="100"/>
                <w:sz w:val="21"/>
                <w:szCs w:val="21"/>
              </w:rPr>
              <w:t>1</w:t>
            </w:r>
            <w:r>
              <w:rPr>
                <w:rFonts w:ascii="宋体" w:hAnsi="宋体" w:cs="宋体" w:eastAsia="宋体" w:hint="default"/>
                <w:spacing w:val="-8"/>
                <w:w w:val="100"/>
                <w:sz w:val="21"/>
                <w:szCs w:val="21"/>
              </w:rPr>
              <w:t>）</w:t>
            </w:r>
            <w:r>
              <w:rPr>
                <w:rFonts w:ascii="Times New Roman" w:hAnsi="Times New Roman" w:cs="Times New Roman" w:eastAsia="Times New Roman" w:hint="default"/>
                <w:spacing w:val="-8"/>
                <w:w w:val="100"/>
                <w:sz w:val="21"/>
                <w:szCs w:val="21"/>
              </w:rPr>
              <w:t>2015</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日，公司第二届董事会第六次会议和第二</w:t>
            </w:r>
            <w:r>
              <w:rPr>
                <w:rFonts w:ascii="宋体" w:hAnsi="宋体" w:cs="宋体" w:eastAsia="宋体" w:hint="default"/>
                <w:w w:val="100"/>
                <w:sz w:val="21"/>
                <w:szCs w:val="21"/>
              </w:rPr>
              <w:t> </w:t>
            </w:r>
            <w:r>
              <w:rPr>
                <w:rFonts w:ascii="宋体" w:hAnsi="宋体" w:cs="宋体" w:eastAsia="宋体" w:hint="default"/>
                <w:spacing w:val="-5"/>
                <w:w w:val="100"/>
                <w:sz w:val="21"/>
                <w:szCs w:val="21"/>
              </w:rPr>
              <w:t>届监事会第三次会议审议通过了《关于使用募集资金置换已预先投入募投项目自筹资金的议案》，全体董</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事、监事一致同意公司使用募集资金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2,187.68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万元置换预先已投入募集资金投资项目的自筹资金，截至</w:t>
            </w:r>
          </w:p>
          <w:p>
            <w:pPr>
              <w:pStyle w:val="TableParagraph"/>
              <w:spacing w:line="256" w:lineRule="auto"/>
              <w:ind w:left="24" w:right="17"/>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2015</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年末累计投入募集资金使用项目的募集资金金额为</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4,486.48</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22"/>
                <w:w w:val="100"/>
                <w:sz w:val="21"/>
                <w:szCs w:val="21"/>
              </w:rPr>
              <w:t>万元，其中</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2015</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2"/>
                <w:w w:val="100"/>
                <w:sz w:val="21"/>
                <w:szCs w:val="21"/>
              </w:rPr>
              <w:t>年度直接使用募集资金</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w w:val="100"/>
                <w:sz w:val="21"/>
                <w:szCs w:val="21"/>
              </w:rPr>
              <w:t>投入</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1"/>
                <w:w w:val="100"/>
                <w:sz w:val="21"/>
                <w:szCs w:val="21"/>
              </w:rPr>
              <w:t>2,465.27</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4"/>
                <w:w w:val="100"/>
                <w:sz w:val="21"/>
                <w:szCs w:val="21"/>
              </w:rPr>
              <w:t>万元；（</w:t>
            </w:r>
            <w:r>
              <w:rPr>
                <w:rFonts w:ascii="Times New Roman" w:hAnsi="Times New Roman" w:cs="Times New Roman" w:eastAsia="Times New Roman" w:hint="default"/>
                <w:spacing w:val="-14"/>
                <w:w w:val="100"/>
                <w:sz w:val="21"/>
                <w:szCs w:val="21"/>
              </w:rPr>
              <w:t>2</w:t>
            </w:r>
            <w:r>
              <w:rPr>
                <w:rFonts w:ascii="宋体" w:hAnsi="宋体" w:cs="宋体" w:eastAsia="宋体" w:hint="default"/>
                <w:spacing w:val="-14"/>
                <w:w w:val="100"/>
                <w:sz w:val="21"/>
                <w:szCs w:val="21"/>
              </w:rPr>
              <w:t>）</w:t>
            </w:r>
            <w:r>
              <w:rPr>
                <w:rFonts w:ascii="Times New Roman" w:hAnsi="Times New Roman" w:cs="Times New Roman" w:eastAsia="Times New Roman" w:hint="default"/>
                <w:spacing w:val="-14"/>
                <w:w w:val="100"/>
                <w:sz w:val="21"/>
                <w:szCs w:val="21"/>
              </w:rPr>
              <w:t>2015</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2"/>
                <w:w w:val="100"/>
                <w:sz w:val="21"/>
                <w:szCs w:val="21"/>
              </w:rPr>
              <w:t>年度利用募集资金中</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3,000.00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9"/>
                <w:w w:val="100"/>
                <w:sz w:val="21"/>
                <w:szCs w:val="21"/>
              </w:rPr>
              <w:t>万元暂时性补充流动资金；（</w:t>
            </w:r>
            <w:r>
              <w:rPr>
                <w:rFonts w:ascii="Times New Roman" w:hAnsi="Times New Roman" w:cs="Times New Roman" w:eastAsia="Times New Roman" w:hint="default"/>
                <w:spacing w:val="-9"/>
                <w:w w:val="100"/>
                <w:sz w:val="21"/>
                <w:szCs w:val="21"/>
              </w:rPr>
              <w:t>3</w:t>
            </w:r>
            <w:r>
              <w:rPr>
                <w:rFonts w:ascii="宋体" w:hAnsi="宋体" w:cs="宋体" w:eastAsia="宋体" w:hint="default"/>
                <w:spacing w:val="-9"/>
                <w:w w:val="100"/>
                <w:sz w:val="21"/>
                <w:szCs w:val="21"/>
              </w:rPr>
              <w:t>）</w:t>
            </w:r>
            <w:r>
              <w:rPr>
                <w:rFonts w:ascii="Times New Roman" w:hAnsi="Times New Roman" w:cs="Times New Roman" w:eastAsia="Times New Roman" w:hint="default"/>
                <w:spacing w:val="-9"/>
                <w:w w:val="100"/>
                <w:sz w:val="21"/>
                <w:szCs w:val="21"/>
              </w:rPr>
              <w:t>2015</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
                <w:w w:val="100"/>
                <w:sz w:val="21"/>
                <w:szCs w:val="21"/>
              </w:rPr>
              <w:t>年度利</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2"/>
                <w:w w:val="100"/>
                <w:sz w:val="21"/>
                <w:szCs w:val="21"/>
              </w:rPr>
              <w:t>用部分闲置募集资金购买保本型银行理财产品</w:t>
            </w:r>
            <w:r>
              <w:rPr>
                <w:rFonts w:ascii="宋体" w:hAnsi="宋体" w:cs="宋体" w:eastAsia="宋体" w:hint="default"/>
                <w:spacing w:val="-44"/>
                <w:w w:val="100"/>
                <w:sz w:val="21"/>
                <w:szCs w:val="21"/>
              </w:rPr>
              <w:t> </w:t>
            </w:r>
            <w:r>
              <w:rPr>
                <w:rFonts w:ascii="Times New Roman" w:hAnsi="Times New Roman" w:cs="Times New Roman" w:eastAsia="Times New Roman" w:hint="default"/>
                <w:spacing w:val="-1"/>
                <w:w w:val="100"/>
                <w:sz w:val="21"/>
                <w:szCs w:val="21"/>
              </w:rPr>
              <w:t>6,000.00</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12"/>
                <w:w w:val="100"/>
                <w:sz w:val="21"/>
                <w:szCs w:val="21"/>
              </w:rPr>
              <w:t>万元；（</w:t>
            </w:r>
            <w:r>
              <w:rPr>
                <w:rFonts w:ascii="Times New Roman" w:hAnsi="Times New Roman" w:cs="Times New Roman" w:eastAsia="Times New Roman" w:hint="default"/>
                <w:spacing w:val="-12"/>
                <w:w w:val="100"/>
                <w:sz w:val="21"/>
                <w:szCs w:val="21"/>
              </w:rPr>
              <w:t>4</w:t>
            </w:r>
            <w:r>
              <w:rPr>
                <w:rFonts w:ascii="宋体" w:hAnsi="宋体" w:cs="宋体" w:eastAsia="宋体" w:hint="default"/>
                <w:spacing w:val="-12"/>
                <w:w w:val="100"/>
                <w:sz w:val="21"/>
                <w:szCs w:val="21"/>
              </w:rPr>
              <w:t>）</w:t>
            </w:r>
            <w:r>
              <w:rPr>
                <w:rFonts w:ascii="Times New Roman" w:hAnsi="Times New Roman" w:cs="Times New Roman" w:eastAsia="Times New Roman" w:hint="default"/>
                <w:spacing w:val="-12"/>
                <w:w w:val="100"/>
                <w:sz w:val="21"/>
                <w:szCs w:val="21"/>
              </w:rPr>
              <w:t>2015</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2"/>
                <w:w w:val="100"/>
                <w:sz w:val="21"/>
                <w:szCs w:val="21"/>
              </w:rPr>
              <w:t>年度将部分闲置募集资金转存定</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期存款</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pStyle w:val="TableParagraph"/>
              <w:spacing w:line="240" w:lineRule="auto" w:before="43"/>
              <w:ind w:left="444"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日止，公司累计使用募集资金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15,486.48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万元，扣除累计已使用募集资金后，</w:t>
            </w:r>
          </w:p>
          <w:p>
            <w:pPr>
              <w:pStyle w:val="TableParagraph"/>
              <w:spacing w:line="240" w:lineRule="auto" w:before="21"/>
              <w:ind w:left="24" w:right="0"/>
              <w:jc w:val="both"/>
              <w:rPr>
                <w:rFonts w:ascii="宋体" w:hAnsi="宋体" w:cs="宋体" w:eastAsia="宋体" w:hint="default"/>
                <w:sz w:val="21"/>
                <w:szCs w:val="21"/>
              </w:rPr>
            </w:pPr>
            <w:r>
              <w:rPr>
                <w:rFonts w:ascii="宋体" w:hAnsi="宋体" w:cs="宋体" w:eastAsia="宋体" w:hint="default"/>
                <w:sz w:val="21"/>
                <w:szCs w:val="21"/>
              </w:rPr>
              <w:t>募集资金余额为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822.51</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万元，募集资金专用账户利息收入</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37.06</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万元，募集资金专户</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pStyle w:val="TableParagraph"/>
              <w:spacing w:line="240" w:lineRule="auto" w:before="21"/>
              <w:ind w:left="24" w:right="0"/>
              <w:jc w:val="both"/>
              <w:rPr>
                <w:rFonts w:ascii="宋体" w:hAnsi="宋体" w:cs="宋体" w:eastAsia="宋体" w:hint="default"/>
                <w:sz w:val="21"/>
                <w:szCs w:val="21"/>
              </w:rPr>
            </w:pPr>
            <w:r>
              <w:rPr>
                <w:rFonts w:ascii="宋体" w:hAnsi="宋体" w:cs="宋体" w:eastAsia="宋体" w:hint="default"/>
                <w:sz w:val="21"/>
                <w:szCs w:val="21"/>
              </w:rPr>
              <w:t>余额合计为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859.57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59"/>
        <w:ind w:left="0" w:right="148"/>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50"/>
        <w:gridCol w:w="737"/>
        <w:gridCol w:w="721"/>
        <w:gridCol w:w="715"/>
        <w:gridCol w:w="718"/>
        <w:gridCol w:w="718"/>
        <w:gridCol w:w="718"/>
        <w:gridCol w:w="718"/>
        <w:gridCol w:w="718"/>
        <w:gridCol w:w="720"/>
        <w:gridCol w:w="718"/>
        <w:gridCol w:w="713"/>
      </w:tblGrid>
      <w:tr>
        <w:trPr>
          <w:trHeight w:val="36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 w:right="0"/>
              <w:jc w:val="left"/>
              <w:rPr>
                <w:rFonts w:ascii="宋体" w:hAnsi="宋体" w:cs="宋体" w:eastAsia="宋体" w:hint="default"/>
                <w:sz w:val="21"/>
                <w:szCs w:val="21"/>
              </w:rPr>
            </w:pPr>
            <w:r>
              <w:rPr>
                <w:rFonts w:ascii="宋体" w:hAnsi="宋体" w:cs="宋体" w:eastAsia="宋体" w:hint="default"/>
                <w:sz w:val="21"/>
                <w:szCs w:val="21"/>
              </w:rPr>
              <w:t>承诺投资项目和</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8" w:right="0"/>
              <w:jc w:val="left"/>
              <w:rPr>
                <w:rFonts w:ascii="宋体" w:hAnsi="宋体" w:cs="宋体" w:eastAsia="宋体" w:hint="default"/>
                <w:sz w:val="21"/>
                <w:szCs w:val="21"/>
              </w:rPr>
            </w:pPr>
            <w:r>
              <w:rPr>
                <w:rFonts w:ascii="宋体" w:hAnsi="宋体" w:cs="宋体" w:eastAsia="宋体" w:hint="default"/>
                <w:sz w:val="21"/>
                <w:szCs w:val="21"/>
              </w:rPr>
              <w:t>是否已</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 w:right="0"/>
              <w:jc w:val="left"/>
              <w:rPr>
                <w:rFonts w:ascii="宋体" w:hAnsi="宋体" w:cs="宋体" w:eastAsia="宋体" w:hint="default"/>
                <w:sz w:val="21"/>
                <w:szCs w:val="21"/>
              </w:rPr>
            </w:pPr>
            <w:r>
              <w:rPr>
                <w:rFonts w:ascii="宋体" w:hAnsi="宋体" w:cs="宋体" w:eastAsia="宋体" w:hint="default"/>
                <w:sz w:val="21"/>
                <w:szCs w:val="21"/>
              </w:rPr>
              <w:t>募集资</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 w:right="0"/>
              <w:jc w:val="left"/>
              <w:rPr>
                <w:rFonts w:ascii="宋体" w:hAnsi="宋体" w:cs="宋体" w:eastAsia="宋体" w:hint="default"/>
                <w:sz w:val="21"/>
                <w:szCs w:val="21"/>
              </w:rPr>
            </w:pPr>
            <w:r>
              <w:rPr>
                <w:rFonts w:ascii="宋体" w:hAnsi="宋体" w:cs="宋体" w:eastAsia="宋体" w:hint="default"/>
                <w:sz w:val="21"/>
                <w:szCs w:val="21"/>
              </w:rPr>
              <w:t>本报告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 w:right="0"/>
              <w:jc w:val="left"/>
              <w:rPr>
                <w:rFonts w:ascii="宋体" w:hAnsi="宋体" w:cs="宋体" w:eastAsia="宋体" w:hint="default"/>
                <w:sz w:val="21"/>
                <w:szCs w:val="21"/>
              </w:rPr>
            </w:pPr>
            <w:r>
              <w:rPr>
                <w:rFonts w:ascii="宋体" w:hAnsi="宋体" w:cs="宋体" w:eastAsia="宋体" w:hint="default"/>
                <w:sz w:val="21"/>
                <w:szCs w:val="21"/>
              </w:rPr>
              <w:t>截至期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 w:right="0"/>
              <w:jc w:val="left"/>
              <w:rPr>
                <w:rFonts w:ascii="宋体" w:hAnsi="宋体" w:cs="宋体" w:eastAsia="宋体" w:hint="default"/>
                <w:sz w:val="21"/>
                <w:szCs w:val="21"/>
              </w:rPr>
            </w:pPr>
            <w:r>
              <w:rPr>
                <w:rFonts w:ascii="宋体" w:hAnsi="宋体" w:cs="宋体" w:eastAsia="宋体" w:hint="default"/>
                <w:sz w:val="21"/>
                <w:szCs w:val="21"/>
              </w:rPr>
              <w:t>截至期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项目达</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 w:right="0"/>
              <w:jc w:val="left"/>
              <w:rPr>
                <w:rFonts w:ascii="宋体" w:hAnsi="宋体" w:cs="宋体" w:eastAsia="宋体" w:hint="default"/>
                <w:sz w:val="21"/>
                <w:szCs w:val="21"/>
              </w:rPr>
            </w:pPr>
            <w:r>
              <w:rPr>
                <w:rFonts w:ascii="宋体" w:hAnsi="宋体" w:cs="宋体" w:eastAsia="宋体" w:hint="default"/>
                <w:sz w:val="21"/>
                <w:szCs w:val="21"/>
              </w:rPr>
              <w:t>本报告</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 w:right="0"/>
              <w:jc w:val="left"/>
              <w:rPr>
                <w:rFonts w:ascii="宋体" w:hAnsi="宋体" w:cs="宋体" w:eastAsia="宋体" w:hint="default"/>
                <w:sz w:val="21"/>
                <w:szCs w:val="21"/>
              </w:rPr>
            </w:pPr>
            <w:r>
              <w:rPr>
                <w:rFonts w:ascii="宋体" w:hAnsi="宋体" w:cs="宋体" w:eastAsia="宋体" w:hint="default"/>
                <w:sz w:val="21"/>
                <w:szCs w:val="21"/>
              </w:rPr>
              <w:t>截止报</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9" w:right="0"/>
              <w:jc w:val="left"/>
              <w:rPr>
                <w:rFonts w:ascii="宋体" w:hAnsi="宋体" w:cs="宋体" w:eastAsia="宋体" w:hint="default"/>
                <w:sz w:val="21"/>
                <w:szCs w:val="21"/>
              </w:rPr>
            </w:pPr>
            <w:r>
              <w:rPr>
                <w:rFonts w:ascii="宋体" w:hAnsi="宋体" w:cs="宋体" w:eastAsia="宋体" w:hint="default"/>
                <w:sz w:val="21"/>
                <w:szCs w:val="21"/>
              </w:rPr>
              <w:t>是否达</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项目可</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31.65152pt;margin-top:438.649994pt;width:401.85pt;height:19.6pt;mso-position-horizontal-relative:page;mso-position-vertical-relative:page;z-index:-701272"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group style="position:absolute;margin-left:139.460007pt;margin-top:438.049988pt;width:394.05pt;height:20.8pt;mso-position-horizontal-relative:page;mso-position-vertical-relative:page;z-index:-701248" coordorigin="2789,8761" coordsize="7881,416">
            <v:group style="position:absolute;left:2801;top:8773;width:2;height:392" coordorigin="2801,8773" coordsize="2,392">
              <v:shape style="position:absolute;left:2801;top:8773;width:2;height:392" coordorigin="2801,8773" coordsize="0,392" path="m2801,8773l2801,9164e" filled="false" stroked="true" strokeweight="1.2pt" strokecolor="#ffffff">
                <v:path arrowok="t"/>
              </v:shape>
            </v:group>
            <v:group style="position:absolute;left:2813;top:8773;width:7857;height:392" coordorigin="2813,8773" coordsize="7857,392">
              <v:shape style="position:absolute;left:2813;top:8773;width:7857;height:392" coordorigin="2813,8773" coordsize="7857,392" path="m2813,9164l10670,9164,10670,8773,2813,8773,2813,916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52"/>
        <w:gridCol w:w="737"/>
        <w:gridCol w:w="723"/>
        <w:gridCol w:w="716"/>
        <w:gridCol w:w="717"/>
        <w:gridCol w:w="702"/>
        <w:gridCol w:w="734"/>
        <w:gridCol w:w="718"/>
        <w:gridCol w:w="718"/>
        <w:gridCol w:w="719"/>
        <w:gridCol w:w="718"/>
        <w:gridCol w:w="710"/>
      </w:tblGrid>
      <w:tr>
        <w:trPr>
          <w:trHeight w:val="1299"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90"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ind w:left="48" w:right="43"/>
              <w:jc w:val="center"/>
              <w:rPr>
                <w:rFonts w:ascii="Times New Roman" w:hAnsi="Times New Roman" w:cs="Times New Roman" w:eastAsia="Times New Roman" w:hint="default"/>
                <w:sz w:val="21"/>
                <w:szCs w:val="21"/>
              </w:rPr>
            </w:pPr>
            <w:r>
              <w:rPr>
                <w:rFonts w:ascii="宋体" w:hAnsi="宋体" w:cs="宋体" w:eastAsia="宋体" w:hint="default"/>
                <w:sz w:val="21"/>
                <w:szCs w:val="21"/>
              </w:rPr>
              <w:t>变更项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部分变</w:t>
            </w:r>
            <w:r>
              <w:rPr>
                <w:rFonts w:ascii="宋体" w:hAnsi="宋体" w:cs="宋体" w:eastAsia="宋体" w:hint="default"/>
                <w:w w:val="100"/>
                <w:sz w:val="21"/>
                <w:szCs w:val="21"/>
              </w:rPr>
              <w:t> </w:t>
            </w:r>
            <w:r>
              <w:rPr>
                <w:rFonts w:ascii="宋体" w:hAnsi="宋体" w:cs="宋体" w:eastAsia="宋体" w:hint="default"/>
                <w:sz w:val="21"/>
                <w:szCs w:val="21"/>
              </w:rPr>
              <w:t>更</w:t>
            </w:r>
            <w:r>
              <w:rPr>
                <w:rFonts w:ascii="Times New Roman" w:hAnsi="Times New Roman" w:cs="Times New Roman" w:eastAsia="Times New Roman" w:hint="default"/>
                <w:sz w:val="21"/>
                <w:szCs w:val="21"/>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8" w:right="39"/>
              <w:jc w:val="center"/>
              <w:rPr>
                <w:rFonts w:ascii="宋体" w:hAnsi="宋体" w:cs="宋体" w:eastAsia="宋体" w:hint="default"/>
                <w:sz w:val="21"/>
                <w:szCs w:val="21"/>
              </w:rPr>
            </w:pP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2" w:right="34"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投资总</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(1)</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40" w:right="36" w:hanging="106"/>
              <w:jc w:val="left"/>
              <w:rPr>
                <w:rFonts w:ascii="宋体" w:hAnsi="宋体" w:cs="宋体" w:eastAsia="宋体" w:hint="default"/>
                <w:sz w:val="21"/>
                <w:szCs w:val="21"/>
              </w:rPr>
            </w:pPr>
            <w:r>
              <w:rPr>
                <w:rFonts w:ascii="宋体" w:hAnsi="宋体" w:cs="宋体" w:eastAsia="宋体" w:hint="default"/>
                <w:sz w:val="21"/>
                <w:szCs w:val="21"/>
              </w:rPr>
              <w:t>期投入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5" w:right="20"/>
              <w:jc w:val="both"/>
              <w:rPr>
                <w:rFonts w:ascii="Times New Roman" w:hAnsi="Times New Roman" w:cs="Times New Roman" w:eastAsia="Times New Roman" w:hint="default"/>
                <w:sz w:val="21"/>
                <w:szCs w:val="21"/>
              </w:rPr>
            </w:pP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auto"/>
              <w:ind w:left="51" w:right="37"/>
              <w:jc w:val="center"/>
              <w:rPr>
                <w:rFonts w:ascii="Times New Roman" w:hAnsi="Times New Roman" w:cs="Times New Roman" w:eastAsia="Times New Roman" w:hint="default"/>
                <w:sz w:val="21"/>
                <w:szCs w:val="21"/>
              </w:rPr>
            </w:pP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7" w:right="34"/>
              <w:jc w:val="center"/>
              <w:rPr>
                <w:rFonts w:ascii="宋体" w:hAnsi="宋体" w:cs="宋体" w:eastAsia="宋体" w:hint="default"/>
                <w:sz w:val="21"/>
                <w:szCs w:val="21"/>
              </w:rPr>
            </w:pPr>
            <w:r>
              <w:rPr>
                <w:rFonts w:ascii="宋体" w:hAnsi="宋体" w:cs="宋体" w:eastAsia="宋体" w:hint="default"/>
                <w:sz w:val="21"/>
                <w:szCs w:val="21"/>
              </w:rPr>
              <w:t>到预定</w:t>
            </w:r>
            <w:r>
              <w:rPr>
                <w:rFonts w:ascii="宋体" w:hAnsi="宋体" w:cs="宋体" w:eastAsia="宋体" w:hint="default"/>
                <w:w w:val="100"/>
                <w:sz w:val="21"/>
                <w:szCs w:val="21"/>
              </w:rPr>
              <w:t> </w:t>
            </w:r>
            <w:r>
              <w:rPr>
                <w:rFonts w:ascii="宋体" w:hAnsi="宋体" w:cs="宋体" w:eastAsia="宋体" w:hint="default"/>
                <w:sz w:val="21"/>
                <w:szCs w:val="21"/>
              </w:rPr>
              <w:t>可使用</w:t>
            </w:r>
            <w:r>
              <w:rPr>
                <w:rFonts w:ascii="宋体" w:hAnsi="宋体" w:cs="宋体" w:eastAsia="宋体" w:hint="default"/>
                <w:w w:val="100"/>
                <w:sz w:val="21"/>
                <w:szCs w:val="21"/>
              </w:rPr>
              <w:t> </w:t>
            </w:r>
            <w:r>
              <w:rPr>
                <w:rFonts w:ascii="宋体" w:hAnsi="宋体" w:cs="宋体" w:eastAsia="宋体" w:hint="default"/>
                <w:sz w:val="21"/>
                <w:szCs w:val="21"/>
              </w:rPr>
              <w:t>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5" w:right="37"/>
              <w:jc w:val="left"/>
              <w:rPr>
                <w:rFonts w:ascii="宋体" w:hAnsi="宋体" w:cs="宋体" w:eastAsia="宋体" w:hint="default"/>
                <w:sz w:val="21"/>
                <w:szCs w:val="21"/>
              </w:rPr>
            </w:pP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5" w:right="38"/>
              <w:jc w:val="center"/>
              <w:rPr>
                <w:rFonts w:ascii="宋体" w:hAnsi="宋体" w:cs="宋体" w:eastAsia="宋体" w:hint="default"/>
                <w:sz w:val="21"/>
                <w:szCs w:val="21"/>
              </w:rPr>
            </w:pPr>
            <w:r>
              <w:rPr>
                <w:rFonts w:ascii="宋体" w:hAnsi="宋体" w:cs="宋体" w:eastAsia="宋体" w:hint="default"/>
                <w:sz w:val="21"/>
                <w:szCs w:val="21"/>
              </w:rPr>
              <w:t>告期末</w:t>
            </w:r>
            <w:r>
              <w:rPr>
                <w:rFonts w:ascii="宋体" w:hAnsi="宋体" w:cs="宋体" w:eastAsia="宋体" w:hint="default"/>
                <w:w w:val="100"/>
                <w:sz w:val="21"/>
                <w:szCs w:val="21"/>
              </w:rPr>
              <w:t> </w:t>
            </w:r>
            <w:r>
              <w:rPr>
                <w:rFonts w:ascii="宋体" w:hAnsi="宋体" w:cs="宋体" w:eastAsia="宋体" w:hint="default"/>
                <w:sz w:val="21"/>
                <w:szCs w:val="21"/>
              </w:rPr>
              <w:t>累计实</w:t>
            </w:r>
            <w:r>
              <w:rPr>
                <w:rFonts w:ascii="宋体" w:hAnsi="宋体" w:cs="宋体" w:eastAsia="宋体" w:hint="default"/>
                <w:w w:val="100"/>
                <w:sz w:val="21"/>
                <w:szCs w:val="21"/>
              </w:rPr>
              <w:t> </w:t>
            </w:r>
            <w:r>
              <w:rPr>
                <w:rFonts w:ascii="宋体" w:hAnsi="宋体" w:cs="宋体" w:eastAsia="宋体" w:hint="default"/>
                <w:sz w:val="21"/>
                <w:szCs w:val="21"/>
              </w:rPr>
              <w:t>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42" w:right="36" w:hanging="106"/>
              <w:jc w:val="left"/>
              <w:rPr>
                <w:rFonts w:ascii="宋体" w:hAnsi="宋体" w:cs="宋体" w:eastAsia="宋体" w:hint="default"/>
                <w:sz w:val="21"/>
                <w:szCs w:val="21"/>
              </w:rPr>
            </w:pP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3" w:right="31"/>
              <w:jc w:val="center"/>
              <w:rPr>
                <w:rFonts w:ascii="宋体" w:hAnsi="宋体" w:cs="宋体" w:eastAsia="宋体" w:hint="default"/>
                <w:sz w:val="21"/>
                <w:szCs w:val="21"/>
              </w:rPr>
            </w:pP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401"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027"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4" w:right="142"/>
              <w:jc w:val="left"/>
              <w:rPr>
                <w:rFonts w:ascii="宋体" w:hAnsi="宋体" w:cs="宋体" w:eastAsia="宋体" w:hint="default"/>
                <w:sz w:val="21"/>
                <w:szCs w:val="21"/>
              </w:rPr>
            </w:pPr>
            <w:r>
              <w:rPr>
                <w:rFonts w:ascii="宋体" w:hAnsi="宋体" w:cs="宋体" w:eastAsia="宋体" w:hint="default"/>
                <w:sz w:val="21"/>
                <w:szCs w:val="21"/>
              </w:rPr>
              <w:t>智能化输送配料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系统建设项目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117" w:right="0"/>
              <w:jc w:val="left"/>
              <w:rPr>
                <w:rFonts w:ascii="Times New Roman" w:hAnsi="Times New Roman" w:cs="Times New Roman" w:eastAsia="Times New Roman" w:hint="default"/>
                <w:sz w:val="21"/>
                <w:szCs w:val="21"/>
              </w:rPr>
            </w:pPr>
            <w:r>
              <w:rPr>
                <w:rFonts w:ascii="Times New Roman"/>
                <w:sz w:val="21"/>
              </w:rPr>
              <w:t>16,309</w:t>
            </w:r>
          </w:p>
        </w:tc>
        <w:tc>
          <w:tcPr>
            <w:tcW w:w="716"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z w:val="21"/>
              </w:rPr>
              <w:t>2,465.2</w:t>
            </w:r>
          </w:p>
          <w:p>
            <w:pPr>
              <w:pStyle w:val="TableParagraph"/>
              <w:spacing w:line="240" w:lineRule="auto" w:before="70"/>
              <w:ind w:right="14"/>
              <w:jc w:val="right"/>
              <w:rPr>
                <w:rFonts w:ascii="Times New Roman" w:hAnsi="Times New Roman" w:cs="Times New Roman" w:eastAsia="Times New Roman" w:hint="default"/>
                <w:sz w:val="21"/>
                <w:szCs w:val="21"/>
              </w:rPr>
            </w:pPr>
            <w:r>
              <w:rPr>
                <w:rFonts w:ascii="Times New Roman"/>
                <w:w w:val="100"/>
                <w:sz w:val="21"/>
              </w:rPr>
              <w:t>7</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z w:val="21"/>
              </w:rPr>
              <w:t>4,486.4</w:t>
            </w:r>
          </w:p>
          <w:p>
            <w:pPr>
              <w:pStyle w:val="TableParagraph"/>
              <w:spacing w:line="240" w:lineRule="auto" w:before="70"/>
              <w:ind w:right="1"/>
              <w:jc w:val="right"/>
              <w:rPr>
                <w:rFonts w:ascii="Times New Roman" w:hAnsi="Times New Roman" w:cs="Times New Roman" w:eastAsia="Times New Roman" w:hint="default"/>
                <w:sz w:val="21"/>
                <w:szCs w:val="21"/>
              </w:rPr>
            </w:pPr>
            <w:r>
              <w:rPr>
                <w:rFonts w:ascii="Times New Roman"/>
                <w:w w:val="100"/>
                <w:sz w:val="21"/>
              </w:rPr>
              <w:t>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48" w:right="0"/>
              <w:jc w:val="center"/>
              <w:rPr>
                <w:rFonts w:ascii="Times New Roman" w:hAnsi="Times New Roman" w:cs="Times New Roman" w:eastAsia="Times New Roman" w:hint="default"/>
                <w:sz w:val="21"/>
                <w:szCs w:val="21"/>
              </w:rPr>
            </w:pPr>
            <w:r>
              <w:rPr>
                <w:rFonts w:ascii="Times New Roman"/>
                <w:sz w:val="21"/>
              </w:rPr>
              <w:t>27.51%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w:t>
            </w:r>
          </w:p>
          <w:p>
            <w:pPr>
              <w:pStyle w:val="TableParagraph"/>
              <w:spacing w:line="240" w:lineRule="auto" w:before="21"/>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61" w:hRule="exact"/>
        </w:trPr>
        <w:tc>
          <w:tcPr>
            <w:tcW w:w="16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142"/>
              <w:jc w:val="left"/>
              <w:rPr>
                <w:rFonts w:ascii="宋体" w:hAnsi="宋体" w:cs="宋体" w:eastAsia="宋体" w:hint="default"/>
                <w:sz w:val="21"/>
                <w:szCs w:val="21"/>
              </w:rPr>
            </w:pPr>
            <w:r>
              <w:rPr>
                <w:rFonts w:ascii="宋体" w:hAnsi="宋体" w:cs="宋体" w:eastAsia="宋体" w:hint="default"/>
                <w:sz w:val="21"/>
                <w:szCs w:val="21"/>
              </w:rPr>
              <w:t>承诺投资项目小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1" w:right="0"/>
              <w:jc w:val="left"/>
              <w:rPr>
                <w:rFonts w:ascii="Times New Roman" w:hAnsi="Times New Roman" w:cs="Times New Roman" w:eastAsia="Times New Roman" w:hint="default"/>
                <w:sz w:val="21"/>
                <w:szCs w:val="21"/>
              </w:rPr>
            </w:pPr>
            <w:r>
              <w:rPr>
                <w:rFonts w:ascii="Times New Roman"/>
                <w:sz w:val="21"/>
              </w:rPr>
              <w:t>16,309</w:t>
            </w:r>
          </w:p>
        </w:tc>
        <w:tc>
          <w:tcPr>
            <w:tcW w:w="716" w:type="dxa"/>
            <w:vMerge w:val="restart"/>
            <w:tcBorders>
              <w:top w:val="single" w:sz="4" w:space="0" w:color="000000"/>
              <w:left w:val="single" w:sz="4" w:space="0" w:color="000000"/>
              <w:right w:val="single" w:sz="4" w:space="0" w:color="000000"/>
            </w:tcBorders>
          </w:tcPr>
          <w:p>
            <w:pP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2,465.2</w:t>
            </w:r>
          </w:p>
          <w:p>
            <w:pPr>
              <w:pStyle w:val="TableParagraph"/>
              <w:spacing w:line="240" w:lineRule="auto" w:before="70"/>
              <w:ind w:right="14"/>
              <w:jc w:val="right"/>
              <w:rPr>
                <w:rFonts w:ascii="Times New Roman" w:hAnsi="Times New Roman" w:cs="Times New Roman" w:eastAsia="Times New Roman" w:hint="default"/>
                <w:sz w:val="21"/>
                <w:szCs w:val="21"/>
              </w:rPr>
            </w:pPr>
            <w:r>
              <w:rPr>
                <w:rFonts w:ascii="Times New Roman"/>
                <w:w w:val="100"/>
                <w:sz w:val="21"/>
              </w:rPr>
              <w:t>7</w:t>
            </w:r>
          </w:p>
        </w:tc>
        <w:tc>
          <w:tcPr>
            <w:tcW w:w="702" w:type="dxa"/>
            <w:vMerge w:val="restart"/>
            <w:tcBorders>
              <w:top w:val="single" w:sz="4" w:space="0" w:color="000000"/>
              <w:left w:val="single" w:sz="4" w:space="0" w:color="000000"/>
              <w:right w:val="single" w:sz="10" w:space="0" w:color="D2D2D2"/>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4,486.4</w:t>
            </w:r>
          </w:p>
          <w:p>
            <w:pPr>
              <w:pStyle w:val="TableParagraph"/>
              <w:spacing w:line="240" w:lineRule="auto" w:before="70"/>
              <w:ind w:right="-7"/>
              <w:jc w:val="right"/>
              <w:rPr>
                <w:rFonts w:ascii="Times New Roman" w:hAnsi="Times New Roman" w:cs="Times New Roman" w:eastAsia="Times New Roman" w:hint="default"/>
                <w:sz w:val="21"/>
                <w:szCs w:val="21"/>
              </w:rPr>
            </w:pPr>
            <w:r>
              <w:rPr>
                <w:rFonts w:ascii="Times New Roman"/>
                <w:w w:val="100"/>
                <w:sz w:val="21"/>
              </w:rPr>
              <w:t>8</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
        </w:tc>
        <w:tc>
          <w:tcPr>
            <w:tcW w:w="719" w:type="dxa"/>
            <w:vMerge w:val="restart"/>
            <w:tcBorders>
              <w:top w:val="single" w:sz="4" w:space="0" w:color="000000"/>
              <w:left w:val="single" w:sz="4" w:space="0" w:color="000000"/>
              <w:right w:val="single" w:sz="10" w:space="0" w:color="D2D2D2"/>
            </w:tcBorders>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2" w:type="dxa"/>
            <w:vMerge/>
            <w:tcBorders>
              <w:left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29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723" w:type="dxa"/>
            <w:vMerge/>
            <w:tcBorders>
              <w:left w:val="single" w:sz="9" w:space="0" w:color="D2D2D2"/>
              <w:right w:val="single" w:sz="4" w:space="0" w:color="000000"/>
            </w:tcBorders>
          </w:tcPr>
          <w:p>
            <w:pPr/>
          </w:p>
        </w:tc>
        <w:tc>
          <w:tcPr>
            <w:tcW w:w="716" w:type="dxa"/>
            <w:vMerge/>
            <w:tcBorders>
              <w:left w:val="single" w:sz="4" w:space="0" w:color="000000"/>
              <w:right w:val="single" w:sz="4" w:space="0" w:color="000000"/>
            </w:tcBorders>
          </w:tcPr>
          <w:p>
            <w:pPr/>
          </w:p>
        </w:tc>
        <w:tc>
          <w:tcPr>
            <w:tcW w:w="717" w:type="dxa"/>
            <w:vMerge/>
            <w:tcBorders>
              <w:left w:val="single" w:sz="4" w:space="0" w:color="000000"/>
              <w:right w:val="single" w:sz="4" w:space="0" w:color="000000"/>
            </w:tcBorders>
          </w:tcPr>
          <w:p>
            <w:pPr/>
          </w:p>
        </w:tc>
        <w:tc>
          <w:tcPr>
            <w:tcW w:w="702" w:type="dxa"/>
            <w:vMerge/>
            <w:tcBorders>
              <w:left w:val="single" w:sz="4" w:space="0" w:color="000000"/>
              <w:right w:val="single" w:sz="10" w:space="0" w:color="D2D2D2"/>
            </w:tcBorders>
          </w:tcPr>
          <w:p>
            <w:pP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31" w:right="0"/>
              <w:jc w:val="center"/>
              <w:rPr>
                <w:rFonts w:ascii="Times New Roman" w:hAnsi="Times New Roman" w:cs="Times New Roman" w:eastAsia="Times New Roman" w:hint="default"/>
                <w:sz w:val="21"/>
                <w:szCs w:val="21"/>
              </w:rPr>
            </w:pPr>
            <w:r>
              <w:rPr>
                <w:rFonts w:ascii="Times New Roman"/>
                <w:sz w:val="21"/>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sz w:val="21"/>
              </w:rPr>
              <w:t>--</w:t>
            </w:r>
          </w:p>
        </w:tc>
        <w:tc>
          <w:tcPr>
            <w:tcW w:w="718" w:type="dxa"/>
            <w:vMerge/>
            <w:tcBorders>
              <w:left w:val="single" w:sz="10" w:space="0" w:color="D2D2D2"/>
              <w:right w:val="single" w:sz="4" w:space="0" w:color="000000"/>
            </w:tcBorders>
          </w:tcPr>
          <w:p>
            <w:pPr/>
          </w:p>
        </w:tc>
        <w:tc>
          <w:tcPr>
            <w:tcW w:w="719"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2" w:right="0"/>
              <w:jc w:val="center"/>
              <w:rPr>
                <w:rFonts w:ascii="Times New Roman" w:hAnsi="Times New Roman" w:cs="Times New Roman" w:eastAsia="Times New Roman" w:hint="default"/>
                <w:sz w:val="21"/>
                <w:szCs w:val="21"/>
              </w:rPr>
            </w:pPr>
            <w:r>
              <w:rPr>
                <w:rFonts w:ascii="Times New Roman"/>
                <w:sz w:val="21"/>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r>
      <w:tr>
        <w:trPr>
          <w:trHeight w:val="166" w:hRule="exact"/>
        </w:trPr>
        <w:tc>
          <w:tcPr>
            <w:tcW w:w="1652"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10" w:space="0" w:color="D2D2D2"/>
            </w:tcBorders>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40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37"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16,309</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100"/>
                <w:sz w:val="21"/>
              </w:rPr>
              <w:t>0</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2,465.2</w:t>
            </w:r>
          </w:p>
          <w:p>
            <w:pPr>
              <w:pStyle w:val="TableParagraph"/>
              <w:spacing w:line="240" w:lineRule="auto" w:before="70"/>
              <w:ind w:right="24"/>
              <w:jc w:val="right"/>
              <w:rPr>
                <w:rFonts w:ascii="Times New Roman" w:hAnsi="Times New Roman" w:cs="Times New Roman" w:eastAsia="Times New Roman" w:hint="default"/>
                <w:sz w:val="21"/>
                <w:szCs w:val="21"/>
              </w:rPr>
            </w:pPr>
            <w:r>
              <w:rPr>
                <w:rFonts w:ascii="Times New Roman"/>
                <w:w w:val="100"/>
                <w:sz w:val="21"/>
              </w:rPr>
              <w:t>7</w:t>
            </w:r>
          </w:p>
        </w:tc>
        <w:tc>
          <w:tcPr>
            <w:tcW w:w="702" w:type="dxa"/>
            <w:vMerge w:val="restart"/>
            <w:tcBorders>
              <w:top w:val="single" w:sz="4" w:space="0" w:color="000000"/>
              <w:left w:val="single" w:sz="4" w:space="0" w:color="000000"/>
              <w:right w:val="single" w:sz="4" w:space="0" w:color="000000"/>
            </w:tcBorders>
          </w:tcPr>
          <w:p>
            <w:pPr>
              <w:pStyle w:val="TableParagraph"/>
              <w:spacing w:line="240" w:lineRule="auto" w:before="75"/>
              <w:ind w:left="107" w:right="0"/>
              <w:jc w:val="left"/>
              <w:rPr>
                <w:rFonts w:ascii="Times New Roman" w:hAnsi="Times New Roman" w:cs="Times New Roman" w:eastAsia="Times New Roman" w:hint="default"/>
                <w:sz w:val="21"/>
                <w:szCs w:val="21"/>
              </w:rPr>
            </w:pPr>
            <w:r>
              <w:rPr>
                <w:rFonts w:ascii="Times New Roman"/>
                <w:sz w:val="21"/>
              </w:rPr>
              <w:t>4,486.</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48</w:t>
            </w:r>
          </w:p>
        </w:tc>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33"/>
              <w:jc w:val="center"/>
              <w:rPr>
                <w:rFonts w:ascii="Times New Roman" w:hAnsi="Times New Roman" w:cs="Times New Roman" w:eastAsia="Times New Roman" w:hint="default"/>
                <w:sz w:val="21"/>
                <w:szCs w:val="21"/>
              </w:rPr>
            </w:pPr>
            <w:r>
              <w:rPr>
                <w:rFonts w:ascii="Times New Roman"/>
                <w:sz w:val="21"/>
              </w:rPr>
              <w:t>--</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100"/>
                <w:sz w:val="21"/>
              </w:rPr>
              <w:t>0</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94"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29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723" w:type="dxa"/>
            <w:vMerge/>
            <w:tcBorders>
              <w:left w:val="single" w:sz="9" w:space="0" w:color="D2D2D2"/>
              <w:right w:val="single" w:sz="4" w:space="0" w:color="000000"/>
            </w:tcBorders>
          </w:tcPr>
          <w:p>
            <w:pPr/>
          </w:p>
        </w:tc>
        <w:tc>
          <w:tcPr>
            <w:tcW w:w="716" w:type="dxa"/>
            <w:vMerge/>
            <w:tcBorders>
              <w:left w:val="single" w:sz="4" w:space="0" w:color="000000"/>
              <w:right w:val="single" w:sz="4" w:space="0" w:color="000000"/>
            </w:tcBorders>
          </w:tcPr>
          <w:p>
            <w:pPr/>
          </w:p>
        </w:tc>
        <w:tc>
          <w:tcPr>
            <w:tcW w:w="717" w:type="dxa"/>
            <w:vMerge/>
            <w:tcBorders>
              <w:left w:val="single" w:sz="4" w:space="0" w:color="000000"/>
              <w:right w:val="single" w:sz="4" w:space="0" w:color="000000"/>
            </w:tcBorders>
          </w:tcPr>
          <w:p>
            <w:pPr/>
          </w:p>
        </w:tc>
        <w:tc>
          <w:tcPr>
            <w:tcW w:w="702"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r>
      <w:tr>
        <w:trPr>
          <w:trHeight w:val="161"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9"/>
              <w:jc w:val="left"/>
              <w:rPr>
                <w:rFonts w:ascii="宋体" w:hAnsi="宋体" w:cs="宋体" w:eastAsia="宋体" w:hint="default"/>
                <w:sz w:val="21"/>
                <w:szCs w:val="21"/>
              </w:rPr>
            </w:pPr>
            <w:r>
              <w:rPr>
                <w:rFonts w:ascii="宋体" w:hAnsi="宋体" w:cs="宋体" w:eastAsia="宋体" w:hint="default"/>
                <w:sz w:val="21"/>
                <w:szCs w:val="21"/>
              </w:rPr>
              <w:t>未达到计划进度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或预计收益的情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2"/>
                <w:w w:val="100"/>
                <w:sz w:val="21"/>
                <w:szCs w:val="21"/>
              </w:rPr>
              <w:t>况和原因（分具体</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791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27"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42"/>
              <w:jc w:val="both"/>
              <w:rPr>
                <w:rFonts w:ascii="宋体" w:hAnsi="宋体" w:cs="宋体" w:eastAsia="宋体" w:hint="default"/>
                <w:sz w:val="21"/>
                <w:szCs w:val="21"/>
              </w:rPr>
            </w:pPr>
            <w:r>
              <w:rPr>
                <w:rFonts w:ascii="宋体" w:hAnsi="宋体" w:cs="宋体" w:eastAsia="宋体" w:hint="default"/>
                <w:sz w:val="21"/>
                <w:szCs w:val="21"/>
              </w:rPr>
              <w:t>项目可行性发生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重大变化的情况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说明</w:t>
            </w:r>
          </w:p>
        </w:tc>
        <w:tc>
          <w:tcPr>
            <w:tcW w:w="791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1" w:hRule="exact"/>
        </w:trPr>
        <w:tc>
          <w:tcPr>
            <w:tcW w:w="16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142"/>
              <w:jc w:val="both"/>
              <w:rPr>
                <w:rFonts w:ascii="宋体" w:hAnsi="宋体" w:cs="宋体" w:eastAsia="宋体" w:hint="default"/>
                <w:sz w:val="21"/>
                <w:szCs w:val="21"/>
              </w:rPr>
            </w:pPr>
            <w:r>
              <w:rPr>
                <w:rFonts w:ascii="宋体" w:hAnsi="宋体" w:cs="宋体" w:eastAsia="宋体" w:hint="default"/>
                <w:sz w:val="21"/>
                <w:szCs w:val="21"/>
              </w:rPr>
              <w:t>超募资金的金额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用途及使用进展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情况</w:t>
            </w:r>
          </w:p>
        </w:tc>
        <w:tc>
          <w:tcPr>
            <w:tcW w:w="791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652"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10" w:space="0" w:color="D2D2D2"/>
              <w:bottom w:val="single" w:sz="4" w:space="0" w:color="000000"/>
              <w:right w:val="single" w:sz="4" w:space="0" w:color="000000"/>
            </w:tcBorders>
          </w:tcPr>
          <w:p>
            <w:pPr/>
          </w:p>
        </w:tc>
      </w:tr>
      <w:tr>
        <w:trPr>
          <w:trHeight w:val="96"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10" w:space="0" w:color="D2D2D2"/>
              <w:right w:val="single" w:sz="4"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07" w:hRule="exact"/>
        </w:trPr>
        <w:tc>
          <w:tcPr>
            <w:tcW w:w="165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4" w:right="142"/>
              <w:jc w:val="both"/>
              <w:rPr>
                <w:rFonts w:ascii="宋体" w:hAnsi="宋体" w:cs="宋体" w:eastAsia="宋体" w:hint="default"/>
                <w:sz w:val="21"/>
                <w:szCs w:val="21"/>
              </w:rPr>
            </w:pPr>
            <w:r>
              <w:rPr>
                <w:rFonts w:ascii="宋体" w:hAnsi="宋体" w:cs="宋体" w:eastAsia="宋体" w:hint="default"/>
                <w:sz w:val="21"/>
                <w:szCs w:val="21"/>
              </w:rPr>
              <w:t>募集资金投资项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目实施地点变更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情况</w:t>
            </w:r>
          </w:p>
        </w:tc>
        <w:tc>
          <w:tcPr>
            <w:tcW w:w="7912" w:type="dxa"/>
            <w:gridSpan w:val="11"/>
            <w:vMerge/>
            <w:tcBorders>
              <w:left w:val="single" w:sz="10" w:space="0" w:color="D2D2D2"/>
              <w:bottom w:val="single" w:sz="4" w:space="0" w:color="000000"/>
              <w:right w:val="single" w:sz="4" w:space="0" w:color="000000"/>
            </w:tcBorders>
          </w:tcPr>
          <w:p>
            <w:pPr/>
          </w:p>
        </w:tc>
      </w:tr>
      <w:tr>
        <w:trPr>
          <w:trHeight w:val="401" w:hRule="exact"/>
        </w:trPr>
        <w:tc>
          <w:tcPr>
            <w:tcW w:w="1652"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1652"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10" w:space="0" w:color="D2D2D2"/>
              <w:bottom w:val="single" w:sz="4" w:space="0" w:color="000000"/>
              <w:right w:val="single" w:sz="4" w:space="0" w:color="000000"/>
            </w:tcBorders>
          </w:tcPr>
          <w:p>
            <w:pPr/>
          </w:p>
        </w:tc>
      </w:tr>
      <w:tr>
        <w:trPr>
          <w:trHeight w:val="94"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10" w:space="0" w:color="D2D2D2"/>
              <w:right w:val="single" w:sz="4"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07" w:hRule="exact"/>
        </w:trPr>
        <w:tc>
          <w:tcPr>
            <w:tcW w:w="165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4" w:right="142"/>
              <w:jc w:val="both"/>
              <w:rPr>
                <w:rFonts w:ascii="宋体" w:hAnsi="宋体" w:cs="宋体" w:eastAsia="宋体" w:hint="default"/>
                <w:sz w:val="21"/>
                <w:szCs w:val="21"/>
              </w:rPr>
            </w:pPr>
            <w:r>
              <w:rPr>
                <w:rFonts w:ascii="宋体" w:hAnsi="宋体" w:cs="宋体" w:eastAsia="宋体" w:hint="default"/>
                <w:sz w:val="21"/>
                <w:szCs w:val="21"/>
              </w:rPr>
              <w:t>募集资金投资项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目实施方式调整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情况</w:t>
            </w:r>
          </w:p>
        </w:tc>
        <w:tc>
          <w:tcPr>
            <w:tcW w:w="7912" w:type="dxa"/>
            <w:gridSpan w:val="11"/>
            <w:vMerge/>
            <w:tcBorders>
              <w:left w:val="single" w:sz="10" w:space="0" w:color="D2D2D2"/>
              <w:bottom w:val="single" w:sz="4" w:space="0" w:color="000000"/>
              <w:right w:val="single" w:sz="4" w:space="0" w:color="000000"/>
            </w:tcBorders>
          </w:tcPr>
          <w:p>
            <w:pPr/>
          </w:p>
        </w:tc>
      </w:tr>
      <w:tr>
        <w:trPr>
          <w:trHeight w:val="403" w:hRule="exact"/>
        </w:trPr>
        <w:tc>
          <w:tcPr>
            <w:tcW w:w="1652"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1652"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10" w:space="0" w:color="D2D2D2"/>
              <w:bottom w:val="single" w:sz="4" w:space="0" w:color="000000"/>
              <w:right w:val="single" w:sz="4" w:space="0" w:color="000000"/>
            </w:tcBorders>
          </w:tcPr>
          <w:p>
            <w:pPr/>
          </w:p>
        </w:tc>
      </w:tr>
      <w:tr>
        <w:trPr>
          <w:trHeight w:val="206"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10" w:space="0" w:color="D2D2D2"/>
              <w:right w:val="single" w:sz="4"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97" w:hRule="exact"/>
        </w:trPr>
        <w:tc>
          <w:tcPr>
            <w:tcW w:w="165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4" w:right="142"/>
              <w:jc w:val="both"/>
              <w:rPr>
                <w:rFonts w:ascii="宋体" w:hAnsi="宋体" w:cs="宋体" w:eastAsia="宋体" w:hint="default"/>
                <w:sz w:val="21"/>
                <w:szCs w:val="21"/>
              </w:rPr>
            </w:pPr>
            <w:r>
              <w:rPr>
                <w:rFonts w:ascii="宋体" w:hAnsi="宋体" w:cs="宋体" w:eastAsia="宋体" w:hint="default"/>
                <w:sz w:val="21"/>
                <w:szCs w:val="21"/>
              </w:rPr>
              <w:t>募集资金投资项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目先期投入及置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换情况</w:t>
            </w:r>
          </w:p>
        </w:tc>
        <w:tc>
          <w:tcPr>
            <w:tcW w:w="7912" w:type="dxa"/>
            <w:gridSpan w:val="11"/>
            <w:vMerge/>
            <w:tcBorders>
              <w:left w:val="single" w:sz="10" w:space="0" w:color="D2D2D2"/>
              <w:bottom w:val="single" w:sz="4" w:space="0" w:color="000000"/>
              <w:right w:val="single" w:sz="4" w:space="0" w:color="000000"/>
            </w:tcBorders>
          </w:tcPr>
          <w:p>
            <w:pPr/>
          </w:p>
        </w:tc>
      </w:tr>
      <w:tr>
        <w:trPr>
          <w:trHeight w:val="821" w:hRule="exact"/>
        </w:trPr>
        <w:tc>
          <w:tcPr>
            <w:tcW w:w="1652"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10" w:space="0" w:color="D2D2D2"/>
              <w:right w:val="single" w:sz="4" w:space="0" w:color="000000"/>
            </w:tcBorders>
          </w:tcPr>
          <w:p>
            <w:pPr>
              <w:pStyle w:val="TableParagraph"/>
              <w:spacing w:line="266" w:lineRule="auto" w:before="28"/>
              <w:ind w:left="16" w:right="50"/>
              <w:jc w:val="both"/>
              <w:rPr>
                <w:rFonts w:ascii="宋体" w:hAnsi="宋体" w:cs="宋体" w:eastAsia="宋体" w:hint="default"/>
                <w:sz w:val="21"/>
                <w:szCs w:val="21"/>
              </w:rPr>
            </w:pPr>
            <w:r>
              <w:rPr>
                <w:rFonts w:ascii="宋体" w:hAnsi="宋体" w:cs="宋体" w:eastAsia="宋体" w:hint="default"/>
                <w:sz w:val="21"/>
                <w:szCs w:val="21"/>
              </w:rPr>
              <w:t>募集资金到位后，经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日公司召开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年第二届董事会第六次会议审议</w:t>
            </w:r>
            <w:r>
              <w:rPr>
                <w:rFonts w:ascii="宋体" w:hAnsi="宋体" w:cs="宋体" w:eastAsia="宋体" w:hint="default"/>
                <w:w w:val="100"/>
                <w:sz w:val="21"/>
                <w:szCs w:val="21"/>
              </w:rPr>
              <w:t> </w:t>
            </w:r>
            <w:r>
              <w:rPr>
                <w:rFonts w:ascii="宋体" w:hAnsi="宋体" w:cs="宋体" w:eastAsia="宋体" w:hint="default"/>
                <w:sz w:val="21"/>
                <w:szCs w:val="21"/>
              </w:rPr>
              <w:t>通过《关于使用募集资金置换预先已投入募集资金投资项目的自筹资金》的议案，公</w:t>
            </w:r>
            <w:r>
              <w:rPr>
                <w:rFonts w:ascii="宋体" w:hAnsi="宋体" w:cs="宋体" w:eastAsia="宋体" w:hint="default"/>
                <w:w w:val="100"/>
                <w:sz w:val="21"/>
                <w:szCs w:val="21"/>
              </w:rPr>
              <w:t> </w:t>
            </w:r>
            <w:r>
              <w:rPr>
                <w:rFonts w:ascii="宋体" w:hAnsi="宋体" w:cs="宋体" w:eastAsia="宋体" w:hint="default"/>
                <w:sz w:val="21"/>
                <w:szCs w:val="21"/>
              </w:rPr>
              <w:t>司以募集资金置换预先已投入募集资金投资项目的自筹资金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2,187.68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204"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10" w:space="0" w:color="D2D2D2"/>
              <w:bottom w:val="single" w:sz="4" w:space="0" w:color="000000"/>
              <w:right w:val="single" w:sz="4" w:space="0" w:color="000000"/>
            </w:tcBorders>
          </w:tcPr>
          <w:p>
            <w:pPr/>
          </w:p>
        </w:tc>
      </w:tr>
      <w:tr>
        <w:trPr>
          <w:trHeight w:val="403"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977"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24" w:right="142"/>
              <w:jc w:val="both"/>
              <w:rPr>
                <w:rFonts w:ascii="宋体" w:hAnsi="宋体" w:cs="宋体" w:eastAsia="宋体" w:hint="default"/>
                <w:sz w:val="21"/>
                <w:szCs w:val="21"/>
              </w:rPr>
            </w:pPr>
            <w:r>
              <w:rPr>
                <w:rFonts w:ascii="宋体" w:hAnsi="宋体" w:cs="宋体" w:eastAsia="宋体" w:hint="default"/>
                <w:sz w:val="21"/>
                <w:szCs w:val="21"/>
              </w:rPr>
              <w:t>用闲置募集资金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暂时补充流动资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金情况</w:t>
            </w:r>
          </w:p>
        </w:tc>
        <w:tc>
          <w:tcPr>
            <w:tcW w:w="7912" w:type="dxa"/>
            <w:gridSpan w:val="11"/>
            <w:vMerge w:val="restart"/>
            <w:tcBorders>
              <w:top w:val="single" w:sz="4" w:space="0" w:color="000000"/>
              <w:left w:val="single" w:sz="10" w:space="0" w:color="D2D2D2"/>
              <w:right w:val="single" w:sz="4" w:space="0" w:color="000000"/>
            </w:tcBorders>
          </w:tcPr>
          <w:p>
            <w:pPr>
              <w:pStyle w:val="TableParagraph"/>
              <w:spacing w:line="261" w:lineRule="auto" w:before="28"/>
              <w:ind w:left="16" w:right="17"/>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2015</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7"/>
                <w:w w:val="100"/>
                <w:sz w:val="21"/>
                <w:szCs w:val="21"/>
              </w:rPr>
              <w:t>日，公司第二届董事会第七次会议和第二届监事会第四次会议审议并《关</w:t>
            </w:r>
            <w:r>
              <w:rPr>
                <w:rFonts w:ascii="宋体" w:hAnsi="宋体" w:cs="宋体" w:eastAsia="宋体" w:hint="default"/>
                <w:spacing w:val="-3"/>
                <w:w w:val="100"/>
                <w:sz w:val="21"/>
                <w:szCs w:val="21"/>
              </w:rPr>
              <w:t> </w:t>
            </w:r>
            <w:r>
              <w:rPr>
                <w:rFonts w:ascii="宋体" w:hAnsi="宋体" w:cs="宋体" w:eastAsia="宋体" w:hint="default"/>
                <w:spacing w:val="-5"/>
                <w:w w:val="100"/>
                <w:sz w:val="21"/>
                <w:szCs w:val="21"/>
              </w:rPr>
              <w:t>于使用部分闲置募集暂时性补充流动资金的议案》，同意公司使用部分闲置募集资金</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万元暂时性补充流动资金。截止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日，该部分闲置募集资金已用</w:t>
            </w:r>
            <w:r>
              <w:rPr>
                <w:rFonts w:ascii="宋体" w:hAnsi="宋体" w:cs="宋体" w:eastAsia="宋体" w:hint="default"/>
                <w:w w:val="100"/>
                <w:sz w:val="21"/>
                <w:szCs w:val="21"/>
              </w:rPr>
              <w:t> </w:t>
            </w:r>
            <w:r>
              <w:rPr>
                <w:rFonts w:ascii="宋体" w:hAnsi="宋体" w:cs="宋体" w:eastAsia="宋体" w:hint="default"/>
                <w:sz w:val="21"/>
                <w:szCs w:val="21"/>
              </w:rPr>
              <w:t>于暂时性补充流动资金。</w:t>
            </w:r>
          </w:p>
        </w:tc>
      </w:tr>
      <w:tr>
        <w:trPr>
          <w:trHeight w:val="360"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10" w:space="0" w:color="D2D2D2"/>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50"/>
        <w:gridCol w:w="7912"/>
      </w:tblGrid>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2" w:right="142"/>
              <w:jc w:val="both"/>
              <w:rPr>
                <w:rFonts w:ascii="宋体" w:hAnsi="宋体" w:cs="宋体" w:eastAsia="宋体" w:hint="default"/>
                <w:sz w:val="21"/>
                <w:szCs w:val="21"/>
              </w:rPr>
            </w:pPr>
            <w:r>
              <w:rPr>
                <w:rFonts w:ascii="宋体" w:hAnsi="宋体" w:cs="宋体" w:eastAsia="宋体" w:hint="default"/>
                <w:sz w:val="21"/>
                <w:szCs w:val="21"/>
              </w:rPr>
              <w:t>项目实施出现募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集资金结余的金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额及原因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42"/>
              <w:jc w:val="left"/>
              <w:rPr>
                <w:rFonts w:ascii="宋体" w:hAnsi="宋体" w:cs="宋体" w:eastAsia="宋体" w:hint="default"/>
                <w:sz w:val="21"/>
                <w:szCs w:val="21"/>
              </w:rPr>
            </w:pPr>
            <w:r>
              <w:rPr>
                <w:rFonts w:ascii="宋体" w:hAnsi="宋体" w:cs="宋体" w:eastAsia="宋体" w:hint="default"/>
                <w:sz w:val="21"/>
                <w:szCs w:val="21"/>
              </w:rPr>
              <w:t>尚未使用的募集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99"/>
              <w:jc w:val="left"/>
              <w:rPr>
                <w:rFonts w:ascii="宋体" w:hAnsi="宋体" w:cs="宋体" w:eastAsia="宋体" w:hint="default"/>
                <w:sz w:val="21"/>
                <w:szCs w:val="21"/>
              </w:rPr>
            </w:pPr>
            <w:r>
              <w:rPr>
                <w:rFonts w:ascii="宋体" w:hAnsi="宋体" w:cs="宋体" w:eastAsia="宋体" w:hint="default"/>
                <w:spacing w:val="-2"/>
                <w:sz w:val="21"/>
                <w:szCs w:val="21"/>
              </w:rPr>
              <w:t>尚未使用的募集资金仍存放于募集资金专项账户，将继续用于原承诺投资的募集资金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投资项目。</w:t>
            </w:r>
          </w:p>
        </w:tc>
      </w:tr>
      <w:tr>
        <w:trPr>
          <w:trHeight w:val="1027"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42"/>
              <w:jc w:val="both"/>
              <w:rPr>
                <w:rFonts w:ascii="宋体" w:hAnsi="宋体" w:cs="宋体" w:eastAsia="宋体" w:hint="default"/>
                <w:sz w:val="21"/>
                <w:szCs w:val="21"/>
              </w:rPr>
            </w:pPr>
            <w:r>
              <w:rPr>
                <w:rFonts w:ascii="宋体" w:hAnsi="宋体" w:cs="宋体" w:eastAsia="宋体" w:hint="default"/>
                <w:sz w:val="21"/>
                <w:szCs w:val="21"/>
              </w:rPr>
              <w:t>募集资金使用及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披露中存在的问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题或其他情况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4"/>
          <w:szCs w:val="24"/>
        </w:rPr>
      </w:pPr>
    </w:p>
    <w:p>
      <w:pPr>
        <w:pStyle w:val="BodyText"/>
        <w:spacing w:line="292" w:lineRule="auto"/>
        <w:ind w:right="4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公司报告期不存在募集资金变更项目情况。</w:t>
      </w:r>
    </w:p>
    <w:p>
      <w:pPr>
        <w:spacing w:line="240" w:lineRule="auto" w:before="4"/>
        <w:rPr>
          <w:rFonts w:ascii="宋体" w:hAnsi="宋体" w:cs="宋体" w:eastAsia="宋体" w:hint="default"/>
          <w:sz w:val="20"/>
          <w:szCs w:val="20"/>
        </w:rPr>
      </w:pPr>
    </w:p>
    <w:p>
      <w:pPr>
        <w:pStyle w:val="Heading2"/>
        <w:spacing w:line="240" w:lineRule="auto"/>
        <w:ind w:right="153"/>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公司报告期未出售重大资产。</w:t>
      </w:r>
    </w:p>
    <w:p>
      <w:pPr>
        <w:spacing w:line="240" w:lineRule="auto" w:before="3"/>
        <w:rPr>
          <w:rFonts w:ascii="宋体" w:hAnsi="宋体" w:cs="宋体" w:eastAsia="宋体" w:hint="default"/>
          <w:sz w:val="22"/>
          <w:szCs w:val="22"/>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53"/>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240" w:lineRule="auto" w:before="36"/>
        <w:ind w:right="-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59"/>
        <w:ind w:right="-12"/>
        <w:jc w:val="left"/>
      </w:pPr>
      <w:r>
        <w:rPr/>
        <w:t>主要子公司及对公司净利润影响达</w:t>
      </w:r>
      <w:r>
        <w:rPr>
          <w:spacing w:val="-5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pPr>
      <w:r>
        <w:rPr/>
        <w:pict>
          <v:shape style="position:absolute;margin-left:212.667679pt;margin-top:38.789688pt;width:60.9pt;height:84.9pt;mso-position-horizontal-relative:page;mso-position-vertical-relative:paragraph;z-index:-701200" type="#_x0000_t202" filled="false" stroked="false">
            <v:textbox inset="0,0,0,0">
              <w:txbxContent>
                <w:p>
                  <w:pPr>
                    <w:spacing w:line="240" w:lineRule="auto" w:before="13"/>
                    <w:rPr>
                      <w:rFonts w:ascii="宋体" w:hAnsi="宋体" w:cs="宋体" w:eastAsia="宋体" w:hint="default"/>
                      <w:sz w:val="25"/>
                      <w:szCs w:val="25"/>
                    </w:rPr>
                  </w:pPr>
                </w:p>
                <w:p>
                  <w:pPr>
                    <w:pStyle w:val="BodyText"/>
                    <w:spacing w:line="240" w:lineRule="auto"/>
                    <w:ind w:left="0" w:right="0"/>
                    <w:jc w:val="left"/>
                  </w:pPr>
                  <w:r>
                    <w:rPr>
                      <w:w w:val="100"/>
                    </w:rPr>
                    <w:t>；</w:t>
                  </w:r>
                </w:p>
                <w:p>
                  <w:pPr>
                    <w:pStyle w:val="BodyText"/>
                    <w:spacing w:line="240" w:lineRule="auto" w:before="37"/>
                    <w:ind w:left="0" w:right="0"/>
                    <w:jc w:val="left"/>
                  </w:pPr>
                  <w:r>
                    <w:rPr>
                      <w:w w:val="100"/>
                    </w:rPr>
                    <w:t>、</w:t>
                  </w:r>
                </w:p>
                <w:p>
                  <w:pPr>
                    <w:pStyle w:val="BodyText"/>
                    <w:spacing w:line="240" w:lineRule="auto" w:before="37"/>
                    <w:ind w:left="0" w:right="0"/>
                    <w:jc w:val="left"/>
                  </w:pPr>
                  <w:r>
                    <w:rPr>
                      <w:w w:val="100"/>
                    </w:rPr>
                    <w:t>；</w:t>
                  </w:r>
                </w:p>
              </w:txbxContent>
            </v:textbox>
            <w10:wrap type="none"/>
          </v:shape>
        </w:pict>
      </w:r>
      <w:r>
        <w:rPr/>
        <w:t>单位：元</w:t>
      </w:r>
    </w:p>
    <w:p>
      <w:pPr>
        <w:spacing w:after="0" w:line="240" w:lineRule="auto"/>
        <w:jc w:val="left"/>
        <w:sectPr>
          <w:type w:val="continuous"/>
          <w:pgSz w:w="11910" w:h="16840"/>
          <w:pgMar w:top="1060" w:bottom="1160" w:left="980" w:right="980"/>
          <w:cols w:num="2" w:equalWidth="0">
            <w:col w:w="5636" w:space="3164"/>
            <w:col w:w="1150"/>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379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73" w:lineRule="auto"/>
              <w:ind w:left="24" w:right="175"/>
              <w:jc w:val="both"/>
              <w:rPr>
                <w:rFonts w:ascii="宋体" w:hAnsi="宋体" w:cs="宋体" w:eastAsia="宋体" w:hint="default"/>
                <w:sz w:val="21"/>
                <w:szCs w:val="21"/>
              </w:rPr>
            </w:pPr>
            <w:r>
              <w:rPr>
                <w:rFonts w:ascii="宋体" w:hAnsi="宋体" w:cs="宋体" w:eastAsia="宋体" w:hint="default"/>
                <w:sz w:val="21"/>
                <w:szCs w:val="21"/>
              </w:rPr>
              <w:t>北京万向</w:t>
            </w:r>
            <w:r>
              <w:rPr>
                <w:rFonts w:ascii="宋体" w:hAnsi="宋体" w:cs="宋体" w:eastAsia="宋体" w:hint="default"/>
                <w:w w:val="100"/>
                <w:sz w:val="21"/>
                <w:szCs w:val="21"/>
              </w:rPr>
              <w:t> </w:t>
            </w:r>
            <w:r>
              <w:rPr>
                <w:rFonts w:ascii="宋体" w:hAnsi="宋体" w:cs="宋体" w:eastAsia="宋体" w:hint="default"/>
                <w:sz w:val="21"/>
                <w:szCs w:val="21"/>
              </w:rPr>
              <w:t>新元工程</w:t>
            </w:r>
            <w:r>
              <w:rPr>
                <w:rFonts w:ascii="宋体" w:hAnsi="宋体" w:cs="宋体" w:eastAsia="宋体" w:hint="default"/>
                <w:w w:val="100"/>
                <w:sz w:val="21"/>
                <w:szCs w:val="21"/>
              </w:rPr>
              <w:t> </w:t>
            </w: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建设工程</w:t>
            </w:r>
            <w:r>
              <w:rPr>
                <w:rFonts w:ascii="宋体" w:hAnsi="宋体" w:cs="宋体" w:eastAsia="宋体" w:hint="default"/>
                <w:w w:val="100"/>
                <w:sz w:val="21"/>
                <w:szCs w:val="21"/>
              </w:rPr>
              <w:t> </w:t>
            </w:r>
            <w:r>
              <w:rPr>
                <w:rFonts w:ascii="宋体" w:hAnsi="宋体" w:cs="宋体" w:eastAsia="宋体" w:hint="default"/>
                <w:sz w:val="21"/>
                <w:szCs w:val="21"/>
              </w:rPr>
              <w:t>项目管理</w:t>
            </w:r>
            <w:r>
              <w:rPr>
                <w:rFonts w:ascii="宋体" w:hAnsi="宋体" w:cs="宋体" w:eastAsia="宋体" w:hint="default"/>
                <w:w w:val="100"/>
                <w:sz w:val="21"/>
                <w:szCs w:val="21"/>
              </w:rPr>
              <w:t> </w:t>
            </w:r>
            <w:r>
              <w:rPr>
                <w:rFonts w:ascii="宋体" w:hAnsi="宋体" w:cs="宋体" w:eastAsia="宋体" w:hint="default"/>
                <w:sz w:val="21"/>
                <w:szCs w:val="21"/>
              </w:rPr>
              <w:t>技术开发</w:t>
            </w:r>
            <w:r>
              <w:rPr>
                <w:rFonts w:ascii="宋体" w:hAnsi="宋体" w:cs="宋体" w:eastAsia="宋体" w:hint="default"/>
                <w:w w:val="100"/>
                <w:sz w:val="21"/>
                <w:szCs w:val="21"/>
              </w:rPr>
              <w:t> </w:t>
            </w:r>
            <w:r>
              <w:rPr>
                <w:rFonts w:ascii="宋体" w:hAnsi="宋体" w:cs="宋体" w:eastAsia="宋体" w:hint="default"/>
                <w:sz w:val="21"/>
                <w:szCs w:val="21"/>
              </w:rPr>
              <w:t>技术推广</w:t>
            </w:r>
            <w:r>
              <w:rPr>
                <w:rFonts w:ascii="宋体" w:hAnsi="宋体" w:cs="宋体" w:eastAsia="宋体" w:hint="default"/>
                <w:w w:val="100"/>
                <w:sz w:val="21"/>
                <w:szCs w:val="21"/>
              </w:rPr>
              <w:t> </w:t>
            </w:r>
            <w:r>
              <w:rPr>
                <w:rFonts w:ascii="宋体" w:hAnsi="宋体" w:cs="宋体" w:eastAsia="宋体" w:hint="default"/>
                <w:sz w:val="21"/>
                <w:szCs w:val="21"/>
              </w:rPr>
              <w:t>货物进出</w:t>
            </w:r>
            <w:r>
              <w:rPr>
                <w:rFonts w:ascii="宋体" w:hAnsi="宋体" w:cs="宋体" w:eastAsia="宋体" w:hint="default"/>
                <w:w w:val="100"/>
                <w:sz w:val="21"/>
                <w:szCs w:val="21"/>
              </w:rPr>
              <w:t> </w:t>
            </w:r>
            <w:r>
              <w:rPr>
                <w:rFonts w:ascii="宋体" w:hAnsi="宋体" w:cs="宋体" w:eastAsia="宋体" w:hint="default"/>
                <w:spacing w:val="-14"/>
                <w:sz w:val="21"/>
                <w:szCs w:val="21"/>
              </w:rPr>
              <w:t>口、技术进</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4"/>
                <w:sz w:val="21"/>
                <w:szCs w:val="21"/>
              </w:rPr>
              <w:t>出口；计算</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机系统服</w:t>
            </w:r>
            <w:r>
              <w:rPr>
                <w:rFonts w:ascii="宋体" w:hAnsi="宋体" w:cs="宋体" w:eastAsia="宋体" w:hint="default"/>
                <w:w w:val="100"/>
                <w:sz w:val="21"/>
                <w:szCs w:val="21"/>
              </w:rPr>
              <w:t> </w:t>
            </w:r>
            <w:r>
              <w:rPr>
                <w:rFonts w:ascii="宋体" w:hAnsi="宋体" w:cs="宋体" w:eastAsia="宋体" w:hint="default"/>
                <w:spacing w:val="-14"/>
                <w:sz w:val="21"/>
                <w:szCs w:val="21"/>
              </w:rPr>
              <w:t>务；销售机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4"/>
                <w:sz w:val="21"/>
                <w:szCs w:val="21"/>
              </w:rPr>
              <w:t>械设备、计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4"/>
                <w:sz w:val="21"/>
                <w:szCs w:val="21"/>
              </w:rPr>
              <w:t>算机、软件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及辅助设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697" w:lineRule="exact"/>
              <w:ind w:right="-53"/>
              <w:jc w:val="left"/>
              <w:rPr>
                <w:rFonts w:ascii="宋体" w:hAnsi="宋体" w:cs="宋体" w:eastAsia="宋体" w:hint="default"/>
                <w:sz w:val="20"/>
                <w:szCs w:val="20"/>
              </w:rPr>
            </w:pPr>
            <w:r>
              <w:rPr>
                <w:rFonts w:ascii="宋体" w:hAnsi="宋体" w:cs="宋体" w:eastAsia="宋体" w:hint="default"/>
                <w:position w:val="-33"/>
                <w:sz w:val="20"/>
                <w:szCs w:val="20"/>
              </w:rPr>
              <w:pict>
                <v:group style="width:51.85pt;height:84.9pt;mso-position-horizontal-relative:char;mso-position-vertical-relative:line" coordorigin="0,0" coordsize="1037,1698">
                  <v:group style="position:absolute;left:0;top:0;width:1037;height:1698" coordorigin="0,0" coordsize="1037,1698">
                    <v:shape style="position:absolute;left:0;top:0;width:1037;height:1698" coordorigin="0,0" coordsize="1037,1698" path="m0,1697l1037,1697,1037,0,0,0,0,1697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39,346,566</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.31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24,022,203</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47,083,404</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6,218,197.</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5,565,578.</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57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0"/>
        <w:jc w:val="both"/>
      </w:pPr>
      <w:r>
        <w:rPr/>
        <w:t>报告期内取得和处置子公司的情况</w:t>
      </w:r>
    </w:p>
    <w:p>
      <w:pPr>
        <w:pStyle w:val="BodyText"/>
        <w:spacing w:line="290" w:lineRule="auto" w:before="75"/>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主要控股参股公司情况说明</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r>
        <w:rPr/>
        <w:t>八、公司控制的结构化主体情况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0"/>
        <w:jc w:val="both"/>
        <w:rPr>
          <w:b w:val="0"/>
          <w:bCs w:val="0"/>
        </w:rPr>
      </w:pP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46" w:firstLine="420"/>
        <w:jc w:val="both"/>
      </w:pPr>
      <w:r>
        <w:rPr>
          <w:spacing w:val="-2"/>
        </w:rPr>
        <w:t>近几年，随着汽车工业的迅速发展和国家基础建设的巨大投入，轮胎橡胶行业发展迅猛，市场需求快</w:t>
      </w:r>
      <w:r>
        <w:rPr>
          <w:w w:val="100"/>
        </w:rPr>
        <w:t> </w:t>
      </w:r>
      <w:r>
        <w:rPr>
          <w:spacing w:val="-2"/>
        </w:rPr>
        <w:t>速增长。由于公司拥有丰富的人才资源、技术资源、市场资源，只要能抓住机遇，发展前景非常广阔。技</w:t>
      </w:r>
      <w:r>
        <w:rPr>
          <w:spacing w:val="-45"/>
        </w:rPr>
        <w:t> </w:t>
      </w:r>
      <w:r>
        <w:rPr>
          <w:spacing w:val="-45"/>
        </w:rPr>
      </w:r>
      <w:r>
        <w:rPr/>
        <w:t>术水平在国内、外均属于领先地位，市场潜力巨大，设备和技术成熟，具有很好的发展前景。</w:t>
      </w:r>
    </w:p>
    <w:p>
      <w:pPr>
        <w:pStyle w:val="BodyText"/>
        <w:spacing w:line="432" w:lineRule="exact" w:before="27"/>
        <w:ind w:left="573" w:right="153"/>
        <w:jc w:val="left"/>
      </w:pPr>
      <w:r>
        <w:rPr>
          <w:rFonts w:ascii="宋体" w:hAnsi="宋体" w:cs="宋体" w:eastAsia="宋体" w:hint="default"/>
        </w:rPr>
        <w:t>1.</w:t>
      </w:r>
      <w:r>
        <w:rPr/>
        <w:t>发展战略</w:t>
      </w:r>
      <w:r>
        <w:rPr>
          <w:spacing w:val="-102"/>
        </w:rPr>
        <w:t> </w:t>
      </w:r>
      <w:r>
        <w:rPr>
          <w:spacing w:val="-102"/>
        </w:rPr>
      </w:r>
      <w:r>
        <w:rPr>
          <w:spacing w:val="-2"/>
        </w:rPr>
        <w:t>根据客户资源的分布情况，公司规划在未来以北京总部为中心，建立天津、安徽生产、研发、服务体</w:t>
      </w:r>
    </w:p>
    <w:p>
      <w:pPr>
        <w:pStyle w:val="BodyText"/>
        <w:spacing w:line="255" w:lineRule="exact"/>
        <w:ind w:right="0"/>
        <w:jc w:val="both"/>
      </w:pPr>
      <w:r>
        <w:rPr/>
        <w:t>系，以满足市场快速发展的需要，也将大大缩短工厂与华东、华南、中、西部客户之间的距离，解决业务</w:t>
      </w:r>
    </w:p>
    <w:p>
      <w:pPr>
        <w:pStyle w:val="BodyText"/>
        <w:spacing w:line="273" w:lineRule="auto" w:before="37"/>
        <w:ind w:right="146"/>
        <w:jc w:val="both"/>
      </w:pPr>
      <w:r>
        <w:rPr>
          <w:spacing w:val="-2"/>
        </w:rPr>
        <w:t>的地域均衡性、打造快捷服务体系，推动企业的快速发展和提高加工实力。公司抓住市场需求和技术储备</w:t>
      </w:r>
      <w:r>
        <w:rPr>
          <w:spacing w:val="-44"/>
        </w:rPr>
        <w:t> </w:t>
      </w:r>
      <w:r>
        <w:rPr>
          <w:spacing w:val="-44"/>
        </w:rPr>
      </w:r>
      <w:r>
        <w:rPr>
          <w:spacing w:val="-2"/>
        </w:rPr>
        <w:t>带来的发展机遇，做好技术研发和市场推广工作，在提高自身主业核心竞争力的同时，对行业的技术发展</w:t>
      </w:r>
      <w:r>
        <w:rPr>
          <w:spacing w:val="-44"/>
        </w:rPr>
        <w:t> </w:t>
      </w:r>
      <w:r>
        <w:rPr>
          <w:spacing w:val="-44"/>
        </w:rPr>
      </w:r>
      <w:r>
        <w:rPr/>
        <w:t>做出了贡献。在今后的五年内，公司有着明确的目标和发展计划：</w:t>
      </w:r>
    </w:p>
    <w:p>
      <w:pPr>
        <w:pStyle w:val="BodyText"/>
        <w:spacing w:line="273" w:lineRule="auto" w:before="127"/>
        <w:ind w:right="151" w:firstLine="420"/>
        <w:jc w:val="both"/>
      </w:pPr>
      <w:r>
        <w:rPr>
          <w:spacing w:val="-3"/>
        </w:rPr>
        <w:t>①继续引进优秀人才，充实研发队伍，大力加强对研发中心建设的投入，根据技术划分，分别成立三</w:t>
      </w:r>
      <w:r>
        <w:rPr>
          <w:w w:val="100"/>
        </w:rPr>
        <w:t> </w:t>
      </w:r>
      <w:r>
        <w:rPr/>
        <w:t>个研发中心：配料技术应用研发中心、物联网及信息化研发中心、环保设备研发中心。</w:t>
      </w:r>
    </w:p>
    <w:p>
      <w:pPr>
        <w:pStyle w:val="BodyText"/>
        <w:spacing w:line="273" w:lineRule="auto" w:before="127"/>
        <w:ind w:right="146" w:firstLine="420"/>
        <w:jc w:val="both"/>
      </w:pPr>
      <w:r>
        <w:rPr>
          <w:spacing w:val="-2"/>
        </w:rPr>
        <w:t>②做好研究成果知识产权的申报工作，积极参与申报项目国家和行业标准的制定，做好新技术成果市</w:t>
      </w:r>
      <w:r>
        <w:rPr>
          <w:w w:val="100"/>
        </w:rPr>
        <w:t> </w:t>
      </w:r>
      <w:r>
        <w:rPr/>
        <w:t>场化工作。</w:t>
      </w:r>
    </w:p>
    <w:p>
      <w:pPr>
        <w:pStyle w:val="BodyText"/>
        <w:spacing w:line="240" w:lineRule="auto" w:before="127"/>
        <w:ind w:left="573" w:right="153"/>
        <w:jc w:val="left"/>
      </w:pPr>
      <w:r>
        <w:rPr/>
        <w:t>③实行品牌战略，做好产品推广和公司形象的打造。</w:t>
      </w:r>
    </w:p>
    <w:p>
      <w:pPr>
        <w:pStyle w:val="BodyText"/>
        <w:spacing w:line="376" w:lineRule="auto" w:before="157"/>
        <w:ind w:left="573" w:right="1704"/>
        <w:jc w:val="left"/>
      </w:pPr>
      <w:r>
        <w:rPr>
          <w:spacing w:val="-2"/>
        </w:rPr>
        <w:t>④通过资本市场和品牌战略，提升综合实力和影响力，实现公司集团化、国际化。</w:t>
      </w:r>
      <w:r>
        <w:rPr>
          <w:spacing w:val="-35"/>
        </w:rPr>
        <w:t> </w:t>
      </w:r>
      <w:r>
        <w:rPr>
          <w:spacing w:val="-35"/>
        </w:rPr>
      </w:r>
      <w:r>
        <w:rPr>
          <w:rFonts w:ascii="宋体" w:hAnsi="宋体" w:cs="宋体" w:eastAsia="宋体" w:hint="default"/>
        </w:rPr>
        <w:t>2.</w:t>
      </w:r>
      <w:r>
        <w:rPr/>
        <w:t>人力资源</w:t>
      </w:r>
    </w:p>
    <w:p>
      <w:pPr>
        <w:pStyle w:val="BodyText"/>
        <w:spacing w:line="273" w:lineRule="auto" w:before="37"/>
        <w:ind w:right="146" w:firstLine="420"/>
        <w:jc w:val="both"/>
      </w:pPr>
      <w:r>
        <w:rPr>
          <w:spacing w:val="-2"/>
        </w:rPr>
        <w:t>人才是企业发展的核心之源，为保证企业高效运作，更需要高端的管理人才实施有效的组织协调，因</w:t>
      </w:r>
      <w:r>
        <w:rPr>
          <w:w w:val="100"/>
        </w:rPr>
        <w:t> </w:t>
      </w:r>
      <w:r>
        <w:rPr>
          <w:spacing w:val="-2"/>
        </w:rPr>
        <w:t>此公司必须站在战略的高度，建立完善的人力资源选育、用留管理体系，为企业长期持续发展提供人才支</w:t>
      </w:r>
      <w:r>
        <w:rPr>
          <w:spacing w:val="-43"/>
        </w:rPr>
        <w:t> </w:t>
      </w:r>
      <w:r>
        <w:rPr>
          <w:spacing w:val="-43"/>
        </w:rPr>
      </w:r>
      <w:r>
        <w:rPr/>
        <w:t>撑。</w:t>
      </w:r>
    </w:p>
    <w:p>
      <w:pPr>
        <w:pStyle w:val="BodyText"/>
        <w:spacing w:line="273" w:lineRule="auto" w:before="127"/>
        <w:ind w:right="146" w:firstLine="420"/>
        <w:jc w:val="both"/>
      </w:pPr>
      <w:r>
        <w:rPr>
          <w:spacing w:val="-2"/>
        </w:rPr>
        <w:t>公司注重引进专业的管理人才和高端技术人才，导入新的管理思路和理念，促进内部经营管理水平不</w:t>
      </w:r>
      <w:r>
        <w:rPr>
          <w:w w:val="100"/>
        </w:rPr>
        <w:t> </w:t>
      </w:r>
      <w:r>
        <w:rPr>
          <w:spacing w:val="-2"/>
        </w:rPr>
        <w:t>断提升。通过接班人计划选拔建立管理梯队，考核岗位能力胜任，有效评价现有人员的能力和水平，为优</w:t>
      </w:r>
      <w:r>
        <w:rPr>
          <w:spacing w:val="-50"/>
        </w:rPr>
        <w:t> </w:t>
      </w:r>
      <w:r>
        <w:rPr>
          <w:spacing w:val="-50"/>
        </w:rPr>
      </w:r>
      <w:r>
        <w:rPr>
          <w:spacing w:val="-2"/>
        </w:rPr>
        <w:t>秀人才提供广阔的空间和舞台。根据人员需求，公司建立与多家人才中介机构及猎头公司的合作关系；根</w:t>
      </w:r>
      <w:r>
        <w:rPr>
          <w:spacing w:val="-44"/>
        </w:rPr>
        <w:t> </w:t>
      </w:r>
      <w:r>
        <w:rPr>
          <w:spacing w:val="-44"/>
        </w:rPr>
      </w:r>
      <w:r>
        <w:rPr>
          <w:spacing w:val="-2"/>
        </w:rPr>
        <w:t>据业务增长，不断引进人才充实到管理、技术、营销、服务等岗位，为公司持续快速发展提供不竭的源动</w:t>
      </w:r>
      <w:r>
        <w:rPr>
          <w:spacing w:val="-43"/>
        </w:rPr>
        <w:t> </w:t>
      </w:r>
      <w:r>
        <w:rPr>
          <w:spacing w:val="-43"/>
        </w:rPr>
      </w:r>
      <w:r>
        <w:rPr/>
        <w:t>力。</w:t>
      </w:r>
    </w:p>
    <w:p>
      <w:pPr>
        <w:pStyle w:val="BodyText"/>
        <w:spacing w:line="273" w:lineRule="auto" w:before="127"/>
        <w:ind w:right="146" w:firstLine="420"/>
        <w:jc w:val="both"/>
      </w:pPr>
      <w:r>
        <w:rPr>
          <w:spacing w:val="-3"/>
        </w:rPr>
        <w:t>其次，建立层级培训体系，多方位推进管理水平和业务技能提升。针对高层管理者开展外部培训，提</w:t>
      </w:r>
      <w:r>
        <w:rPr>
          <w:w w:val="100"/>
        </w:rPr>
        <w:t> </w:t>
      </w:r>
      <w:r>
        <w:rPr>
          <w:spacing w:val="-2"/>
        </w:rPr>
        <w:t>升战略决策能力。针对中层管理者开展内外部相结合的培训，提升综合管理能力。针对现场员工开展操作</w:t>
      </w:r>
      <w:r>
        <w:rPr>
          <w:spacing w:val="-45"/>
        </w:rPr>
        <w:t> </w:t>
      </w:r>
      <w:r>
        <w:rPr>
          <w:spacing w:val="-45"/>
        </w:rPr>
      </w:r>
      <w:r>
        <w:rPr/>
        <w:t>技能培训和技术竞赛，实现现场操作标准化作业。</w:t>
      </w:r>
    </w:p>
    <w:p>
      <w:pPr>
        <w:pStyle w:val="BodyText"/>
        <w:spacing w:line="273" w:lineRule="auto" w:before="127"/>
        <w:ind w:right="146" w:firstLine="420"/>
        <w:jc w:val="both"/>
      </w:pPr>
      <w:r>
        <w:rPr>
          <w:spacing w:val="-2"/>
        </w:rPr>
        <w:t>最后，完善绩效管理体系和薪酬体系，建立薪酬、绩效和经营业绩挂钩的动态薪酬体系，通过绩效管</w:t>
      </w:r>
      <w:r>
        <w:rPr>
          <w:w w:val="100"/>
        </w:rPr>
        <w:t> </w:t>
      </w:r>
      <w:r>
        <w:rPr>
          <w:spacing w:val="-2"/>
        </w:rPr>
        <w:t>理充分调动员工的主观能动性，并且建立晋升体系，结合员工个人职业生涯规划，使员工从管理和专业通</w:t>
      </w:r>
    </w:p>
    <w:p>
      <w:pPr>
        <w:spacing w:after="0" w:line="273"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道获得晋升。</w:t>
      </w:r>
    </w:p>
    <w:p>
      <w:pPr>
        <w:pStyle w:val="BodyText"/>
        <w:spacing w:line="430" w:lineRule="atLeast" w:before="2"/>
        <w:ind w:left="573" w:right="116"/>
        <w:jc w:val="left"/>
      </w:pPr>
      <w:r>
        <w:rPr>
          <w:rFonts w:ascii="宋体" w:hAnsi="宋体" w:cs="宋体" w:eastAsia="宋体" w:hint="default"/>
        </w:rPr>
        <w:t>3.</w:t>
      </w:r>
      <w:r>
        <w:rPr/>
        <w:t>企业文化</w:t>
      </w:r>
      <w:r>
        <w:rPr>
          <w:spacing w:val="-102"/>
        </w:rPr>
        <w:t> </w:t>
      </w:r>
      <w:r>
        <w:rPr>
          <w:spacing w:val="-102"/>
        </w:rPr>
      </w:r>
      <w:r>
        <w:rPr>
          <w:spacing w:val="-2"/>
        </w:rPr>
        <w:t>企业的文化建设是企业发展的催化剂，更是企业持续健康发展的基础。公司的核心价值观是“成为世</w:t>
      </w:r>
    </w:p>
    <w:p>
      <w:pPr>
        <w:pStyle w:val="BodyText"/>
        <w:spacing w:line="273" w:lineRule="auto" w:before="37"/>
        <w:ind w:right="187"/>
        <w:jc w:val="both"/>
      </w:pPr>
      <w:r>
        <w:rPr>
          <w:spacing w:val="-2"/>
        </w:rPr>
        <w:t>界级品牌企业”、“发展核心技术体系”、“员工是企业最大的财富”及“合作营造利益共同体”；管理</w:t>
      </w:r>
      <w:r>
        <w:rPr>
          <w:spacing w:val="-42"/>
        </w:rPr>
        <w:t> </w:t>
      </w:r>
      <w:r>
        <w:rPr>
          <w:spacing w:val="-42"/>
        </w:rPr>
      </w:r>
      <w:r>
        <w:rPr>
          <w:spacing w:val="-2"/>
        </w:rPr>
        <w:t>方针是“管理以制度为基，以人为本”；经营理念是“诚信合作”、“精益求精”、“多边共赢”及“共</w:t>
      </w:r>
      <w:r>
        <w:rPr>
          <w:spacing w:val="-46"/>
        </w:rPr>
        <w:t> </w:t>
      </w:r>
      <w:r>
        <w:rPr>
          <w:spacing w:val="-46"/>
        </w:rPr>
      </w:r>
      <w:r>
        <w:rPr>
          <w:spacing w:val="-2"/>
        </w:rPr>
        <w:t>荣共享”；执行力文化也是公司的重要文化之一：“注重承诺”、“责任心”及“强调以结果为导向”。</w:t>
      </w:r>
    </w:p>
    <w:p>
      <w:pPr>
        <w:pStyle w:val="BodyText"/>
        <w:spacing w:line="273" w:lineRule="auto" w:before="127"/>
        <w:ind w:right="116" w:firstLine="420"/>
        <w:jc w:val="left"/>
      </w:pPr>
      <w:r>
        <w:rPr>
          <w:spacing w:val="-5"/>
        </w:rPr>
        <w:t>未来将成立企业文化建设机构，分别从企业环境、价值观、标兵人物、仪式与典礼、礼仪、员工培训、</w:t>
      </w:r>
      <w:r>
        <w:rPr>
          <w:w w:val="100"/>
        </w:rPr>
        <w:t> </w:t>
      </w:r>
      <w:r>
        <w:rPr/>
        <w:t>规则制度、沟通方式等方面建设良好的企业文化。</w:t>
      </w:r>
    </w:p>
    <w:p>
      <w:pPr>
        <w:pStyle w:val="BodyText"/>
        <w:spacing w:line="240" w:lineRule="auto" w:before="127"/>
        <w:ind w:left="573" w:right="116"/>
        <w:jc w:val="left"/>
      </w:pPr>
      <w:r>
        <w:rPr>
          <w:rFonts w:ascii="宋体" w:hAnsi="宋体" w:cs="宋体" w:eastAsia="宋体" w:hint="default"/>
        </w:rPr>
        <w:t>4.</w:t>
      </w:r>
      <w:r>
        <w:rPr/>
        <w:t>风险应对</w:t>
      </w:r>
    </w:p>
    <w:p>
      <w:pPr>
        <w:pStyle w:val="BodyText"/>
        <w:spacing w:line="273" w:lineRule="auto" w:before="157"/>
        <w:ind w:right="116" w:firstLine="420"/>
        <w:jc w:val="left"/>
      </w:pPr>
      <w:r>
        <w:rPr/>
        <w:t>公司的主营业务为工业智能化输送配料系统及配套设施的研发、生产和销售，</w:t>
      </w:r>
      <w:r>
        <w:rPr>
          <w:spacing w:val="-3"/>
        </w:rPr>
        <w:t> </w:t>
      </w:r>
      <w:r>
        <w:rPr/>
        <w:t>是工业智能化应用的</w:t>
      </w:r>
      <w:r>
        <w:rPr>
          <w:w w:val="100"/>
        </w:rPr>
        <w:t> </w:t>
      </w:r>
      <w:r>
        <w:rPr>
          <w:spacing w:val="-2"/>
        </w:rPr>
        <w:t>重要组成部分，可满足工业生产过程中各种原材料的全程自动输送、贮存、称重配料与投料的工艺要求，</w:t>
      </w:r>
      <w:r>
        <w:rPr>
          <w:spacing w:val="-21"/>
        </w:rPr>
        <w:t> </w:t>
      </w:r>
      <w:r>
        <w:rPr>
          <w:spacing w:val="-21"/>
        </w:rPr>
      </w:r>
      <w:r>
        <w:rPr/>
        <w:t>在减轻劳动强度、提升劳动保护的同时可提升工业企业的经济效益与环境效益，</w:t>
      </w:r>
      <w:r>
        <w:rPr>
          <w:spacing w:val="-5"/>
        </w:rPr>
        <w:t> </w:t>
      </w:r>
      <w:r>
        <w:rPr/>
        <w:t>智能化输送配料系统可</w:t>
      </w:r>
      <w:r>
        <w:rPr>
          <w:w w:val="100"/>
        </w:rPr>
        <w:t> </w:t>
      </w:r>
      <w:r>
        <w:rPr/>
        <w:t>广泛应用于橡胶轮胎、电线电缆、石油化工、建材装饰等行业。</w:t>
      </w:r>
    </w:p>
    <w:p>
      <w:pPr>
        <w:pStyle w:val="BodyText"/>
        <w:spacing w:line="273" w:lineRule="auto" w:before="127"/>
        <w:ind w:right="184" w:firstLine="420"/>
        <w:jc w:val="both"/>
      </w:pPr>
      <w:r>
        <w:rPr>
          <w:spacing w:val="-2"/>
        </w:rPr>
        <w:t>面对激烈的市场竞争，公司将通过过硬的产品质量、专业化的服务树立品牌形象，增强客户稳定性；</w:t>
      </w:r>
      <w:r>
        <w:rPr>
          <w:w w:val="100"/>
        </w:rPr>
        <w:t> </w:t>
      </w:r>
      <w:r>
        <w:rPr>
          <w:spacing w:val="-2"/>
        </w:rPr>
        <w:t>加大研发投入，提高产品技术含量，增强公司的核心竞争力；不断跟踪新的应用需求，不断推出新技术产</w:t>
      </w:r>
      <w:r>
        <w:rPr>
          <w:spacing w:val="-49"/>
        </w:rPr>
        <w:t> </w:t>
      </w:r>
      <w:r>
        <w:rPr>
          <w:spacing w:val="-49"/>
        </w:rPr>
      </w:r>
      <w:r>
        <w:rPr>
          <w:spacing w:val="-2"/>
        </w:rPr>
        <w:t>品，使公司产品在上述细分市场领域中始终保持着领先的优势。另外，公司近年来加大了对环保、化工、</w:t>
      </w:r>
      <w:r>
        <w:rPr>
          <w:spacing w:val="-21"/>
        </w:rPr>
        <w:t> </w:t>
      </w:r>
      <w:r>
        <w:rPr>
          <w:spacing w:val="-21"/>
        </w:rPr>
      </w:r>
      <w:r>
        <w:rPr>
          <w:spacing w:val="-2"/>
        </w:rPr>
        <w:t>建材、新材料等其他行业客户的市场开拓力度，在保持业绩稳步增长的情况下，保持竞争优势，提高创新</w:t>
      </w:r>
      <w:r>
        <w:rPr>
          <w:spacing w:val="-47"/>
        </w:rPr>
        <w:t> </w:t>
      </w:r>
      <w:r>
        <w:rPr>
          <w:spacing w:val="-47"/>
        </w:rPr>
      </w:r>
      <w:r>
        <w:rPr/>
        <w:t>能力，努力将公司的业务发展得更加多元化。</w:t>
      </w:r>
    </w:p>
    <w:p>
      <w:pPr>
        <w:pStyle w:val="BodyText"/>
        <w:spacing w:line="273" w:lineRule="auto" w:before="127"/>
        <w:ind w:right="116" w:firstLine="420"/>
        <w:jc w:val="left"/>
      </w:pPr>
      <w:r>
        <w:rPr/>
        <w:t>公司本次股票发行募集资金将用于智能化输送配料系统建设项目的建设和补充公司生产经营业务营</w:t>
      </w:r>
      <w:r>
        <w:rPr>
          <w:w w:val="100"/>
        </w:rPr>
        <w:t> </w:t>
      </w:r>
      <w:r>
        <w:rPr>
          <w:spacing w:val="-5"/>
        </w:rPr>
        <w:t>运资金，募集资金项目已由相关研究设计单位进行了充分论证和系统规划，公司对该项目在工艺技术方案、</w:t>
      </w:r>
      <w:r>
        <w:rPr>
          <w:spacing w:val="-4"/>
        </w:rPr>
        <w:t> </w:t>
      </w:r>
      <w:r>
        <w:rPr>
          <w:spacing w:val="-4"/>
        </w:rPr>
      </w:r>
      <w:r>
        <w:rPr>
          <w:spacing w:val="-2"/>
        </w:rPr>
        <w:t>设备选型、工程方案等方面亦经过缜密分析，并获得了国家有关部门的立项批准。本次智能化输送配料系</w:t>
      </w:r>
      <w:r>
        <w:rPr>
          <w:spacing w:val="-44"/>
        </w:rPr>
        <w:t> </w:t>
      </w:r>
      <w:r>
        <w:rPr>
          <w:spacing w:val="-44"/>
        </w:rPr>
      </w:r>
      <w:r>
        <w:rPr/>
        <w:t>统建设项目是在公司原有产能基础上的扩大再生产，是对公司原有核心技术的承继和进一步提升。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ind w:right="0"/>
        <w:jc w:val="both"/>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3"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8" w:right="0"/>
              <w:jc w:val="left"/>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55"/>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日与特定对象沟</w:t>
            </w:r>
            <w:r>
              <w:rPr>
                <w:rFonts w:ascii="宋体" w:hAnsi="宋体" w:cs="宋体" w:eastAsia="宋体" w:hint="default"/>
                <w:w w:val="100"/>
                <w:sz w:val="21"/>
                <w:szCs w:val="21"/>
              </w:rPr>
              <w:t> </w:t>
            </w:r>
            <w:r>
              <w:rPr>
                <w:rFonts w:ascii="宋体" w:hAnsi="宋体" w:cs="宋体" w:eastAsia="宋体" w:hint="default"/>
                <w:sz w:val="21"/>
                <w:szCs w:val="21"/>
              </w:rPr>
              <w:t>通情况 ，披露日期：</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pacing w:val="-10"/>
                <w:w w:val="10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日，披露网站：巨潮资讯网</w:t>
            </w:r>
          </w:p>
          <w:p>
            <w:pPr>
              <w:pStyle w:val="TableParagraph"/>
              <w:spacing w:line="240" w:lineRule="auto" w:before="5"/>
              <w:ind w:left="2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www.cninfo.com.cn)</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9"/>
              <w:ind w:left="23" w:right="15"/>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日特定对象沟通</w:t>
            </w:r>
            <w:r>
              <w:rPr>
                <w:rFonts w:ascii="宋体" w:hAnsi="宋体" w:cs="宋体" w:eastAsia="宋体" w:hint="default"/>
                <w:w w:val="100"/>
                <w:sz w:val="21"/>
                <w:szCs w:val="21"/>
              </w:rPr>
              <w:t> </w:t>
            </w:r>
            <w:r>
              <w:rPr>
                <w:rFonts w:ascii="宋体" w:hAnsi="宋体" w:cs="宋体" w:eastAsia="宋体" w:hint="default"/>
                <w:sz w:val="21"/>
                <w:szCs w:val="21"/>
              </w:rPr>
              <w:t>情况</w:t>
            </w:r>
            <w:r>
              <w:rPr>
                <w:rFonts w:ascii="宋体" w:hAnsi="宋体" w:cs="宋体" w:eastAsia="宋体" w:hint="default"/>
                <w:spacing w:val="-1"/>
                <w:sz w:val="21"/>
                <w:szCs w:val="21"/>
              </w:rPr>
              <w:t> </w:t>
            </w:r>
            <w:r>
              <w:rPr>
                <w:rFonts w:ascii="宋体" w:hAnsi="宋体" w:cs="宋体" w:eastAsia="宋体" w:hint="default"/>
                <w:sz w:val="21"/>
                <w:szCs w:val="21"/>
              </w:rPr>
              <w:t>，披露日期：</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日，披露网站：巨潮资讯网</w:t>
            </w:r>
          </w:p>
          <w:p>
            <w:pPr>
              <w:pStyle w:val="TableParagraph"/>
              <w:spacing w:line="240" w:lineRule="auto" w:before="5"/>
              <w:ind w:left="2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www.cninfo.com.cn)</w:t>
            </w:r>
          </w:p>
        </w:tc>
      </w:tr>
      <w:tr>
        <w:trPr>
          <w:trHeight w:val="67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日与特定对象沟</w:t>
            </w:r>
            <w:r>
              <w:rPr>
                <w:rFonts w:ascii="宋体" w:hAnsi="宋体" w:cs="宋体" w:eastAsia="宋体" w:hint="default"/>
                <w:w w:val="100"/>
                <w:sz w:val="21"/>
                <w:szCs w:val="21"/>
              </w:rPr>
              <w:t> </w:t>
            </w:r>
            <w:r>
              <w:rPr>
                <w:rFonts w:ascii="宋体" w:hAnsi="宋体" w:cs="宋体" w:eastAsia="宋体" w:hint="default"/>
                <w:sz w:val="21"/>
                <w:szCs w:val="21"/>
              </w:rPr>
              <w:t>通情况 ，披露日期：</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tc>
      </w:tr>
    </w:tbl>
    <w:p>
      <w:pPr>
        <w:spacing w:after="0" w:line="256" w:lineRule="auto"/>
        <w:jc w:val="left"/>
        <w:rPr>
          <w:rFonts w:ascii="Times New Roman" w:hAnsi="Times New Roman" w:cs="Times New Roman" w:eastAsia="Times New Roman" w:hint="default"/>
          <w:sz w:val="21"/>
          <w:szCs w:val="21"/>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675"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8"/>
                <w:sz w:val="21"/>
                <w:szCs w:val="21"/>
              </w:rPr>
              <w:t> </w:t>
            </w:r>
            <w:r>
              <w:rPr>
                <w:rFonts w:ascii="宋体" w:hAnsi="宋体" w:cs="宋体" w:eastAsia="宋体" w:hint="default"/>
                <w:spacing w:val="-7"/>
                <w:sz w:val="21"/>
                <w:szCs w:val="21"/>
              </w:rPr>
              <w:t>日，披露网站：巨潮资讯网</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www.cninfo.com.cn)</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5"/>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日与特定对象沟</w:t>
            </w:r>
            <w:r>
              <w:rPr>
                <w:rFonts w:ascii="宋体" w:hAnsi="宋体" w:cs="宋体" w:eastAsia="宋体" w:hint="default"/>
                <w:w w:val="100"/>
                <w:sz w:val="21"/>
                <w:szCs w:val="21"/>
              </w:rPr>
              <w:t> </w:t>
            </w:r>
            <w:r>
              <w:rPr>
                <w:rFonts w:ascii="宋体" w:hAnsi="宋体" w:cs="宋体" w:eastAsia="宋体" w:hint="default"/>
                <w:sz w:val="21"/>
                <w:szCs w:val="21"/>
              </w:rPr>
              <w:t>通情况 ，披露日期：</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8"/>
                <w:sz w:val="21"/>
                <w:szCs w:val="21"/>
              </w:rPr>
              <w:t> </w:t>
            </w:r>
            <w:r>
              <w:rPr>
                <w:rFonts w:ascii="宋体" w:hAnsi="宋体" w:cs="宋体" w:eastAsia="宋体" w:hint="default"/>
                <w:spacing w:val="-7"/>
                <w:sz w:val="21"/>
                <w:szCs w:val="21"/>
              </w:rPr>
              <w:t>日，披露网站：巨潮资讯网</w:t>
            </w:r>
          </w:p>
          <w:p>
            <w:pPr>
              <w:pStyle w:val="TableParagraph"/>
              <w:spacing w:line="240" w:lineRule="auto" w:before="5"/>
              <w:ind w:left="2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www.cninfo.com.cn)</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3"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8" w:right="0"/>
              <w:jc w:val="left"/>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2016.2.17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特定对象来访记录</w:t>
            </w:r>
          </w:p>
          <w:p>
            <w:pPr>
              <w:pStyle w:val="TableParagraph"/>
              <w:tabs>
                <w:tab w:pos="443" w:val="left" w:leader="none"/>
              </w:tabs>
              <w:spacing w:line="240" w:lineRule="auto" w:before="22"/>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表</w:t>
              <w:tab/>
            </w:r>
            <w:r>
              <w:rPr>
                <w:rFonts w:ascii="宋体" w:hAnsi="宋体" w:cs="宋体" w:eastAsia="宋体" w:hint="default"/>
                <w:spacing w:val="-8"/>
                <w:sz w:val="21"/>
                <w:szCs w:val="21"/>
              </w:rPr>
              <w:t>，披露日期：</w:t>
            </w:r>
            <w:r>
              <w:rPr>
                <w:rFonts w:ascii="Times New Roman" w:hAnsi="Times New Roman" w:cs="Times New Roman" w:eastAsia="Times New Roman" w:hint="default"/>
                <w:spacing w:val="-8"/>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日，披露网站：巨潮资讯网</w:t>
            </w:r>
          </w:p>
          <w:p>
            <w:pPr>
              <w:pStyle w:val="TableParagraph"/>
              <w:spacing w:line="240" w:lineRule="auto" w:before="37"/>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www.cninfo.com.cn)</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420"/>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t>一、公司普通股利润分配及资本公积金转增股本情况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53"/>
        <w:jc w:val="left"/>
      </w:pPr>
      <w:r>
        <w:rPr/>
        <w:t>报告期内普通股利润分配政策，特别是现金分红政策的制定、执行或调整情况</w:t>
      </w:r>
    </w:p>
    <w:p>
      <w:pPr>
        <w:pStyle w:val="BodyText"/>
        <w:spacing w:line="240" w:lineRule="auto" w:before="78"/>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56" w:lineRule="auto" w:before="59"/>
        <w:ind w:right="168" w:firstLine="588"/>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日，公司董事会审议通过了如下分配预案：以截至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66,670,000</w:t>
      </w:r>
      <w:r>
        <w:rPr>
          <w:spacing w:val="-2"/>
        </w:rPr>
        <w:t>股</w:t>
      </w:r>
      <w:r>
        <w:rPr>
          <w:w w:val="100"/>
        </w:rPr>
        <w:t> </w:t>
      </w:r>
      <w:r>
        <w:rPr/>
        <w:t>为基数，向全体股东每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股派发现金红利</w:t>
      </w:r>
      <w:r>
        <w:rPr>
          <w:rFonts w:ascii="Times New Roman" w:hAnsi="Times New Roman" w:cs="Times New Roman" w:eastAsia="Times New Roman" w:hint="default"/>
        </w:rPr>
        <w:t>0.8</w:t>
      </w:r>
      <w:r>
        <w:rPr/>
        <w:t>元（含税）；同时以资本公积向全体股东每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r>
        <w:rPr>
          <w:spacing w:val="-3"/>
          <w:w w:val="100"/>
        </w:rPr>
        <w:t> </w:t>
      </w:r>
      <w:r>
        <w:rPr>
          <w:spacing w:val="-2"/>
        </w:rPr>
        <w:t>合计转增股本</w:t>
      </w:r>
      <w:r>
        <w:rPr>
          <w:rFonts w:ascii="Times New Roman" w:hAnsi="Times New Roman" w:cs="Times New Roman" w:eastAsia="Times New Roman" w:hint="default"/>
          <w:spacing w:val="-2"/>
        </w:rPr>
        <w:t>33,335,000</w:t>
      </w:r>
      <w:r>
        <w:rPr>
          <w:spacing w:val="-2"/>
        </w:rPr>
        <w:t>股，转增后总股本增加至</w:t>
      </w:r>
      <w:r>
        <w:rPr>
          <w:rFonts w:ascii="Times New Roman" w:hAnsi="Times New Roman" w:cs="Times New Roman" w:eastAsia="Times New Roman" w:hint="default"/>
          <w:spacing w:val="-2"/>
        </w:rPr>
        <w:t>100,005,000</w:t>
      </w:r>
      <w:r>
        <w:rPr>
          <w:spacing w:val="-2"/>
        </w:rPr>
        <w:t>股。剩余未分配利润滚存至以后年度分配。</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7"/>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left="27"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27"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27"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
              <w:jc w:val="left"/>
              <w:rPr>
                <w:rFonts w:ascii="宋体" w:hAnsi="宋体" w:cs="宋体" w:eastAsia="宋体" w:hint="default"/>
                <w:sz w:val="21"/>
                <w:szCs w:val="21"/>
              </w:rPr>
            </w:pPr>
            <w:r>
              <w:rPr>
                <w:rFonts w:ascii="宋体" w:hAnsi="宋体" w:cs="宋体" w:eastAsia="宋体" w:hint="default"/>
                <w:spacing w:val="-6"/>
                <w:w w:val="100"/>
                <w:sz w:val="21"/>
                <w:szCs w:val="21"/>
              </w:rPr>
              <w:t>中小股东是否有充分表达意见和诉求的机会，其合法</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权益是否得到了充分保护：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 w:right="4"/>
              <w:jc w:val="left"/>
              <w:rPr>
                <w:rFonts w:ascii="宋体" w:hAnsi="宋体" w:cs="宋体" w:eastAsia="宋体" w:hint="default"/>
                <w:sz w:val="21"/>
                <w:szCs w:val="21"/>
              </w:rPr>
            </w:pPr>
            <w:r>
              <w:rPr>
                <w:rFonts w:ascii="宋体" w:hAnsi="宋体" w:cs="宋体" w:eastAsia="宋体" w:hint="default"/>
                <w:spacing w:val="-6"/>
                <w:w w:val="100"/>
                <w:sz w:val="21"/>
                <w:szCs w:val="21"/>
              </w:rPr>
              <w:t>现金分红政策进行调整或变更的，条件及程序是否合</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规、透明：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40" w:lineRule="auto" w:before="47"/>
        <w:ind w:right="153"/>
        <w:jc w:val="left"/>
      </w:pPr>
      <w:r>
        <w:rPr/>
        <w:t>公司报告期利润分配预案及资本公积金转增股本预案与公司章程和分红管理办法等的相关规定一致</w:t>
      </w:r>
    </w:p>
    <w:p>
      <w:pPr>
        <w:pStyle w:val="BodyText"/>
        <w:spacing w:line="300" w:lineRule="auto" w:before="75"/>
        <w:ind w:right="17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spacing w:val="-101"/>
        </w:rPr>
        <w:t> </w:t>
      </w:r>
      <w:r>
        <w:rPr>
          <w:spacing w:val="-101"/>
        </w:rPr>
      </w:r>
      <w:r>
        <w:rPr>
          <w:spacing w:val="-2"/>
        </w:rPr>
        <w:t>公司报告期利润分配预案及资本公积金转增股本预案符合公司章程等的相关规定。</w:t>
      </w:r>
      <w:r>
        <w:rPr>
          <w:spacing w:val="-35"/>
        </w:rPr>
        <w:t> </w:t>
      </w:r>
      <w:r>
        <w:rPr>
          <w:spacing w:val="-35"/>
        </w:rPr>
      </w:r>
      <w:r>
        <w:rPr/>
        <w:t>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36"/>
        <w:ind w:left="0" w:right="139"/>
        <w:jc w:val="right"/>
      </w:pPr>
      <w:r>
        <w:rPr/>
        <w:pict>
          <v:shape style="position:absolute;margin-left:56.400002pt;margin-top:-234.362335pt;width:479.3pt;height:268.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3"/>
                  </w:tblGrid>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spacing w:val="-1"/>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0.8</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100"/>
                            <w:sz w:val="21"/>
                          </w:rPr>
                          <w:t>5</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66,670,000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5,333,600.00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111,678,314.47</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6"/>
                          <w:jc w:val="right"/>
                          <w:rPr>
                            <w:rFonts w:ascii="Times New Roman" w:hAnsi="Times New Roman" w:cs="Times New Roman" w:eastAsia="Times New Roman" w:hint="default"/>
                            <w:sz w:val="21"/>
                            <w:szCs w:val="21"/>
                          </w:rPr>
                        </w:pPr>
                        <w:r>
                          <w:rPr>
                            <w:rFonts w:ascii="Times New Roman"/>
                            <w:sz w:val="21"/>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0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133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一、</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年度利润分配方案</w:t>
                        </w:r>
                      </w:p>
                      <w:p>
                        <w:pPr>
                          <w:pStyle w:val="TableParagraph"/>
                          <w:spacing w:line="240" w:lineRule="auto" w:before="59"/>
                          <w:ind w:left="458" w:right="0"/>
                          <w:jc w:val="left"/>
                          <w:rPr>
                            <w:rFonts w:ascii="宋体" w:hAnsi="宋体" w:cs="宋体" w:eastAsia="宋体" w:hint="default"/>
                            <w:sz w:val="21"/>
                            <w:szCs w:val="21"/>
                          </w:rPr>
                        </w:pPr>
                        <w:r>
                          <w:rPr>
                            <w:rFonts w:ascii="宋体" w:hAnsi="宋体" w:cs="宋体" w:eastAsia="宋体" w:hint="default"/>
                            <w:spacing w:val="-4"/>
                            <w:sz w:val="21"/>
                            <w:szCs w:val="21"/>
                          </w:rPr>
                          <w:t>经华普天健会计师事务所（特殊普通合伙）审计确认，公司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年度实现归属于母公司股东的净利</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润为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25,228,234.56</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元，根据《公司章程》规定，按照净利润的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2,522,823.46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日，公司累计未分配利润为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111,678,314.47</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元。鉴于公司目前经营情况良好，为了</w:t>
                        </w:r>
                      </w:p>
                    </w:tc>
                  </w:tr>
                </w:tbl>
                <w:p>
                  <w:pPr/>
                </w:p>
              </w:txbxContent>
            </v:textbox>
            <w10:wrap type="none"/>
          </v:shape>
        </w:pict>
      </w:r>
      <w:r>
        <w:rPr>
          <w:w w:val="100"/>
        </w:rPr>
        <w:t>；</w:t>
      </w:r>
    </w:p>
    <w:p>
      <w:pPr>
        <w:spacing w:after="0" w:line="240" w:lineRule="auto"/>
        <w:jc w:val="right"/>
        <w:sectPr>
          <w:pgSz w:w="11910" w:h="16840"/>
          <w:pgMar w:header="745" w:footer="980" w:top="1060" w:bottom="1160" w:left="980" w:right="980"/>
        </w:sectPr>
      </w:pPr>
    </w:p>
    <w:p>
      <w:pPr>
        <w:spacing w:line="240" w:lineRule="auto" w:before="7"/>
        <w:rPr>
          <w:rFonts w:ascii="宋体" w:hAnsi="宋体" w:cs="宋体" w:eastAsia="宋体" w:hint="default"/>
          <w:sz w:val="25"/>
          <w:szCs w:val="25"/>
        </w:rPr>
      </w:pPr>
    </w:p>
    <w:p>
      <w:pPr>
        <w:pStyle w:val="BodyText"/>
        <w:spacing w:line="268" w:lineRule="auto" w:before="36"/>
        <w:ind w:left="181" w:right="307"/>
        <w:jc w:val="both"/>
        <w:rPr>
          <w:rFonts w:ascii="Times New Roman" w:hAnsi="Times New Roman" w:cs="Times New Roman" w:eastAsia="Times New Roman" w:hint="default"/>
        </w:rPr>
      </w:pPr>
      <w:r>
        <w:rPr/>
        <w:pict>
          <v:group style="position:absolute;margin-left:56.400002pt;margin-top:1.70366pt;width:479.05pt;height:476pt;mso-position-horizontal-relative:page;mso-position-vertical-relative:paragraph;z-index:-701152" coordorigin="1128,34" coordsize="9581,9520">
            <v:group style="position:absolute;left:1138;top:44;width:9562;height:2" coordorigin="1138,44" coordsize="9562,2">
              <v:shape style="position:absolute;left:1138;top:44;width:9562;height:2" coordorigin="1138,44" coordsize="9562,0" path="m1138,44l10699,44e" filled="false" stroked="true" strokeweight=".48pt" strokecolor="#000000">
                <v:path arrowok="t"/>
              </v:shape>
            </v:group>
            <v:group style="position:absolute;left:1133;top:39;width:2;height:9511" coordorigin="1133,39" coordsize="2,9511">
              <v:shape style="position:absolute;left:1133;top:39;width:2;height:9511" coordorigin="1133,39" coordsize="0,9511" path="m1133,39l1133,9549e" filled="false" stroked="true" strokeweight=".48pt" strokecolor="#000000">
                <v:path arrowok="t"/>
              </v:shape>
            </v:group>
            <v:group style="position:absolute;left:1138;top:9544;width:9562;height:2" coordorigin="1138,9544" coordsize="9562,2">
              <v:shape style="position:absolute;left:1138;top:9544;width:9562;height:2" coordorigin="1138,9544" coordsize="9562,0" path="m1138,9544l10699,9544e" filled="false" stroked="true" strokeweight=".48004pt" strokecolor="#000000">
                <v:path arrowok="t"/>
              </v:shape>
            </v:group>
            <v:group style="position:absolute;left:10704;top:39;width:2;height:9511" coordorigin="10704,39" coordsize="2,9511">
              <v:shape style="position:absolute;left:10704;top:39;width:2;height:9511" coordorigin="10704,39" coordsize="0,9511" path="m10704,39l10704,9549e" filled="false" stroked="true" strokeweight=".47998pt" strokecolor="#000000">
                <v:path arrowok="t"/>
              </v:shape>
            </v:group>
            <w10:wrap type="none"/>
          </v:group>
        </w:pict>
      </w:r>
      <w:r>
        <w:rPr>
          <w:spacing w:val="-2"/>
        </w:rPr>
        <w:t>保障股东合理的投资回报，根据中国证券监督管理委员会《关于进一步落实上市公司现金分红有关事项</w:t>
      </w:r>
      <w:r>
        <w:rPr>
          <w:spacing w:val="-21"/>
        </w:rPr>
        <w:t> </w:t>
      </w:r>
      <w:r>
        <w:rPr>
          <w:spacing w:val="-21"/>
        </w:rPr>
      </w:r>
      <w:r>
        <w:rPr>
          <w:spacing w:val="-16"/>
          <w:w w:val="100"/>
        </w:rPr>
        <w:t>的通知》、《上市公司监管指引第</w:t>
      </w:r>
      <w:r>
        <w:rPr>
          <w:spacing w:val="-45"/>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7"/>
          <w:w w:val="100"/>
        </w:rPr>
        <w:t> </w:t>
      </w:r>
      <w:r>
        <w:rPr>
          <w:spacing w:val="-2"/>
          <w:w w:val="100"/>
        </w:rPr>
        <w:t>号</w:t>
      </w:r>
      <w:r>
        <w:rPr>
          <w:rFonts w:ascii="Times New Roman" w:hAnsi="Times New Roman" w:cs="Times New Roman" w:eastAsia="Times New Roman" w:hint="default"/>
          <w:spacing w:val="-2"/>
          <w:w w:val="100"/>
        </w:rPr>
        <w:t>——</w:t>
      </w:r>
      <w:r>
        <w:rPr>
          <w:spacing w:val="-2"/>
          <w:w w:val="100"/>
        </w:rPr>
        <w:t>上市公司现金分红》等有关规定及《公司章程》的相关规定，</w:t>
      </w:r>
      <w:r>
        <w:rPr>
          <w:spacing w:val="-94"/>
          <w:w w:val="100"/>
        </w:rPr>
        <w:t> </w:t>
      </w:r>
      <w:r>
        <w:rPr>
          <w:spacing w:val="-94"/>
          <w:w w:val="100"/>
        </w:rPr>
      </w:r>
      <w:r>
        <w:rPr>
          <w:spacing w:val="-2"/>
        </w:rPr>
        <w:t>经综合考虑投资者的合理回报和公司的长远发展，在保证公司正常经营业务发展的前提下，董事会拟定</w:t>
      </w:r>
      <w:r>
        <w:rPr>
          <w:spacing w:val="-21"/>
        </w:rPr>
        <w:t> </w:t>
      </w:r>
      <w:r>
        <w:rPr>
          <w:spacing w:val="-21"/>
        </w:rPr>
      </w:r>
      <w:r>
        <w:rPr>
          <w:spacing w:val="-11"/>
        </w:rPr>
        <w:t>如下分配预案：以</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日总股本</w:t>
      </w:r>
      <w:r>
        <w:rPr>
          <w:spacing w:val="-51"/>
        </w:rPr>
        <w:t> </w:t>
      </w:r>
      <w:r>
        <w:rPr>
          <w:rFonts w:ascii="Times New Roman" w:hAnsi="Times New Roman" w:cs="Times New Roman" w:eastAsia="Times New Roman" w:hint="default"/>
        </w:rPr>
        <w:t>66,670,000</w:t>
      </w:r>
      <w:r>
        <w:rPr>
          <w:rFonts w:ascii="Times New Roman" w:hAnsi="Times New Roman" w:cs="Times New Roman" w:eastAsia="Times New Roman" w:hint="default"/>
          <w:spacing w:val="2"/>
        </w:rPr>
        <w:t> </w:t>
      </w:r>
      <w:r>
        <w:rPr>
          <w:spacing w:val="-9"/>
        </w:rPr>
        <w:t>股为基数，向全体股东每</w:t>
      </w:r>
      <w:r>
        <w:rPr>
          <w:spacing w:val="5"/>
        </w:rPr>
        <w:t> </w:t>
      </w:r>
      <w:r>
        <w:rPr>
          <w:rFonts w:ascii="Times New Roman" w:hAnsi="Times New Roman" w:cs="Times New Roman" w:eastAsia="Times New Roman" w:hint="default"/>
        </w:rPr>
        <w:t>10 </w:t>
      </w:r>
      <w:r>
        <w:rPr>
          <w:rFonts w:ascii="Times New Roman" w:hAnsi="Times New Roman" w:cs="Times New Roman" w:eastAsia="Times New Roman" w:hint="default"/>
          <w:spacing w:val="2"/>
        </w:rPr>
        <w:t> </w:t>
      </w:r>
      <w:r>
        <w:rPr/>
        <w:t>股派发现金红利</w:t>
      </w:r>
      <w:r>
        <w:rPr>
          <w:spacing w:val="-50"/>
        </w:rPr>
        <w:t> </w:t>
      </w:r>
      <w:r>
        <w:rPr>
          <w:rFonts w:ascii="Times New Roman" w:hAnsi="Times New Roman" w:cs="Times New Roman" w:eastAsia="Times New Roman" w:hint="default"/>
        </w:rPr>
        <w:t>0.8</w:t>
      </w:r>
    </w:p>
    <w:p>
      <w:pPr>
        <w:pStyle w:val="BodyText"/>
        <w:spacing w:line="284" w:lineRule="exact"/>
        <w:ind w:left="181" w:right="0"/>
        <w:jc w:val="both"/>
      </w:pPr>
      <w:r>
        <w:rPr>
          <w:w w:val="100"/>
        </w:rPr>
        <w:t>元（</w:t>
      </w:r>
      <w:r>
        <w:rPr>
          <w:spacing w:val="-3"/>
          <w:w w:val="100"/>
        </w:rPr>
        <w:t>含</w:t>
      </w:r>
      <w:r>
        <w:rPr>
          <w:w w:val="100"/>
        </w:rPr>
        <w:t>税</w:t>
      </w:r>
      <w:r>
        <w:rPr>
          <w:spacing w:val="-108"/>
          <w:w w:val="100"/>
        </w:rPr>
        <w:t>）</w:t>
      </w:r>
      <w:r>
        <w:rPr>
          <w:w w:val="100"/>
        </w:rPr>
        <w:t>；</w:t>
      </w:r>
      <w:r>
        <w:rPr>
          <w:spacing w:val="-3"/>
          <w:w w:val="100"/>
        </w:rPr>
        <w:t>同</w:t>
      </w:r>
      <w:r>
        <w:rPr>
          <w:w w:val="100"/>
        </w:rPr>
        <w:t>时</w:t>
      </w:r>
      <w:r>
        <w:rPr>
          <w:spacing w:val="-3"/>
          <w:w w:val="100"/>
        </w:rPr>
        <w:t>以</w:t>
      </w:r>
      <w:r>
        <w:rPr>
          <w:w w:val="100"/>
        </w:rPr>
        <w:t>资</w:t>
      </w:r>
      <w:r>
        <w:rPr>
          <w:spacing w:val="-3"/>
          <w:w w:val="100"/>
        </w:rPr>
        <w:t>本公</w:t>
      </w:r>
      <w:r>
        <w:rPr>
          <w:w w:val="100"/>
        </w:rPr>
        <w:t>积向</w:t>
      </w:r>
      <w:r>
        <w:rPr>
          <w:spacing w:val="-3"/>
          <w:w w:val="100"/>
        </w:rPr>
        <w:t>全</w:t>
      </w:r>
      <w:r>
        <w:rPr>
          <w:w w:val="100"/>
        </w:rPr>
        <w:t>体</w:t>
      </w:r>
      <w:r>
        <w:rPr>
          <w:spacing w:val="-3"/>
          <w:w w:val="100"/>
        </w:rPr>
        <w:t>股东</w:t>
      </w:r>
      <w:r>
        <w:rPr>
          <w:w w:val="100"/>
        </w:rPr>
        <w:t>每</w:t>
      </w:r>
      <w:r>
        <w:rPr>
          <w:spacing w:val="-52"/>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w:t>
      </w:r>
      <w:r>
        <w:rPr>
          <w:spacing w:val="-3"/>
          <w:w w:val="100"/>
        </w:rPr>
        <w:t>转</w:t>
      </w:r>
      <w:r>
        <w:rPr>
          <w:w w:val="100"/>
        </w:rPr>
        <w:t>增</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股</w:t>
      </w:r>
      <w:r>
        <w:rPr>
          <w:w w:val="100"/>
        </w:rPr>
        <w:t>，</w:t>
      </w:r>
      <w:r>
        <w:rPr>
          <w:spacing w:val="-3"/>
          <w:w w:val="100"/>
        </w:rPr>
        <w:t>合</w:t>
      </w:r>
      <w:r>
        <w:rPr>
          <w:w w:val="100"/>
        </w:rPr>
        <w:t>计</w:t>
      </w:r>
      <w:r>
        <w:rPr>
          <w:spacing w:val="-3"/>
          <w:w w:val="100"/>
        </w:rPr>
        <w:t>转</w:t>
      </w:r>
      <w:r>
        <w:rPr>
          <w:w w:val="100"/>
        </w:rPr>
        <w:t>增</w:t>
      </w:r>
      <w:r>
        <w:rPr>
          <w:spacing w:val="-3"/>
          <w:w w:val="100"/>
        </w:rPr>
        <w:t>股</w:t>
      </w:r>
      <w:r>
        <w:rPr>
          <w:w w:val="100"/>
        </w:rPr>
        <w:t>本</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335,0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w:t>
      </w:r>
      <w:r>
        <w:rPr>
          <w:spacing w:val="-3"/>
          <w:w w:val="100"/>
        </w:rPr>
        <w:t>转</w:t>
      </w:r>
      <w:r>
        <w:rPr>
          <w:w w:val="100"/>
        </w:rPr>
        <w:t>增</w:t>
      </w:r>
      <w:r>
        <w:rPr>
          <w:spacing w:val="-3"/>
          <w:w w:val="100"/>
        </w:rPr>
        <w:t>后</w:t>
      </w:r>
      <w:r>
        <w:rPr>
          <w:w w:val="100"/>
        </w:rPr>
        <w:t>总</w:t>
      </w:r>
      <w:r>
        <w:rPr>
          <w:spacing w:val="-3"/>
          <w:w w:val="100"/>
        </w:rPr>
        <w:t>股</w:t>
      </w:r>
      <w:r>
        <w:rPr>
          <w:w w:val="100"/>
        </w:rPr>
        <w:t>本</w:t>
      </w:r>
    </w:p>
    <w:p>
      <w:pPr>
        <w:pStyle w:val="BodyText"/>
        <w:spacing w:line="290" w:lineRule="auto" w:before="21"/>
        <w:ind w:left="181" w:right="4034"/>
        <w:jc w:val="left"/>
      </w:pPr>
      <w:r>
        <w:rPr/>
        <w:t>增加至</w:t>
      </w:r>
      <w:r>
        <w:rPr>
          <w:spacing w:val="-53"/>
        </w:rPr>
        <w:t> </w:t>
      </w:r>
      <w:r>
        <w:rPr>
          <w:rFonts w:ascii="Times New Roman" w:hAnsi="Times New Roman" w:cs="Times New Roman" w:eastAsia="Times New Roman" w:hint="default"/>
        </w:rPr>
        <w:t>100,005,000</w:t>
      </w:r>
      <w:r>
        <w:rPr>
          <w:rFonts w:ascii="Times New Roman" w:hAnsi="Times New Roman" w:cs="Times New Roman" w:eastAsia="Times New Roman" w:hint="default"/>
          <w:spacing w:val="-4"/>
        </w:rPr>
        <w:t> </w:t>
      </w:r>
      <w:r>
        <w:rPr/>
        <w:t>股。剩余未分配利润滚存至以后年度分配。</w:t>
      </w:r>
      <w:r>
        <w:rPr>
          <w:w w:val="100"/>
        </w:rPr>
        <w:t> </w:t>
      </w:r>
      <w:r>
        <w:rPr/>
        <w:t>二、</w:t>
      </w:r>
      <w:r>
        <w:rPr>
          <w:rFonts w:ascii="Times New Roman" w:hAnsi="Times New Roman" w:cs="Times New Roman" w:eastAsia="Times New Roman" w:hint="default"/>
        </w:rPr>
        <w:t>2015</w:t>
      </w:r>
      <w:r>
        <w:rPr>
          <w:rFonts w:ascii="Times New Roman" w:hAnsi="Times New Roman" w:cs="Times New Roman" w:eastAsia="Times New Roman" w:hint="default"/>
          <w:spacing w:val="50"/>
        </w:rPr>
        <w:t> </w:t>
      </w:r>
      <w:r>
        <w:rPr/>
        <w:t>年度利润分配方案对公司未来发展的影响</w:t>
      </w:r>
    </w:p>
    <w:p>
      <w:pPr>
        <w:pStyle w:val="BodyText"/>
        <w:spacing w:line="256" w:lineRule="auto" w:before="11"/>
        <w:ind w:left="181" w:right="305" w:firstLine="434"/>
        <w:jc w:val="both"/>
      </w:pPr>
      <w:r>
        <w:rPr>
          <w:rFonts w:ascii="Times New Roman" w:hAnsi="Times New Roman" w:cs="Times New Roman" w:eastAsia="Times New Roman" w:hint="default"/>
          <w:spacing w:val="-3"/>
        </w:rPr>
        <w:t>1</w:t>
      </w:r>
      <w:r>
        <w:rPr>
          <w:spacing w:val="-3"/>
        </w:rPr>
        <w:t>、公司股本的扩大有助于扩大公司股本规模，增加公司股票的流动性，提升公司的形象和实力，实</w:t>
      </w:r>
      <w:r>
        <w:rPr>
          <w:w w:val="100"/>
        </w:rPr>
        <w:t> </w:t>
      </w:r>
      <w:r>
        <w:rPr/>
        <w:t>现公司战略规划和进一步做大做强的目标。</w:t>
      </w:r>
      <w:r>
        <w:rPr>
          <w:spacing w:val="-3"/>
        </w:rPr>
        <w:t> </w:t>
      </w:r>
      <w:r>
        <w:rPr>
          <w:rFonts w:ascii="Times New Roman" w:hAnsi="Times New Roman" w:cs="Times New Roman" w:eastAsia="Times New Roman" w:hint="default"/>
        </w:rPr>
        <w:t>2</w:t>
      </w:r>
      <w:r>
        <w:rPr/>
        <w:t>、该方案的实施不会造成公司流动资金短缺或其他不良影</w:t>
      </w:r>
      <w:r>
        <w:rPr>
          <w:w w:val="100"/>
        </w:rPr>
        <w:t> </w:t>
      </w:r>
      <w:r>
        <w:rPr/>
        <w:t>响。</w:t>
      </w:r>
    </w:p>
    <w:p>
      <w:pPr>
        <w:pStyle w:val="BodyText"/>
        <w:spacing w:line="240" w:lineRule="auto" w:before="63"/>
        <w:ind w:left="181" w:right="0"/>
        <w:jc w:val="both"/>
      </w:pPr>
      <w:r>
        <w:rPr/>
        <w:t>三、公司董事会意见</w:t>
      </w:r>
    </w:p>
    <w:p>
      <w:pPr>
        <w:pStyle w:val="BodyText"/>
        <w:spacing w:line="240" w:lineRule="auto" w:before="78"/>
        <w:ind w:left="602" w:right="116"/>
        <w:jc w:val="left"/>
      </w:pPr>
      <w:r>
        <w:rPr>
          <w:spacing w:val="-4"/>
        </w:rPr>
        <w:t>公司第二届董事会第九次会议审议并通过了《关于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年度利润分配及资本公积金转增股本方案的</w:t>
      </w:r>
    </w:p>
    <w:p>
      <w:pPr>
        <w:pStyle w:val="BodyText"/>
        <w:spacing w:line="240" w:lineRule="auto" w:before="21"/>
        <w:ind w:left="181" w:right="0"/>
        <w:jc w:val="both"/>
      </w:pPr>
      <w:r>
        <w:rPr>
          <w:w w:val="100"/>
        </w:rPr>
        <w:t>议案</w:t>
      </w:r>
      <w:r>
        <w:rPr>
          <w:spacing w:val="-108"/>
          <w:w w:val="100"/>
        </w:rPr>
        <w:t>》</w:t>
      </w:r>
      <w:r>
        <w:rPr>
          <w:w w:val="100"/>
        </w:rPr>
        <w:t>。</w:t>
      </w:r>
      <w:r>
        <w:rPr>
          <w:spacing w:val="-3"/>
          <w:w w:val="100"/>
        </w:rPr>
        <w:t>董</w:t>
      </w:r>
      <w:r>
        <w:rPr>
          <w:w w:val="100"/>
        </w:rPr>
        <w:t>事</w:t>
      </w:r>
      <w:r>
        <w:rPr>
          <w:spacing w:val="-3"/>
          <w:w w:val="100"/>
        </w:rPr>
        <w:t>会</w:t>
      </w:r>
      <w:r>
        <w:rPr>
          <w:w w:val="100"/>
        </w:rPr>
        <w:t>认为</w:t>
      </w:r>
      <w:r>
        <w:rPr>
          <w:spacing w:val="-55"/>
        </w:rPr>
        <w:t> </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3"/>
        </w:rPr>
        <w:t> </w:t>
      </w:r>
      <w:r>
        <w:rPr>
          <w:w w:val="100"/>
        </w:rPr>
        <w:t>年年</w:t>
      </w:r>
      <w:r>
        <w:rPr>
          <w:spacing w:val="-3"/>
          <w:w w:val="100"/>
        </w:rPr>
        <w:t>度</w:t>
      </w:r>
      <w:r>
        <w:rPr>
          <w:w w:val="100"/>
        </w:rPr>
        <w:t>利</w:t>
      </w:r>
      <w:r>
        <w:rPr>
          <w:spacing w:val="-3"/>
          <w:w w:val="100"/>
        </w:rPr>
        <w:t>润</w:t>
      </w:r>
      <w:r>
        <w:rPr>
          <w:w w:val="100"/>
        </w:rPr>
        <w:t>分</w:t>
      </w:r>
      <w:r>
        <w:rPr>
          <w:spacing w:val="-3"/>
          <w:w w:val="100"/>
        </w:rPr>
        <w:t>配</w:t>
      </w:r>
      <w:r>
        <w:rPr>
          <w:w w:val="100"/>
        </w:rPr>
        <w:t>方</w:t>
      </w:r>
      <w:r>
        <w:rPr>
          <w:spacing w:val="-3"/>
          <w:w w:val="100"/>
        </w:rPr>
        <w:t>案</w:t>
      </w:r>
      <w:r>
        <w:rPr>
          <w:w w:val="100"/>
        </w:rPr>
        <w:t>与</w:t>
      </w:r>
      <w:r>
        <w:rPr>
          <w:spacing w:val="-3"/>
          <w:w w:val="100"/>
        </w:rPr>
        <w:t>公</w:t>
      </w:r>
      <w:r>
        <w:rPr>
          <w:w w:val="100"/>
        </w:rPr>
        <w:t>司未</w:t>
      </w:r>
      <w:r>
        <w:rPr>
          <w:spacing w:val="-3"/>
          <w:w w:val="100"/>
        </w:rPr>
        <w:t>来</w:t>
      </w:r>
      <w:r>
        <w:rPr>
          <w:w w:val="100"/>
        </w:rPr>
        <w:t>的</w:t>
      </w:r>
      <w:r>
        <w:rPr>
          <w:spacing w:val="-3"/>
          <w:w w:val="100"/>
        </w:rPr>
        <w:t>发</w:t>
      </w:r>
      <w:r>
        <w:rPr>
          <w:w w:val="100"/>
        </w:rPr>
        <w:t>展</w:t>
      </w:r>
      <w:r>
        <w:rPr>
          <w:spacing w:val="-3"/>
          <w:w w:val="100"/>
        </w:rPr>
        <w:t>规</w:t>
      </w:r>
      <w:r>
        <w:rPr>
          <w:w w:val="100"/>
        </w:rPr>
        <w:t>划</w:t>
      </w:r>
      <w:r>
        <w:rPr>
          <w:spacing w:val="-3"/>
          <w:w w:val="100"/>
        </w:rPr>
        <w:t>和</w:t>
      </w:r>
      <w:r>
        <w:rPr>
          <w:w w:val="100"/>
        </w:rPr>
        <w:t>成</w:t>
      </w:r>
      <w:r>
        <w:rPr>
          <w:spacing w:val="-3"/>
          <w:w w:val="100"/>
        </w:rPr>
        <w:t>长</w:t>
      </w:r>
      <w:r>
        <w:rPr>
          <w:w w:val="100"/>
        </w:rPr>
        <w:t>性相</w:t>
      </w:r>
      <w:r>
        <w:rPr>
          <w:spacing w:val="-3"/>
          <w:w w:val="100"/>
        </w:rPr>
        <w:t>匹</w:t>
      </w:r>
      <w:r>
        <w:rPr>
          <w:w w:val="100"/>
        </w:rPr>
        <w:t>配</w:t>
      </w:r>
      <w:r>
        <w:rPr>
          <w:spacing w:val="-3"/>
          <w:w w:val="100"/>
        </w:rPr>
        <w:t>，</w:t>
      </w:r>
      <w:r>
        <w:rPr>
          <w:w w:val="100"/>
        </w:rPr>
        <w:t>符</w:t>
      </w:r>
      <w:r>
        <w:rPr>
          <w:spacing w:val="-3"/>
          <w:w w:val="100"/>
        </w:rPr>
        <w:t>合</w:t>
      </w:r>
      <w:r>
        <w:rPr>
          <w:w w:val="100"/>
        </w:rPr>
        <w:t>相</w:t>
      </w:r>
      <w:r>
        <w:rPr>
          <w:spacing w:val="-3"/>
          <w:w w:val="100"/>
        </w:rPr>
        <w:t>关</w:t>
      </w:r>
      <w:r>
        <w:rPr>
          <w:w w:val="100"/>
        </w:rPr>
        <w:t>法</w:t>
      </w:r>
      <w:r>
        <w:rPr>
          <w:spacing w:val="-3"/>
          <w:w w:val="100"/>
        </w:rPr>
        <w:t>律</w:t>
      </w:r>
      <w:r>
        <w:rPr>
          <w:w w:val="100"/>
        </w:rPr>
        <w:t>、</w:t>
      </w:r>
    </w:p>
    <w:p>
      <w:pPr>
        <w:pStyle w:val="BodyText"/>
        <w:spacing w:line="256" w:lineRule="auto" w:before="22"/>
        <w:ind w:left="181" w:right="116"/>
        <w:jc w:val="left"/>
      </w:pPr>
      <w:r>
        <w:rPr>
          <w:spacing w:val="-3"/>
        </w:rPr>
        <w:t>法规以及《公司章程》的规定，具备合法性、合规性、合理性，同意将《关于</w:t>
      </w:r>
      <w:r>
        <w:rPr>
          <w:spacing w:val="-3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t>年度利润分配及资本</w:t>
      </w:r>
      <w:r>
        <w:rPr>
          <w:spacing w:val="-98"/>
        </w:rPr>
        <w:t> </w:t>
      </w:r>
      <w:r>
        <w:rPr>
          <w:spacing w:val="-98"/>
        </w:rPr>
      </w:r>
      <w:r>
        <w:rPr/>
        <w:t>公积金转增股本方案的议案》提交公司股东大会审议。</w:t>
      </w:r>
    </w:p>
    <w:p>
      <w:pPr>
        <w:pStyle w:val="BodyText"/>
        <w:spacing w:line="307" w:lineRule="auto" w:before="61"/>
        <w:ind w:left="602" w:right="116" w:hanging="421"/>
        <w:jc w:val="left"/>
      </w:pPr>
      <w:r>
        <w:rPr/>
        <w:t>四、公司独立董事意见</w:t>
      </w:r>
      <w:r>
        <w:rPr>
          <w:w w:val="100"/>
        </w:rPr>
        <w:t> </w:t>
      </w:r>
      <w:r>
        <w:rPr>
          <w:spacing w:val="-2"/>
        </w:rPr>
        <w:t>公司独立董事核查后认为：该方案充分考虑了对广大投资者的合理投资回报，与公司的实际情况以</w:t>
      </w:r>
    </w:p>
    <w:p>
      <w:pPr>
        <w:pStyle w:val="BodyText"/>
        <w:spacing w:line="253" w:lineRule="exact"/>
        <w:ind w:left="181" w:right="0"/>
        <w:jc w:val="both"/>
      </w:pPr>
      <w:r>
        <w:rPr/>
        <w:t>及发展战略相匹配，有利于全体股东共享公司的经营成果，并且上述利润分配方案不会造成公司流动资</w:t>
      </w:r>
    </w:p>
    <w:p>
      <w:pPr>
        <w:pStyle w:val="BodyText"/>
        <w:spacing w:line="273" w:lineRule="auto" w:before="37"/>
        <w:ind w:left="181" w:right="116"/>
        <w:jc w:val="left"/>
      </w:pPr>
      <w:r>
        <w:rPr>
          <w:spacing w:val="-3"/>
        </w:rPr>
        <w:t>金短缺或其他不良影响，上述方案符合相关法律、法规以及《公司章程》的规定，具备合法性、合规性、</w:t>
      </w:r>
      <w:r>
        <w:rPr>
          <w:spacing w:val="-19"/>
        </w:rPr>
        <w:t> </w:t>
      </w:r>
      <w:r>
        <w:rPr>
          <w:spacing w:val="-19"/>
        </w:rPr>
      </w:r>
      <w:r>
        <w:rPr/>
        <w:t>合理性。我们同意该利润分配方案，并同意将该议案提交公司股东大会审议。</w:t>
      </w:r>
    </w:p>
    <w:p>
      <w:pPr>
        <w:pStyle w:val="BodyText"/>
        <w:spacing w:line="240" w:lineRule="auto" w:before="48"/>
        <w:ind w:left="181" w:right="0"/>
        <w:jc w:val="both"/>
      </w:pPr>
      <w:r>
        <w:rPr/>
        <w:t>五、公司监事会意见</w:t>
      </w:r>
    </w:p>
    <w:p>
      <w:pPr>
        <w:pStyle w:val="BodyText"/>
        <w:spacing w:line="264" w:lineRule="auto" w:before="75"/>
        <w:ind w:left="181" w:right="304" w:firstLine="420"/>
        <w:jc w:val="both"/>
      </w:pPr>
      <w:r>
        <w:rPr>
          <w:spacing w:val="-8"/>
          <w:w w:val="100"/>
        </w:rPr>
        <w:t>公司第二届监事会第六次会议审议认为：《</w:t>
      </w:r>
      <w:r>
        <w:rPr>
          <w:rFonts w:ascii="Times New Roman" w:hAnsi="Times New Roman" w:cs="Times New Roman" w:eastAsia="Times New Roman" w:hint="default"/>
          <w:spacing w:val="-8"/>
          <w:w w:val="100"/>
        </w:rPr>
        <w:t>2015</w:t>
      </w:r>
      <w:r>
        <w:rPr>
          <w:rFonts w:ascii="Times New Roman" w:hAnsi="Times New Roman" w:cs="Times New Roman" w:eastAsia="Times New Roman" w:hint="default"/>
          <w:spacing w:val="9"/>
          <w:w w:val="100"/>
        </w:rPr>
        <w:t> </w:t>
      </w:r>
      <w:r>
        <w:rPr>
          <w:spacing w:val="-4"/>
          <w:w w:val="100"/>
        </w:rPr>
        <w:t>年度利润分配及资本公积金转增股本方案》与公司未</w:t>
      </w:r>
      <w:r>
        <w:rPr>
          <w:w w:val="100"/>
        </w:rPr>
        <w:t> </w:t>
      </w:r>
      <w:r>
        <w:rPr>
          <w:spacing w:val="-2"/>
        </w:rPr>
        <w:t>来的发展规划和成长性相匹配，符合相关法律、法规以及《公司章程》的规定，具备合法性、合规性、</w:t>
      </w:r>
      <w:r>
        <w:rPr>
          <w:spacing w:val="-21"/>
        </w:rPr>
        <w:t> </w:t>
      </w:r>
      <w:r>
        <w:rPr>
          <w:spacing w:val="-21"/>
        </w:rPr>
      </w:r>
      <w:r>
        <w:rPr/>
        <w:t>合理性，未损害公司股东尤其是中小股东的利益，有利于公司的正常经营和健康发展。</w:t>
      </w:r>
    </w:p>
    <w:p>
      <w:pPr>
        <w:pStyle w:val="BodyText"/>
        <w:spacing w:line="240" w:lineRule="auto" w:before="57"/>
        <w:ind w:left="181" w:right="0"/>
        <w:jc w:val="both"/>
      </w:pPr>
      <w:r>
        <w:rPr/>
        <w:t>六、其他</w:t>
      </w:r>
    </w:p>
    <w:p>
      <w:pPr>
        <w:pStyle w:val="BodyText"/>
        <w:spacing w:line="261" w:lineRule="auto" w:before="78"/>
        <w:ind w:left="181" w:right="116" w:firstLine="420"/>
        <w:jc w:val="left"/>
      </w:pPr>
      <w:r>
        <w:rPr/>
        <w:t>本次利润分配方案披露前，公司严格控制内幕信息知情人的范围，并对相关内幕信息知情人履行了</w:t>
      </w:r>
      <w:r>
        <w:rPr>
          <w:w w:val="100"/>
        </w:rPr>
        <w:t> </w:t>
      </w:r>
      <w:r>
        <w:rPr>
          <w:spacing w:val="-4"/>
        </w:rPr>
        <w:t>保密和严禁内幕交易的告知义务。截至本分配预案预披露公告日前</w:t>
      </w:r>
      <w:r>
        <w:rPr>
          <w:spacing w:val="-26"/>
        </w:rPr>
        <w:t> </w:t>
      </w:r>
      <w:r>
        <w:rPr>
          <w:rFonts w:ascii="Times New Roman" w:hAnsi="Times New Roman" w:cs="Times New Roman" w:eastAsia="Times New Roman" w:hint="default"/>
        </w:rPr>
        <w:t>6</w:t>
      </w:r>
      <w:r>
        <w:rPr>
          <w:rFonts w:ascii="Times New Roman" w:hAnsi="Times New Roman" w:cs="Times New Roman" w:eastAsia="Times New Roman" w:hint="default"/>
          <w:spacing w:val="26"/>
        </w:rPr>
        <w:t> </w:t>
      </w:r>
      <w:r>
        <w:rPr>
          <w:spacing w:val="-10"/>
        </w:rPr>
        <w:t>个月，公司持股</w:t>
      </w:r>
      <w:r>
        <w:rPr>
          <w:spacing w:val="-28"/>
        </w:rPr>
        <w:t> </w:t>
      </w:r>
      <w:r>
        <w:rPr>
          <w:rFonts w:ascii="Times New Roman" w:hAnsi="Times New Roman" w:cs="Times New Roman" w:eastAsia="Times New Roman" w:hint="default"/>
          <w:spacing w:val="-8"/>
        </w:rPr>
        <w:t>5%</w:t>
      </w:r>
      <w:r>
        <w:rPr>
          <w:spacing w:val="-8"/>
        </w:rPr>
        <w:t>以上股东、董事、</w:t>
      </w:r>
      <w:r>
        <w:rPr>
          <w:spacing w:val="-94"/>
        </w:rPr>
        <w:t> </w:t>
      </w:r>
      <w:r>
        <w:rPr>
          <w:spacing w:val="-94"/>
        </w:rPr>
      </w:r>
      <w:r>
        <w:rPr>
          <w:spacing w:val="-3"/>
        </w:rPr>
        <w:t>监事及高级管理人员未减持公司股票；截至本分配预案预披露公告日，公司未收到持股 </w:t>
      </w:r>
      <w:r>
        <w:rPr>
          <w:rFonts w:ascii="Times New Roman" w:hAnsi="Times New Roman" w:cs="Times New Roman" w:eastAsia="Times New Roman" w:hint="default"/>
          <w:spacing w:val="-4"/>
        </w:rPr>
        <w:t>5%</w:t>
      </w:r>
      <w:r>
        <w:rPr>
          <w:spacing w:val="-4"/>
        </w:rPr>
        <w:t>以上股东、董</w:t>
      </w:r>
      <w:r>
        <w:rPr>
          <w:spacing w:val="-83"/>
        </w:rPr>
        <w:t> </w:t>
      </w:r>
      <w:r>
        <w:rPr>
          <w:spacing w:val="-83"/>
        </w:rPr>
      </w:r>
      <w:r>
        <w:rPr/>
        <w:t>事、监事及高级管理人员的减持通知。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116"/>
        <w:jc w:val="left"/>
      </w:pPr>
      <w:r>
        <w:rPr>
          <w:w w:val="100"/>
        </w:rPr>
        <w:t>公</w:t>
      </w:r>
      <w:r>
        <w:rPr>
          <w:spacing w:val="-3"/>
          <w:w w:val="100"/>
        </w:rPr>
        <w:t>司</w:t>
      </w:r>
      <w:r>
        <w:rPr>
          <w:w w:val="100"/>
        </w:rPr>
        <w:t>近</w:t>
      </w:r>
      <w:r>
        <w:rPr>
          <w:spacing w:val="-52"/>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年</w:t>
      </w:r>
      <w:r>
        <w:rPr>
          <w:w w:val="100"/>
        </w:rPr>
        <w:t>（</w:t>
      </w:r>
      <w:r>
        <w:rPr>
          <w:spacing w:val="-3"/>
          <w:w w:val="100"/>
        </w:rPr>
        <w:t>包</w:t>
      </w:r>
      <w:r>
        <w:rPr>
          <w:w w:val="100"/>
        </w:rPr>
        <w:t>括</w:t>
      </w:r>
      <w:r>
        <w:rPr>
          <w:spacing w:val="-3"/>
          <w:w w:val="100"/>
        </w:rPr>
        <w:t>本</w:t>
      </w:r>
      <w:r>
        <w:rPr>
          <w:w w:val="100"/>
        </w:rPr>
        <w:t>报</w:t>
      </w:r>
      <w:r>
        <w:rPr>
          <w:spacing w:val="-3"/>
          <w:w w:val="100"/>
        </w:rPr>
        <w:t>告</w:t>
      </w:r>
      <w:r>
        <w:rPr>
          <w:w w:val="100"/>
        </w:rPr>
        <w:t>期）</w:t>
      </w:r>
      <w:r>
        <w:rPr>
          <w:spacing w:val="-3"/>
          <w:w w:val="100"/>
        </w:rPr>
        <w:t>的</w:t>
      </w:r>
      <w:r>
        <w:rPr>
          <w:w w:val="100"/>
        </w:rPr>
        <w:t>普</w:t>
      </w:r>
      <w:r>
        <w:rPr>
          <w:spacing w:val="-3"/>
          <w:w w:val="100"/>
        </w:rPr>
        <w:t>通</w:t>
      </w:r>
      <w:r>
        <w:rPr>
          <w:w w:val="100"/>
        </w:rPr>
        <w:t>股</w:t>
      </w:r>
      <w:r>
        <w:rPr>
          <w:spacing w:val="-3"/>
          <w:w w:val="100"/>
        </w:rPr>
        <w:t>股</w:t>
      </w:r>
      <w:r>
        <w:rPr>
          <w:w w:val="100"/>
        </w:rPr>
        <w:t>利</w:t>
      </w:r>
      <w:r>
        <w:rPr>
          <w:spacing w:val="-3"/>
          <w:w w:val="100"/>
        </w:rPr>
        <w:t>分</w:t>
      </w:r>
      <w:r>
        <w:rPr>
          <w:w w:val="100"/>
        </w:rPr>
        <w:t>配</w:t>
      </w:r>
      <w:r>
        <w:rPr>
          <w:spacing w:val="-3"/>
          <w:w w:val="100"/>
        </w:rPr>
        <w:t>方</w:t>
      </w:r>
      <w:r>
        <w:rPr>
          <w:w w:val="100"/>
        </w:rPr>
        <w:t>案（</w:t>
      </w:r>
      <w:r>
        <w:rPr>
          <w:spacing w:val="-3"/>
          <w:w w:val="100"/>
        </w:rPr>
        <w:t>预</w:t>
      </w:r>
      <w:r>
        <w:rPr>
          <w:w w:val="100"/>
        </w:rPr>
        <w:t>案</w:t>
      </w:r>
      <w:r>
        <w:rPr>
          <w:spacing w:val="-108"/>
          <w:w w:val="100"/>
        </w:rPr>
        <w:t>）</w:t>
      </w:r>
      <w:r>
        <w:rPr>
          <w:w w:val="100"/>
        </w:rPr>
        <w:t>、</w:t>
      </w:r>
      <w:r>
        <w:rPr>
          <w:spacing w:val="-3"/>
          <w:w w:val="100"/>
        </w:rPr>
        <w:t>资</w:t>
      </w:r>
      <w:r>
        <w:rPr>
          <w:w w:val="100"/>
        </w:rPr>
        <w:t>本</w:t>
      </w:r>
      <w:r>
        <w:rPr>
          <w:spacing w:val="-3"/>
          <w:w w:val="100"/>
        </w:rPr>
        <w:t>公</w:t>
      </w:r>
      <w:r>
        <w:rPr>
          <w:w w:val="100"/>
        </w:rPr>
        <w:t>积</w:t>
      </w:r>
      <w:r>
        <w:rPr>
          <w:spacing w:val="-3"/>
          <w:w w:val="100"/>
        </w:rPr>
        <w:t>金转</w:t>
      </w:r>
      <w:r>
        <w:rPr>
          <w:w w:val="100"/>
        </w:rPr>
        <w:t>增股</w:t>
      </w:r>
      <w:r>
        <w:rPr>
          <w:spacing w:val="-3"/>
          <w:w w:val="100"/>
        </w:rPr>
        <w:t>本</w:t>
      </w:r>
      <w:r>
        <w:rPr>
          <w:w w:val="100"/>
        </w:rPr>
        <w:t>方</w:t>
      </w:r>
      <w:r>
        <w:rPr>
          <w:spacing w:val="-3"/>
          <w:w w:val="100"/>
        </w:rPr>
        <w:t>案</w:t>
      </w:r>
      <w:r>
        <w:rPr>
          <w:w w:val="100"/>
        </w:rPr>
        <w:t>（</w:t>
      </w:r>
      <w:r>
        <w:rPr>
          <w:spacing w:val="-3"/>
          <w:w w:val="100"/>
        </w:rPr>
        <w:t>预</w:t>
      </w:r>
      <w:r>
        <w:rPr>
          <w:w w:val="100"/>
        </w:rPr>
        <w:t>案</w:t>
      </w:r>
      <w:r>
        <w:rPr>
          <w:spacing w:val="-3"/>
          <w:w w:val="100"/>
        </w:rPr>
        <w:t>）</w:t>
      </w:r>
      <w:r>
        <w:rPr>
          <w:w w:val="100"/>
        </w:rPr>
        <w:t>情况</w:t>
      </w:r>
    </w:p>
    <w:p>
      <w:pPr>
        <w:pStyle w:val="BodyText"/>
        <w:spacing w:line="259" w:lineRule="auto" w:before="62"/>
        <w:ind w:right="116" w:firstLine="588"/>
        <w:jc w:val="left"/>
      </w:pPr>
      <w:r>
        <w:rPr>
          <w:rFonts w:ascii="Times New Roman" w:hAnsi="Times New Roman" w:cs="Times New Roman" w:eastAsia="Times New Roman" w:hint="default"/>
          <w:spacing w:val="-2"/>
        </w:rPr>
        <w:t>2015</w:t>
      </w:r>
      <w:r>
        <w:rPr>
          <w:spacing w:val="-2"/>
        </w:rPr>
        <w:t>年：公司</w:t>
      </w:r>
      <w:r>
        <w:rPr>
          <w:rFonts w:ascii="Times New Roman" w:hAnsi="Times New Roman" w:cs="Times New Roman" w:eastAsia="Times New Roman" w:hint="default"/>
          <w:spacing w:val="-2"/>
        </w:rPr>
        <w:t>2015</w:t>
      </w:r>
      <w:r>
        <w:rPr>
          <w:spacing w:val="-2"/>
        </w:rPr>
        <w:t>年度实现归属于母公司股东的净利润为</w:t>
      </w:r>
      <w:r>
        <w:rPr>
          <w:rFonts w:ascii="Times New Roman" w:hAnsi="Times New Roman" w:cs="Times New Roman" w:eastAsia="Times New Roman" w:hint="default"/>
          <w:spacing w:val="-2"/>
        </w:rPr>
        <w:t>25,228,234.56</w:t>
      </w:r>
      <w:r>
        <w:rPr>
          <w:spacing w:val="-2"/>
        </w:rPr>
        <w:t>元，根据《公司章程》规定，</w:t>
      </w:r>
      <w:r>
        <w:rPr>
          <w:w w:val="100"/>
        </w:rPr>
        <w:t> </w:t>
      </w:r>
      <w:r>
        <w:rPr/>
        <w:t>按照净利润的</w:t>
      </w:r>
      <w:r>
        <w:rPr>
          <w:rFonts w:ascii="Times New Roman" w:hAnsi="Times New Roman" w:cs="Times New Roman" w:eastAsia="Times New Roman" w:hint="default"/>
        </w:rPr>
        <w:t>10%</w:t>
      </w:r>
      <w:r>
        <w:rPr/>
        <w:t>提取法定盈余公积金</w:t>
      </w:r>
      <w:r>
        <w:rPr>
          <w:rFonts w:ascii="Times New Roman" w:hAnsi="Times New Roman" w:cs="Times New Roman" w:eastAsia="Times New Roman" w:hint="default"/>
        </w:rPr>
        <w:t>2,522,823.46</w:t>
      </w:r>
      <w:r>
        <w:rPr/>
        <w:t>元；截至</w:t>
      </w:r>
      <w:r>
        <w:rPr>
          <w:spacing w:val="-23"/>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日，公司累计未分配利润为</w:t>
      </w:r>
      <w:r>
        <w:rPr>
          <w:w w:val="100"/>
        </w:rPr>
        <w:t> </w:t>
      </w:r>
      <w:r>
        <w:rPr>
          <w:rFonts w:ascii="Times New Roman" w:hAnsi="Times New Roman" w:cs="Times New Roman" w:eastAsia="Times New Roman" w:hint="default"/>
          <w:spacing w:val="-3"/>
        </w:rPr>
        <w:t>111,678,314.47</w:t>
      </w:r>
      <w:r>
        <w:rPr>
          <w:spacing w:val="-3"/>
        </w:rPr>
        <w:t>元。鉴于公司目前经营情况良好，为了保障股东合理的投资回报，根据中国证券监督管理委</w:t>
      </w:r>
      <w:r>
        <w:rPr>
          <w:spacing w:val="-29"/>
        </w:rPr>
        <w:t> </w:t>
      </w:r>
      <w:r>
        <w:rPr>
          <w:spacing w:val="-29"/>
        </w:rPr>
      </w:r>
      <w:r>
        <w:rPr/>
        <w:t>员会《关于进一步落实上市公司现金分红有关事项的通知》、《上市公司监管指引第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w:t>
      </w:r>
      <w:r>
        <w:rPr>
          <w:w w:val="100"/>
        </w:rPr>
        <w:t> </w:t>
      </w:r>
      <w:r>
        <w:rPr>
          <w:spacing w:val="-2"/>
        </w:rPr>
        <w:t>金分红》等有关规定及《公司章程》的相关规定，经综合考虑投资者的合理回报和公司的长远发展，在保</w:t>
      </w:r>
      <w:r>
        <w:rPr>
          <w:spacing w:val="-43"/>
        </w:rPr>
        <w:t> </w:t>
      </w:r>
      <w:r>
        <w:rPr>
          <w:spacing w:val="-43"/>
        </w:rPr>
      </w:r>
      <w:r>
        <w:rPr/>
        <w:t>证公司正常经营业务发展的前提下，董事会拟定如下分配预案：以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66,670,000</w:t>
      </w:r>
      <w:r>
        <w:rPr/>
        <w:t>股为</w:t>
      </w:r>
      <w:r>
        <w:rPr>
          <w:spacing w:val="-3"/>
          <w:w w:val="100"/>
        </w:rPr>
        <w:t> </w:t>
      </w:r>
      <w:r>
        <w:rPr/>
        <w:t>基数，向全体股东每 </w:t>
      </w:r>
      <w:r>
        <w:rPr>
          <w:rFonts w:ascii="Times New Roman" w:hAnsi="Times New Roman" w:cs="Times New Roman" w:eastAsia="Times New Roman" w:hint="default"/>
        </w:rPr>
        <w:t>10 </w:t>
      </w:r>
      <w:r>
        <w:rPr/>
        <w:t>股派发现金红利</w:t>
      </w:r>
      <w:r>
        <w:rPr>
          <w:rFonts w:ascii="Times New Roman" w:hAnsi="Times New Roman" w:cs="Times New Roman" w:eastAsia="Times New Roman" w:hint="default"/>
        </w:rPr>
        <w:t>0.8</w:t>
      </w:r>
      <w:r>
        <w:rPr/>
        <w:t>元（含税）；同时以资本公积向全体股东每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股，合</w:t>
      </w:r>
      <w:r>
        <w:rPr>
          <w:spacing w:val="-3"/>
          <w:w w:val="100"/>
        </w:rPr>
        <w:t> </w:t>
      </w:r>
      <w:r>
        <w:rPr/>
        <w:t>计转增股本</w:t>
      </w:r>
      <w:r>
        <w:rPr>
          <w:rFonts w:ascii="Times New Roman" w:hAnsi="Times New Roman" w:cs="Times New Roman" w:eastAsia="Times New Roman" w:hint="default"/>
        </w:rPr>
        <w:t>33,335,000</w:t>
      </w:r>
      <w:r>
        <w:rPr/>
        <w:t>股，转增后总股本增加至</w:t>
      </w:r>
      <w:r>
        <w:rPr>
          <w:rFonts w:ascii="Times New Roman" w:hAnsi="Times New Roman" w:cs="Times New Roman" w:eastAsia="Times New Roman" w:hint="default"/>
        </w:rPr>
        <w:t>100,005,000</w:t>
      </w:r>
      <w:r>
        <w:rPr/>
        <w:t>股。剩余未分配利润滚存至以后年度分配。</w:t>
      </w:r>
    </w:p>
    <w:p>
      <w:pPr>
        <w:pStyle w:val="BodyText"/>
        <w:spacing w:line="256" w:lineRule="auto" w:before="2"/>
        <w:ind w:right="116" w:firstLine="588"/>
        <w:jc w:val="left"/>
      </w:pPr>
      <w:r>
        <w:rPr>
          <w:rFonts w:ascii="Times New Roman" w:hAnsi="Times New Roman" w:cs="Times New Roman" w:eastAsia="Times New Roman" w:hint="default"/>
          <w:spacing w:val="-2"/>
        </w:rPr>
        <w:t>2014</w:t>
      </w:r>
      <w:r>
        <w:rPr>
          <w:spacing w:val="-2"/>
        </w:rPr>
        <w:t>年：经华普天健会计师事务所（特殊普通合伙）对公司</w:t>
      </w:r>
      <w:r>
        <w:rPr>
          <w:rFonts w:ascii="Times New Roman" w:hAnsi="Times New Roman" w:cs="Times New Roman" w:eastAsia="Times New Roman" w:hint="default"/>
          <w:spacing w:val="-2"/>
        </w:rPr>
        <w:t>2014</w:t>
      </w:r>
      <w:r>
        <w:rPr>
          <w:spacing w:val="-2"/>
        </w:rPr>
        <w:t>年度财务进行审计，公司</w:t>
      </w:r>
      <w:r>
        <w:rPr>
          <w:rFonts w:ascii="Times New Roman" w:hAnsi="Times New Roman" w:cs="Times New Roman" w:eastAsia="Times New Roman" w:hint="default"/>
          <w:spacing w:val="-2"/>
        </w:rPr>
        <w:t>2014</w:t>
      </w:r>
      <w:r>
        <w:rPr>
          <w:spacing w:val="-2"/>
        </w:rPr>
        <w:t>年共</w:t>
      </w:r>
      <w:r>
        <w:rPr>
          <w:w w:val="100"/>
        </w:rPr>
        <w:t> </w:t>
      </w:r>
      <w:r>
        <w:rPr/>
        <w:t>产生利润</w:t>
      </w:r>
      <w:r>
        <w:rPr>
          <w:rFonts w:ascii="Times New Roman" w:hAnsi="Times New Roman" w:cs="Times New Roman" w:eastAsia="Times New Roman" w:hint="default"/>
        </w:rPr>
        <w:t>3453.5</w:t>
      </w:r>
      <w:r>
        <w:rPr/>
        <w:t>万元。经协商确定，</w:t>
      </w:r>
      <w:r>
        <w:rPr>
          <w:rFonts w:ascii="Times New Roman" w:hAnsi="Times New Roman" w:cs="Times New Roman" w:eastAsia="Times New Roman" w:hint="default"/>
        </w:rPr>
        <w:t>2014</w:t>
      </w:r>
      <w:r>
        <w:rPr/>
        <w:t>年分配公司利润</w:t>
      </w:r>
      <w:r>
        <w:rPr>
          <w:rFonts w:ascii="Times New Roman" w:hAnsi="Times New Roman" w:cs="Times New Roman" w:eastAsia="Times New Roman" w:hint="default"/>
        </w:rPr>
        <w:t>700</w:t>
      </w:r>
      <w:r>
        <w:rPr/>
        <w:t>万元。</w:t>
      </w:r>
    </w:p>
    <w:p>
      <w:pPr>
        <w:pStyle w:val="BodyText"/>
        <w:spacing w:line="240" w:lineRule="auto" w:before="5"/>
        <w:ind w:left="741" w:right="116"/>
        <w:jc w:val="left"/>
      </w:pPr>
      <w:r>
        <w:rPr>
          <w:rFonts w:ascii="Times New Roman" w:hAnsi="Times New Roman" w:cs="Times New Roman" w:eastAsia="Times New Roman" w:hint="default"/>
        </w:rPr>
        <w:t>2013</w:t>
      </w:r>
      <w:r>
        <w:rPr/>
        <w:t>年：经华普天健会计师事务所（特殊普通合伙）对公司</w:t>
      </w:r>
      <w:r>
        <w:rPr>
          <w:rFonts w:ascii="Times New Roman" w:hAnsi="Times New Roman" w:cs="Times New Roman" w:eastAsia="Times New Roman" w:hint="default"/>
        </w:rPr>
        <w:t>2013</w:t>
      </w:r>
      <w:r>
        <w:rPr/>
        <w:t>年度财务进行审计，公司</w:t>
      </w:r>
      <w:r>
        <w:rPr>
          <w:rFonts w:ascii="Times New Roman" w:hAnsi="Times New Roman" w:cs="Times New Roman" w:eastAsia="Times New Roman" w:hint="default"/>
        </w:rPr>
        <w:t>2013</w:t>
      </w:r>
      <w:r>
        <w:rPr/>
        <w:t>年共</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980"/>
        </w:sectPr>
      </w:pPr>
    </w:p>
    <w:p>
      <w:pPr>
        <w:pStyle w:val="BodyText"/>
        <w:spacing w:line="292" w:lineRule="auto" w:before="36"/>
        <w:ind w:right="0"/>
        <w:jc w:val="left"/>
      </w:pPr>
      <w:r>
        <w:rPr>
          <w:spacing w:val="-2"/>
        </w:rPr>
        <w:t>产生利润</w:t>
      </w:r>
      <w:r>
        <w:rPr>
          <w:rFonts w:ascii="Times New Roman" w:hAnsi="Times New Roman" w:cs="Times New Roman" w:eastAsia="Times New Roman" w:hint="default"/>
          <w:spacing w:val="-2"/>
        </w:rPr>
        <w:t>3333.73</w:t>
      </w:r>
      <w:r>
        <w:rPr>
          <w:spacing w:val="-2"/>
        </w:rPr>
        <w:t>万元。经协商确定，</w:t>
      </w:r>
      <w:r>
        <w:rPr>
          <w:rFonts w:ascii="Times New Roman" w:hAnsi="Times New Roman" w:cs="Times New Roman" w:eastAsia="Times New Roman" w:hint="default"/>
          <w:spacing w:val="-2"/>
        </w:rPr>
        <w:t>2013</w:t>
      </w:r>
      <w:r>
        <w:rPr>
          <w:spacing w:val="-2"/>
        </w:rPr>
        <w:t>年分配公司利润</w:t>
      </w:r>
      <w:r>
        <w:rPr>
          <w:rFonts w:ascii="Times New Roman" w:hAnsi="Times New Roman" w:cs="Times New Roman" w:eastAsia="Times New Roman" w:hint="default"/>
          <w:spacing w:val="-2"/>
        </w:rPr>
        <w:t>700</w:t>
      </w:r>
      <w:r>
        <w:rPr>
          <w:spacing w:val="-2"/>
        </w:rPr>
        <w:t>万元。</w:t>
      </w:r>
      <w:r>
        <w:rPr>
          <w:spacing w:val="-38"/>
        </w:rPr>
        <w:t> </w:t>
      </w:r>
      <w:r>
        <w:rPr>
          <w:spacing w:val="-38"/>
        </w:rPr>
      </w:r>
      <w:r>
        <w:rPr/>
        <w:t>公司近三年（包括本报告期）普通股现金分红情况表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6404" w:space="2396"/>
            <w:col w:w="1150"/>
          </w:cols>
        </w:sectPr>
      </w:pPr>
    </w:p>
    <w:p>
      <w:pPr>
        <w:spacing w:line="240" w:lineRule="auto" w:before="12"/>
        <w:rPr>
          <w:rFonts w:ascii="宋体" w:hAnsi="宋体" w:cs="宋体" w:eastAsia="宋体" w:hint="default"/>
          <w:sz w:val="6"/>
          <w:szCs w:val="6"/>
        </w:rPr>
      </w:pPr>
      <w:r>
        <w:rPr/>
        <w:pict>
          <v:shape style="position:absolute;margin-left:248.218643pt;margin-top:603.309998pt;width:61.45pt;height:17.650pt;mso-position-horizontal-relative:page;mso-position-vertical-relative:page;z-index:-701128" type="#_x0000_t202" filled="false" stroked="false">
            <v:textbox inset="0,0,0,0">
              <w:txbxContent>
                <w:p>
                  <w:pPr>
                    <w:pStyle w:val="BodyText"/>
                    <w:spacing w:line="262" w:lineRule="exact"/>
                    <w:ind w:left="0" w:right="0"/>
                    <w:jc w:val="left"/>
                  </w:pPr>
                  <w:r>
                    <w:rPr>
                      <w:w w:val="100"/>
                    </w:rPr>
                    <w:t>、</w:t>
                  </w:r>
                </w:p>
              </w:txbxContent>
            </v:textbox>
            <w10:wrap type="none"/>
          </v:shape>
        </w:pict>
      </w:r>
      <w:r>
        <w:rPr/>
        <w:pict>
          <v:group style="position:absolute;margin-left:256.25pt;margin-top:603.309998pt;width:53.4pt;height:17.650pt;mso-position-horizontal-relative:page;mso-position-vertical-relative:page;z-index:-701104" coordorigin="5125,12066" coordsize="1068,353">
            <v:shape style="position:absolute;left:5125;top:12066;width:1068;height:353" coordorigin="5125,12066" coordsize="1068,353" path="m5125,12419l6193,12419,6193,12066,5125,12066,5125,12419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57" w:right="50"/>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57" w:right="53"/>
              <w:jc w:val="center"/>
              <w:rPr>
                <w:rFonts w:ascii="宋体" w:hAnsi="宋体" w:cs="宋体" w:eastAsia="宋体" w:hint="default"/>
                <w:sz w:val="21"/>
                <w:szCs w:val="21"/>
              </w:rPr>
            </w:pPr>
            <w:r>
              <w:rPr>
                <w:rFonts w:ascii="宋体" w:hAnsi="宋体" w:cs="宋体" w:eastAsia="宋体" w:hint="default"/>
                <w:spacing w:val="-1"/>
                <w:sz w:val="21"/>
                <w:szCs w:val="21"/>
              </w:rPr>
              <w:t>占合并报表中归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属于上市公司普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通股股东的净利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66" w:right="50" w:hanging="209"/>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66" w:right="51" w:hanging="210"/>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6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5,333,600.00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25,228,234.56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34,535,460.14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33,337,281.33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153"/>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837"/>
        <w:gridCol w:w="1124"/>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承诺来源</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2"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1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0"/>
              <w:ind w:left="141"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39"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39"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36"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9"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7"/>
              <w:jc w:val="left"/>
              <w:rPr>
                <w:rFonts w:ascii="宋体" w:hAnsi="宋体" w:cs="宋体" w:eastAsia="宋体" w:hint="default"/>
                <w:sz w:val="21"/>
                <w:szCs w:val="21"/>
              </w:rPr>
            </w:pPr>
            <w:r>
              <w:rPr>
                <w:rFonts w:ascii="宋体" w:hAnsi="宋体" w:cs="宋体" w:eastAsia="宋体" w:hint="default"/>
                <w:spacing w:val="-2"/>
                <w:sz w:val="21"/>
                <w:szCs w:val="21"/>
              </w:rPr>
              <w:t>收购报告书或权益变动报告书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中所作承诺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资产重组时所作承诺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950"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10"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71" w:lineRule="auto"/>
              <w:ind w:left="17" w:right="26"/>
              <w:jc w:val="left"/>
              <w:rPr>
                <w:rFonts w:ascii="宋体" w:hAnsi="宋体" w:cs="宋体" w:eastAsia="宋体" w:hint="default"/>
                <w:sz w:val="21"/>
                <w:szCs w:val="21"/>
              </w:rPr>
            </w:pPr>
            <w:r>
              <w:rPr>
                <w:rFonts w:ascii="宋体" w:hAnsi="宋体" w:cs="宋体" w:eastAsia="宋体" w:hint="default"/>
                <w:sz w:val="21"/>
                <w:szCs w:val="21"/>
              </w:rPr>
              <w:t>朱业胜、曾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维斌、姜承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w w:val="100"/>
                <w:sz w:val="21"/>
                <w:szCs w:val="21"/>
              </w:rPr>
              <w:t>法、张玉生</w:t>
            </w:r>
            <w:r>
              <w:rPr>
                <w:rFonts w:ascii="宋体" w:hAnsi="宋体" w:cs="宋体" w:eastAsia="宋体" w:hint="default"/>
                <w:w w:val="100"/>
                <w:sz w:val="21"/>
                <w:szCs w:val="21"/>
              </w:rPr>
              <w:t> </w:t>
            </w:r>
            <w:r>
              <w:rPr>
                <w:rFonts w:ascii="宋体" w:hAnsi="宋体" w:cs="宋体" w:eastAsia="宋体" w:hint="default"/>
                <w:sz w:val="21"/>
                <w:szCs w:val="21"/>
              </w:rPr>
              <w:t>世纪万向</w:t>
            </w:r>
          </w:p>
        </w:tc>
        <w:tc>
          <w:tcPr>
            <w:tcW w:w="1128"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71" w:lineRule="auto"/>
              <w:ind w:left="19" w:right="36"/>
              <w:jc w:val="left"/>
              <w:rPr>
                <w:rFonts w:ascii="宋体" w:hAnsi="宋体" w:cs="宋体" w:eastAsia="宋体" w:hint="default"/>
                <w:sz w:val="21"/>
                <w:szCs w:val="21"/>
              </w:rPr>
            </w:pPr>
            <w:r>
              <w:rPr>
                <w:rFonts w:ascii="宋体" w:hAnsi="宋体" w:cs="宋体" w:eastAsia="宋体" w:hint="default"/>
                <w:sz w:val="21"/>
                <w:szCs w:val="21"/>
              </w:rPr>
              <w:t>股份限售承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w:t>
            </w:r>
          </w:p>
        </w:tc>
        <w:tc>
          <w:tcPr>
            <w:tcW w:w="1126"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36"/>
              <w:jc w:val="left"/>
              <w:rPr>
                <w:rFonts w:ascii="宋体" w:hAnsi="宋体" w:cs="宋体" w:eastAsia="宋体" w:hint="default"/>
                <w:sz w:val="21"/>
                <w:szCs w:val="21"/>
              </w:rPr>
            </w:pPr>
            <w:r>
              <w:rPr>
                <w:rFonts w:ascii="宋体" w:hAnsi="宋体" w:cs="宋体" w:eastAsia="宋体" w:hint="default"/>
                <w:sz w:val="21"/>
                <w:szCs w:val="21"/>
              </w:rPr>
              <w:t>自公司股票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三十六个月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内，不转让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或者委托他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人管理其持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有的发行人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股份，也不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会由公司回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购其直接或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间接持有的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本公司公开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发行股票前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已发行的股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份；所持股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票在上述锁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定期满后两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年内减持</w:t>
            </w:r>
            <w:r>
              <w:rPr>
                <w:rFonts w:ascii="宋体" w:hAnsi="宋体" w:cs="宋体" w:eastAsia="宋体" w:hint="default"/>
                <w:w w:val="100"/>
                <w:sz w:val="21"/>
                <w:szCs w:val="21"/>
              </w:rPr>
              <w:t> </w:t>
            </w:r>
            <w:r>
              <w:rPr>
                <w:rFonts w:ascii="宋体" w:hAnsi="宋体" w:cs="宋体" w:eastAsia="宋体" w:hint="default"/>
                <w:sz w:val="21"/>
                <w:szCs w:val="21"/>
              </w:rPr>
              <w:t>的，其减持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价格不低于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发行价（若</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71" w:lineRule="auto"/>
              <w:ind w:left="23" w:right="17"/>
              <w:jc w:val="both"/>
              <w:rPr>
                <w:rFonts w:ascii="宋体" w:hAnsi="宋体" w:cs="宋体" w:eastAsia="宋体" w:hint="default"/>
                <w:sz w:val="21"/>
                <w:szCs w:val="21"/>
              </w:rPr>
            </w:pPr>
            <w:r>
              <w:rPr>
                <w:rFonts w:ascii="宋体" w:hAnsi="宋体" w:cs="宋体" w:eastAsia="宋体" w:hint="default"/>
                <w:sz w:val="21"/>
                <w:szCs w:val="21"/>
              </w:rPr>
              <w:t>截至本报告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期末，上述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承诺人严格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信守承诺，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未出现违反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承诺的情况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发生。</w:t>
            </w:r>
          </w:p>
        </w:tc>
      </w:tr>
      <w:tr>
        <w:trPr>
          <w:trHeight w:val="703"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24" w:right="67"/>
              <w:jc w:val="left"/>
              <w:rPr>
                <w:rFonts w:ascii="宋体" w:hAnsi="宋体" w:cs="宋体" w:eastAsia="宋体" w:hint="default"/>
                <w:sz w:val="21"/>
                <w:szCs w:val="21"/>
              </w:rPr>
            </w:pPr>
            <w:r>
              <w:rPr>
                <w:rFonts w:ascii="宋体" w:hAnsi="宋体" w:cs="宋体" w:eastAsia="宋体" w:hint="default"/>
                <w:spacing w:val="-2"/>
                <w:sz w:val="21"/>
                <w:szCs w:val="21"/>
              </w:rPr>
              <w:t>首次公开发行或再融资时所作</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承诺</w:t>
            </w:r>
          </w:p>
        </w:tc>
        <w:tc>
          <w:tcPr>
            <w:tcW w:w="1124" w:type="dxa"/>
            <w:vMerge/>
            <w:tcBorders>
              <w:left w:val="single" w:sz="10" w:space="0" w:color="D2D2D2"/>
              <w:right w:val="single" w:sz="10" w:space="0" w:color="FFFFFF"/>
            </w:tcBorders>
          </w:tcPr>
          <w:p>
            <w:pPr/>
          </w:p>
        </w:tc>
        <w:tc>
          <w:tcPr>
            <w:tcW w:w="1128" w:type="dxa"/>
            <w:vMerge/>
            <w:tcBorders>
              <w:left w:val="single" w:sz="10" w:space="0" w:color="FFFFFF"/>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950"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10" w:space="0" w:color="FFFFFF"/>
            </w:tcBorders>
          </w:tcPr>
          <w:p>
            <w:pPr/>
          </w:p>
        </w:tc>
        <w:tc>
          <w:tcPr>
            <w:tcW w:w="1128" w:type="dxa"/>
            <w:vMerge/>
            <w:tcBorders>
              <w:left w:val="single" w:sz="10" w:space="0" w:color="FFFFFF"/>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59.817688pt;margin-top:72.47998pt;width:63.65pt;height:516.9500pt;mso-position-horizontal-relative:page;mso-position-vertical-relative:page;z-index:-701056"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18"/>
                    <w:ind w:left="0" w:right="0"/>
                    <w:jc w:val="left"/>
                  </w:pPr>
                  <w:r>
                    <w:rPr>
                      <w:w w:val="100"/>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6"/>
      </w:tblGrid>
      <w:tr>
        <w:trPr>
          <w:trHeight w:val="1034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3" w:right="17"/>
              <w:jc w:val="left"/>
              <w:rPr>
                <w:rFonts w:ascii="宋体" w:hAnsi="宋体" w:cs="宋体" w:eastAsia="宋体" w:hint="default"/>
                <w:sz w:val="21"/>
                <w:szCs w:val="21"/>
              </w:rPr>
            </w:pPr>
            <w:r>
              <w:rPr>
                <w:rFonts w:ascii="宋体" w:hAnsi="宋体" w:cs="宋体" w:eastAsia="宋体" w:hint="default"/>
                <w:sz w:val="21"/>
                <w:szCs w:val="21"/>
              </w:rPr>
              <w:t>上述期间公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司发生派发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股利、送红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股、转增股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本、增发新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股或配股等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除权、除息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行为的，该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发行价应进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行相应调</w:t>
            </w:r>
            <w:r>
              <w:rPr>
                <w:rFonts w:ascii="宋体" w:hAnsi="宋体" w:cs="宋体" w:eastAsia="宋体" w:hint="default"/>
                <w:w w:val="100"/>
                <w:sz w:val="21"/>
                <w:szCs w:val="21"/>
              </w:rPr>
              <w:t> </w:t>
            </w:r>
            <w:r>
              <w:rPr>
                <w:rFonts w:ascii="宋体" w:hAnsi="宋体" w:cs="宋体" w:eastAsia="宋体" w:hint="default"/>
                <w:sz w:val="21"/>
                <w:szCs w:val="21"/>
              </w:rPr>
              <w:t>整。下同）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公司上市后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个月内如</w:t>
            </w:r>
            <w:r>
              <w:rPr>
                <w:rFonts w:ascii="宋体" w:hAnsi="宋体" w:cs="宋体" w:eastAsia="宋体" w:hint="default"/>
                <w:w w:val="100"/>
                <w:sz w:val="21"/>
                <w:szCs w:val="21"/>
              </w:rPr>
              <w:t> </w:t>
            </w:r>
            <w:r>
              <w:rPr>
                <w:rFonts w:ascii="宋体" w:hAnsi="宋体" w:cs="宋体" w:eastAsia="宋体" w:hint="default"/>
                <w:sz w:val="21"/>
                <w:szCs w:val="21"/>
              </w:rPr>
              <w:t>公司股票连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续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个交</w:t>
            </w:r>
            <w:r>
              <w:rPr>
                <w:rFonts w:ascii="宋体" w:hAnsi="宋体" w:cs="宋体" w:eastAsia="宋体" w:hint="default"/>
                <w:w w:val="100"/>
                <w:sz w:val="21"/>
                <w:szCs w:val="21"/>
              </w:rPr>
              <w:t> </w:t>
            </w:r>
            <w:r>
              <w:rPr>
                <w:rFonts w:ascii="宋体" w:hAnsi="宋体" w:cs="宋体" w:eastAsia="宋体" w:hint="default"/>
                <w:sz w:val="21"/>
                <w:szCs w:val="21"/>
              </w:rPr>
              <w:t>易日的收盘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价均低于发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行价，</w:t>
            </w:r>
            <w:r>
              <w:rPr>
                <w:rFonts w:ascii="宋体" w:hAnsi="宋体" w:cs="宋体" w:eastAsia="宋体" w:hint="default"/>
                <w:spacing w:val="-85"/>
                <w:sz w:val="21"/>
                <w:szCs w:val="21"/>
              </w:rPr>
              <w:t> </w:t>
            </w:r>
            <w:r>
              <w:rPr>
                <w:rFonts w:ascii="宋体" w:hAnsi="宋体" w:cs="宋体" w:eastAsia="宋体" w:hint="default"/>
                <w:sz w:val="21"/>
                <w:szCs w:val="21"/>
              </w:rPr>
              <w:t>或者</w:t>
            </w:r>
            <w:r>
              <w:rPr>
                <w:rFonts w:ascii="宋体" w:hAnsi="宋体" w:cs="宋体" w:eastAsia="宋体" w:hint="default"/>
                <w:w w:val="100"/>
                <w:sz w:val="21"/>
                <w:szCs w:val="21"/>
              </w:rPr>
              <w:t> </w:t>
            </w:r>
            <w:r>
              <w:rPr>
                <w:rFonts w:ascii="宋体" w:hAnsi="宋体" w:cs="宋体" w:eastAsia="宋体" w:hint="default"/>
                <w:sz w:val="21"/>
                <w:szCs w:val="21"/>
              </w:rPr>
              <w:t>上市后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个月期末收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盘价低于发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行价，持有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公司股票的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锁定期限自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动延长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个月。在上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述承诺涉及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期间内，不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因职务变</w:t>
            </w:r>
            <w:r>
              <w:rPr>
                <w:rFonts w:ascii="宋体" w:hAnsi="宋体" w:cs="宋体" w:eastAsia="宋体" w:hint="default"/>
                <w:w w:val="100"/>
                <w:sz w:val="21"/>
                <w:szCs w:val="21"/>
              </w:rPr>
              <w:t> </w:t>
            </w:r>
            <w:r>
              <w:rPr>
                <w:rFonts w:ascii="宋体" w:hAnsi="宋体" w:cs="宋体" w:eastAsia="宋体" w:hint="default"/>
                <w:sz w:val="21"/>
                <w:szCs w:val="21"/>
              </w:rPr>
              <w:t>更、离职等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原因而放弃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履行上述承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033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6"/>
                <w:sz w:val="20"/>
                <w:szCs w:val="20"/>
              </w:rPr>
              <w:pict>
                <v:group style="width:55.8pt;height:516.9500pt;mso-position-horizontal-relative:char;mso-position-vertical-relative:line" coordorigin="0,0" coordsize="1116,10339">
                  <v:group style="position:absolute;left:0;top:0;width:1116;height:10339" coordorigin="0,0" coordsize="1116,10339">
                    <v:shape style="position:absolute;left:0;top:0;width:1116;height:10339" coordorigin="0,0" coordsize="1116,10339" path="m0,10338l1116,10338,1116,0,0,0,0,10338xe" filled="true" fillcolor="#ffffff" stroked="false">
                      <v:path arrowok="t"/>
                      <v:fill type="solid"/>
                    </v:shape>
                  </v:group>
                </v:group>
              </w:pict>
            </w:r>
            <w:r>
              <w:rPr>
                <w:rFonts w:ascii="Times New Roman" w:hAnsi="Times New Roman" w:cs="Times New Roman" w:eastAsia="Times New Roman" w:hint="default"/>
                <w:position w:val="-206"/>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王际松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1" w:lineRule="auto"/>
              <w:ind w:left="26" w:right="36"/>
              <w:jc w:val="left"/>
              <w:rPr>
                <w:rFonts w:ascii="宋体" w:hAnsi="宋体" w:cs="宋体" w:eastAsia="宋体" w:hint="default"/>
                <w:sz w:val="21"/>
                <w:szCs w:val="21"/>
              </w:rPr>
            </w:pPr>
            <w:r>
              <w:rPr>
                <w:rFonts w:ascii="宋体" w:hAnsi="宋体" w:cs="宋体" w:eastAsia="宋体" w:hint="default"/>
                <w:sz w:val="21"/>
                <w:szCs w:val="21"/>
              </w:rPr>
              <w:t>股份限售承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36"/>
              <w:jc w:val="both"/>
              <w:rPr>
                <w:rFonts w:ascii="宋体" w:hAnsi="宋体" w:cs="宋体" w:eastAsia="宋体" w:hint="default"/>
                <w:sz w:val="21"/>
                <w:szCs w:val="21"/>
              </w:rPr>
            </w:pPr>
            <w:r>
              <w:rPr>
                <w:rFonts w:ascii="宋体" w:hAnsi="宋体" w:cs="宋体" w:eastAsia="宋体" w:hint="default"/>
                <w:sz w:val="21"/>
                <w:szCs w:val="21"/>
              </w:rPr>
              <w:t>自公司股票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三十六个月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内，不转让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或者委托他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人管理其持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有的发行人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股份，也不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会由公司回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购其直接或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间接持有的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9"/>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1" w:lineRule="auto" w:before="173"/>
              <w:ind w:left="23" w:right="17"/>
              <w:jc w:val="both"/>
              <w:rPr>
                <w:rFonts w:ascii="宋体" w:hAnsi="宋体" w:cs="宋体" w:eastAsia="宋体" w:hint="default"/>
                <w:sz w:val="21"/>
                <w:szCs w:val="21"/>
              </w:rPr>
            </w:pPr>
            <w:r>
              <w:rPr>
                <w:rFonts w:ascii="宋体" w:hAnsi="宋体" w:cs="宋体" w:eastAsia="宋体" w:hint="default"/>
                <w:sz w:val="21"/>
                <w:szCs w:val="21"/>
              </w:rPr>
              <w:t>截至本报告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期末，上述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承诺人严格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信守承诺，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未出现违反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承诺的情况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发生。</w:t>
            </w:r>
          </w:p>
        </w:tc>
      </w:tr>
    </w:tbl>
    <w:p>
      <w:pPr>
        <w:spacing w:after="0" w:line="271" w:lineRule="auto"/>
        <w:jc w:val="both"/>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48.218643pt;margin-top:225.259979pt;width:61.45pt;height:17.55pt;mso-position-horizontal-relative:page;mso-position-vertical-relative:page;z-index:-701008" type="#_x0000_t202" filled="false" stroked="false">
            <v:textbox inset="0,0,0,0">
              <w:txbxContent>
                <w:p>
                  <w:pPr>
                    <w:pStyle w:val="BodyText"/>
                    <w:spacing w:line="262" w:lineRule="exact"/>
                    <w:ind w:left="0" w:right="0"/>
                    <w:jc w:val="left"/>
                  </w:pPr>
                  <w:r>
                    <w:rPr>
                      <w:w w:val="100"/>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6"/>
      </w:tblGrid>
      <w:tr>
        <w:trPr>
          <w:trHeight w:val="129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6"/>
              <w:jc w:val="both"/>
              <w:rPr>
                <w:rFonts w:ascii="宋体" w:hAnsi="宋体" w:cs="宋体" w:eastAsia="宋体" w:hint="default"/>
                <w:sz w:val="21"/>
                <w:szCs w:val="21"/>
              </w:rPr>
            </w:pPr>
            <w:r>
              <w:rPr>
                <w:rFonts w:ascii="宋体" w:hAnsi="宋体" w:cs="宋体" w:eastAsia="宋体" w:hint="default"/>
                <w:sz w:val="21"/>
                <w:szCs w:val="21"/>
              </w:rPr>
              <w:t>本公司公开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发行股票前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已发行的股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6"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4" w:right="26"/>
              <w:jc w:val="left"/>
              <w:rPr>
                <w:rFonts w:ascii="宋体" w:hAnsi="宋体" w:cs="宋体" w:eastAsia="宋体" w:hint="default"/>
                <w:sz w:val="21"/>
                <w:szCs w:val="21"/>
              </w:rPr>
            </w:pPr>
            <w:r>
              <w:rPr>
                <w:rFonts w:ascii="宋体" w:hAnsi="宋体" w:cs="宋体" w:eastAsia="宋体" w:hint="default"/>
                <w:sz w:val="21"/>
                <w:szCs w:val="21"/>
              </w:rPr>
              <w:t>贾丽娟、李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国兵、张德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w w:val="100"/>
                <w:sz w:val="21"/>
                <w:szCs w:val="21"/>
              </w:rPr>
              <w:t>强、张继霞</w:t>
            </w:r>
            <w:r>
              <w:rPr>
                <w:rFonts w:ascii="宋体" w:hAnsi="宋体" w:cs="宋体" w:eastAsia="宋体" w:hint="default"/>
                <w:w w:val="100"/>
                <w:sz w:val="21"/>
                <w:szCs w:val="21"/>
              </w:rPr>
              <w:t> </w:t>
            </w:r>
            <w:r>
              <w:rPr>
                <w:rFonts w:ascii="宋体" w:hAnsi="宋体" w:cs="宋体" w:eastAsia="宋体" w:hint="default"/>
                <w:sz w:val="21"/>
                <w:szCs w:val="21"/>
              </w:rPr>
              <w:t>于波</w:t>
            </w:r>
          </w:p>
        </w:tc>
        <w:tc>
          <w:tcPr>
            <w:tcW w:w="112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3" w:lineRule="auto"/>
              <w:ind w:left="19" w:right="36"/>
              <w:jc w:val="left"/>
              <w:rPr>
                <w:rFonts w:ascii="宋体" w:hAnsi="宋体" w:cs="宋体" w:eastAsia="宋体" w:hint="default"/>
                <w:sz w:val="21"/>
                <w:szCs w:val="21"/>
              </w:rPr>
            </w:pPr>
            <w:r>
              <w:rPr>
                <w:rFonts w:ascii="宋体" w:hAnsi="宋体" w:cs="宋体" w:eastAsia="宋体" w:hint="default"/>
                <w:sz w:val="21"/>
                <w:szCs w:val="21"/>
              </w:rPr>
              <w:t>股份限售承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350" w:lineRule="exact"/>
              <w:ind w:left="19"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4pt;height:17.55pt;mso-position-horizontal-relative:char;mso-position-vertical-relative:line" coordorigin="0,0" coordsize="1068,351">
                  <v:group style="position:absolute;left:0;top:0;width:1068;height:351" coordorigin="0,0" coordsize="1068,351">
                    <v:shape style="position:absolute;left:0;top:0;width:1068;height:351" coordorigin="0,0" coordsize="1068,351" path="m0,350l1068,350,1068,0,0,0,0,350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36"/>
              <w:jc w:val="both"/>
              <w:rPr>
                <w:rFonts w:ascii="宋体" w:hAnsi="宋体" w:cs="宋体" w:eastAsia="宋体" w:hint="default"/>
                <w:sz w:val="21"/>
                <w:szCs w:val="21"/>
              </w:rPr>
            </w:pPr>
            <w:r>
              <w:rPr>
                <w:rFonts w:ascii="宋体" w:hAnsi="宋体" w:cs="宋体" w:eastAsia="宋体" w:hint="default"/>
                <w:sz w:val="21"/>
                <w:szCs w:val="21"/>
              </w:rPr>
              <w:t>自公司股票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三十六个月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内，不转让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或者委托他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人管理其持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有的发行人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股份，也不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由发行人回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购其持有的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7"/>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z w:val="21"/>
                <w:szCs w:val="21"/>
              </w:rPr>
              <w:t>截至本报告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期末，上述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承诺人严格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信守承诺，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未出现违反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承诺的情况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发生。</w:t>
            </w: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潘帮南</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3" w:lineRule="auto"/>
              <w:ind w:left="26" w:right="36"/>
              <w:jc w:val="left"/>
              <w:rPr>
                <w:rFonts w:ascii="宋体" w:hAnsi="宋体" w:cs="宋体" w:eastAsia="宋体" w:hint="default"/>
                <w:sz w:val="21"/>
                <w:szCs w:val="21"/>
              </w:rPr>
            </w:pPr>
            <w:r>
              <w:rPr>
                <w:rFonts w:ascii="宋体" w:hAnsi="宋体" w:cs="宋体" w:eastAsia="宋体" w:hint="default"/>
                <w:sz w:val="21"/>
                <w:szCs w:val="21"/>
              </w:rPr>
              <w:t>股份限售承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36"/>
              <w:jc w:val="left"/>
              <w:rPr>
                <w:rFonts w:ascii="宋体" w:hAnsi="宋体" w:cs="宋体" w:eastAsia="宋体" w:hint="default"/>
                <w:sz w:val="21"/>
                <w:szCs w:val="21"/>
              </w:rPr>
            </w:pPr>
            <w:r>
              <w:rPr>
                <w:rFonts w:ascii="宋体" w:hAnsi="宋体" w:cs="宋体" w:eastAsia="宋体" w:hint="default"/>
                <w:sz w:val="21"/>
                <w:szCs w:val="21"/>
              </w:rPr>
              <w:t>自公司股票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十二个月</w:t>
            </w:r>
            <w:r>
              <w:rPr>
                <w:rFonts w:ascii="宋体" w:hAnsi="宋体" w:cs="宋体" w:eastAsia="宋体" w:hint="default"/>
                <w:w w:val="100"/>
                <w:sz w:val="21"/>
                <w:szCs w:val="21"/>
              </w:rPr>
              <w:t> </w:t>
            </w:r>
            <w:r>
              <w:rPr>
                <w:rFonts w:ascii="宋体" w:hAnsi="宋体" w:cs="宋体" w:eastAsia="宋体" w:hint="default"/>
                <w:sz w:val="21"/>
                <w:szCs w:val="21"/>
              </w:rPr>
              <w:t>内，不转让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或者委托他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人管理其持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有的发行人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股份，也不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会由公司回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购其直接或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间接持有的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本公司公开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发行股票前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已发行的股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份；所持股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票在上述锁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定期满后两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年内减持</w:t>
            </w:r>
            <w:r>
              <w:rPr>
                <w:rFonts w:ascii="宋体" w:hAnsi="宋体" w:cs="宋体" w:eastAsia="宋体" w:hint="default"/>
                <w:w w:val="100"/>
                <w:sz w:val="21"/>
                <w:szCs w:val="21"/>
              </w:rPr>
              <w:t> </w:t>
            </w:r>
            <w:r>
              <w:rPr>
                <w:rFonts w:ascii="宋体" w:hAnsi="宋体" w:cs="宋体" w:eastAsia="宋体" w:hint="default"/>
                <w:sz w:val="21"/>
                <w:szCs w:val="21"/>
              </w:rPr>
              <w:t>的，其减持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价格不低于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发行价；公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司上市后</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个月内如公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司股票连续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20 </w:t>
            </w:r>
            <w:r>
              <w:rPr>
                <w:rFonts w:ascii="宋体" w:hAnsi="宋体" w:cs="宋体" w:eastAsia="宋体" w:hint="default"/>
                <w:sz w:val="21"/>
                <w:szCs w:val="21"/>
              </w:rPr>
              <w:t>个交易</w:t>
            </w:r>
            <w:r>
              <w:rPr>
                <w:rFonts w:ascii="宋体" w:hAnsi="宋体" w:cs="宋体" w:eastAsia="宋体" w:hint="default"/>
                <w:w w:val="100"/>
                <w:sz w:val="21"/>
                <w:szCs w:val="21"/>
              </w:rPr>
              <w:t> </w:t>
            </w:r>
            <w:r>
              <w:rPr>
                <w:rFonts w:ascii="宋体" w:hAnsi="宋体" w:cs="宋体" w:eastAsia="宋体" w:hint="default"/>
                <w:sz w:val="21"/>
                <w:szCs w:val="21"/>
              </w:rPr>
              <w:t>日的收盘价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均低于发行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价，或者上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市后 </w:t>
            </w:r>
            <w:r>
              <w:rPr>
                <w:rFonts w:ascii="Times New Roman" w:hAnsi="Times New Roman" w:cs="Times New Roman" w:eastAsia="Times New Roman" w:hint="default"/>
                <w:sz w:val="21"/>
                <w:szCs w:val="21"/>
              </w:rPr>
              <w:t>6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4"/>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z w:val="21"/>
                <w:szCs w:val="21"/>
              </w:rPr>
              <w:t>截至本报告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期末，上述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承诺人严格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信守承诺，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未出现违反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承诺的情况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发生。</w:t>
            </w:r>
          </w:p>
        </w:tc>
      </w:tr>
    </w:tbl>
    <w:p>
      <w:pPr>
        <w:spacing w:after="0" w:line="273" w:lineRule="auto"/>
        <w:jc w:val="both"/>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6"/>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3" w:right="36"/>
              <w:jc w:val="left"/>
              <w:rPr>
                <w:rFonts w:ascii="宋体" w:hAnsi="宋体" w:cs="宋体" w:eastAsia="宋体" w:hint="default"/>
                <w:sz w:val="21"/>
                <w:szCs w:val="21"/>
              </w:rPr>
            </w:pPr>
            <w:r>
              <w:rPr>
                <w:rFonts w:ascii="宋体" w:hAnsi="宋体" w:cs="宋体" w:eastAsia="宋体" w:hint="default"/>
                <w:sz w:val="21"/>
                <w:szCs w:val="21"/>
              </w:rPr>
              <w:t>月期末收盘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价低于发行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价，持有公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司股票的锁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定期限自动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延长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月。在上述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承诺涉及期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间内，不因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职务变更、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离职等原因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而放弃履行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上述承诺。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6"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7"/>
              <w:ind w:left="24" w:right="33"/>
              <w:jc w:val="both"/>
              <w:rPr>
                <w:rFonts w:ascii="宋体" w:hAnsi="宋体" w:cs="宋体" w:eastAsia="宋体" w:hint="default"/>
                <w:sz w:val="21"/>
                <w:szCs w:val="21"/>
              </w:rPr>
            </w:pPr>
            <w:r>
              <w:rPr>
                <w:rFonts w:ascii="宋体" w:hAnsi="宋体" w:cs="宋体" w:eastAsia="宋体" w:hint="default"/>
                <w:sz w:val="21"/>
                <w:szCs w:val="21"/>
              </w:rPr>
              <w:t>苏州思科、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新疆智泉、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芜湖润瑞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73" w:lineRule="auto"/>
              <w:ind w:left="26" w:right="36"/>
              <w:jc w:val="left"/>
              <w:rPr>
                <w:rFonts w:ascii="宋体" w:hAnsi="宋体" w:cs="宋体" w:eastAsia="宋体" w:hint="default"/>
                <w:sz w:val="21"/>
                <w:szCs w:val="21"/>
              </w:rPr>
            </w:pPr>
            <w:r>
              <w:rPr>
                <w:rFonts w:ascii="宋体" w:hAnsi="宋体" w:cs="宋体" w:eastAsia="宋体" w:hint="default"/>
                <w:sz w:val="21"/>
                <w:szCs w:val="21"/>
              </w:rPr>
              <w:t>股份限售承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3" w:right="36"/>
              <w:jc w:val="left"/>
              <w:rPr>
                <w:rFonts w:ascii="宋体" w:hAnsi="宋体" w:cs="宋体" w:eastAsia="宋体" w:hint="default"/>
                <w:sz w:val="21"/>
                <w:szCs w:val="21"/>
              </w:rPr>
            </w:pPr>
            <w:r>
              <w:rPr>
                <w:rFonts w:ascii="宋体" w:hAnsi="宋体" w:cs="宋体" w:eastAsia="宋体" w:hint="default"/>
                <w:sz w:val="21"/>
                <w:szCs w:val="21"/>
              </w:rPr>
              <w:t>自公司股票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十二个月</w:t>
            </w:r>
            <w:r>
              <w:rPr>
                <w:rFonts w:ascii="宋体" w:hAnsi="宋体" w:cs="宋体" w:eastAsia="宋体" w:hint="default"/>
                <w:w w:val="100"/>
                <w:sz w:val="21"/>
                <w:szCs w:val="21"/>
              </w:rPr>
              <w:t> </w:t>
            </w:r>
            <w:r>
              <w:rPr>
                <w:rFonts w:ascii="宋体" w:hAnsi="宋体" w:cs="宋体" w:eastAsia="宋体" w:hint="default"/>
                <w:sz w:val="21"/>
                <w:szCs w:val="21"/>
              </w:rPr>
              <w:t>内，不转让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或者委托他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人管理其持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有的发行人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股份，也不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由发行人回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购其持有的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z w:val="21"/>
                <w:szCs w:val="21"/>
              </w:rPr>
              <w:t>截至本报告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期末，上述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承诺人严格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信守承诺，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未出现违反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承诺的情况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发生。</w:t>
            </w:r>
          </w:p>
        </w:tc>
      </w:tr>
      <w:tr>
        <w:trPr>
          <w:trHeight w:val="383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73" w:lineRule="auto"/>
              <w:ind w:left="24" w:right="33"/>
              <w:jc w:val="both"/>
              <w:rPr>
                <w:rFonts w:ascii="宋体" w:hAnsi="宋体" w:cs="宋体" w:eastAsia="宋体" w:hint="default"/>
                <w:sz w:val="21"/>
                <w:szCs w:val="21"/>
              </w:rPr>
            </w:pPr>
            <w:r>
              <w:rPr>
                <w:rFonts w:ascii="宋体" w:hAnsi="宋体" w:cs="宋体" w:eastAsia="宋体" w:hint="default"/>
                <w:sz w:val="21"/>
                <w:szCs w:val="21"/>
              </w:rPr>
              <w:t>双国庆、张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瑞英（间接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持股）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73" w:lineRule="auto"/>
              <w:ind w:left="26" w:right="36"/>
              <w:jc w:val="left"/>
              <w:rPr>
                <w:rFonts w:ascii="宋体" w:hAnsi="宋体" w:cs="宋体" w:eastAsia="宋体" w:hint="default"/>
                <w:sz w:val="21"/>
                <w:szCs w:val="21"/>
              </w:rPr>
            </w:pPr>
            <w:r>
              <w:rPr>
                <w:rFonts w:ascii="宋体" w:hAnsi="宋体" w:cs="宋体" w:eastAsia="宋体" w:hint="default"/>
                <w:sz w:val="21"/>
                <w:szCs w:val="21"/>
              </w:rPr>
              <w:t>股份限售承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36"/>
              <w:jc w:val="left"/>
              <w:rPr>
                <w:rFonts w:ascii="宋体" w:hAnsi="宋体" w:cs="宋体" w:eastAsia="宋体" w:hint="default"/>
                <w:sz w:val="21"/>
                <w:szCs w:val="21"/>
              </w:rPr>
            </w:pPr>
            <w:r>
              <w:rPr>
                <w:rFonts w:ascii="宋体" w:hAnsi="宋体" w:cs="宋体" w:eastAsia="宋体" w:hint="default"/>
                <w:sz w:val="21"/>
                <w:szCs w:val="21"/>
              </w:rPr>
              <w:t>自公司股票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上市之日起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十二个月</w:t>
            </w:r>
            <w:r>
              <w:rPr>
                <w:rFonts w:ascii="宋体" w:hAnsi="宋体" w:cs="宋体" w:eastAsia="宋体" w:hint="default"/>
                <w:w w:val="100"/>
                <w:sz w:val="21"/>
                <w:szCs w:val="21"/>
              </w:rPr>
              <w:t> </w:t>
            </w:r>
            <w:r>
              <w:rPr>
                <w:rFonts w:ascii="宋体" w:hAnsi="宋体" w:cs="宋体" w:eastAsia="宋体" w:hint="default"/>
                <w:sz w:val="21"/>
                <w:szCs w:val="21"/>
              </w:rPr>
              <w:t>内，不转让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或者委托他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人管理其间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接持有的发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行人股份，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也不由发行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人回购其间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接持有的发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行人股份。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8"/>
              <w:ind w:left="23" w:right="17"/>
              <w:jc w:val="both"/>
              <w:rPr>
                <w:rFonts w:ascii="宋体" w:hAnsi="宋体" w:cs="宋体" w:eastAsia="宋体" w:hint="default"/>
                <w:sz w:val="21"/>
                <w:szCs w:val="21"/>
              </w:rPr>
            </w:pPr>
            <w:r>
              <w:rPr>
                <w:rFonts w:ascii="宋体" w:hAnsi="宋体" w:cs="宋体" w:eastAsia="宋体" w:hint="default"/>
                <w:sz w:val="21"/>
                <w:szCs w:val="21"/>
              </w:rPr>
              <w:t>截至本报告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期末，上述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承诺人严格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信守承诺，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未出现违反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承诺的情况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发生。</w:t>
            </w: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02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67"/>
              <w:jc w:val="both"/>
              <w:rPr>
                <w:rFonts w:ascii="宋体" w:hAnsi="宋体" w:cs="宋体" w:eastAsia="宋体" w:hint="default"/>
                <w:sz w:val="21"/>
                <w:szCs w:val="21"/>
              </w:rPr>
            </w:pPr>
            <w:r>
              <w:rPr>
                <w:rFonts w:ascii="宋体" w:hAnsi="宋体" w:cs="宋体" w:eastAsia="宋体" w:hint="default"/>
                <w:spacing w:val="-2"/>
                <w:sz w:val="21"/>
                <w:szCs w:val="21"/>
              </w:rPr>
              <w:t>如承诺超期未履行完毕的，应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当详细说明未完成履行的具体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原因及下一步的工作计划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6"/>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53"/>
        <w:jc w:val="left"/>
        <w:rPr>
          <w:b w:val="0"/>
          <w:bCs w:val="0"/>
        </w:rPr>
      </w:pPr>
      <w:r>
        <w:rPr/>
        <w:t>三、控股股东及其关联方对上市公司的非经营性占用资金情况</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right="1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公司报告期不存在控股股东及其关联方对上市公司的非经营性占用资金。</w:t>
      </w:r>
    </w:p>
    <w:p>
      <w:pPr>
        <w:spacing w:line="240" w:lineRule="auto" w:before="6"/>
        <w:rPr>
          <w:rFonts w:ascii="宋体" w:hAnsi="宋体" w:cs="宋体" w:eastAsia="宋体" w:hint="default"/>
          <w:sz w:val="20"/>
          <w:szCs w:val="20"/>
        </w:rPr>
      </w:pPr>
    </w:p>
    <w:p>
      <w:pPr>
        <w:pStyle w:val="Heading2"/>
        <w:spacing w:line="240" w:lineRule="auto"/>
        <w:ind w:right="15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53"/>
        <w:jc w:val="left"/>
        <w:rPr>
          <w:b w:val="0"/>
          <w:bCs w:val="0"/>
        </w:rPr>
      </w:pPr>
      <w:r>
        <w:rPr/>
        <w:t>六、董事会关于报告期会计政策、会计估计变更或重大会计差错更正的说明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53"/>
        <w:jc w:val="left"/>
        <w:rPr>
          <w:b w:val="0"/>
          <w:bCs w:val="0"/>
        </w:rPr>
      </w:pPr>
      <w:r>
        <w:rPr/>
        <w:t>七、与上年度财务报告相比，合并报表范围发生变化的情况说明</w:t>
      </w:r>
      <w:r>
        <w:rPr>
          <w:b w:val="0"/>
          <w:bCs w:val="0"/>
        </w:rPr>
      </w:r>
    </w:p>
    <w:p>
      <w:pPr>
        <w:spacing w:line="240" w:lineRule="auto" w:before="9"/>
        <w:rPr>
          <w:rFonts w:ascii="宋体" w:hAnsi="宋体" w:cs="宋体" w:eastAsia="宋体" w:hint="default"/>
          <w:b/>
          <w:bCs/>
          <w:sz w:val="24"/>
          <w:szCs w:val="24"/>
        </w:rPr>
      </w:pPr>
    </w:p>
    <w:p>
      <w:pPr>
        <w:pStyle w:val="BodyText"/>
        <w:spacing w:line="290" w:lineRule="auto"/>
        <w:ind w:right="4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公司报告期无合并报表范围发生变化的情况。</w:t>
      </w:r>
    </w:p>
    <w:p>
      <w:pPr>
        <w:spacing w:line="240" w:lineRule="auto" w:before="6"/>
        <w:rPr>
          <w:rFonts w:ascii="宋体" w:hAnsi="宋体" w:cs="宋体" w:eastAsia="宋体" w:hint="default"/>
          <w:sz w:val="20"/>
          <w:szCs w:val="20"/>
        </w:rPr>
      </w:pPr>
    </w:p>
    <w:p>
      <w:pPr>
        <w:pStyle w:val="Heading2"/>
        <w:spacing w:line="240" w:lineRule="auto"/>
        <w:ind w:right="153"/>
        <w:jc w:val="left"/>
        <w:rPr>
          <w:b w:val="0"/>
          <w:bCs w:val="0"/>
        </w:rPr>
      </w:pPr>
      <w:r>
        <w:rPr/>
        <w:t>八、聘任、解聘会计师事务所情况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t>现聘任的会计师事务所</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华普天健会计师事务所（特殊普通合伙）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50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83"/>
              <w:jc w:val="right"/>
              <w:rPr>
                <w:rFonts w:ascii="Times New Roman" w:hAnsi="Times New Roman" w:cs="Times New Roman" w:eastAsia="Times New Roman" w:hint="default"/>
                <w:sz w:val="21"/>
                <w:szCs w:val="21"/>
              </w:rPr>
            </w:pPr>
            <w:r>
              <w:rPr>
                <w:rFonts w:ascii="Times New Roman"/>
                <w:w w:val="100"/>
                <w:sz w:val="21"/>
              </w:rPr>
              <w:t>6</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肖桂莲、张雪咏、孙建伟</w:t>
            </w:r>
          </w:p>
        </w:tc>
      </w:tr>
    </w:tbl>
    <w:p>
      <w:pPr>
        <w:pStyle w:val="BodyText"/>
        <w:spacing w:line="240" w:lineRule="auto" w:before="28"/>
        <w:ind w:right="153"/>
        <w:jc w:val="left"/>
      </w:pPr>
      <w:r>
        <w:rPr/>
        <w:t>是否改聘会计师事务所</w:t>
      </w:r>
    </w:p>
    <w:p>
      <w:pPr>
        <w:pStyle w:val="BodyText"/>
        <w:spacing w:line="290" w:lineRule="auto" w:before="78"/>
        <w:ind w:right="452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聘请内部控制审计会计师事务所、财务顾问或保荐人情况</w:t>
      </w:r>
    </w:p>
    <w:p>
      <w:pPr>
        <w:pStyle w:val="BodyText"/>
        <w:spacing w:line="240" w:lineRule="auto" w:before="3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53"/>
        <w:jc w:val="left"/>
        <w:rPr>
          <w:b w:val="0"/>
          <w:bCs w:val="0"/>
        </w:rPr>
      </w:pPr>
      <w:r>
        <w:rPr/>
        <w:t>九、年度报告披露后面临暂停上市和终止上市情况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十、破产重整相关事项</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公司报告期未发生破产重整相关事项。</w:t>
      </w:r>
    </w:p>
    <w:p>
      <w:pPr>
        <w:spacing w:line="240" w:lineRule="auto" w:before="6"/>
        <w:rPr>
          <w:rFonts w:ascii="宋体" w:hAnsi="宋体" w:cs="宋体" w:eastAsia="宋体" w:hint="default"/>
          <w:sz w:val="20"/>
          <w:szCs w:val="20"/>
        </w:rPr>
      </w:pPr>
    </w:p>
    <w:p>
      <w:pPr>
        <w:pStyle w:val="Heading2"/>
        <w:spacing w:line="240" w:lineRule="auto"/>
        <w:ind w:right="153"/>
        <w:jc w:val="left"/>
        <w:rPr>
          <w:b w:val="0"/>
          <w:bCs w:val="0"/>
        </w:rPr>
      </w:pPr>
      <w:r>
        <w:rPr/>
        <w:t>十一、重大诉讼、仲裁事项</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本报告期公司无重大诉讼、仲裁事项。</w:t>
      </w:r>
    </w:p>
    <w:p>
      <w:pPr>
        <w:spacing w:line="240" w:lineRule="auto" w:before="6"/>
        <w:rPr>
          <w:rFonts w:ascii="宋体" w:hAnsi="宋体" w:cs="宋体" w:eastAsia="宋体" w:hint="default"/>
          <w:sz w:val="20"/>
          <w:szCs w:val="20"/>
        </w:rPr>
      </w:pPr>
    </w:p>
    <w:p>
      <w:pPr>
        <w:pStyle w:val="Heading2"/>
        <w:spacing w:line="240" w:lineRule="auto"/>
        <w:ind w:right="153"/>
        <w:jc w:val="left"/>
        <w:rPr>
          <w:b w:val="0"/>
          <w:bCs w:val="0"/>
        </w:rPr>
      </w:pPr>
      <w:r>
        <w:rPr/>
        <w:t>十二、处罚及整改情况</w:t>
      </w:r>
      <w:r>
        <w:rPr>
          <w:b w:val="0"/>
          <w:bCs w:val="0"/>
        </w:rPr>
      </w:r>
    </w:p>
    <w:p>
      <w:pPr>
        <w:spacing w:line="240" w:lineRule="auto" w:before="12"/>
        <w:rPr>
          <w:rFonts w:ascii="宋体" w:hAnsi="宋体" w:cs="宋体" w:eastAsia="宋体" w:hint="default"/>
          <w:b/>
          <w:bCs/>
          <w:sz w:val="24"/>
          <w:szCs w:val="24"/>
        </w:rPr>
      </w:pPr>
    </w:p>
    <w:p>
      <w:pPr>
        <w:pStyle w:val="BodyText"/>
        <w:spacing w:line="292"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公司报告期不存在处罚及整改情况。</w:t>
      </w:r>
    </w:p>
    <w:p>
      <w:pPr>
        <w:spacing w:line="240" w:lineRule="auto" w:before="1"/>
        <w:rPr>
          <w:rFonts w:ascii="宋体" w:hAnsi="宋体" w:cs="宋体" w:eastAsia="宋体" w:hint="default"/>
          <w:sz w:val="20"/>
          <w:szCs w:val="20"/>
        </w:rPr>
      </w:pPr>
    </w:p>
    <w:p>
      <w:pPr>
        <w:pStyle w:val="Heading2"/>
        <w:spacing w:line="240" w:lineRule="auto"/>
        <w:ind w:right="153"/>
        <w:jc w:val="left"/>
        <w:rPr>
          <w:b w:val="0"/>
          <w:bCs w:val="0"/>
        </w:rPr>
      </w:pPr>
      <w:r>
        <w:rPr/>
        <w:t>十三、公司及其控股股东、实际控制人的诚信状况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53"/>
        <w:jc w:val="left"/>
        <w:rPr>
          <w:b w:val="0"/>
          <w:bCs w:val="0"/>
        </w:rPr>
      </w:pPr>
      <w:r>
        <w:rPr/>
        <w:t>十四、公司股权激励计划、员工持股计划或其他员工激励措施的实施情况</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right="1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公司报告期无股权激励计划、员工持股计划或其他员工激励措施及其实施情况。</w:t>
      </w:r>
    </w:p>
    <w:p>
      <w:pPr>
        <w:spacing w:line="240" w:lineRule="auto" w:before="6"/>
        <w:rPr>
          <w:rFonts w:ascii="宋体" w:hAnsi="宋体" w:cs="宋体" w:eastAsia="宋体" w:hint="default"/>
          <w:sz w:val="20"/>
          <w:szCs w:val="20"/>
        </w:rPr>
      </w:pPr>
    </w:p>
    <w:p>
      <w:pPr>
        <w:pStyle w:val="Heading2"/>
        <w:spacing w:line="240" w:lineRule="auto"/>
        <w:ind w:right="15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right="4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公司报告期未发生与日常经营相关的关联交易。</w:t>
      </w:r>
    </w:p>
    <w:p>
      <w:pPr>
        <w:spacing w:line="240" w:lineRule="auto" w:before="5"/>
        <w:rPr>
          <w:rFonts w:ascii="宋体" w:hAnsi="宋体" w:cs="宋体" w:eastAsia="宋体" w:hint="default"/>
          <w:sz w:val="22"/>
          <w:szCs w:val="22"/>
        </w:rPr>
      </w:pPr>
    </w:p>
    <w:p>
      <w:pPr>
        <w:pStyle w:val="Heading4"/>
        <w:spacing w:line="240" w:lineRule="auto"/>
        <w:ind w:right="15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4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公司报告期未发生资产或股权收购、出售的关联交易。</w:t>
      </w:r>
    </w:p>
    <w:p>
      <w:pPr>
        <w:spacing w:line="240" w:lineRule="auto" w:before="5"/>
        <w:rPr>
          <w:rFonts w:ascii="宋体" w:hAnsi="宋体" w:cs="宋体" w:eastAsia="宋体" w:hint="default"/>
          <w:sz w:val="22"/>
          <w:szCs w:val="22"/>
        </w:rPr>
      </w:pPr>
    </w:p>
    <w:p>
      <w:pPr>
        <w:pStyle w:val="Heading4"/>
        <w:spacing w:line="240" w:lineRule="auto"/>
        <w:ind w:right="15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4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公司报告期未发生共同对外投资的关联交易。</w:t>
      </w:r>
    </w:p>
    <w:p>
      <w:pPr>
        <w:spacing w:line="240" w:lineRule="auto" w:before="3"/>
        <w:rPr>
          <w:rFonts w:ascii="宋体" w:hAnsi="宋体" w:cs="宋体" w:eastAsia="宋体" w:hint="default"/>
          <w:sz w:val="22"/>
          <w:szCs w:val="22"/>
        </w:rPr>
      </w:pPr>
    </w:p>
    <w:p>
      <w:pPr>
        <w:pStyle w:val="Heading4"/>
        <w:spacing w:line="240" w:lineRule="auto"/>
        <w:ind w:right="15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53"/>
        <w:jc w:val="left"/>
      </w:pPr>
      <w:r>
        <w:rPr/>
        <w:t>公司报告期不存在关联债权债务往来。</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公司报告期无其他重大关联交易。</w:t>
      </w:r>
    </w:p>
    <w:p>
      <w:pPr>
        <w:spacing w:line="240" w:lineRule="auto" w:before="6"/>
        <w:rPr>
          <w:rFonts w:ascii="宋体" w:hAnsi="宋体" w:cs="宋体" w:eastAsia="宋体" w:hint="default"/>
          <w:sz w:val="20"/>
          <w:szCs w:val="20"/>
        </w:rPr>
      </w:pPr>
    </w:p>
    <w:p>
      <w:pPr>
        <w:pStyle w:val="Heading2"/>
        <w:spacing w:line="240" w:lineRule="auto"/>
        <w:ind w:right="15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公司报告期不存在托管情况。</w:t>
      </w:r>
    </w:p>
    <w:p>
      <w:pPr>
        <w:spacing w:line="240" w:lineRule="auto" w:before="5"/>
        <w:rPr>
          <w:rFonts w:ascii="宋体" w:hAnsi="宋体" w:cs="宋体" w:eastAsia="宋体" w:hint="default"/>
          <w:sz w:val="22"/>
          <w:szCs w:val="22"/>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公司报告期不存在承包情况。</w:t>
      </w:r>
    </w:p>
    <w:p>
      <w:pPr>
        <w:spacing w:line="240" w:lineRule="auto" w:before="3"/>
        <w:rPr>
          <w:rFonts w:ascii="宋体" w:hAnsi="宋体" w:cs="宋体" w:eastAsia="宋体" w:hint="default"/>
          <w:sz w:val="22"/>
          <w:szCs w:val="22"/>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公司报告期不存在租赁情况。</w:t>
      </w:r>
    </w:p>
    <w:p>
      <w:pPr>
        <w:spacing w:line="240" w:lineRule="auto" w:before="6"/>
        <w:rPr>
          <w:rFonts w:ascii="宋体" w:hAnsi="宋体" w:cs="宋体" w:eastAsia="宋体" w:hint="default"/>
          <w:sz w:val="22"/>
          <w:szCs w:val="22"/>
        </w:rPr>
      </w:pPr>
    </w:p>
    <w:p>
      <w:pPr>
        <w:pStyle w:val="Heading4"/>
        <w:spacing w:line="240" w:lineRule="auto"/>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公司报告期不存在担保情况。</w:t>
      </w:r>
    </w:p>
    <w:p>
      <w:pPr>
        <w:spacing w:line="240" w:lineRule="auto" w:before="5"/>
        <w:rPr>
          <w:rFonts w:ascii="宋体" w:hAnsi="宋体" w:cs="宋体" w:eastAsia="宋体" w:hint="default"/>
          <w:sz w:val="22"/>
          <w:szCs w:val="22"/>
        </w:rPr>
      </w:pPr>
    </w:p>
    <w:p>
      <w:pPr>
        <w:pStyle w:val="Heading4"/>
        <w:spacing w:line="240" w:lineRule="auto"/>
        <w:ind w:right="15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公司报告期不存在委托理财。</w:t>
      </w:r>
    </w:p>
    <w:p>
      <w:pPr>
        <w:spacing w:line="240" w:lineRule="auto" w:before="6"/>
        <w:rPr>
          <w:rFonts w:ascii="宋体" w:hAnsi="宋体" w:cs="宋体" w:eastAsia="宋体" w:hint="default"/>
          <w:sz w:val="22"/>
          <w:szCs w:val="22"/>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公司报告期不存在委托贷款。</w:t>
      </w:r>
    </w:p>
    <w:p>
      <w:pPr>
        <w:spacing w:after="0" w:line="29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公司报告期不存在其他重大合同。</w:t>
      </w:r>
    </w:p>
    <w:p>
      <w:pPr>
        <w:spacing w:line="240" w:lineRule="auto" w:before="6"/>
        <w:rPr>
          <w:rFonts w:ascii="宋体" w:hAnsi="宋体" w:cs="宋体" w:eastAsia="宋体" w:hint="default"/>
          <w:sz w:val="20"/>
          <w:szCs w:val="20"/>
        </w:rPr>
      </w:pPr>
    </w:p>
    <w:p>
      <w:pPr>
        <w:pStyle w:val="Heading2"/>
        <w:spacing w:line="240" w:lineRule="auto"/>
        <w:ind w:right="153"/>
        <w:jc w:val="left"/>
        <w:rPr>
          <w:b w:val="0"/>
          <w:bCs w:val="0"/>
        </w:rPr>
      </w:pPr>
      <w:r>
        <w:rPr/>
        <w:t>十七、其他重大事项的说明</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right="4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公司报告期不存在需要说明的其他重大事项。</w:t>
      </w:r>
    </w:p>
    <w:p>
      <w:pPr>
        <w:spacing w:line="240" w:lineRule="auto" w:before="6"/>
        <w:rPr>
          <w:rFonts w:ascii="宋体" w:hAnsi="宋体" w:cs="宋体" w:eastAsia="宋体" w:hint="default"/>
          <w:sz w:val="20"/>
          <w:szCs w:val="20"/>
        </w:rPr>
      </w:pPr>
    </w:p>
    <w:p>
      <w:pPr>
        <w:pStyle w:val="Heading2"/>
        <w:spacing w:line="240" w:lineRule="auto"/>
        <w:ind w:right="153"/>
        <w:jc w:val="left"/>
        <w:rPr>
          <w:b w:val="0"/>
          <w:bCs w:val="0"/>
        </w:rPr>
      </w:pPr>
      <w:r>
        <w:rPr/>
        <w:t>十八、公司子公司重大事项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2"/>
          <w:szCs w:val="22"/>
        </w:rPr>
      </w:pPr>
    </w:p>
    <w:p>
      <w:pPr>
        <w:pStyle w:val="Heading2"/>
        <w:spacing w:line="240" w:lineRule="auto"/>
        <w:ind w:right="153"/>
        <w:jc w:val="left"/>
        <w:rPr>
          <w:b w:val="0"/>
          <w:bCs w:val="0"/>
        </w:rPr>
      </w:pPr>
      <w:r>
        <w:rPr/>
        <w:t>十九、社会责任情况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53"/>
        <w:jc w:val="left"/>
        <w:rPr>
          <w:b w:val="0"/>
          <w:bCs w:val="0"/>
        </w:rPr>
      </w:pPr>
      <w:r>
        <w:rPr/>
        <w:t>二十、公司债券相关情况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53"/>
        <w:jc w:val="left"/>
      </w:pPr>
      <w:r>
        <w:rPr>
          <w:spacing w:val="-2"/>
        </w:rPr>
        <w:t>公司是否存在公开发行并在证券交易所上市，且在年度报告批准报出日未到期或到期未能全额兑付的公司</w:t>
      </w:r>
      <w:r>
        <w:rPr>
          <w:spacing w:val="-43"/>
        </w:rPr>
        <w:t> </w:t>
      </w:r>
      <w:r>
        <w:rPr>
          <w:spacing w:val="-43"/>
        </w:rPr>
      </w:r>
      <w:r>
        <w:rPr/>
        <w:t>债券</w:t>
      </w:r>
    </w:p>
    <w:p>
      <w:pPr>
        <w:pStyle w:val="BodyText"/>
        <w:spacing w:line="240" w:lineRule="auto" w:before="48"/>
        <w:ind w:right="153"/>
        <w:jc w:val="left"/>
      </w:pPr>
      <w:r>
        <w:rPr>
          <w:w w:val="100"/>
        </w:rPr>
        <w:t>否</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153"/>
        <w:jc w:val="left"/>
        <w:rPr>
          <w:b w:val="0"/>
          <w:bCs w:val="0"/>
        </w:rPr>
      </w:pPr>
      <w:bookmarkStart w:name="_TOC_250005" w:id="6"/>
      <w:r>
        <w:rPr/>
        <w:t>第六节</w:t>
      </w:r>
      <w:r>
        <w:rPr>
          <w:spacing w:val="-5"/>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spacing w:val="-1"/>
        </w:rPr>
        <w:t>单位：股</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3"/>
        <w:gridCol w:w="795"/>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02" w:right="86" w:hanging="212"/>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96" w:right="86"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9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9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9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9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9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8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8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795"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 w:right="0"/>
              <w:jc w:val="left"/>
              <w:rPr>
                <w:rFonts w:ascii="Times New Roman" w:hAnsi="Times New Roman" w:cs="Times New Roman" w:eastAsia="Times New Roman" w:hint="default"/>
                <w:sz w:val="21"/>
                <w:szCs w:val="21"/>
              </w:rPr>
            </w:pPr>
            <w:r>
              <w:rPr>
                <w:rFonts w:ascii="Times New Roman"/>
                <w:sz w:val="21"/>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75.00%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00</w:t>
            </w:r>
          </w:p>
        </w:tc>
        <w:tc>
          <w:tcPr>
            <w:tcW w:w="823"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75.00%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17.60%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8,800,00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13.20%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41,200,0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82.40%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41,200,0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61.80%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91"/>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r>
              <w:rPr>
                <w:rFonts w:ascii="宋体" w:hAnsi="宋体" w:cs="宋体" w:eastAsia="宋体" w:hint="default"/>
                <w:sz w:val="21"/>
                <w:szCs w:val="21"/>
              </w:rPr>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8"/>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16,670,0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16,670,0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16,670,0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25.00%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16,670,0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16,670,0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16,670,0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25.00%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 w:right="0"/>
              <w:jc w:val="left"/>
              <w:rPr>
                <w:rFonts w:ascii="Times New Roman" w:hAnsi="Times New Roman" w:cs="Times New Roman" w:eastAsia="Times New Roman" w:hint="default"/>
                <w:sz w:val="21"/>
                <w:szCs w:val="21"/>
              </w:rPr>
            </w:pPr>
            <w:r>
              <w:rPr>
                <w:rFonts w:ascii="Times New Roman"/>
                <w:sz w:val="21"/>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16,670,0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16,670,0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66,670,0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28"/>
        <w:ind w:right="153"/>
        <w:jc w:val="left"/>
      </w:pPr>
      <w:r>
        <w:rPr/>
        <w:t>股份变动的原因</w:t>
      </w:r>
    </w:p>
    <w:p>
      <w:pPr>
        <w:pStyle w:val="BodyText"/>
        <w:spacing w:line="290" w:lineRule="auto" w:before="75"/>
        <w:ind w:left="489" w:right="153" w:hanging="3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2"/>
        </w:rPr>
        <w:t>经中国证券监督管理委员会证监许可</w:t>
      </w:r>
      <w:r>
        <w:rPr>
          <w:rFonts w:ascii="Times New Roman" w:hAnsi="Times New Roman" w:cs="Times New Roman" w:eastAsia="Times New Roman" w:hint="default"/>
          <w:spacing w:val="-2"/>
        </w:rPr>
        <w:t>[2015]951</w:t>
      </w:r>
      <w:r>
        <w:rPr>
          <w:spacing w:val="-2"/>
        </w:rPr>
        <w:t>号文核准，并经深圳证券交易所同意，公司向社会公众</w:t>
      </w:r>
    </w:p>
    <w:p>
      <w:pPr>
        <w:pStyle w:val="BodyText"/>
        <w:spacing w:line="263" w:lineRule="exact"/>
        <w:ind w:right="153"/>
        <w:jc w:val="left"/>
      </w:pPr>
      <w:r>
        <w:rPr/>
        <w:t>公开发行人民币普通股（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1,667</w:t>
      </w:r>
      <w:r>
        <w:rPr/>
        <w:t>万股，公司股本总额由</w:t>
      </w:r>
      <w:r>
        <w:rPr>
          <w:rFonts w:ascii="Times New Roman" w:hAnsi="Times New Roman" w:cs="Times New Roman" w:eastAsia="Times New Roman" w:hint="default"/>
        </w:rPr>
        <w:t>5,000</w:t>
      </w:r>
      <w:r>
        <w:rPr/>
        <w:t>万股变更为</w:t>
      </w:r>
      <w:r>
        <w:rPr>
          <w:rFonts w:ascii="Times New Roman" w:hAnsi="Times New Roman" w:cs="Times New Roman" w:eastAsia="Times New Roman" w:hint="default"/>
        </w:rPr>
        <w:t>6,667</w:t>
      </w:r>
      <w:r>
        <w:rPr/>
        <w:t>万股。</w:t>
      </w:r>
    </w:p>
    <w:p>
      <w:pPr>
        <w:spacing w:after="0" w:line="263" w:lineRule="exact"/>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16"/>
        <w:jc w:val="left"/>
      </w:pPr>
      <w:r>
        <w:rPr/>
        <w:t>股份变动的批准情况</w:t>
      </w:r>
    </w:p>
    <w:p>
      <w:pPr>
        <w:pStyle w:val="BodyText"/>
        <w:spacing w:line="290" w:lineRule="auto" w:before="78"/>
        <w:ind w:left="489" w:right="116" w:hanging="3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2"/>
        </w:rPr>
        <w:t>经中国证券监督管理委员会证监许可</w:t>
      </w:r>
      <w:r>
        <w:rPr>
          <w:rFonts w:ascii="Times New Roman" w:hAnsi="Times New Roman" w:cs="Times New Roman" w:eastAsia="Times New Roman" w:hint="default"/>
          <w:spacing w:val="-2"/>
        </w:rPr>
        <w:t>[2015]951</w:t>
      </w:r>
      <w:r>
        <w:rPr>
          <w:spacing w:val="-2"/>
        </w:rPr>
        <w:t>号文核准，并经深圳证券交易所同意，公司向社会公众</w:t>
      </w:r>
    </w:p>
    <w:p>
      <w:pPr>
        <w:pStyle w:val="BodyText"/>
        <w:spacing w:line="263" w:lineRule="exact"/>
        <w:ind w:right="116"/>
        <w:jc w:val="left"/>
      </w:pPr>
      <w:r>
        <w:rPr/>
        <w:t>公开发行人民币普通股（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1,667</w:t>
      </w:r>
      <w:r>
        <w:rPr/>
        <w:t>万股，公司股本总额由</w:t>
      </w:r>
      <w:r>
        <w:rPr>
          <w:rFonts w:ascii="Times New Roman" w:hAnsi="Times New Roman" w:cs="Times New Roman" w:eastAsia="Times New Roman" w:hint="default"/>
        </w:rPr>
        <w:t>5,000</w:t>
      </w:r>
      <w:r>
        <w:rPr/>
        <w:t>万股变更为</w:t>
      </w:r>
      <w:r>
        <w:rPr>
          <w:rFonts w:ascii="Times New Roman" w:hAnsi="Times New Roman" w:cs="Times New Roman" w:eastAsia="Times New Roman" w:hint="default"/>
        </w:rPr>
        <w:t>6,667</w:t>
      </w:r>
      <w:r>
        <w:rPr/>
        <w:t>万股。</w:t>
      </w:r>
    </w:p>
    <w:p>
      <w:pPr>
        <w:pStyle w:val="BodyText"/>
        <w:spacing w:line="240" w:lineRule="auto" w:before="62"/>
        <w:ind w:right="116"/>
        <w:jc w:val="left"/>
      </w:pPr>
      <w:r>
        <w:rPr/>
        <w:t>股份变动的过户情况</w:t>
      </w:r>
    </w:p>
    <w:p>
      <w:pPr>
        <w:pStyle w:val="BodyText"/>
        <w:spacing w:line="280" w:lineRule="auto" w:before="78"/>
        <w:ind w:right="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股份变动对最近一年和最近一期基本每股收益和稀释每股收益、归属于公司普通股股东的每股净资产等财</w:t>
      </w:r>
      <w:r>
        <w:rPr>
          <w:spacing w:val="-43"/>
        </w:rPr>
        <w:t> </w:t>
      </w:r>
      <w:r>
        <w:rPr>
          <w:spacing w:val="-43"/>
        </w:rPr>
      </w:r>
      <w:r>
        <w:rPr/>
        <w:t>务指标的影响</w:t>
      </w:r>
    </w:p>
    <w:p>
      <w:pPr>
        <w:pStyle w:val="BodyText"/>
        <w:spacing w:line="273" w:lineRule="auto" w:before="42"/>
        <w:ind w:right="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2"/>
        </w:rPr>
        <w:t>报告期内，因发行新股，公司股本总数由</w:t>
      </w:r>
      <w:r>
        <w:rPr>
          <w:rFonts w:ascii="Times New Roman" w:hAnsi="Times New Roman" w:cs="Times New Roman" w:eastAsia="Times New Roman" w:hint="default"/>
          <w:spacing w:val="-2"/>
        </w:rPr>
        <w:t>5,000</w:t>
      </w:r>
      <w:r>
        <w:rPr>
          <w:spacing w:val="-2"/>
        </w:rPr>
        <w:t>万股变更为</w:t>
      </w:r>
      <w:r>
        <w:rPr>
          <w:rFonts w:ascii="Times New Roman" w:hAnsi="Times New Roman" w:cs="Times New Roman" w:eastAsia="Times New Roman" w:hint="default"/>
          <w:spacing w:val="-2"/>
        </w:rPr>
        <w:t>6,667</w:t>
      </w:r>
      <w:r>
        <w:rPr>
          <w:spacing w:val="-2"/>
        </w:rPr>
        <w:t>万股，基本每股收益和稀释每股收益均为</w:t>
      </w:r>
      <w:r>
        <w:rPr>
          <w:spacing w:val="-16"/>
        </w:rPr>
        <w:t> </w:t>
      </w:r>
      <w:r>
        <w:rPr>
          <w:spacing w:val="-16"/>
        </w:rPr>
      </w:r>
      <w:r>
        <w:rPr>
          <w:rFonts w:ascii="Times New Roman" w:hAnsi="Times New Roman" w:cs="Times New Roman" w:eastAsia="Times New Roman" w:hint="default"/>
        </w:rPr>
        <w:t>0.43</w:t>
      </w:r>
      <w:r>
        <w:rPr/>
        <w:t>元，归属于公司普通股东的每股净资产为</w:t>
      </w:r>
      <w:r>
        <w:rPr>
          <w:rFonts w:ascii="Times New Roman" w:hAnsi="Times New Roman" w:cs="Times New Roman" w:eastAsia="Times New Roman" w:hint="default"/>
        </w:rPr>
        <w:t>5.63</w:t>
      </w:r>
      <w:r>
        <w:rPr/>
        <w:t>元</w:t>
      </w:r>
    </w:p>
    <w:p>
      <w:pPr>
        <w:pStyle w:val="BodyText"/>
        <w:spacing w:line="240" w:lineRule="auto" w:before="29"/>
        <w:ind w:right="116"/>
        <w:jc w:val="left"/>
      </w:pPr>
      <w:r>
        <w:rPr/>
        <w:t>公司认为必要或证券监管机构要求披露的其他内容</w:t>
      </w:r>
    </w:p>
    <w:p>
      <w:pPr>
        <w:pStyle w:val="BodyText"/>
        <w:spacing w:line="240" w:lineRule="auto" w:before="76"/>
        <w:ind w:right="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116"/>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4"/>
          <w:szCs w:val="24"/>
        </w:rPr>
      </w:pPr>
    </w:p>
    <w:p>
      <w:pPr>
        <w:spacing w:line="484" w:lineRule="auto" w:before="0"/>
        <w:ind w:left="152" w:right="57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、报告期内证券发行（不含优先股）情况</w:t>
      </w:r>
      <w:r>
        <w:rPr>
          <w:rFonts w:ascii="宋体" w:hAnsi="宋体" w:cs="宋体" w:eastAsia="宋体" w:hint="default"/>
          <w:spacing w:val="-1"/>
          <w:sz w:val="21"/>
          <w:szCs w:val="21"/>
        </w:rPr>
      </w:r>
    </w:p>
    <w:p>
      <w:pPr>
        <w:pStyle w:val="BodyText"/>
        <w:spacing w:line="240" w:lineRule="auto" w:before="86"/>
        <w:ind w:right="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7"/>
        <w:gridCol w:w="1294"/>
        <w:gridCol w:w="1296"/>
        <w:gridCol w:w="1296"/>
        <w:gridCol w:w="1683"/>
      </w:tblGrid>
      <w:tr>
        <w:trPr>
          <w:trHeight w:val="716"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81" w:right="65" w:hanging="210"/>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27" w:right="21" w:hanging="303"/>
              <w:jc w:val="left"/>
              <w:rPr>
                <w:rFonts w:ascii="宋体" w:hAnsi="宋体" w:cs="宋体" w:eastAsia="宋体" w:hint="default"/>
                <w:sz w:val="21"/>
                <w:szCs w:val="21"/>
              </w:rPr>
            </w:pPr>
            <w:r>
              <w:rPr>
                <w:rFonts w:ascii="宋体" w:hAnsi="宋体" w:cs="宋体" w:eastAsia="宋体" w:hint="default"/>
                <w:spacing w:val="-5"/>
                <w:sz w:val="21"/>
                <w:szCs w:val="21"/>
              </w:rPr>
              <w:t>发行价格（或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利率）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26" w:right="113"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p>
            <w:pPr>
              <w:pStyle w:val="TableParagraph"/>
              <w:spacing w:line="240" w:lineRule="auto" w:before="37"/>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11.39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16,670,000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16,670,000</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可转换公司债券、分离交易的可转换公司债券、公司债类</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其他衍生证券类</w:t>
            </w:r>
          </w:p>
        </w:tc>
      </w:tr>
    </w:tbl>
    <w:p>
      <w:pPr>
        <w:pStyle w:val="BodyText"/>
        <w:spacing w:line="307" w:lineRule="auto" w:before="28"/>
        <w:ind w:left="489" w:right="116" w:hanging="337"/>
        <w:jc w:val="left"/>
        <w:rPr>
          <w:rFonts w:ascii="Times New Roman" w:hAnsi="Times New Roman" w:cs="Times New Roman" w:eastAsia="Times New Roman" w:hint="default"/>
        </w:rPr>
      </w:pPr>
      <w:r>
        <w:rPr/>
        <w:t>报告期内证券发行（不含优先股）情况的说明</w:t>
      </w:r>
      <w:r>
        <w:rPr>
          <w:w w:val="100"/>
        </w:rPr>
        <w:t> </w:t>
      </w:r>
      <w:r>
        <w:rPr>
          <w:spacing w:val="-4"/>
        </w:rPr>
        <w:t>经中国证券监督管理委员会</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2015</w:t>
      </w:r>
      <w:r>
        <w:rPr>
          <w:spacing w:val="-4"/>
        </w:rPr>
        <w:t>）</w:t>
      </w:r>
      <w:r>
        <w:rPr>
          <w:rFonts w:ascii="Times New Roman" w:hAnsi="Times New Roman" w:cs="Times New Roman" w:eastAsia="Times New Roman" w:hint="default"/>
          <w:spacing w:val="-4"/>
        </w:rPr>
        <w:t>951</w:t>
      </w:r>
      <w:r>
        <w:rPr>
          <w:spacing w:val="-4"/>
        </w:rPr>
        <w:t>号</w:t>
      </w:r>
      <w:r>
        <w:rPr>
          <w:rFonts w:ascii="Times New Roman" w:hAnsi="Times New Roman" w:cs="Times New Roman" w:eastAsia="Times New Roman" w:hint="default"/>
          <w:spacing w:val="-4"/>
        </w:rPr>
        <w:t>”</w:t>
      </w:r>
      <w:r>
        <w:rPr>
          <w:spacing w:val="-4"/>
        </w:rPr>
        <w:t>文核准，深圳证券交易所</w:t>
      </w:r>
      <w:r>
        <w:rPr>
          <w:rFonts w:ascii="Times New Roman" w:hAnsi="Times New Roman" w:cs="Times New Roman" w:eastAsia="Times New Roman" w:hint="default"/>
          <w:spacing w:val="-4"/>
        </w:rPr>
        <w:t>“</w:t>
      </w:r>
      <w:r>
        <w:rPr>
          <w:spacing w:val="-4"/>
        </w:rPr>
        <w:t>深证上（</w:t>
      </w:r>
      <w:r>
        <w:rPr>
          <w:rFonts w:ascii="Times New Roman" w:hAnsi="Times New Roman" w:cs="Times New Roman" w:eastAsia="Times New Roman" w:hint="default"/>
          <w:spacing w:val="-4"/>
        </w:rPr>
        <w:t>2015</w:t>
      </w:r>
      <w:r>
        <w:rPr>
          <w:spacing w:val="-4"/>
        </w:rPr>
        <w:t>）</w:t>
      </w:r>
      <w:r>
        <w:rPr>
          <w:rFonts w:ascii="Times New Roman" w:hAnsi="Times New Roman" w:cs="Times New Roman" w:eastAsia="Times New Roman" w:hint="default"/>
          <w:spacing w:val="-4"/>
        </w:rPr>
        <w:t>264</w:t>
      </w:r>
      <w:r>
        <w:rPr>
          <w:spacing w:val="-4"/>
        </w:rPr>
        <w:t>号</w:t>
      </w:r>
      <w:r>
        <w:rPr>
          <w:rFonts w:ascii="Times New Roman" w:hAnsi="Times New Roman" w:cs="Times New Roman" w:eastAsia="Times New Roman" w:hint="default"/>
          <w:spacing w:val="-4"/>
        </w:rPr>
        <w:t>”</w:t>
      </w:r>
    </w:p>
    <w:p>
      <w:pPr>
        <w:pStyle w:val="BodyText"/>
        <w:spacing w:line="247" w:lineRule="exact"/>
        <w:ind w:right="116"/>
        <w:jc w:val="left"/>
      </w:pPr>
      <w:r>
        <w:rPr/>
        <w:t>文同意，首次向社会公开发行人民币普通股（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1,667</w:t>
      </w:r>
      <w:r>
        <w:rPr/>
        <w:t>万股，并于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日在深圳证券交易所创</w:t>
      </w:r>
    </w:p>
    <w:p>
      <w:pPr>
        <w:pStyle w:val="BodyText"/>
        <w:spacing w:line="240" w:lineRule="auto" w:before="21"/>
        <w:ind w:right="116"/>
        <w:jc w:val="left"/>
      </w:pPr>
      <w:r>
        <w:rPr/>
        <w:t>业板上市。</w:t>
      </w:r>
    </w:p>
    <w:p>
      <w:pPr>
        <w:spacing w:line="240" w:lineRule="auto" w:before="11"/>
        <w:rPr>
          <w:rFonts w:ascii="宋体" w:hAnsi="宋体" w:cs="宋体" w:eastAsia="宋体" w:hint="default"/>
          <w:sz w:val="25"/>
          <w:szCs w:val="25"/>
        </w:rPr>
      </w:pPr>
    </w:p>
    <w:p>
      <w:pPr>
        <w:pStyle w:val="Heading4"/>
        <w:spacing w:line="240" w:lineRule="auto"/>
        <w:ind w:right="116"/>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left="489" w:right="116" w:hanging="3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10"/>
          <w:w w:val="100"/>
        </w:rPr>
        <w:t>报告期内，经中国证券监督管理委员会</w:t>
      </w:r>
      <w:r>
        <w:rPr>
          <w:rFonts w:ascii="Times New Roman" w:hAnsi="Times New Roman" w:cs="Times New Roman" w:eastAsia="Times New Roman" w:hint="default"/>
          <w:spacing w:val="-10"/>
          <w:w w:val="100"/>
        </w:rPr>
        <w:t>“</w:t>
      </w:r>
      <w:r>
        <w:rPr>
          <w:spacing w:val="-10"/>
          <w:w w:val="100"/>
        </w:rPr>
        <w:t>证监许可（</w:t>
      </w:r>
      <w:r>
        <w:rPr>
          <w:rFonts w:ascii="Times New Roman" w:hAnsi="Times New Roman" w:cs="Times New Roman" w:eastAsia="Times New Roman" w:hint="default"/>
          <w:spacing w:val="-10"/>
          <w:w w:val="100"/>
        </w:rPr>
        <w:t>2015</w:t>
      </w:r>
      <w:r>
        <w:rPr>
          <w:spacing w:val="-10"/>
          <w:w w:val="100"/>
        </w:rPr>
        <w:t>）</w:t>
      </w:r>
      <w:r>
        <w:rPr>
          <w:rFonts w:ascii="Times New Roman" w:hAnsi="Times New Roman" w:cs="Times New Roman" w:eastAsia="Times New Roman" w:hint="default"/>
          <w:spacing w:val="-10"/>
          <w:w w:val="100"/>
        </w:rPr>
        <w:t>951</w:t>
      </w:r>
      <w:r>
        <w:rPr>
          <w:spacing w:val="-10"/>
          <w:w w:val="100"/>
        </w:rPr>
        <w:t>号</w:t>
      </w:r>
      <w:r>
        <w:rPr>
          <w:rFonts w:ascii="Times New Roman" w:hAnsi="Times New Roman" w:cs="Times New Roman" w:eastAsia="Times New Roman" w:hint="default"/>
          <w:spacing w:val="-10"/>
          <w:w w:val="100"/>
        </w:rPr>
        <w:t>”</w:t>
      </w:r>
      <w:r>
        <w:rPr>
          <w:spacing w:val="-10"/>
          <w:w w:val="100"/>
        </w:rPr>
        <w:t>文核准，深圳证券交易所</w:t>
      </w:r>
      <w:r>
        <w:rPr>
          <w:rFonts w:ascii="Times New Roman" w:hAnsi="Times New Roman" w:cs="Times New Roman" w:eastAsia="Times New Roman" w:hint="default"/>
          <w:spacing w:val="-10"/>
          <w:w w:val="100"/>
        </w:rPr>
        <w:t>“</w:t>
      </w:r>
      <w:r>
        <w:rPr>
          <w:spacing w:val="-10"/>
          <w:w w:val="100"/>
        </w:rPr>
        <w:t>深证上（</w:t>
      </w:r>
      <w:r>
        <w:rPr>
          <w:rFonts w:ascii="Times New Roman" w:hAnsi="Times New Roman" w:cs="Times New Roman" w:eastAsia="Times New Roman" w:hint="default"/>
          <w:spacing w:val="-10"/>
          <w:w w:val="100"/>
        </w:rPr>
        <w:t>2015</w:t>
      </w:r>
      <w:r>
        <w:rPr>
          <w:spacing w:val="-10"/>
          <w:w w:val="100"/>
        </w:rPr>
        <w:t>）</w:t>
      </w:r>
    </w:p>
    <w:p>
      <w:pPr>
        <w:pStyle w:val="BodyText"/>
        <w:spacing w:line="263" w:lineRule="exact"/>
        <w:ind w:right="116"/>
        <w:jc w:val="left"/>
      </w:pPr>
      <w:r>
        <w:rPr>
          <w:rFonts w:ascii="Times New Roman" w:hAnsi="Times New Roman" w:cs="Times New Roman" w:eastAsia="Times New Roman" w:hint="default"/>
        </w:rPr>
        <w:t>264</w:t>
      </w:r>
      <w:r>
        <w:rPr/>
        <w:t>号</w:t>
      </w:r>
      <w:r>
        <w:rPr>
          <w:rFonts w:ascii="Times New Roman" w:hAnsi="Times New Roman" w:cs="Times New Roman" w:eastAsia="Times New Roman" w:hint="default"/>
        </w:rPr>
        <w:t>”</w:t>
      </w:r>
      <w:r>
        <w:rPr/>
        <w:t>文同意，首次向社会公开发行人民币普通股（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1,667</w:t>
      </w:r>
      <w:r>
        <w:rPr/>
        <w:t>万股，并于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日在深圳证券交</w:t>
      </w:r>
    </w:p>
    <w:p>
      <w:pPr>
        <w:pStyle w:val="BodyText"/>
        <w:spacing w:line="240" w:lineRule="auto" w:before="21"/>
        <w:ind w:right="116"/>
        <w:jc w:val="left"/>
      </w:pPr>
      <w:r>
        <w:rPr/>
        <w:t>易所创业板上市，公司股份总数由</w:t>
      </w:r>
      <w:r>
        <w:rPr>
          <w:rFonts w:ascii="Times New Roman" w:hAnsi="Times New Roman" w:cs="Times New Roman" w:eastAsia="Times New Roman" w:hint="default"/>
        </w:rPr>
        <w:t>5000</w:t>
      </w:r>
      <w:r>
        <w:rPr/>
        <w:t>万股变为</w:t>
      </w:r>
      <w:r>
        <w:rPr>
          <w:rFonts w:ascii="Times New Roman" w:hAnsi="Times New Roman" w:cs="Times New Roman" w:eastAsia="Times New Roman" w:hint="default"/>
        </w:rPr>
        <w:t>6667</w:t>
      </w:r>
      <w:r>
        <w:rPr/>
        <w:t>万股。</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0"/>
        <w:rPr>
          <w:rFonts w:ascii="宋体" w:hAnsi="宋体" w:cs="宋体" w:eastAsia="宋体" w:hint="default"/>
          <w:b/>
          <w:bCs/>
          <w:sz w:val="24"/>
          <w:szCs w:val="24"/>
        </w:rPr>
      </w:pPr>
    </w:p>
    <w:p>
      <w:pPr>
        <w:spacing w:line="484" w:lineRule="auto" w:before="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pStyle w:val="BodyText"/>
        <w:spacing w:line="240" w:lineRule="auto" w:before="86"/>
        <w:ind w:left="0" w:right="148"/>
        <w:jc w:val="right"/>
      </w:pPr>
      <w:r>
        <w:rPr>
          <w:spacing w:val="-1"/>
        </w:rPr>
        <w:t>单位：股</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74"/>
        <w:gridCol w:w="737"/>
        <w:gridCol w:w="744"/>
        <w:gridCol w:w="830"/>
        <w:gridCol w:w="346"/>
        <w:gridCol w:w="444"/>
        <w:gridCol w:w="823"/>
        <w:gridCol w:w="802"/>
        <w:gridCol w:w="322"/>
        <w:gridCol w:w="1028"/>
        <w:gridCol w:w="280"/>
        <w:gridCol w:w="1069"/>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4" w:right="0"/>
              <w:jc w:val="left"/>
              <w:rPr>
                <w:rFonts w:ascii="Times New Roman" w:hAnsi="Times New Roman" w:cs="Times New Roman" w:eastAsia="Times New Roman" w:hint="default"/>
                <w:sz w:val="21"/>
                <w:szCs w:val="21"/>
              </w:rPr>
            </w:pPr>
            <w:r>
              <w:rPr>
                <w:rFonts w:ascii="Times New Roman"/>
                <w:sz w:val="21"/>
              </w:rPr>
              <w:t>8,164</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52" w:right="0"/>
              <w:jc w:val="left"/>
              <w:rPr>
                <w:rFonts w:ascii="Times New Roman" w:hAnsi="Times New Roman" w:cs="Times New Roman" w:eastAsia="Times New Roman" w:hint="default"/>
                <w:sz w:val="21"/>
                <w:szCs w:val="21"/>
              </w:rPr>
            </w:pPr>
            <w:r>
              <w:rPr>
                <w:rFonts w:ascii="Times New Roman"/>
                <w:sz w:val="21"/>
              </w:rPr>
              <w:t>7,001</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 w:right="9"/>
              <w:jc w:val="both"/>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w w:val="100"/>
                <w:sz w:val="21"/>
                <w:szCs w:val="21"/>
              </w:rPr>
              <w:t> </w:t>
            </w:r>
            <w:r>
              <w:rPr>
                <w:rFonts w:ascii="宋体" w:hAnsi="宋体" w:cs="宋体" w:eastAsia="宋体" w:hint="default"/>
                <w:sz w:val="21"/>
                <w:szCs w:val="21"/>
              </w:rPr>
              <w:t>日前上一月末</w:t>
            </w:r>
            <w:r>
              <w:rPr>
                <w:rFonts w:ascii="宋体" w:hAnsi="宋体" w:cs="宋体" w:eastAsia="宋体" w:hint="default"/>
                <w:w w:val="100"/>
                <w:sz w:val="21"/>
                <w:szCs w:val="21"/>
              </w:rPr>
              <w:t> </w:t>
            </w:r>
            <w:r>
              <w:rPr>
                <w:rFonts w:ascii="宋体" w:hAnsi="宋体" w:cs="宋体" w:eastAsia="宋体" w:hint="default"/>
                <w:sz w:val="21"/>
                <w:szCs w:val="21"/>
              </w:rPr>
              <w:t>表决权恢复的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优先股股东总</w:t>
            </w:r>
            <w:r>
              <w:rPr>
                <w:rFonts w:ascii="宋体" w:hAnsi="宋体" w:cs="宋体" w:eastAsia="宋体" w:hint="default"/>
                <w:w w:val="100"/>
                <w:sz w:val="21"/>
                <w:szCs w:val="21"/>
              </w:rPr>
              <w:t> </w:t>
            </w:r>
            <w:r>
              <w:rPr>
                <w:rFonts w:ascii="宋体" w:hAnsi="宋体" w:cs="宋体" w:eastAsia="宋体" w:hint="default"/>
                <w:spacing w:val="-30"/>
                <w:w w:val="100"/>
                <w:sz w:val="21"/>
                <w:szCs w:val="21"/>
              </w:rPr>
              <w:t>数（如有）（参</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见注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p>
        </w:tc>
        <w:tc>
          <w:tcPr>
            <w:tcW w:w="1069"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 w:right="-18"/>
              <w:jc w:val="both"/>
              <w:rPr>
                <w:rFonts w:ascii="宋体" w:hAnsi="宋体" w:cs="宋体" w:eastAsia="宋体" w:hint="default"/>
                <w:sz w:val="21"/>
                <w:szCs w:val="21"/>
              </w:rPr>
            </w:pPr>
            <w:r>
              <w:rPr>
                <w:rFonts w:ascii="宋体" w:hAnsi="宋体" w:cs="宋体" w:eastAsia="宋体" w:hint="default"/>
                <w:sz w:val="21"/>
                <w:szCs w:val="21"/>
              </w:rPr>
              <w:t>报告期末表决</w:t>
            </w:r>
            <w:r>
              <w:rPr>
                <w:rFonts w:ascii="宋体" w:hAnsi="宋体" w:cs="宋体" w:eastAsia="宋体" w:hint="default"/>
                <w:w w:val="100"/>
                <w:sz w:val="21"/>
                <w:szCs w:val="21"/>
              </w:rPr>
              <w:t> </w:t>
            </w:r>
            <w:r>
              <w:rPr>
                <w:rFonts w:ascii="宋体" w:hAnsi="宋体" w:cs="宋体" w:eastAsia="宋体" w:hint="default"/>
                <w:sz w:val="21"/>
                <w:szCs w:val="21"/>
              </w:rPr>
              <w:t>权恢复的优先</w:t>
            </w:r>
            <w:r>
              <w:rPr>
                <w:rFonts w:ascii="宋体" w:hAnsi="宋体" w:cs="宋体" w:eastAsia="宋体" w:hint="default"/>
                <w:w w:val="100"/>
                <w:sz w:val="21"/>
                <w:szCs w:val="21"/>
              </w:rPr>
              <w:t> </w:t>
            </w:r>
            <w:r>
              <w:rPr>
                <w:rFonts w:ascii="宋体" w:hAnsi="宋体" w:cs="宋体" w:eastAsia="宋体" w:hint="default"/>
                <w:sz w:val="21"/>
                <w:szCs w:val="21"/>
              </w:rPr>
              <w:t>股股东总数</w:t>
            </w:r>
          </w:p>
          <w:p>
            <w:pPr>
              <w:pStyle w:val="TableParagraph"/>
              <w:spacing w:line="273" w:lineRule="auto" w:before="7"/>
              <w:ind w:left="11" w:right="-30"/>
              <w:jc w:val="both"/>
              <w:rPr>
                <w:rFonts w:ascii="宋体" w:hAnsi="宋体" w:cs="宋体" w:eastAsia="宋体" w:hint="default"/>
                <w:sz w:val="21"/>
                <w:szCs w:val="21"/>
              </w:rPr>
            </w:pPr>
            <w:r>
              <w:rPr>
                <w:rFonts w:ascii="宋体" w:hAnsi="宋体" w:cs="宋体" w:eastAsia="宋体" w:hint="default"/>
                <w:spacing w:val="-30"/>
                <w:w w:val="100"/>
                <w:sz w:val="21"/>
                <w:szCs w:val="21"/>
              </w:rPr>
              <w:t>（如有）（参见</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312"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 w:right="195"/>
              <w:jc w:val="both"/>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w w:val="100"/>
                <w:sz w:val="21"/>
                <w:szCs w:val="21"/>
              </w:rPr>
              <w:t> </w:t>
            </w:r>
            <w:r>
              <w:rPr>
                <w:rFonts w:ascii="宋体" w:hAnsi="宋体" w:cs="宋体" w:eastAsia="宋体" w:hint="default"/>
                <w:sz w:val="21"/>
                <w:szCs w:val="21"/>
              </w:rPr>
              <w:t>日前上一月末</w:t>
            </w:r>
            <w:r>
              <w:rPr>
                <w:rFonts w:ascii="宋体" w:hAnsi="宋体" w:cs="宋体" w:eastAsia="宋体" w:hint="default"/>
                <w:w w:val="100"/>
                <w:sz w:val="21"/>
                <w:szCs w:val="21"/>
              </w:rPr>
              <w:t> </w:t>
            </w:r>
            <w:r>
              <w:rPr>
                <w:rFonts w:ascii="宋体" w:hAnsi="宋体" w:cs="宋体" w:eastAsia="宋体" w:hint="default"/>
                <w:sz w:val="21"/>
                <w:szCs w:val="21"/>
              </w:rPr>
              <w:t>普通股股东总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706"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4" w:right="36"/>
              <w:jc w:val="left"/>
              <w:rPr>
                <w:rFonts w:ascii="宋体" w:hAnsi="宋体" w:cs="宋体" w:eastAsia="宋体" w:hint="default"/>
                <w:sz w:val="21"/>
                <w:szCs w:val="21"/>
              </w:rPr>
            </w:pPr>
            <w:r>
              <w:rPr>
                <w:rFonts w:ascii="宋体" w:hAnsi="宋体" w:cs="宋体" w:eastAsia="宋体" w:hint="default"/>
                <w:sz w:val="21"/>
                <w:szCs w:val="21"/>
              </w:rPr>
              <w:t>报告期末普通</w:t>
            </w:r>
            <w:r>
              <w:rPr>
                <w:rFonts w:ascii="宋体" w:hAnsi="宋体" w:cs="宋体" w:eastAsia="宋体" w:hint="default"/>
                <w:w w:val="100"/>
                <w:sz w:val="21"/>
                <w:szCs w:val="21"/>
              </w:rPr>
              <w:t> </w:t>
            </w:r>
            <w:r>
              <w:rPr>
                <w:rFonts w:ascii="宋体" w:hAnsi="宋体" w:cs="宋体" w:eastAsia="宋体" w:hint="default"/>
                <w:sz w:val="21"/>
                <w:szCs w:val="21"/>
              </w:rPr>
              <w:t>股股东总数</w:t>
            </w: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313"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12" w:space="0" w:color="D2D2D2"/>
              <w:bottom w:val="single" w:sz="4" w:space="0" w:color="000000"/>
              <w:right w:val="single" w:sz="4" w:space="0" w:color="000000"/>
            </w:tcBorders>
          </w:tcPr>
          <w:p>
            <w:pPr/>
          </w:p>
        </w:tc>
      </w:tr>
      <w:tr>
        <w:trPr>
          <w:trHeight w:val="391"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774"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74" w:right="71"/>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内增减</w:t>
            </w:r>
            <w:r>
              <w:rPr>
                <w:rFonts w:ascii="宋体" w:hAnsi="宋体" w:cs="宋体" w:eastAsia="宋体" w:hint="default"/>
                <w:w w:val="100"/>
                <w:sz w:val="21"/>
                <w:szCs w:val="21"/>
              </w:rPr>
              <w:t> </w:t>
            </w:r>
            <w:r>
              <w:rPr>
                <w:rFonts w:ascii="宋体" w:hAnsi="宋体" w:cs="宋体" w:eastAsia="宋体" w:hint="default"/>
                <w:sz w:val="21"/>
                <w:szCs w:val="21"/>
              </w:rPr>
              <w:t>变动情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72" w:right="105"/>
              <w:jc w:val="both"/>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件的股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63" w:right="95"/>
              <w:jc w:val="both"/>
              <w:rPr>
                <w:rFonts w:ascii="宋体" w:hAnsi="宋体" w:cs="宋体" w:eastAsia="宋体" w:hint="default"/>
                <w:sz w:val="21"/>
                <w:szCs w:val="21"/>
              </w:rPr>
            </w:pPr>
            <w:r>
              <w:rPr>
                <w:rFonts w:ascii="宋体" w:hAnsi="宋体" w:cs="宋体" w:eastAsia="宋体" w:hint="default"/>
                <w:sz w:val="21"/>
                <w:szCs w:val="21"/>
              </w:rPr>
              <w:t>持有无</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件的股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09"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99" w:hRule="exact"/>
        </w:trPr>
        <w:tc>
          <w:tcPr>
            <w:tcW w:w="1469" w:type="dxa"/>
            <w:gridSpan w:val="2"/>
            <w:vMerge/>
            <w:tcBorders>
              <w:left w:val="single" w:sz="4" w:space="0" w:color="000000"/>
              <w:right w:val="single" w:sz="4" w:space="0" w:color="000000"/>
            </w:tcBorders>
            <w:shd w:val="clear" w:color="auto" w:fill="D2D2D2"/>
          </w:tcPr>
          <w:p>
            <w:pPr/>
          </w:p>
        </w:tc>
        <w:tc>
          <w:tcPr>
            <w:tcW w:w="1412" w:type="dxa"/>
            <w:gridSpan w:val="2"/>
            <w:vMerge/>
            <w:tcBorders>
              <w:left w:val="single" w:sz="4" w:space="0" w:color="000000"/>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5" w:right="71"/>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末持股</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113"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48" w:right="0"/>
              <w:jc w:val="center"/>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43"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1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44" w:type="dxa"/>
            <w:vMerge/>
            <w:tcBorders>
              <w:left w:val="single" w:sz="4" w:space="0" w:color="000000"/>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bottom w:val="nil" w:sz="6" w:space="0" w:color="auto"/>
              <w:right w:val="single" w:sz="4" w:space="0" w:color="000000"/>
            </w:tcBorders>
            <w:shd w:val="clear" w:color="auto" w:fill="D2D2D2"/>
          </w:tcPr>
          <w:p>
            <w:pPr/>
          </w:p>
        </w:tc>
        <w:tc>
          <w:tcPr>
            <w:tcW w:w="1349" w:type="dxa"/>
            <w:gridSpan w:val="2"/>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9"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34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7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bottom w:val="nil" w:sz="6" w:space="0" w:color="auto"/>
              <w:right w:val="single" w:sz="4" w:space="0" w:color="000000"/>
            </w:tcBorders>
            <w:shd w:val="clear" w:color="auto" w:fill="D2D2D2"/>
          </w:tcPr>
          <w:p>
            <w:pPr/>
          </w:p>
        </w:tc>
        <w:tc>
          <w:tcPr>
            <w:tcW w:w="1349" w:type="dxa"/>
            <w:gridSpan w:val="2"/>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1469" w:type="dxa"/>
            <w:gridSpan w:val="2"/>
            <w:vMerge/>
            <w:tcBorders>
              <w:left w:val="single" w:sz="4" w:space="0" w:color="000000"/>
              <w:right w:val="single" w:sz="4" w:space="0" w:color="000000"/>
            </w:tcBorders>
            <w:shd w:val="clear" w:color="auto" w:fill="D2D2D2"/>
          </w:tcPr>
          <w:p>
            <w:pPr/>
          </w:p>
        </w:tc>
        <w:tc>
          <w:tcPr>
            <w:tcW w:w="1412" w:type="dxa"/>
            <w:gridSpan w:val="2"/>
            <w:vMerge/>
            <w:tcBorders>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nil" w:sz="6" w:space="0" w:color="auto"/>
              <w:left w:val="single" w:sz="4" w:space="0" w:color="000000"/>
              <w:right w:val="single" w:sz="4" w:space="0" w:color="000000"/>
            </w:tcBorders>
            <w:shd w:val="clear" w:color="auto" w:fill="D2D2D2"/>
          </w:tcPr>
          <w:p>
            <w:pPr/>
          </w:p>
        </w:tc>
        <w:tc>
          <w:tcPr>
            <w:tcW w:w="1349"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朱业胜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2"/>
                <w:sz w:val="21"/>
              </w:rPr>
              <w:t>11.17%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7,450,0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18</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Times New Roman" w:hAnsi="Times New Roman" w:cs="Times New Roman" w:eastAsia="Times New Roman" w:hint="default"/>
                <w:sz w:val="21"/>
                <w:szCs w:val="21"/>
              </w:rPr>
            </w:pPr>
            <w:r>
              <w:rPr>
                <w:rFonts w:ascii="Times New Roman"/>
                <w:sz w:val="21"/>
              </w:rPr>
              <w:t>7,450,0</w:t>
            </w:r>
          </w:p>
          <w:p>
            <w:pPr>
              <w:pStyle w:val="TableParagraph"/>
              <w:spacing w:line="240" w:lineRule="auto" w:before="70"/>
              <w:ind w:right="57"/>
              <w:jc w:val="right"/>
              <w:rPr>
                <w:rFonts w:ascii="Times New Roman" w:hAnsi="Times New Roman" w:cs="Times New Roman" w:eastAsia="Times New Roman" w:hint="default"/>
                <w:sz w:val="21"/>
                <w:szCs w:val="21"/>
              </w:rPr>
            </w:pPr>
            <w:r>
              <w:rPr>
                <w:rFonts w:ascii="Times New Roman"/>
                <w:sz w:val="21"/>
              </w:rPr>
              <w:t>18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曾维斌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6.51%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4,339,8</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41</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Times New Roman" w:hAnsi="Times New Roman" w:cs="Times New Roman" w:eastAsia="Times New Roman" w:hint="default"/>
                <w:sz w:val="21"/>
                <w:szCs w:val="21"/>
              </w:rPr>
            </w:pPr>
            <w:r>
              <w:rPr>
                <w:rFonts w:ascii="Times New Roman"/>
                <w:sz w:val="21"/>
              </w:rPr>
              <w:t>4,339,8</w:t>
            </w:r>
          </w:p>
          <w:p>
            <w:pPr>
              <w:pStyle w:val="TableParagraph"/>
              <w:spacing w:line="240" w:lineRule="auto" w:before="70"/>
              <w:ind w:right="57"/>
              <w:jc w:val="right"/>
              <w:rPr>
                <w:rFonts w:ascii="Times New Roman" w:hAnsi="Times New Roman" w:cs="Times New Roman" w:eastAsia="Times New Roman" w:hint="default"/>
                <w:sz w:val="21"/>
                <w:szCs w:val="21"/>
              </w:rPr>
            </w:pPr>
            <w:r>
              <w:rPr>
                <w:rFonts w:ascii="Times New Roman"/>
                <w:sz w:val="21"/>
              </w:rPr>
              <w:t>41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姜承法</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6.51%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4,339,8</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41</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Times New Roman" w:hAnsi="Times New Roman" w:cs="Times New Roman" w:eastAsia="Times New Roman" w:hint="default"/>
                <w:sz w:val="21"/>
                <w:szCs w:val="21"/>
              </w:rPr>
            </w:pPr>
            <w:r>
              <w:rPr>
                <w:rFonts w:ascii="Times New Roman"/>
                <w:sz w:val="21"/>
              </w:rPr>
              <w:t>4,339,8</w:t>
            </w:r>
          </w:p>
          <w:p>
            <w:pPr>
              <w:pStyle w:val="TableParagraph"/>
              <w:spacing w:line="240" w:lineRule="auto" w:before="70"/>
              <w:ind w:right="57"/>
              <w:jc w:val="right"/>
              <w:rPr>
                <w:rFonts w:ascii="Times New Roman" w:hAnsi="Times New Roman" w:cs="Times New Roman" w:eastAsia="Times New Roman" w:hint="default"/>
                <w:sz w:val="21"/>
                <w:szCs w:val="21"/>
              </w:rPr>
            </w:pPr>
            <w:r>
              <w:rPr>
                <w:rFonts w:ascii="Times New Roman"/>
                <w:sz w:val="21"/>
              </w:rPr>
              <w:t>41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1"/>
              <w:jc w:val="both"/>
              <w:rPr>
                <w:rFonts w:ascii="宋体" w:hAnsi="宋体" w:cs="宋体" w:eastAsia="宋体" w:hint="default"/>
                <w:sz w:val="21"/>
                <w:szCs w:val="21"/>
              </w:rPr>
            </w:pPr>
            <w:r>
              <w:rPr>
                <w:rFonts w:ascii="宋体" w:hAnsi="宋体" w:cs="宋体" w:eastAsia="宋体" w:hint="default"/>
                <w:sz w:val="21"/>
                <w:szCs w:val="21"/>
              </w:rPr>
              <w:t>北京世纪万向</w:t>
            </w:r>
            <w:r>
              <w:rPr>
                <w:rFonts w:ascii="宋体" w:hAnsi="宋体" w:cs="宋体" w:eastAsia="宋体" w:hint="default"/>
                <w:w w:val="100"/>
                <w:sz w:val="21"/>
                <w:szCs w:val="21"/>
              </w:rPr>
              <w:t> </w:t>
            </w:r>
            <w:r>
              <w:rPr>
                <w:rFonts w:ascii="宋体" w:hAnsi="宋体" w:cs="宋体" w:eastAsia="宋体" w:hint="default"/>
                <w:sz w:val="21"/>
                <w:szCs w:val="21"/>
              </w:rPr>
              <w:t>投资咨询有限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13"/>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5.70%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3,800,0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5"/>
              <w:jc w:val="right"/>
              <w:rPr>
                <w:rFonts w:ascii="Times New Roman" w:hAnsi="Times New Roman" w:cs="Times New Roman" w:eastAsia="Times New Roman" w:hint="default"/>
                <w:sz w:val="21"/>
                <w:szCs w:val="21"/>
              </w:rPr>
            </w:pPr>
            <w:r>
              <w:rPr>
                <w:rFonts w:ascii="Times New Roman"/>
                <w:sz w:val="21"/>
              </w:rPr>
              <w:t>3,800,0</w:t>
            </w:r>
          </w:p>
          <w:p>
            <w:pPr>
              <w:pStyle w:val="TableParagraph"/>
              <w:spacing w:line="240" w:lineRule="auto" w:before="70"/>
              <w:ind w:right="57"/>
              <w:jc w:val="right"/>
              <w:rPr>
                <w:rFonts w:ascii="Times New Roman" w:hAnsi="Times New Roman" w:cs="Times New Roman" w:eastAsia="Times New Roman" w:hint="default"/>
                <w:sz w:val="21"/>
                <w:szCs w:val="21"/>
              </w:rPr>
            </w:pPr>
            <w:r>
              <w:rPr>
                <w:rFonts w:ascii="Times New Roman"/>
                <w:sz w:val="21"/>
              </w:rPr>
              <w:t>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贾丽娟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5.42%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3,616,6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94</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Times New Roman" w:hAnsi="Times New Roman" w:cs="Times New Roman" w:eastAsia="Times New Roman" w:hint="default"/>
                <w:sz w:val="21"/>
                <w:szCs w:val="21"/>
              </w:rPr>
            </w:pPr>
            <w:r>
              <w:rPr>
                <w:rFonts w:ascii="Times New Roman"/>
                <w:sz w:val="21"/>
              </w:rPr>
              <w:t>3,616,6</w:t>
            </w:r>
          </w:p>
          <w:p>
            <w:pPr>
              <w:pStyle w:val="TableParagraph"/>
              <w:spacing w:line="240" w:lineRule="auto" w:before="70"/>
              <w:ind w:right="57"/>
              <w:jc w:val="right"/>
              <w:rPr>
                <w:rFonts w:ascii="Times New Roman" w:hAnsi="Times New Roman" w:cs="Times New Roman" w:eastAsia="Times New Roman" w:hint="default"/>
                <w:sz w:val="21"/>
                <w:szCs w:val="21"/>
              </w:rPr>
            </w:pPr>
            <w:r>
              <w:rPr>
                <w:rFonts w:ascii="Times New Roman"/>
                <w:sz w:val="21"/>
              </w:rPr>
              <w:t>94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张德强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5.42%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3,616,6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94</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Times New Roman" w:hAnsi="Times New Roman" w:cs="Times New Roman" w:eastAsia="Times New Roman" w:hint="default"/>
                <w:sz w:val="21"/>
                <w:szCs w:val="21"/>
              </w:rPr>
            </w:pPr>
            <w:r>
              <w:rPr>
                <w:rFonts w:ascii="Times New Roman"/>
                <w:sz w:val="21"/>
              </w:rPr>
              <w:t>3,616,6</w:t>
            </w:r>
          </w:p>
          <w:p>
            <w:pPr>
              <w:pStyle w:val="TableParagraph"/>
              <w:spacing w:line="240" w:lineRule="auto" w:before="70"/>
              <w:ind w:right="57"/>
              <w:jc w:val="right"/>
              <w:rPr>
                <w:rFonts w:ascii="Times New Roman" w:hAnsi="Times New Roman" w:cs="Times New Roman" w:eastAsia="Times New Roman" w:hint="default"/>
                <w:sz w:val="21"/>
                <w:szCs w:val="21"/>
              </w:rPr>
            </w:pPr>
            <w:r>
              <w:rPr>
                <w:rFonts w:ascii="Times New Roman"/>
                <w:sz w:val="21"/>
              </w:rPr>
              <w:t>94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李国兵</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5.42%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3,616,6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94</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Times New Roman" w:hAnsi="Times New Roman" w:cs="Times New Roman" w:eastAsia="Times New Roman" w:hint="default"/>
                <w:sz w:val="21"/>
                <w:szCs w:val="21"/>
              </w:rPr>
            </w:pPr>
            <w:r>
              <w:rPr>
                <w:rFonts w:ascii="Times New Roman"/>
                <w:sz w:val="21"/>
              </w:rPr>
              <w:t>3,616,6</w:t>
            </w:r>
          </w:p>
          <w:p>
            <w:pPr>
              <w:pStyle w:val="TableParagraph"/>
              <w:spacing w:line="240" w:lineRule="auto" w:before="70"/>
              <w:ind w:right="57"/>
              <w:jc w:val="right"/>
              <w:rPr>
                <w:rFonts w:ascii="Times New Roman" w:hAnsi="Times New Roman" w:cs="Times New Roman" w:eastAsia="Times New Roman" w:hint="default"/>
                <w:sz w:val="21"/>
                <w:szCs w:val="21"/>
              </w:rPr>
            </w:pPr>
            <w:r>
              <w:rPr>
                <w:rFonts w:ascii="Times New Roman"/>
                <w:sz w:val="21"/>
              </w:rPr>
              <w:t>94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王际松</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5.42%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3,616,6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94</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Times New Roman" w:hAnsi="Times New Roman" w:cs="Times New Roman" w:eastAsia="Times New Roman" w:hint="default"/>
                <w:sz w:val="21"/>
                <w:szCs w:val="21"/>
              </w:rPr>
            </w:pPr>
            <w:r>
              <w:rPr>
                <w:rFonts w:ascii="Times New Roman"/>
                <w:sz w:val="21"/>
              </w:rPr>
              <w:t>3,616,6</w:t>
            </w:r>
          </w:p>
          <w:p>
            <w:pPr>
              <w:pStyle w:val="TableParagraph"/>
              <w:spacing w:line="240" w:lineRule="auto" w:before="70"/>
              <w:ind w:right="57"/>
              <w:jc w:val="right"/>
              <w:rPr>
                <w:rFonts w:ascii="Times New Roman" w:hAnsi="Times New Roman" w:cs="Times New Roman" w:eastAsia="Times New Roman" w:hint="default"/>
                <w:sz w:val="21"/>
                <w:szCs w:val="21"/>
              </w:rPr>
            </w:pPr>
            <w:r>
              <w:rPr>
                <w:rFonts w:ascii="Times New Roman"/>
                <w:sz w:val="21"/>
              </w:rPr>
              <w:t>94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张玉生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5.42%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3,616,6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94</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Times New Roman" w:hAnsi="Times New Roman" w:cs="Times New Roman" w:eastAsia="Times New Roman" w:hint="default"/>
                <w:sz w:val="21"/>
                <w:szCs w:val="21"/>
              </w:rPr>
            </w:pPr>
            <w:r>
              <w:rPr>
                <w:rFonts w:ascii="Times New Roman"/>
                <w:sz w:val="21"/>
              </w:rPr>
              <w:t>3,616,6</w:t>
            </w:r>
          </w:p>
          <w:p>
            <w:pPr>
              <w:pStyle w:val="TableParagraph"/>
              <w:spacing w:line="240" w:lineRule="auto" w:before="70"/>
              <w:ind w:right="57"/>
              <w:jc w:val="right"/>
              <w:rPr>
                <w:rFonts w:ascii="Times New Roman" w:hAnsi="Times New Roman" w:cs="Times New Roman" w:eastAsia="Times New Roman" w:hint="default"/>
                <w:sz w:val="21"/>
                <w:szCs w:val="21"/>
              </w:rPr>
            </w:pPr>
            <w:r>
              <w:rPr>
                <w:rFonts w:ascii="Times New Roman"/>
                <w:sz w:val="21"/>
              </w:rPr>
              <w:t>94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张继霞</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4.34%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5" w:right="0"/>
              <w:jc w:val="left"/>
              <w:rPr>
                <w:rFonts w:ascii="Times New Roman" w:hAnsi="Times New Roman" w:cs="Times New Roman" w:eastAsia="Times New Roman" w:hint="default"/>
                <w:sz w:val="21"/>
                <w:szCs w:val="21"/>
              </w:rPr>
            </w:pPr>
            <w:r>
              <w:rPr>
                <w:rFonts w:ascii="Times New Roman"/>
                <w:sz w:val="21"/>
              </w:rPr>
              <w:t>2,893,4</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2" w:right="0"/>
              <w:jc w:val="left"/>
              <w:rPr>
                <w:rFonts w:ascii="Times New Roman" w:hAnsi="Times New Roman" w:cs="Times New Roman" w:eastAsia="Times New Roman" w:hint="default"/>
                <w:sz w:val="21"/>
                <w:szCs w:val="21"/>
              </w:rPr>
            </w:pPr>
            <w:r>
              <w:rPr>
                <w:rFonts w:ascii="Times New Roman"/>
                <w:sz w:val="21"/>
              </w:rPr>
              <w:t>2,893,4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15</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15</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9" w:space="0" w:color="D2D2D2"/>
              <w:right w:val="single" w:sz="4" w:space="0" w:color="000000"/>
            </w:tcBorders>
          </w:tcPr>
          <w:p>
            <w:pPr>
              <w:pStyle w:val="TableParagraph"/>
              <w:spacing w:line="264" w:lineRule="auto" w:before="28"/>
              <w:ind w:left="17" w:right="14"/>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、朱业胜先生、曾维斌先生及姜承法先生为一致行动人；</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、除上述一</w:t>
            </w:r>
            <w:r>
              <w:rPr>
                <w:rFonts w:ascii="宋体" w:hAnsi="宋体" w:cs="宋体" w:eastAsia="宋体" w:hint="default"/>
                <w:w w:val="100"/>
                <w:sz w:val="21"/>
                <w:szCs w:val="21"/>
              </w:rPr>
              <w:t> </w:t>
            </w:r>
            <w:r>
              <w:rPr>
                <w:rFonts w:ascii="宋体" w:hAnsi="宋体" w:cs="宋体" w:eastAsia="宋体" w:hint="default"/>
                <w:spacing w:val="-5"/>
                <w:sz w:val="21"/>
                <w:szCs w:val="21"/>
              </w:rPr>
              <w:t>致行动人关系外，前十名股东之间不存在其他关联关系，且不存在一致行</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动人的情况。</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4" w:right="111"/>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的说明</w:t>
            </w:r>
          </w:p>
        </w:tc>
        <w:tc>
          <w:tcPr>
            <w:tcW w:w="6687" w:type="dxa"/>
            <w:gridSpan w:val="7"/>
            <w:vMerge/>
            <w:tcBorders>
              <w:left w:val="single" w:sz="9" w:space="0" w:color="D2D2D2"/>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9" w:space="0" w:color="D2D2D2"/>
              <w:bottom w:val="single" w:sz="4" w:space="0" w:color="000000"/>
              <w:right w:val="single" w:sz="4" w:space="0" w:color="000000"/>
            </w:tcBorders>
          </w:tcPr>
          <w:p>
            <w:pP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15"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9"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李欣</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965,068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965,068</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云南国际信托有限公司－睿金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－汇赢通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294 </w:t>
            </w:r>
            <w:r>
              <w:rPr>
                <w:rFonts w:ascii="宋体" w:hAnsi="宋体" w:cs="宋体" w:eastAsia="宋体" w:hint="default"/>
                <w:sz w:val="21"/>
                <w:szCs w:val="21"/>
              </w:rPr>
              <w:t>号单一资金信托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529,800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529,800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4" w:right="113"/>
              <w:jc w:val="left"/>
              <w:rPr>
                <w:rFonts w:ascii="宋体" w:hAnsi="宋体" w:cs="宋体" w:eastAsia="宋体" w:hint="default"/>
                <w:sz w:val="21"/>
                <w:szCs w:val="21"/>
              </w:rPr>
            </w:pPr>
            <w:r>
              <w:rPr>
                <w:rFonts w:ascii="宋体" w:hAnsi="宋体" w:cs="宋体" w:eastAsia="宋体" w:hint="default"/>
                <w:sz w:val="21"/>
                <w:szCs w:val="21"/>
              </w:rPr>
              <w:t>四川信托有限公司－睿进</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证券投资集合资金信托计划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407,400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407,400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唐慧康</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202,905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202,905</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林宜坦</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189,710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189,710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张安东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何勇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167,100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115,700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115,700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王星航</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王东芳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90,000</w:t>
            </w:r>
          </w:p>
        </w:tc>
      </w:tr>
      <w:tr>
        <w:trPr>
          <w:trHeight w:val="133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名无限售流通股股东之</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pacing w:val="-4"/>
                <w:sz w:val="21"/>
                <w:szCs w:val="21"/>
              </w:rPr>
              <w:t>间，以及前</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名无限售流通股</w:t>
            </w:r>
          </w:p>
          <w:p>
            <w:pPr>
              <w:pStyle w:val="TableParagraph"/>
              <w:spacing w:line="256" w:lineRule="auto" w:before="21"/>
              <w:ind w:left="24" w:right="17"/>
              <w:jc w:val="left"/>
              <w:rPr>
                <w:rFonts w:ascii="宋体" w:hAnsi="宋体" w:cs="宋体" w:eastAsia="宋体" w:hint="default"/>
                <w:sz w:val="21"/>
                <w:szCs w:val="21"/>
              </w:rPr>
            </w:pPr>
            <w:r>
              <w:rPr>
                <w:rFonts w:ascii="宋体" w:hAnsi="宋体" w:cs="宋体" w:eastAsia="宋体" w:hint="default"/>
                <w:sz w:val="21"/>
                <w:szCs w:val="21"/>
              </w:rPr>
              <w:t>股东和前</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名股东之间关联关</w:t>
            </w:r>
            <w:r>
              <w:rPr>
                <w:rFonts w:ascii="宋体" w:hAnsi="宋体" w:cs="宋体" w:eastAsia="宋体" w:hint="default"/>
                <w:w w:val="100"/>
                <w:sz w:val="21"/>
                <w:szCs w:val="21"/>
              </w:rPr>
              <w:t> </w:t>
            </w:r>
            <w:r>
              <w:rPr>
                <w:rFonts w:ascii="宋体" w:hAnsi="宋体" w:cs="宋体" w:eastAsia="宋体" w:hint="default"/>
                <w:sz w:val="21"/>
                <w:szCs w:val="21"/>
              </w:rPr>
              <w:t>系或一致行动的说明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14"/>
              <w:jc w:val="left"/>
              <w:rPr>
                <w:rFonts w:ascii="宋体" w:hAnsi="宋体" w:cs="宋体" w:eastAsia="宋体" w:hint="default"/>
                <w:sz w:val="21"/>
                <w:szCs w:val="21"/>
              </w:rPr>
            </w:pPr>
            <w:r>
              <w:rPr>
                <w:rFonts w:ascii="宋体" w:hAnsi="宋体" w:cs="宋体" w:eastAsia="宋体" w:hint="default"/>
                <w:spacing w:val="-5"/>
                <w:w w:val="100"/>
                <w:sz w:val="21"/>
                <w:szCs w:val="21"/>
              </w:rPr>
              <w:t>公司与上述无限售流通股股东间不存在关联关系，前十名无限售条件股东</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z w:val="21"/>
                <w:szCs w:val="21"/>
              </w:rPr>
              <w:t>之间是否存在关联关系或一致行动人的情况不详。</w:t>
            </w:r>
          </w:p>
        </w:tc>
      </w:tr>
      <w:tr>
        <w:trPr>
          <w:trHeight w:val="1651"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73" w:lineRule="auto"/>
              <w:ind w:left="24" w:right="111"/>
              <w:jc w:val="left"/>
              <w:rPr>
                <w:rFonts w:ascii="宋体" w:hAnsi="宋体" w:cs="宋体" w:eastAsia="宋体" w:hint="default"/>
                <w:sz w:val="21"/>
                <w:szCs w:val="21"/>
              </w:rPr>
            </w:pPr>
            <w:r>
              <w:rPr>
                <w:rFonts w:ascii="宋体" w:hAnsi="宋体" w:cs="宋体" w:eastAsia="宋体" w:hint="default"/>
                <w:spacing w:val="-2"/>
                <w:sz w:val="21"/>
                <w:szCs w:val="21"/>
              </w:rPr>
              <w:t>参与融资融券业务股东情况说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3"/>
                <w:w w:val="100"/>
                <w:sz w:val="21"/>
                <w:szCs w:val="21"/>
              </w:rPr>
              <w:t>明（如有）（参见注</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5</w:t>
            </w:r>
            <w:r>
              <w:rPr>
                <w:rFonts w:ascii="宋体" w:hAnsi="宋体" w:cs="宋体" w:eastAsia="宋体" w:hint="default"/>
                <w:w w:val="100"/>
                <w:sz w:val="21"/>
                <w:szCs w:val="21"/>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李</w:t>
            </w:r>
            <w:r>
              <w:rPr>
                <w:rFonts w:ascii="宋体" w:hAnsi="宋体" w:cs="宋体" w:eastAsia="宋体" w:hint="default"/>
                <w:w w:val="100"/>
                <w:sz w:val="21"/>
                <w:szCs w:val="21"/>
              </w:rPr>
              <w:t>欣</w:t>
            </w:r>
            <w:r>
              <w:rPr>
                <w:rFonts w:ascii="宋体" w:hAnsi="宋体" w:cs="宋体" w:eastAsia="宋体" w:hint="default"/>
                <w:spacing w:val="-3"/>
                <w:w w:val="100"/>
                <w:sz w:val="21"/>
                <w:szCs w:val="21"/>
              </w:rPr>
              <w:t>除</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w w:val="100"/>
                <w:sz w:val="21"/>
                <w:szCs w:val="21"/>
              </w:rPr>
              <w:t>普</w:t>
            </w:r>
            <w:r>
              <w:rPr>
                <w:rFonts w:ascii="宋体" w:hAnsi="宋体" w:cs="宋体" w:eastAsia="宋体" w:hint="default"/>
                <w:spacing w:val="-3"/>
                <w:w w:val="100"/>
                <w:sz w:val="21"/>
                <w:szCs w:val="21"/>
              </w:rPr>
              <w:t>通</w:t>
            </w:r>
            <w:r>
              <w:rPr>
                <w:rFonts w:ascii="宋体" w:hAnsi="宋体" w:cs="宋体" w:eastAsia="宋体" w:hint="default"/>
                <w:w w:val="100"/>
                <w:sz w:val="21"/>
                <w:szCs w:val="21"/>
              </w:rPr>
              <w:t>证券</w:t>
            </w:r>
            <w:r>
              <w:rPr>
                <w:rFonts w:ascii="宋体" w:hAnsi="宋体" w:cs="宋体" w:eastAsia="宋体" w:hint="default"/>
                <w:spacing w:val="-3"/>
                <w:w w:val="100"/>
                <w:sz w:val="21"/>
                <w:szCs w:val="21"/>
              </w:rPr>
              <w:t>账</w:t>
            </w:r>
            <w:r>
              <w:rPr>
                <w:rFonts w:ascii="宋体" w:hAnsi="宋体" w:cs="宋体" w:eastAsia="宋体" w:hint="default"/>
                <w:w w:val="100"/>
                <w:sz w:val="21"/>
                <w:szCs w:val="21"/>
              </w:rPr>
              <w:t>户</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外</w:t>
            </w:r>
            <w:r>
              <w:rPr>
                <w:rFonts w:ascii="宋体" w:hAnsi="宋体" w:cs="宋体" w:eastAsia="宋体" w:hint="default"/>
                <w:spacing w:val="-92"/>
                <w:w w:val="100"/>
                <w:sz w:val="21"/>
                <w:szCs w:val="21"/>
              </w:rPr>
              <w:t>，</w:t>
            </w:r>
            <w:r>
              <w:rPr>
                <w:rFonts w:ascii="宋体" w:hAnsi="宋体" w:cs="宋体" w:eastAsia="宋体" w:hint="default"/>
                <w:w w:val="100"/>
                <w:sz w:val="21"/>
                <w:szCs w:val="21"/>
              </w:rPr>
              <w:t>还</w:t>
            </w:r>
            <w:r>
              <w:rPr>
                <w:rFonts w:ascii="宋体" w:hAnsi="宋体" w:cs="宋体" w:eastAsia="宋体" w:hint="default"/>
                <w:spacing w:val="-3"/>
                <w:w w:val="100"/>
                <w:sz w:val="21"/>
                <w:szCs w:val="21"/>
              </w:rPr>
              <w:t>通</w:t>
            </w:r>
            <w:r>
              <w:rPr>
                <w:rFonts w:ascii="宋体" w:hAnsi="宋体" w:cs="宋体" w:eastAsia="宋体" w:hint="default"/>
                <w:w w:val="100"/>
                <w:sz w:val="21"/>
                <w:szCs w:val="21"/>
              </w:rPr>
              <w:t>过中</w:t>
            </w:r>
            <w:r>
              <w:rPr>
                <w:rFonts w:ascii="宋体" w:hAnsi="宋体" w:cs="宋体" w:eastAsia="宋体" w:hint="default"/>
                <w:spacing w:val="-3"/>
                <w:w w:val="100"/>
                <w:sz w:val="21"/>
                <w:szCs w:val="21"/>
              </w:rPr>
              <w:t>信</w:t>
            </w:r>
            <w:r>
              <w:rPr>
                <w:rFonts w:ascii="宋体" w:hAnsi="宋体" w:cs="宋体" w:eastAsia="宋体" w:hint="default"/>
                <w:w w:val="100"/>
                <w:sz w:val="21"/>
                <w:szCs w:val="21"/>
              </w:rPr>
              <w:t>建</w:t>
            </w:r>
            <w:r>
              <w:rPr>
                <w:rFonts w:ascii="宋体" w:hAnsi="宋体" w:cs="宋体" w:eastAsia="宋体" w:hint="default"/>
                <w:spacing w:val="-3"/>
                <w:w w:val="100"/>
                <w:sz w:val="21"/>
                <w:szCs w:val="21"/>
              </w:rPr>
              <w:t>投</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股份</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有限公司信用交易担保证券账户持有</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965,068</w:t>
            </w:r>
            <w:r>
              <w:rPr>
                <w:rFonts w:ascii="Times New Roman" w:hAnsi="Times New Roman" w:cs="Times New Roman" w:eastAsia="Times New Roman" w:hint="default"/>
                <w:spacing w:val="8"/>
                <w:sz w:val="21"/>
                <w:szCs w:val="21"/>
              </w:rPr>
              <w:t> </w:t>
            </w:r>
            <w:r>
              <w:rPr>
                <w:rFonts w:ascii="宋体" w:hAnsi="宋体" w:cs="宋体" w:eastAsia="宋体" w:hint="default"/>
                <w:spacing w:val="-5"/>
                <w:sz w:val="21"/>
                <w:szCs w:val="21"/>
              </w:rPr>
              <w:t>股；公司股东林宜坦除通过</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普通</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账</w:t>
            </w:r>
            <w:r>
              <w:rPr>
                <w:rFonts w:ascii="宋体" w:hAnsi="宋体" w:cs="宋体" w:eastAsia="宋体" w:hint="default"/>
                <w:w w:val="100"/>
                <w:sz w:val="21"/>
                <w:szCs w:val="21"/>
              </w:rPr>
              <w:t>户</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外</w:t>
            </w:r>
            <w:r>
              <w:rPr>
                <w:rFonts w:ascii="宋体" w:hAnsi="宋体" w:cs="宋体" w:eastAsia="宋体" w:hint="default"/>
                <w:spacing w:val="-92"/>
                <w:w w:val="100"/>
                <w:sz w:val="21"/>
                <w:szCs w:val="21"/>
              </w:rPr>
              <w:t>，</w:t>
            </w:r>
            <w:r>
              <w:rPr>
                <w:rFonts w:ascii="宋体" w:hAnsi="宋体" w:cs="宋体" w:eastAsia="宋体" w:hint="default"/>
                <w:w w:val="100"/>
                <w:sz w:val="21"/>
                <w:szCs w:val="21"/>
              </w:rPr>
              <w:t>还通</w:t>
            </w:r>
            <w:r>
              <w:rPr>
                <w:rFonts w:ascii="宋体" w:hAnsi="宋体" w:cs="宋体" w:eastAsia="宋体" w:hint="default"/>
                <w:spacing w:val="-3"/>
                <w:w w:val="100"/>
                <w:sz w:val="21"/>
                <w:szCs w:val="21"/>
              </w:rPr>
              <w:t>过</w:t>
            </w:r>
            <w:r>
              <w:rPr>
                <w:rFonts w:ascii="宋体" w:hAnsi="宋体" w:cs="宋体" w:eastAsia="宋体" w:hint="default"/>
                <w:w w:val="100"/>
                <w:sz w:val="21"/>
                <w:szCs w:val="21"/>
              </w:rPr>
              <w:t>兴</w:t>
            </w:r>
            <w:r>
              <w:rPr>
                <w:rFonts w:ascii="宋体" w:hAnsi="宋体" w:cs="宋体" w:eastAsia="宋体" w:hint="default"/>
                <w:spacing w:val="-3"/>
                <w:w w:val="100"/>
                <w:sz w:val="21"/>
                <w:szCs w:val="21"/>
              </w:rPr>
              <w:t>业</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信</w:t>
            </w:r>
            <w:r>
              <w:rPr>
                <w:rFonts w:ascii="宋体" w:hAnsi="宋体" w:cs="宋体" w:eastAsia="宋体" w:hint="default"/>
                <w:w w:val="100"/>
                <w:sz w:val="21"/>
                <w:szCs w:val="21"/>
              </w:rPr>
              <w:t>用</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担</w:t>
            </w:r>
            <w:r>
              <w:rPr>
                <w:rFonts w:ascii="宋体" w:hAnsi="宋体" w:cs="宋体" w:eastAsia="宋体" w:hint="default"/>
                <w:w w:val="100"/>
                <w:sz w:val="21"/>
                <w:szCs w:val="21"/>
              </w:rPr>
              <w:t>保证</w:t>
            </w:r>
          </w:p>
          <w:p>
            <w:pPr>
              <w:pStyle w:val="TableParagraph"/>
              <w:spacing w:line="240" w:lineRule="auto" w:before="21"/>
              <w:ind w:left="23" w:right="-20"/>
              <w:jc w:val="left"/>
              <w:rPr>
                <w:rFonts w:ascii="宋体" w:hAnsi="宋体" w:cs="宋体" w:eastAsia="宋体" w:hint="default"/>
                <w:sz w:val="21"/>
                <w:szCs w:val="21"/>
              </w:rPr>
            </w:pPr>
            <w:r>
              <w:rPr>
                <w:rFonts w:ascii="宋体" w:hAnsi="宋体" w:cs="宋体" w:eastAsia="宋体" w:hint="default"/>
                <w:sz w:val="21"/>
                <w:szCs w:val="21"/>
              </w:rPr>
              <w:t>券账户持有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189,710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股；公司股东何勇除通过普通证券账户持有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股外，</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还通过西南证券股份有限公司信用交易担保证券账户持有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167,100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bl>
    <w:p>
      <w:pPr>
        <w:pStyle w:val="BodyText"/>
        <w:spacing w:line="240" w:lineRule="auto" w:before="28"/>
        <w:ind w:right="153"/>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59"/>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62"/>
        <w:ind w:right="153"/>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8"/>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right="5816"/>
        <w:jc w:val="left"/>
      </w:pPr>
      <w:r>
        <w:rPr>
          <w:spacing w:val="-2"/>
        </w:rPr>
        <w:t>控股股东性质：自然人控股</w:t>
      </w:r>
      <w:r>
        <w:rPr>
          <w:spacing w:val="-82"/>
        </w:rPr>
        <w:t> </w:t>
      </w:r>
      <w:r>
        <w:rPr>
          <w:spacing w:val="-82"/>
        </w:rPr>
      </w:r>
      <w:r>
        <w:rPr/>
        <w:t>控股股东类型：自然人</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419"/>
        <w:gridCol w:w="2030"/>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8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pacing w:val="-2"/>
                <w:sz w:val="21"/>
                <w:szCs w:val="21"/>
              </w:rPr>
              <w:t>朱业胜、曾维斌、姜承法（通过一致</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19"/>
      </w:tblGrid>
      <w:tr>
        <w:trPr>
          <w:trHeight w:val="675"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2"/>
                <w:sz w:val="21"/>
                <w:szCs w:val="21"/>
              </w:rPr>
              <w:t>行动协议的安排形成对公司的实际控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制）</w:t>
            </w:r>
          </w:p>
        </w:tc>
        <w:tc>
          <w:tcPr>
            <w:tcW w:w="2030" w:type="dxa"/>
            <w:tcBorders>
              <w:top w:val="single" w:sz="4" w:space="0" w:color="000000"/>
              <w:left w:val="single" w:sz="4" w:space="0" w:color="000000"/>
              <w:bottom w:val="single" w:sz="4" w:space="0" w:color="000000"/>
              <w:right w:val="single" w:sz="4" w:space="0" w:color="000000"/>
            </w:tcBorders>
          </w:tcPr>
          <w:p>
            <w:pPr/>
          </w:p>
        </w:tc>
        <w:tc>
          <w:tcPr>
            <w:tcW w:w="41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2"/>
                <w:sz w:val="21"/>
                <w:szCs w:val="21"/>
              </w:rPr>
              <w:t>朱业胜任公司董事长、总经理；曾维斌任公司董事、副总经理；姜</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承法任公司董事、副总经理；</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报告期内控股和参股的其他境内外上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市公司的股权情况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28"/>
        <w:ind w:right="153"/>
        <w:jc w:val="left"/>
      </w:pPr>
      <w:r>
        <w:rPr/>
        <w:t>控股股东报告期内变更</w:t>
      </w:r>
    </w:p>
    <w:p>
      <w:pPr>
        <w:pStyle w:val="BodyText"/>
        <w:spacing w:line="290" w:lineRule="auto" w:before="75"/>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公司报告期控股股东未发生变更。</w:t>
      </w:r>
    </w:p>
    <w:p>
      <w:pPr>
        <w:spacing w:line="240" w:lineRule="auto" w:before="5"/>
        <w:rPr>
          <w:rFonts w:ascii="宋体" w:hAnsi="宋体" w:cs="宋体" w:eastAsia="宋体" w:hint="default"/>
          <w:sz w:val="22"/>
          <w:szCs w:val="22"/>
        </w:rPr>
      </w:pPr>
    </w:p>
    <w:p>
      <w:pPr>
        <w:pStyle w:val="Heading4"/>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right="5816"/>
        <w:jc w:val="left"/>
      </w:pPr>
      <w:r>
        <w:rPr>
          <w:spacing w:val="-2"/>
        </w:rPr>
        <w:t>实际控制人性质：境内自然人</w:t>
      </w:r>
      <w:r>
        <w:rPr>
          <w:spacing w:val="-79"/>
        </w:rPr>
        <w:t> </w:t>
      </w:r>
      <w:r>
        <w:rPr>
          <w:spacing w:val="-79"/>
        </w:rPr>
      </w:r>
      <w:r>
        <w:rPr/>
        <w:t>实际控制人类型：自然人</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327"/>
        <w:gridCol w:w="2122"/>
        <w:gridCol w:w="4122"/>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24"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8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1027"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7"/>
                <w:sz w:val="21"/>
                <w:szCs w:val="21"/>
              </w:rPr>
              <w:t>朱业胜、曾维斌、姜承法（通过一致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行动协议的安排形成对公司的实际</w:t>
            </w:r>
            <w:r>
              <w:rPr>
                <w:rFonts w:ascii="宋体" w:hAnsi="宋体" w:cs="宋体" w:eastAsia="宋体" w:hint="default"/>
                <w:w w:val="100"/>
                <w:sz w:val="21"/>
                <w:szCs w:val="21"/>
              </w:rPr>
              <w:t> </w:t>
            </w:r>
            <w:r>
              <w:rPr>
                <w:rFonts w:ascii="宋体" w:hAnsi="宋体" w:cs="宋体" w:eastAsia="宋体" w:hint="default"/>
                <w:sz w:val="21"/>
                <w:szCs w:val="21"/>
              </w:rPr>
              <w:t>控制）</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10"/>
              <w:jc w:val="left"/>
              <w:rPr>
                <w:rFonts w:ascii="宋体" w:hAnsi="宋体" w:cs="宋体" w:eastAsia="宋体" w:hint="default"/>
                <w:sz w:val="21"/>
                <w:szCs w:val="21"/>
              </w:rPr>
            </w:pPr>
            <w:r>
              <w:rPr>
                <w:rFonts w:ascii="宋体" w:hAnsi="宋体" w:cs="宋体" w:eastAsia="宋体" w:hint="default"/>
                <w:spacing w:val="-2"/>
                <w:sz w:val="21"/>
                <w:szCs w:val="21"/>
              </w:rPr>
              <w:t>朱业胜任公司董事长、总经理；曾维斌任公司董事、副总经理；姜</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承法任公司董事、副总经理；</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4" w:right="34"/>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28"/>
        <w:ind w:right="153"/>
        <w:jc w:val="left"/>
      </w:pPr>
      <w:r>
        <w:rPr/>
        <w:t>实际控制人报告期内变更</w:t>
      </w:r>
    </w:p>
    <w:p>
      <w:pPr>
        <w:pStyle w:val="BodyText"/>
        <w:spacing w:line="300" w:lineRule="auto" w:before="76"/>
        <w:ind w:right="49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公司报告期实际控制人未发生变更。</w:t>
      </w:r>
      <w:r>
        <w:rPr>
          <w:w w:val="100"/>
        </w:rPr>
        <w:t> </w:t>
      </w:r>
      <w:r>
        <w:rPr>
          <w:spacing w:val="-2"/>
        </w:rPr>
        <w:t>公司与实际控制人之间的产权及控制关系的方框图</w:t>
      </w:r>
    </w:p>
    <w:p>
      <w:pPr>
        <w:spacing w:line="240" w:lineRule="auto" w:before="3"/>
        <w:rPr>
          <w:rFonts w:ascii="宋体" w:hAnsi="宋体" w:cs="宋体" w:eastAsia="宋体" w:hint="default"/>
          <w:sz w:val="15"/>
          <w:szCs w:val="15"/>
        </w:rPr>
      </w:pPr>
    </w:p>
    <w:p>
      <w:pPr>
        <w:spacing w:line="4608" w:lineRule="exact"/>
        <w:ind w:left="2152"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3535711" cy="292636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3535711" cy="2926365"/>
                    </a:xfrm>
                    <a:prstGeom prst="rect">
                      <a:avLst/>
                    </a:prstGeom>
                  </pic:spPr>
                </pic:pic>
              </a:graphicData>
            </a:graphic>
          </wp:inline>
        </w:drawing>
      </w:r>
      <w:r>
        <w:rPr>
          <w:rFonts w:ascii="宋体" w:hAnsi="宋体" w:cs="宋体" w:eastAsia="宋体" w:hint="default"/>
          <w:position w:val="-91"/>
          <w:sz w:val="20"/>
          <w:szCs w:val="20"/>
        </w:rPr>
      </w:r>
    </w:p>
    <w:p>
      <w:pPr>
        <w:spacing w:after="0" w:line="4608"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6"/>
        <w:ind w:right="153"/>
        <w:jc w:val="left"/>
      </w:pPr>
      <w:r>
        <w:rPr/>
        <w:t>实际控制人通过信托或其他资产管理方式控制公司</w:t>
      </w:r>
    </w:p>
    <w:p>
      <w:pPr>
        <w:spacing w:line="240" w:lineRule="auto" w:before="1"/>
        <w:rPr>
          <w:rFonts w:ascii="宋体" w:hAnsi="宋体" w:cs="宋体" w:eastAsia="宋体" w:hint="default"/>
          <w:sz w:val="18"/>
          <w:szCs w:val="18"/>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90" w:lineRule="auto" w:before="36"/>
        <w:ind w:right="5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报告期公司不存在优先股。</w:t>
      </w:r>
    </w:p>
    <w:p>
      <w:pPr>
        <w:spacing w:after="0" w:line="29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53"/>
        <w:jc w:val="left"/>
        <w:rPr>
          <w:b w:val="0"/>
          <w:bCs w:val="0"/>
        </w:rPr>
      </w:pPr>
      <w:bookmarkStart w:name="_TOC_250003"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pict>
          <v:shape style="position:absolute;margin-left:129.627838pt;margin-top:112.340599pt;width:45.25pt;height:22.8pt;mso-position-horizontal-relative:page;mso-position-vertical-relative:paragraph;z-index:-700984" type="#_x0000_t202" filled="false" stroked="false">
            <v:textbox inset="0,0,0,0">
              <w:txbxContent>
                <w:p>
                  <w:pPr>
                    <w:pStyle w:val="BodyText"/>
                    <w:spacing w:line="211" w:lineRule="exact"/>
                    <w:ind w:left="0" w:right="0"/>
                    <w:jc w:val="left"/>
                  </w:pPr>
                  <w:r>
                    <w:rPr>
                      <w:w w:val="100"/>
                    </w:rPr>
                    <w:t>、</w:t>
                  </w:r>
                </w:p>
              </w:txbxContent>
            </v:textbox>
            <w10:wrap type="none"/>
          </v:shape>
        </w:pict>
      </w:r>
      <w:r>
        <w:rPr/>
        <w:pict>
          <v:group style="position:absolute;margin-left:136.699997pt;margin-top:99.93560pt;width:39.4pt;height:35.8pt;mso-position-horizontal-relative:page;mso-position-vertical-relative:paragraph;z-index:-700960" coordorigin="2734,1999" coordsize="788,716">
            <v:group style="position:absolute;left:2734;top:1999;width:788;height:312" coordorigin="2734,1999" coordsize="788,312">
              <v:shape style="position:absolute;left:2734;top:1999;width:788;height:312" coordorigin="2734,1999" coordsize="788,312" path="m2734,2311l3521,2311,3521,1999,2734,1999,2734,2311xe" filled="true" fillcolor="#ffffff" stroked="false">
                <v:path arrowok="t"/>
                <v:fill type="solid"/>
              </v:shape>
            </v:group>
            <v:group style="position:absolute;left:2746;top:2311;width:2;height:392" coordorigin="2746,2311" coordsize="2,392">
              <v:shape style="position:absolute;left:2746;top:2311;width:2;height:392" coordorigin="2746,2311" coordsize="0,392" path="m2746,2311l2746,2702e" filled="false" stroked="true" strokeweight="1.2pt" strokecolor="#ffffff">
                <v:path arrowok="t"/>
              </v:shape>
            </v:group>
            <v:group style="position:absolute;left:2758;top:2311;width:740;height:392" coordorigin="2758,2311" coordsize="740,392">
              <v:shape style="position:absolute;left:2758;top:2311;width:740;height:392" coordorigin="2758,2311" coordsize="740,392" path="m2758,2702l3497,2702,3497,2311,2758,2311,2758,2702xe" filled="true" fillcolor="#ffffff" stroked="false">
                <v:path arrowok="t"/>
                <v:fill type="solid"/>
              </v:shape>
            </v:group>
            <w10:wrap type="none"/>
          </v:group>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180"/>
              <w:jc w:val="right"/>
              <w:rPr>
                <w:rFonts w:ascii="宋体" w:hAnsi="宋体" w:cs="宋体" w:eastAsia="宋体" w:hint="default"/>
                <w:sz w:val="21"/>
                <w:szCs w:val="21"/>
              </w:rPr>
            </w:pPr>
            <w:r>
              <w:rPr>
                <w:rFonts w:ascii="宋体" w:hAnsi="宋体" w:cs="宋体" w:eastAsia="宋体" w:hint="default"/>
                <w:sz w:val="21"/>
                <w:szCs w:val="21"/>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任职状</w:t>
            </w:r>
            <w:r>
              <w:rPr>
                <w:rFonts w:ascii="宋体" w:hAnsi="宋体" w:cs="宋体" w:eastAsia="宋体" w:hint="default"/>
                <w:spacing w:val="-102"/>
                <w:sz w:val="21"/>
                <w:szCs w:val="21"/>
              </w:rPr>
              <w:t> </w:t>
            </w:r>
            <w:r>
              <w:rPr>
                <w:rFonts w:ascii="宋体" w:hAnsi="宋体" w:cs="宋体" w:eastAsia="宋体" w:hint="default"/>
                <w:sz w:val="21"/>
                <w:szCs w:val="21"/>
              </w:rPr>
              <w:t>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79" w:right="72"/>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spacing w:val="-102"/>
                <w:sz w:val="21"/>
                <w:szCs w:val="21"/>
              </w:rPr>
              <w:t> </w:t>
            </w:r>
            <w:r>
              <w:rPr>
                <w:rFonts w:ascii="宋体" w:hAnsi="宋体" w:cs="宋体" w:eastAsia="宋体" w:hint="default"/>
                <w:sz w:val="21"/>
                <w:szCs w:val="21"/>
              </w:rPr>
              <w:t>始日期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79" w:right="75"/>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184" w:right="72" w:hanging="106"/>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7"/>
              <w:ind w:left="7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4"/>
              <w:jc w:val="both"/>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p>
            <w:pPr>
              <w:pStyle w:val="TableParagraph"/>
              <w:spacing w:line="240" w:lineRule="auto" w:before="7"/>
              <w:ind w:left="79" w:right="0"/>
              <w:jc w:val="both"/>
              <w:rPr>
                <w:rFonts w:ascii="宋体" w:hAnsi="宋体" w:cs="宋体" w:eastAsia="宋体" w:hint="default"/>
                <w:sz w:val="21"/>
                <w:szCs w:val="21"/>
              </w:rPr>
            </w:pPr>
            <w:r>
              <w:rPr>
                <w:rFonts w:ascii="宋体" w:hAnsi="宋体" w:cs="宋体" w:eastAsia="宋体" w:hint="default"/>
                <w:sz w:val="21"/>
                <w:szCs w:val="21"/>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2"/>
              <w:jc w:val="both"/>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p>
            <w:pPr>
              <w:pStyle w:val="TableParagraph"/>
              <w:spacing w:line="240" w:lineRule="auto" w:before="7"/>
              <w:ind w:left="79" w:right="0"/>
              <w:jc w:val="both"/>
              <w:rPr>
                <w:rFonts w:ascii="宋体" w:hAnsi="宋体" w:cs="宋体" w:eastAsia="宋体" w:hint="default"/>
                <w:sz w:val="21"/>
                <w:szCs w:val="21"/>
              </w:rPr>
            </w:pPr>
            <w:r>
              <w:rPr>
                <w:rFonts w:ascii="宋体" w:hAnsi="宋体" w:cs="宋体" w:eastAsia="宋体" w:hint="default"/>
                <w:sz w:val="21"/>
                <w:szCs w:val="21"/>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79" w:right="75"/>
              <w:jc w:val="left"/>
              <w:rPr>
                <w:rFonts w:ascii="宋体" w:hAnsi="宋体" w:cs="宋体" w:eastAsia="宋体" w:hint="default"/>
                <w:sz w:val="21"/>
                <w:szCs w:val="21"/>
              </w:rPr>
            </w:pPr>
            <w:r>
              <w:rPr>
                <w:rFonts w:ascii="宋体" w:hAnsi="宋体" w:cs="宋体" w:eastAsia="宋体" w:hint="default"/>
                <w:sz w:val="21"/>
                <w:szCs w:val="21"/>
              </w:rPr>
              <w:t>其他增</w:t>
            </w:r>
            <w:r>
              <w:rPr>
                <w:rFonts w:ascii="宋体" w:hAnsi="宋体" w:cs="宋体" w:eastAsia="宋体" w:hint="default"/>
                <w:spacing w:val="-102"/>
                <w:sz w:val="21"/>
                <w:szCs w:val="21"/>
              </w:rPr>
              <w:t> </w:t>
            </w:r>
            <w:r>
              <w:rPr>
                <w:rFonts w:ascii="宋体" w:hAnsi="宋体" w:cs="宋体" w:eastAsia="宋体" w:hint="default"/>
                <w:sz w:val="21"/>
                <w:szCs w:val="21"/>
              </w:rPr>
              <w:t>减变动</w:t>
            </w:r>
          </w:p>
          <w:p>
            <w:pPr>
              <w:pStyle w:val="TableParagraph"/>
              <w:spacing w:line="240" w:lineRule="auto" w:before="7"/>
              <w:ind w:left="7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184" w:right="72" w:hanging="106"/>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7"/>
              <w:ind w:left="79"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30"/>
              <w:jc w:val="right"/>
              <w:rPr>
                <w:rFonts w:ascii="宋体" w:hAnsi="宋体" w:cs="宋体" w:eastAsia="宋体" w:hint="default"/>
                <w:sz w:val="21"/>
                <w:szCs w:val="21"/>
              </w:rPr>
            </w:pPr>
            <w:r>
              <w:rPr>
                <w:rFonts w:ascii="宋体" w:hAnsi="宋体" w:cs="宋体" w:eastAsia="宋体" w:hint="default"/>
                <w:sz w:val="21"/>
                <w:szCs w:val="21"/>
              </w:rPr>
              <w:t>朱业胜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1" w:lineRule="auto"/>
              <w:ind w:left="23" w:right="127"/>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pacing w:val="-102"/>
                <w:sz w:val="21"/>
                <w:szCs w:val="21"/>
              </w:rPr>
              <w:t> </w:t>
            </w:r>
            <w:r>
              <w:rPr>
                <w:rFonts w:ascii="宋体" w:hAnsi="宋体" w:cs="宋体" w:eastAsia="宋体" w:hint="default"/>
                <w:sz w:val="21"/>
                <w:szCs w:val="21"/>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z w:val="21"/>
                <w:szCs w:val="21"/>
              </w:rPr>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7,450,01</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7,450,01</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8</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30"/>
              <w:jc w:val="right"/>
              <w:rPr>
                <w:rFonts w:ascii="宋体" w:hAnsi="宋体" w:cs="宋体" w:eastAsia="宋体" w:hint="default"/>
                <w:sz w:val="21"/>
                <w:szCs w:val="21"/>
              </w:rPr>
            </w:pPr>
            <w:r>
              <w:rPr>
                <w:rFonts w:ascii="宋体" w:hAnsi="宋体" w:cs="宋体" w:eastAsia="宋体" w:hint="default"/>
                <w:sz w:val="21"/>
                <w:szCs w:val="21"/>
              </w:rPr>
              <w:t>曾维斌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26"/>
                <w:w w:val="100"/>
                <w:sz w:val="21"/>
                <w:szCs w:val="21"/>
              </w:rPr>
              <w:t>董事、副</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4,339,84</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4,339,84</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30"/>
              <w:jc w:val="right"/>
              <w:rPr>
                <w:rFonts w:ascii="宋体" w:hAnsi="宋体" w:cs="宋体" w:eastAsia="宋体" w:hint="default"/>
                <w:sz w:val="21"/>
                <w:szCs w:val="21"/>
              </w:rPr>
            </w:pPr>
            <w:r>
              <w:rPr>
                <w:rFonts w:ascii="宋体" w:hAnsi="宋体" w:cs="宋体" w:eastAsia="宋体" w:hint="default"/>
                <w:sz w:val="21"/>
                <w:szCs w:val="21"/>
              </w:rPr>
              <w:t>姜承法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1" w:lineRule="auto"/>
              <w:ind w:left="23" w:right="17"/>
              <w:jc w:val="left"/>
              <w:rPr>
                <w:rFonts w:ascii="宋体" w:hAnsi="宋体" w:cs="宋体" w:eastAsia="宋体" w:hint="default"/>
                <w:sz w:val="21"/>
                <w:szCs w:val="21"/>
              </w:rPr>
            </w:pPr>
            <w:r>
              <w:rPr>
                <w:rFonts w:ascii="宋体" w:hAnsi="宋体" w:cs="宋体" w:eastAsia="宋体" w:hint="default"/>
                <w:spacing w:val="-26"/>
                <w:w w:val="100"/>
                <w:sz w:val="21"/>
                <w:szCs w:val="21"/>
              </w:rPr>
              <w:t>董事、副</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4,339,84</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4,339,84</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1</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30"/>
              <w:jc w:val="right"/>
              <w:rPr>
                <w:rFonts w:ascii="宋体" w:hAnsi="宋体" w:cs="宋体" w:eastAsia="宋体" w:hint="default"/>
                <w:sz w:val="21"/>
                <w:szCs w:val="21"/>
              </w:rPr>
            </w:pPr>
            <w:r>
              <w:rPr>
                <w:rFonts w:ascii="宋体" w:hAnsi="宋体" w:cs="宋体" w:eastAsia="宋体" w:hint="default"/>
                <w:sz w:val="21"/>
                <w:szCs w:val="21"/>
              </w:rPr>
              <w:t>瞿绪标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right="130"/>
              <w:jc w:val="right"/>
              <w:rPr>
                <w:rFonts w:ascii="宋体" w:hAnsi="宋体" w:cs="宋体" w:eastAsia="宋体" w:hint="default"/>
                <w:sz w:val="21"/>
                <w:szCs w:val="21"/>
              </w:rPr>
            </w:pPr>
            <w:r>
              <w:rPr>
                <w:rFonts w:ascii="宋体" w:hAnsi="宋体" w:cs="宋体" w:eastAsia="宋体" w:hint="default"/>
                <w:sz w:val="21"/>
                <w:szCs w:val="21"/>
              </w:rPr>
              <w:t>叶蜀君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1" w:lineRule="auto"/>
              <w:ind w:left="23" w:right="127"/>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30"/>
              <w:jc w:val="right"/>
              <w:rPr>
                <w:rFonts w:ascii="宋体" w:hAnsi="宋体" w:cs="宋体" w:eastAsia="宋体" w:hint="default"/>
                <w:sz w:val="21"/>
                <w:szCs w:val="21"/>
              </w:rPr>
            </w:pPr>
            <w:r>
              <w:rPr>
                <w:rFonts w:ascii="宋体" w:hAnsi="宋体" w:cs="宋体" w:eastAsia="宋体" w:hint="default"/>
                <w:sz w:val="21"/>
                <w:szCs w:val="21"/>
              </w:rPr>
              <w:t>许春华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3" w:right="127"/>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30"/>
              <w:jc w:val="right"/>
              <w:rPr>
                <w:rFonts w:ascii="宋体" w:hAnsi="宋体" w:cs="宋体" w:eastAsia="宋体" w:hint="default"/>
                <w:sz w:val="21"/>
                <w:szCs w:val="21"/>
              </w:rPr>
            </w:pPr>
            <w:r>
              <w:rPr>
                <w:rFonts w:ascii="宋体" w:hAnsi="宋体" w:cs="宋体" w:eastAsia="宋体" w:hint="default"/>
                <w:sz w:val="21"/>
                <w:szCs w:val="21"/>
              </w:rPr>
              <w:t>陈业进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1" w:lineRule="auto"/>
              <w:ind w:left="23" w:right="127"/>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30"/>
              <w:jc w:val="right"/>
              <w:rPr>
                <w:rFonts w:ascii="宋体" w:hAnsi="宋体" w:cs="宋体" w:eastAsia="宋体" w:hint="default"/>
                <w:sz w:val="21"/>
                <w:szCs w:val="21"/>
              </w:rPr>
            </w:pPr>
            <w:r>
              <w:rPr>
                <w:rFonts w:ascii="宋体" w:hAnsi="宋体" w:cs="宋体" w:eastAsia="宋体" w:hint="default"/>
                <w:sz w:val="21"/>
                <w:szCs w:val="21"/>
              </w:rPr>
              <w:t>王际松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3" w:right="127"/>
              <w:jc w:val="left"/>
              <w:rPr>
                <w:rFonts w:ascii="宋体" w:hAnsi="宋体" w:cs="宋体" w:eastAsia="宋体" w:hint="default"/>
                <w:sz w:val="21"/>
                <w:szCs w:val="21"/>
              </w:rPr>
            </w:pPr>
            <w:r>
              <w:rPr>
                <w:rFonts w:ascii="宋体" w:hAnsi="宋体" w:cs="宋体" w:eastAsia="宋体" w:hint="default"/>
                <w:sz w:val="21"/>
                <w:szCs w:val="21"/>
              </w:rPr>
              <w:t>监事会</w:t>
            </w:r>
            <w:r>
              <w:rPr>
                <w:rFonts w:ascii="宋体" w:hAnsi="宋体" w:cs="宋体" w:eastAsia="宋体" w:hint="default"/>
                <w:spacing w:val="-102"/>
                <w:sz w:val="21"/>
                <w:szCs w:val="21"/>
              </w:rPr>
              <w:t> </w:t>
            </w:r>
            <w:r>
              <w:rPr>
                <w:rFonts w:ascii="宋体" w:hAnsi="宋体" w:cs="宋体" w:eastAsia="宋体" w:hint="default"/>
                <w:sz w:val="21"/>
                <w:szCs w:val="21"/>
              </w:rPr>
              <w:t>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3,616,69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3,616,69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130"/>
              <w:jc w:val="right"/>
              <w:rPr>
                <w:rFonts w:ascii="宋体" w:hAnsi="宋体" w:cs="宋体" w:eastAsia="宋体" w:hint="default"/>
                <w:sz w:val="21"/>
                <w:szCs w:val="21"/>
              </w:rPr>
            </w:pPr>
            <w:r>
              <w:rPr>
                <w:rFonts w:ascii="宋体" w:hAnsi="宋体" w:cs="宋体" w:eastAsia="宋体" w:hint="default"/>
                <w:sz w:val="21"/>
                <w:szCs w:val="21"/>
              </w:rPr>
              <w:t>孙建国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30"/>
              <w:jc w:val="right"/>
              <w:rPr>
                <w:rFonts w:ascii="宋体" w:hAnsi="宋体" w:cs="宋体" w:eastAsia="宋体" w:hint="default"/>
                <w:sz w:val="21"/>
                <w:szCs w:val="21"/>
              </w:rPr>
            </w:pPr>
            <w:r>
              <w:rPr>
                <w:rFonts w:ascii="宋体" w:hAnsi="宋体" w:cs="宋体" w:eastAsia="宋体" w:hint="default"/>
                <w:sz w:val="21"/>
                <w:szCs w:val="21"/>
              </w:rPr>
              <w:t>双国庆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张玉生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3" w:right="127"/>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right="338"/>
              <w:jc w:val="righ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28</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3,616,69</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3,616,69</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潘帮南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秘书、副</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338"/>
              <w:jc w:val="righ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张瑞英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3" w:right="127"/>
              <w:jc w:val="left"/>
              <w:rPr>
                <w:rFonts w:ascii="宋体" w:hAnsi="宋体" w:cs="宋体" w:eastAsia="宋体" w:hint="default"/>
                <w:sz w:val="21"/>
                <w:szCs w:val="21"/>
              </w:rPr>
            </w:pPr>
            <w:r>
              <w:rPr>
                <w:rFonts w:ascii="宋体" w:hAnsi="宋体" w:cs="宋体" w:eastAsia="宋体" w:hint="default"/>
                <w:sz w:val="21"/>
                <w:szCs w:val="21"/>
              </w:rPr>
              <w:t>财务总</w:t>
            </w:r>
            <w:r>
              <w:rPr>
                <w:rFonts w:ascii="宋体" w:hAnsi="宋体" w:cs="宋体" w:eastAsia="宋体" w:hint="default"/>
                <w:spacing w:val="-102"/>
                <w:sz w:val="21"/>
                <w:szCs w:val="21"/>
              </w:rPr>
              <w:t> </w:t>
            </w:r>
            <w:r>
              <w:rPr>
                <w:rFonts w:ascii="宋体" w:hAnsi="宋体" w:cs="宋体" w:eastAsia="宋体" w:hint="default"/>
                <w:sz w:val="21"/>
                <w:szCs w:val="21"/>
              </w:rPr>
              <w:t>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338"/>
              <w:jc w:val="right"/>
              <w:rPr>
                <w:rFonts w:ascii="宋体" w:hAnsi="宋体" w:cs="宋体" w:eastAsia="宋体" w:hint="default"/>
                <w:sz w:val="21"/>
                <w:szCs w:val="21"/>
              </w:rPr>
            </w:pPr>
            <w:r>
              <w:rPr>
                <w:rFonts w:ascii="宋体" w:hAnsi="宋体" w:cs="宋体" w:eastAsia="宋体" w:hint="default"/>
                <w:sz w:val="21"/>
                <w:szCs w:val="21"/>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3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24,563,0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24,563,0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88</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3"/>
        <w:gridCol w:w="1330"/>
        <w:gridCol w:w="4247"/>
      </w:tblGrid>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三、任职情况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t>公司现任董事、监事、高级管理人员专业背景、主要工作经历以及目前在公司的主要职责</w:t>
      </w:r>
    </w:p>
    <w:p>
      <w:pPr>
        <w:pStyle w:val="BodyText"/>
        <w:spacing w:line="256" w:lineRule="auto" w:before="78"/>
        <w:ind w:right="145"/>
        <w:jc w:val="left"/>
      </w:pPr>
      <w:r>
        <w:rPr>
          <w:rFonts w:ascii="Times New Roman" w:hAnsi="Times New Roman" w:cs="Times New Roman" w:eastAsia="Times New Roman" w:hint="default"/>
        </w:rPr>
        <w:t>1</w:t>
      </w:r>
      <w:r>
        <w:rPr/>
        <w:t>、朱业胜</w:t>
      </w:r>
      <w:r>
        <w:rPr>
          <w:spacing w:val="-31"/>
        </w:rPr>
        <w:t> </w:t>
      </w:r>
      <w:r>
        <w:rPr/>
        <w:t>男，</w:t>
      </w:r>
      <w:r>
        <w:rPr>
          <w:rFonts w:ascii="Times New Roman" w:hAnsi="Times New Roman" w:cs="Times New Roman" w:eastAsia="Times New Roman" w:hint="default"/>
        </w:rPr>
        <w:t>1968</w:t>
      </w:r>
      <w:r>
        <w:rPr/>
        <w:t>年出生，中国国籍，无境外永久居留权，工程硕士，高级工程师。曾就职于北京橡胶</w:t>
      </w:r>
      <w:r>
        <w:rPr>
          <w:w w:val="100"/>
        </w:rPr>
        <w:t> </w:t>
      </w:r>
      <w:r>
        <w:rPr>
          <w:spacing w:val="-2"/>
        </w:rPr>
        <w:t>工业研究设计院，高级工程师；</w:t>
      </w:r>
      <w:r>
        <w:rPr>
          <w:rFonts w:ascii="Times New Roman" w:hAnsi="Times New Roman" w:cs="Times New Roman" w:eastAsia="Times New Roman" w:hint="default"/>
          <w:spacing w:val="-2"/>
        </w:rPr>
        <w:t>2003</w:t>
      </w:r>
      <w:r>
        <w:rPr>
          <w:spacing w:val="-2"/>
        </w:rPr>
        <w:t>年起就职于本公司，现任本公司董事长、总经理，兼任《橡胶技术与</w:t>
      </w:r>
      <w:r>
        <w:rPr>
          <w:spacing w:val="-42"/>
        </w:rPr>
        <w:t> </w:t>
      </w:r>
      <w:r>
        <w:rPr>
          <w:spacing w:val="-42"/>
        </w:rPr>
      </w:r>
      <w:r>
        <w:rPr/>
        <w:t>装备》杂志编委，橡胶技术信息中心高级顾问，橡胶再生与循环利用协会委员，石化协会</w:t>
      </w:r>
      <w:r>
        <w:rPr>
          <w:rFonts w:ascii="Times New Roman" w:hAnsi="Times New Roman" w:cs="Times New Roman" w:eastAsia="Times New Roman" w:hint="default"/>
        </w:rPr>
        <w:t>“</w:t>
      </w:r>
      <w:r>
        <w:rPr/>
        <w:t>石油和化工橡</w:t>
      </w:r>
      <w:r>
        <w:rPr>
          <w:w w:val="100"/>
        </w:rPr>
        <w:t> </w:t>
      </w:r>
      <w:r>
        <w:rPr/>
        <w:t>塑节能环保中心</w:t>
      </w:r>
      <w:r>
        <w:rPr>
          <w:rFonts w:ascii="Times New Roman" w:hAnsi="Times New Roman" w:cs="Times New Roman" w:eastAsia="Times New Roman" w:hint="default"/>
        </w:rPr>
        <w:t>”</w:t>
      </w:r>
      <w:r>
        <w:rPr/>
        <w:t>理事。朱业胜先生从事密炼机上辅机、小料自动配料系统、轮胎成型机、硫化机、胶片</w:t>
      </w:r>
      <w:r>
        <w:rPr>
          <w:w w:val="100"/>
        </w:rPr>
        <w:t> </w:t>
      </w:r>
      <w:r>
        <w:rPr>
          <w:spacing w:val="-2"/>
        </w:rPr>
        <w:t>冷却机、截断机等多种橡胶设备的开发工作</w:t>
      </w:r>
      <w:r>
        <w:rPr>
          <w:rFonts w:ascii="Times New Roman" w:hAnsi="Times New Roman" w:cs="Times New Roman" w:eastAsia="Times New Roman" w:hint="default"/>
          <w:spacing w:val="-2"/>
        </w:rPr>
        <w:t>20</w:t>
      </w:r>
      <w:r>
        <w:rPr>
          <w:spacing w:val="-2"/>
        </w:rPr>
        <w:t>余年，其主导研发的密炼机上辅机和小料配料系统被列为国</w:t>
      </w:r>
      <w:r>
        <w:rPr>
          <w:spacing w:val="-42"/>
        </w:rPr>
        <w:t> </w:t>
      </w:r>
      <w:r>
        <w:rPr>
          <w:spacing w:val="-42"/>
        </w:rPr>
      </w:r>
      <w:r>
        <w:rPr>
          <w:spacing w:val="-4"/>
        </w:rPr>
        <w:t>家级技术创新项目，是</w:t>
      </w:r>
      <w:r>
        <w:rPr>
          <w:rFonts w:ascii="Times New Roman" w:hAnsi="Times New Roman" w:cs="Times New Roman" w:eastAsia="Times New Roman" w:hint="default"/>
          <w:spacing w:val="-4"/>
        </w:rPr>
        <w:t>“</w:t>
      </w:r>
      <w:r>
        <w:rPr>
          <w:spacing w:val="-4"/>
        </w:rPr>
        <w:t>小粉料配料系统存储斗转台装置</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应用于密炼机上辅机及小药配料系统的远程监</w:t>
      </w:r>
      <w:r>
        <w:rPr>
          <w:spacing w:val="-17"/>
        </w:rPr>
        <w:t> </w:t>
      </w:r>
      <w:r>
        <w:rPr>
          <w:spacing w:val="-17"/>
        </w:rPr>
      </w:r>
      <w:r>
        <w:rPr>
          <w:spacing w:val="-3"/>
        </w:rPr>
        <w:t>控系统</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胶烟尘混合异味废气净化处理装置</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自动制袋套袋装置</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智能化物料输送装置</w:t>
      </w:r>
      <w:r>
        <w:rPr>
          <w:rFonts w:ascii="Times New Roman" w:hAnsi="Times New Roman" w:cs="Times New Roman" w:eastAsia="Times New Roman" w:hint="default"/>
          <w:spacing w:val="-3"/>
        </w:rPr>
        <w:t>”</w:t>
      </w:r>
      <w:r>
        <w:rPr>
          <w:spacing w:val="-3"/>
        </w:rPr>
        <w:t>等专利的主</w:t>
      </w:r>
      <w:r>
        <w:rPr>
          <w:spacing w:val="-10"/>
        </w:rPr>
        <w:t> </w:t>
      </w:r>
      <w:r>
        <w:rPr>
          <w:spacing w:val="-10"/>
        </w:rPr>
      </w:r>
      <w:r>
        <w:rPr/>
        <w:t>要发明人之一，同时朱业胜先生还是《</w:t>
      </w:r>
      <w:r>
        <w:rPr>
          <w:rFonts w:ascii="Times New Roman" w:hAnsi="Times New Roman" w:cs="Times New Roman" w:eastAsia="Times New Roman" w:hint="default"/>
        </w:rPr>
        <w:t>GB/T 25939-2010</w:t>
      </w:r>
      <w:r>
        <w:rPr>
          <w:rFonts w:ascii="Times New Roman" w:hAnsi="Times New Roman" w:cs="Times New Roman" w:eastAsia="Times New Roman" w:hint="default"/>
          <w:spacing w:val="25"/>
        </w:rPr>
        <w:t> </w:t>
      </w:r>
      <w:r>
        <w:rPr/>
        <w:t>密闭式炼胶上辅机系统》国家标准的主要起草人</w:t>
      </w:r>
      <w:r>
        <w:rPr>
          <w:w w:val="100"/>
        </w:rPr>
        <w:t> </w:t>
      </w:r>
      <w:r>
        <w:rPr/>
        <w:t>之一。</w:t>
      </w:r>
    </w:p>
    <w:p>
      <w:pPr>
        <w:pStyle w:val="BodyText"/>
        <w:spacing w:line="256" w:lineRule="auto" w:before="22"/>
        <w:ind w:right="146"/>
        <w:jc w:val="both"/>
      </w:pPr>
      <w:r>
        <w:rPr>
          <w:rFonts w:ascii="Times New Roman" w:hAnsi="Times New Roman" w:cs="Times New Roman" w:eastAsia="Times New Roman" w:hint="default"/>
        </w:rPr>
        <w:t>2</w:t>
      </w:r>
      <w:r>
        <w:rPr/>
        <w:t>、曾维斌</w:t>
      </w:r>
      <w:r>
        <w:rPr>
          <w:spacing w:val="-31"/>
        </w:rPr>
        <w:t> </w:t>
      </w:r>
      <w:r>
        <w:rPr/>
        <w:t>男，</w:t>
      </w:r>
      <w:r>
        <w:rPr>
          <w:rFonts w:ascii="Times New Roman" w:hAnsi="Times New Roman" w:cs="Times New Roman" w:eastAsia="Times New Roman" w:hint="default"/>
        </w:rPr>
        <w:t>1971</w:t>
      </w:r>
      <w:r>
        <w:rPr/>
        <w:t>年出生，中国国籍，无境外永久居留权，本科学历。曾就职于北京橡胶工业研究设计</w:t>
      </w:r>
      <w:r>
        <w:rPr>
          <w:w w:val="100"/>
        </w:rPr>
        <w:t> </w:t>
      </w:r>
      <w:r>
        <w:rPr>
          <w:spacing w:val="-2"/>
        </w:rPr>
        <w:t>院；</w:t>
      </w:r>
      <w:r>
        <w:rPr>
          <w:rFonts w:ascii="Times New Roman" w:hAnsi="Times New Roman" w:cs="Times New Roman" w:eastAsia="Times New Roman" w:hint="default"/>
          <w:spacing w:val="-2"/>
        </w:rPr>
        <w:t>2004</w:t>
      </w:r>
      <w:r>
        <w:rPr>
          <w:spacing w:val="-2"/>
        </w:rPr>
        <w:t>年起就职于本公司；现任本公司董事、副总经理。曾维斌先生从事粉体输送、计量和配料的开发</w:t>
      </w:r>
      <w:r>
        <w:rPr>
          <w:spacing w:val="-40"/>
        </w:rPr>
        <w:t> </w:t>
      </w:r>
      <w:r>
        <w:rPr>
          <w:spacing w:val="-40"/>
        </w:rPr>
      </w:r>
      <w:r>
        <w:rPr/>
        <w:t>与研究工作近</w:t>
      </w:r>
      <w:r>
        <w:rPr>
          <w:rFonts w:ascii="Times New Roman" w:hAnsi="Times New Roman" w:cs="Times New Roman" w:eastAsia="Times New Roman" w:hint="default"/>
        </w:rPr>
        <w:t>20</w:t>
      </w:r>
      <w:r>
        <w:rPr/>
        <w:t>年，具有丰富智能化输送配料系统研发经验。</w:t>
      </w:r>
    </w:p>
    <w:p>
      <w:pPr>
        <w:pStyle w:val="BodyText"/>
        <w:spacing w:line="264" w:lineRule="auto" w:before="5"/>
        <w:ind w:right="145"/>
        <w:jc w:val="left"/>
      </w:pPr>
      <w:r>
        <w:rPr>
          <w:rFonts w:ascii="Times New Roman" w:hAnsi="Times New Roman" w:cs="Times New Roman" w:eastAsia="Times New Roman" w:hint="default"/>
        </w:rPr>
        <w:t>3</w:t>
      </w:r>
      <w:r>
        <w:rPr/>
        <w:t>、姜承法</w:t>
      </w:r>
      <w:r>
        <w:rPr>
          <w:spacing w:val="-31"/>
        </w:rPr>
        <w:t> </w:t>
      </w:r>
      <w:r>
        <w:rPr/>
        <w:t>男，</w:t>
      </w:r>
      <w:r>
        <w:rPr>
          <w:rFonts w:ascii="Times New Roman" w:hAnsi="Times New Roman" w:cs="Times New Roman" w:eastAsia="Times New Roman" w:hint="default"/>
        </w:rPr>
        <w:t>1964</w:t>
      </w:r>
      <w:r>
        <w:rPr/>
        <w:t>年出生，中国国籍，无境外永久居留权，本科学历，高级工程师。曾就职于北京橡胶</w:t>
      </w:r>
      <w:r>
        <w:rPr>
          <w:w w:val="100"/>
        </w:rPr>
        <w:t> </w:t>
      </w:r>
      <w:r>
        <w:rPr>
          <w:spacing w:val="-2"/>
        </w:rPr>
        <w:t>工业研究设计院；</w:t>
      </w:r>
      <w:r>
        <w:rPr>
          <w:rFonts w:ascii="Times New Roman" w:hAnsi="Times New Roman" w:cs="Times New Roman" w:eastAsia="Times New Roman" w:hint="default"/>
          <w:spacing w:val="-2"/>
        </w:rPr>
        <w:t>2004</w:t>
      </w:r>
      <w:r>
        <w:rPr>
          <w:spacing w:val="-2"/>
        </w:rPr>
        <w:t>年起就职于本公司，现任本公司董事、副总经理，兼任国家标准化委员会橡胶专业</w:t>
      </w:r>
      <w:r>
        <w:rPr>
          <w:spacing w:val="-43"/>
        </w:rPr>
        <w:t> </w:t>
      </w:r>
      <w:r>
        <w:rPr>
          <w:spacing w:val="-43"/>
        </w:rPr>
      </w:r>
      <w:r>
        <w:rPr>
          <w:spacing w:val="-2"/>
        </w:rPr>
        <w:t>委员会分会委员。姜承法先生从事粉料输送和运输、计量和配料等设备的开发和设计工作</w:t>
      </w:r>
      <w:r>
        <w:rPr>
          <w:rFonts w:ascii="Times New Roman" w:hAnsi="Times New Roman" w:cs="Times New Roman" w:eastAsia="Times New Roman" w:hint="default"/>
          <w:spacing w:val="-2"/>
        </w:rPr>
        <w:t>20</w:t>
      </w:r>
      <w:r>
        <w:rPr>
          <w:spacing w:val="-2"/>
        </w:rPr>
        <w:t>余年，其主导</w:t>
      </w:r>
      <w:r>
        <w:rPr>
          <w:spacing w:val="-43"/>
        </w:rPr>
        <w:t> </w:t>
      </w:r>
      <w:r>
        <w:rPr>
          <w:spacing w:val="-43"/>
        </w:rPr>
      </w:r>
      <w:r>
        <w:rPr>
          <w:spacing w:val="-4"/>
          <w:w w:val="100"/>
        </w:rPr>
        <w:t>的</w:t>
      </w:r>
      <w:r>
        <w:rPr>
          <w:rFonts w:ascii="Times New Roman" w:hAnsi="Times New Roman" w:cs="Times New Roman" w:eastAsia="Times New Roman" w:hint="default"/>
          <w:spacing w:val="-4"/>
          <w:w w:val="100"/>
        </w:rPr>
        <w:t>“2000</w:t>
      </w:r>
      <w:r>
        <w:rPr>
          <w:spacing w:val="-4"/>
          <w:w w:val="100"/>
        </w:rPr>
        <w:t>升混合机细氧化剂自动加料工艺研究</w:t>
      </w:r>
      <w:r>
        <w:rPr>
          <w:rFonts w:ascii="Times New Roman" w:hAnsi="Times New Roman" w:cs="Times New Roman" w:eastAsia="Times New Roman" w:hint="default"/>
          <w:spacing w:val="-4"/>
          <w:w w:val="100"/>
        </w:rPr>
        <w:t>”</w:t>
      </w:r>
      <w:r>
        <w:rPr>
          <w:spacing w:val="-4"/>
          <w:w w:val="100"/>
        </w:rPr>
        <w:t>获得航天部科技成果一等奖，姜承法先生还是</w:t>
      </w:r>
      <w:r>
        <w:rPr>
          <w:rFonts w:ascii="Times New Roman" w:hAnsi="Times New Roman" w:cs="Times New Roman" w:eastAsia="Times New Roman" w:hint="default"/>
          <w:spacing w:val="-4"/>
          <w:w w:val="100"/>
        </w:rPr>
        <w:t>“</w:t>
      </w:r>
      <w:r>
        <w:rPr>
          <w:spacing w:val="-4"/>
          <w:w w:val="100"/>
        </w:rPr>
        <w:t>自动制袋套袋</w:t>
      </w:r>
      <w:r>
        <w:rPr>
          <w:spacing w:val="-69"/>
          <w:w w:val="100"/>
        </w:rPr>
        <w:t> </w:t>
      </w:r>
      <w:r>
        <w:rPr>
          <w:spacing w:val="-69"/>
          <w:w w:val="100"/>
        </w:rPr>
      </w:r>
      <w:r>
        <w:rPr>
          <w:spacing w:val="-3"/>
        </w:rPr>
        <w:t>装置</w:t>
      </w:r>
      <w:r>
        <w:rPr>
          <w:rFonts w:ascii="Times New Roman" w:hAnsi="Times New Roman" w:cs="Times New Roman" w:eastAsia="Times New Roman" w:hint="default"/>
          <w:spacing w:val="-3"/>
        </w:rPr>
        <w:t>”</w:t>
      </w:r>
      <w:r>
        <w:rPr>
          <w:spacing w:val="-3"/>
        </w:rPr>
        <w:t>等专利的主要发明人之一，同时姜承法先生还是《</w:t>
      </w:r>
      <w:r>
        <w:rPr>
          <w:rFonts w:ascii="Times New Roman" w:hAnsi="Times New Roman" w:cs="Times New Roman" w:eastAsia="Times New Roman" w:hint="default"/>
          <w:spacing w:val="-3"/>
        </w:rPr>
        <w:t>GB/T </w:t>
      </w:r>
      <w:r>
        <w:rPr>
          <w:rFonts w:ascii="Times New Roman" w:hAnsi="Times New Roman" w:cs="Times New Roman" w:eastAsia="Times New Roman" w:hint="default"/>
        </w:rPr>
        <w:t>25939-2010 </w:t>
      </w:r>
      <w:r>
        <w:rPr>
          <w:spacing w:val="-3"/>
        </w:rPr>
        <w:t>密闭式炼胶上辅机系统》国家标</w:t>
      </w:r>
      <w:r>
        <w:rPr>
          <w:spacing w:val="-76"/>
        </w:rPr>
        <w:t> </w:t>
      </w:r>
      <w:r>
        <w:rPr>
          <w:spacing w:val="-76"/>
        </w:rPr>
      </w:r>
      <w:r>
        <w:rPr/>
        <w:t>准的主要起草人之一。</w:t>
      </w:r>
      <w:r>
        <w:rPr>
          <w:w w:val="100"/>
        </w:rPr>
        <w:t> </w:t>
      </w:r>
      <w:r>
        <w:rPr>
          <w:rFonts w:ascii="Times New Roman" w:hAnsi="Times New Roman" w:cs="Times New Roman" w:eastAsia="Times New Roman" w:hint="default"/>
        </w:rPr>
        <w:t>4</w:t>
      </w:r>
      <w:r>
        <w:rPr/>
        <w:t>、瞿绪标先生，中国国籍，</w:t>
      </w:r>
      <w:r>
        <w:rPr>
          <w:rFonts w:ascii="宋体" w:hAnsi="宋体" w:cs="宋体" w:eastAsia="宋体" w:hint="default"/>
        </w:rPr>
        <w:t>1968</w:t>
      </w:r>
      <w:r>
        <w:rPr/>
        <w:t>年出生，工商管理硕士，注册会计师。曾在新疆财政科学研究所、新疆</w:t>
      </w:r>
      <w:r>
        <w:rPr>
          <w:w w:val="100"/>
        </w:rPr>
        <w:t> </w:t>
      </w:r>
      <w:r>
        <w:rPr>
          <w:spacing w:val="-2"/>
        </w:rPr>
        <w:t>自治区财政厅从事研究工作，曾任德农种业投资发展集团公司董事副总裁、赤峰德农松州种业有限公司董</w:t>
      </w:r>
      <w:r>
        <w:rPr>
          <w:spacing w:val="-43"/>
        </w:rPr>
        <w:t> </w:t>
      </w:r>
      <w:r>
        <w:rPr>
          <w:spacing w:val="-43"/>
        </w:rPr>
      </w:r>
      <w:r>
        <w:rPr>
          <w:spacing w:val="-2"/>
        </w:rPr>
        <w:t>事长，华冠科技</w:t>
      </w:r>
      <w:r>
        <w:rPr>
          <w:rFonts w:ascii="宋体" w:hAnsi="宋体" w:cs="宋体" w:eastAsia="宋体" w:hint="default"/>
          <w:spacing w:val="-2"/>
        </w:rPr>
        <w:t>(600371)</w:t>
      </w:r>
      <w:r>
        <w:rPr>
          <w:spacing w:val="-2"/>
        </w:rPr>
        <w:t>常务副总经理，新疆华西种业有限公司董事长，深圳市中科招商创业投资管理有</w:t>
      </w:r>
      <w:r>
        <w:rPr>
          <w:spacing w:val="-37"/>
        </w:rPr>
        <w:t> </w:t>
      </w:r>
      <w:r>
        <w:rPr>
          <w:spacing w:val="-37"/>
        </w:rPr>
      </w:r>
      <w:r>
        <w:rPr>
          <w:spacing w:val="-2"/>
        </w:rPr>
        <w:t>限公司董事执行副总裁。现任上海思科瑞新投资管理中心（有限合伙）执行合伙人，苏州思科投资管理企</w:t>
      </w:r>
      <w:r>
        <w:rPr>
          <w:spacing w:val="-47"/>
        </w:rPr>
        <w:t> </w:t>
      </w:r>
      <w:r>
        <w:rPr>
          <w:spacing w:val="-47"/>
        </w:rPr>
      </w:r>
      <w:r>
        <w:rPr>
          <w:spacing w:val="-2"/>
        </w:rPr>
        <w:t>业（有限合伙）执行合伙人，上海市思科瑞新资产管理有限责任公司执行董事，南京亚东启天药业有限公</w:t>
      </w:r>
      <w:r>
        <w:rPr>
          <w:spacing w:val="-47"/>
        </w:rPr>
        <w:t> </w:t>
      </w:r>
      <w:r>
        <w:rPr>
          <w:spacing w:val="-47"/>
        </w:rPr>
      </w:r>
      <w:r>
        <w:rPr>
          <w:spacing w:val="-2"/>
        </w:rPr>
        <w:t>司董事，四川思科同汇股权投资基金管理有限公司董事长，北京万向新元科技股份有限公司（</w:t>
      </w:r>
      <w:r>
        <w:rPr>
          <w:rFonts w:ascii="宋体" w:hAnsi="宋体" w:cs="宋体" w:eastAsia="宋体" w:hint="default"/>
          <w:spacing w:val="-2"/>
        </w:rPr>
        <w:t>300472</w:t>
      </w:r>
      <w:r>
        <w:rPr>
          <w:spacing w:val="-2"/>
        </w:rPr>
        <w:t>）董</w:t>
      </w:r>
      <w:r>
        <w:rPr/>
      </w:r>
    </w:p>
    <w:p>
      <w:pPr>
        <w:spacing w:after="0" w:line="264"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53"/>
        <w:jc w:val="left"/>
      </w:pPr>
      <w:r>
        <w:rPr>
          <w:spacing w:val="-2"/>
        </w:rPr>
        <w:t>事，山东旭业新材料股份有限公司董事，华油惠博普科技股份有限公司（</w:t>
      </w:r>
      <w:r>
        <w:rPr>
          <w:rFonts w:ascii="宋体" w:hAnsi="宋体" w:cs="宋体" w:eastAsia="宋体" w:hint="default"/>
          <w:spacing w:val="-2"/>
        </w:rPr>
        <w:t>002554</w:t>
      </w:r>
      <w:r>
        <w:rPr>
          <w:spacing w:val="-2"/>
        </w:rPr>
        <w:t>）董事，青岛佳明测控股</w:t>
      </w:r>
      <w:r>
        <w:rPr>
          <w:spacing w:val="-41"/>
        </w:rPr>
        <w:t> </w:t>
      </w:r>
      <w:r>
        <w:rPr>
          <w:spacing w:val="-41"/>
        </w:rPr>
      </w:r>
      <w:r>
        <w:rPr/>
        <w:t>份有限公司董事。</w:t>
      </w:r>
    </w:p>
    <w:p>
      <w:pPr>
        <w:pStyle w:val="BodyText"/>
        <w:spacing w:line="256" w:lineRule="auto" w:before="7"/>
        <w:ind w:right="153"/>
        <w:jc w:val="left"/>
      </w:pPr>
      <w:r>
        <w:rPr>
          <w:rFonts w:ascii="Times New Roman" w:hAnsi="Times New Roman" w:cs="Times New Roman" w:eastAsia="Times New Roman" w:hint="default"/>
        </w:rPr>
        <w:t>5</w:t>
      </w:r>
      <w:r>
        <w:rPr/>
        <w:t>、叶蜀君</w:t>
      </w:r>
      <w:r>
        <w:rPr>
          <w:spacing w:val="56"/>
        </w:rPr>
        <w:t> </w:t>
      </w:r>
      <w:r>
        <w:rPr/>
        <w:t>女，</w:t>
      </w:r>
      <w:r>
        <w:rPr>
          <w:rFonts w:ascii="Times New Roman" w:hAnsi="Times New Roman" w:cs="Times New Roman" w:eastAsia="Times New Roman" w:hint="default"/>
        </w:rPr>
        <w:t>1962</w:t>
      </w:r>
      <w:r>
        <w:rPr/>
        <w:t>年出生，中国国籍，无境外永久居留权，博士、教授、博士生导师。</w:t>
      </w:r>
      <w:r>
        <w:rPr>
          <w:rFonts w:ascii="Times New Roman" w:hAnsi="Times New Roman" w:cs="Times New Roman" w:eastAsia="Times New Roman" w:hint="default"/>
        </w:rPr>
        <w:t>1983</w:t>
      </w:r>
      <w:r>
        <w:rPr/>
        <w:t>年至</w:t>
      </w:r>
      <w:r>
        <w:rPr>
          <w:rFonts w:ascii="Times New Roman" w:hAnsi="Times New Roman" w:cs="Times New Roman" w:eastAsia="Times New Roman" w:hint="default"/>
        </w:rPr>
        <w:t>1985</w:t>
      </w:r>
      <w:r>
        <w:rPr>
          <w:rFonts w:ascii="Times New Roman" w:hAnsi="Times New Roman" w:cs="Times New Roman" w:eastAsia="Times New Roman" w:hint="default"/>
          <w:w w:val="100"/>
        </w:rPr>
        <w:t> </w:t>
      </w:r>
      <w:r>
        <w:rPr>
          <w:spacing w:val="-2"/>
        </w:rPr>
        <w:t>年就职于北京机械工业管理学院；</w:t>
      </w:r>
      <w:r>
        <w:rPr>
          <w:rFonts w:ascii="Times New Roman" w:hAnsi="Times New Roman" w:cs="Times New Roman" w:eastAsia="Times New Roman" w:hint="default"/>
          <w:spacing w:val="-2"/>
        </w:rPr>
        <w:t>1985</w:t>
      </w:r>
      <w:r>
        <w:rPr>
          <w:spacing w:val="-2"/>
        </w:rPr>
        <w:t>年至</w:t>
      </w:r>
      <w:r>
        <w:rPr>
          <w:rFonts w:ascii="Times New Roman" w:hAnsi="Times New Roman" w:cs="Times New Roman" w:eastAsia="Times New Roman" w:hint="default"/>
          <w:spacing w:val="-2"/>
        </w:rPr>
        <w:t>1992</w:t>
      </w:r>
      <w:r>
        <w:rPr>
          <w:spacing w:val="-2"/>
        </w:rPr>
        <w:t>年就职于太原工业大学；</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1994</w:t>
      </w:r>
      <w:r>
        <w:rPr>
          <w:spacing w:val="-2"/>
        </w:rPr>
        <w:t>年清华大学读研；</w:t>
      </w:r>
      <w:r>
        <w:rPr>
          <w:spacing w:val="-11"/>
        </w:rPr>
        <w:t> </w:t>
      </w:r>
      <w:r>
        <w:rPr>
          <w:spacing w:val="-11"/>
        </w:rPr>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2008</w:t>
      </w:r>
      <w:r>
        <w:rPr/>
        <w:t>年就职于北京交通大学，</w:t>
      </w:r>
      <w:r>
        <w:rPr>
          <w:rFonts w:ascii="Times New Roman" w:hAnsi="Times New Roman" w:cs="Times New Roman" w:eastAsia="Times New Roman" w:hint="default"/>
        </w:rPr>
        <w:t>2008</w:t>
      </w:r>
      <w:r>
        <w:rPr/>
        <w:t>年起至今任北京交通大学金融系主任；</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月起就任本公</w:t>
      </w:r>
      <w:r>
        <w:rPr>
          <w:w w:val="100"/>
        </w:rPr>
        <w:t> </w:t>
      </w:r>
      <w:r>
        <w:rPr/>
        <w:t>司独立董事；目前兼任北京三夫户外用品股份有限公司独立董事。</w:t>
      </w:r>
    </w:p>
    <w:p>
      <w:pPr>
        <w:pStyle w:val="BodyText"/>
        <w:spacing w:line="256" w:lineRule="auto" w:before="22"/>
        <w:ind w:right="153"/>
        <w:jc w:val="left"/>
      </w:pPr>
      <w:r>
        <w:rPr>
          <w:rFonts w:ascii="Times New Roman" w:hAnsi="Times New Roman" w:cs="Times New Roman" w:eastAsia="Times New Roman" w:hint="default"/>
          <w:spacing w:val="-7"/>
        </w:rPr>
        <w:t>6</w:t>
      </w:r>
      <w:r>
        <w:rPr>
          <w:spacing w:val="-7"/>
        </w:rPr>
        <w:t>、许春华</w:t>
      </w:r>
      <w:r>
        <w:rPr>
          <w:spacing w:val="52"/>
        </w:rPr>
        <w:t> </w:t>
      </w:r>
      <w:r>
        <w:rPr>
          <w:spacing w:val="-6"/>
        </w:rPr>
        <w:t>女，</w:t>
      </w:r>
      <w:r>
        <w:rPr>
          <w:rFonts w:ascii="Times New Roman" w:hAnsi="Times New Roman" w:cs="Times New Roman" w:eastAsia="Times New Roman" w:hint="default"/>
          <w:spacing w:val="-6"/>
        </w:rPr>
        <w:t>1943</w:t>
      </w:r>
      <w:r>
        <w:rPr>
          <w:spacing w:val="-6"/>
        </w:rPr>
        <w:t>年出生，中国国籍，无境外永久居留权，本科学历，教授级高级工程师。</w:t>
      </w:r>
      <w:r>
        <w:rPr>
          <w:rFonts w:ascii="Times New Roman" w:hAnsi="Times New Roman" w:cs="Times New Roman" w:eastAsia="Times New Roman" w:hint="default"/>
          <w:spacing w:val="-6"/>
        </w:rPr>
        <w:t>1965</w:t>
      </w:r>
      <w:r>
        <w:rPr>
          <w:spacing w:val="-6"/>
        </w:rPr>
        <w:t>年至</w:t>
      </w:r>
      <w:r>
        <w:rPr>
          <w:rFonts w:ascii="Times New Roman" w:hAnsi="Times New Roman" w:cs="Times New Roman" w:eastAsia="Times New Roman" w:hint="default"/>
          <w:spacing w:val="-6"/>
        </w:rPr>
        <w:t>2003</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年就职于北京橡胶工业研究设计院，</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2003</w:t>
      </w:r>
      <w:r>
        <w:rPr>
          <w:spacing w:val="-2"/>
        </w:rPr>
        <w:t>年任北京橡胶工业研究设计院副院长；</w:t>
      </w:r>
      <w:r>
        <w:rPr>
          <w:rFonts w:ascii="Times New Roman" w:hAnsi="Times New Roman" w:cs="Times New Roman" w:eastAsia="Times New Roman" w:hint="default"/>
          <w:spacing w:val="-2"/>
        </w:rPr>
        <w:t>2003</w:t>
      </w:r>
      <w:r>
        <w:rPr>
          <w:spacing w:val="-2"/>
        </w:rPr>
        <w:t>年至今任中</w:t>
      </w:r>
      <w:r>
        <w:rPr>
          <w:spacing w:val="-31"/>
        </w:rPr>
        <w:t> </w:t>
      </w:r>
      <w:r>
        <w:rPr>
          <w:spacing w:val="-31"/>
        </w:rPr>
      </w:r>
      <w:r>
        <w:rPr/>
        <w:t>国橡胶工业协会副会长。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月起任本公司独立董事；目前兼任山东大业股份有限公司、天津市科迈</w:t>
      </w:r>
      <w:r>
        <w:rPr>
          <w:w w:val="100"/>
        </w:rPr>
        <w:t> </w:t>
      </w:r>
      <w:r>
        <w:rPr/>
        <w:t>化工股份有限公司独立董事，青岛橡胶轮胎工程专修学院院长。</w:t>
      </w:r>
    </w:p>
    <w:p>
      <w:pPr>
        <w:pStyle w:val="BodyText"/>
        <w:spacing w:line="259" w:lineRule="auto" w:before="22"/>
        <w:ind w:right="145"/>
        <w:jc w:val="left"/>
      </w:pPr>
      <w:r>
        <w:rPr>
          <w:rFonts w:ascii="Times New Roman" w:hAnsi="Times New Roman" w:cs="Times New Roman" w:eastAsia="Times New Roman" w:hint="default"/>
        </w:rPr>
        <w:t>7</w:t>
      </w:r>
      <w:r>
        <w:rPr/>
        <w:t>、陈业进</w:t>
      </w:r>
      <w:r>
        <w:rPr>
          <w:spacing w:val="-33"/>
        </w:rPr>
        <w:t> </w:t>
      </w:r>
      <w:r>
        <w:rPr/>
        <w:t>男，</w:t>
      </w:r>
      <w:r>
        <w:rPr>
          <w:rFonts w:ascii="Times New Roman" w:hAnsi="Times New Roman" w:cs="Times New Roman" w:eastAsia="Times New Roman" w:hint="default"/>
        </w:rPr>
        <w:t>1968</w:t>
      </w:r>
      <w:r>
        <w:rPr/>
        <w:t>年出生，中国国籍，无境外永久居留权，硕士研究生，高级会计师。</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2003</w:t>
      </w:r>
      <w:r>
        <w:rPr/>
        <w:t>年</w:t>
      </w:r>
      <w:r>
        <w:rPr>
          <w:w w:val="100"/>
        </w:rPr>
        <w:t> </w:t>
      </w:r>
      <w:r>
        <w:rPr>
          <w:spacing w:val="-2"/>
        </w:rPr>
        <w:t>就职于安徽省化工进出口股份有限公司任财务部经理；</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2004</w:t>
      </w:r>
      <w:r>
        <w:rPr>
          <w:spacing w:val="-2"/>
        </w:rPr>
        <w:t>年就职于合肥荣事达集团有限责任公</w:t>
      </w:r>
      <w:r>
        <w:rPr>
          <w:spacing w:val="-35"/>
        </w:rPr>
        <w:t> </w:t>
      </w:r>
      <w:r>
        <w:rPr>
          <w:spacing w:val="-35"/>
        </w:rPr>
      </w:r>
      <w:r>
        <w:rPr>
          <w:spacing w:val="-2"/>
        </w:rPr>
        <w:t>司任集团财务副总经理，兼上市公司合肥荣事达三洋电器股份有限公司监事会主席；</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2006</w:t>
      </w:r>
      <w:r>
        <w:rPr>
          <w:spacing w:val="-2"/>
        </w:rPr>
        <w:t>年，就</w:t>
      </w:r>
      <w:r>
        <w:rPr>
          <w:spacing w:val="-35"/>
        </w:rPr>
        <w:t> </w:t>
      </w:r>
      <w:r>
        <w:rPr>
          <w:spacing w:val="-35"/>
        </w:rPr>
      </w:r>
      <w:r>
        <w:rPr>
          <w:spacing w:val="-2"/>
        </w:rPr>
        <w:t>职于中拓国际经贸集团公司任总会计师；</w:t>
      </w:r>
      <w:r>
        <w:rPr>
          <w:rFonts w:ascii="Times New Roman" w:hAnsi="Times New Roman" w:cs="Times New Roman" w:eastAsia="Times New Roman" w:hint="default"/>
          <w:spacing w:val="-2"/>
        </w:rPr>
        <w:t>2006</w:t>
      </w:r>
      <w:r>
        <w:rPr>
          <w:spacing w:val="-2"/>
        </w:rPr>
        <w:t>年至今，就职于中国轻工业出版社，现任中国轻工业出版社</w:t>
      </w:r>
      <w:r>
        <w:rPr>
          <w:spacing w:val="-39"/>
        </w:rPr>
        <w:t> </w:t>
      </w:r>
      <w:r>
        <w:rPr>
          <w:spacing w:val="-39"/>
        </w:rPr>
      </w:r>
      <w:r>
        <w:rPr/>
        <w:t>社长助理、财务处处长；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月起任本公司独立董事；目前兼任中青旅控股股份有限公司独立董事。</w:t>
      </w:r>
      <w:r>
        <w:rPr>
          <w:w w:val="100"/>
        </w:rPr>
        <w:t> </w:t>
      </w:r>
      <w:r>
        <w:rPr>
          <w:rFonts w:ascii="Times New Roman" w:hAnsi="Times New Roman" w:cs="Times New Roman" w:eastAsia="Times New Roman" w:hint="default"/>
        </w:rPr>
        <w:t>8</w:t>
      </w:r>
      <w:r>
        <w:rPr/>
        <w:t>、王际松</w:t>
      </w:r>
      <w:r>
        <w:rPr>
          <w:spacing w:val="-31"/>
        </w:rPr>
        <w:t> </w:t>
      </w:r>
      <w:r>
        <w:rPr/>
        <w:t>男，</w:t>
      </w:r>
      <w:r>
        <w:rPr>
          <w:rFonts w:ascii="Times New Roman" w:hAnsi="Times New Roman" w:cs="Times New Roman" w:eastAsia="Times New Roman" w:hint="default"/>
        </w:rPr>
        <w:t>1953</w:t>
      </w:r>
      <w:r>
        <w:rPr/>
        <w:t>年出生，中国国籍，无境外永久居留权，本科学历。曾就职于北京橡胶工业研究设计</w:t>
      </w:r>
      <w:r>
        <w:rPr>
          <w:w w:val="100"/>
        </w:rPr>
        <w:t> </w:t>
      </w:r>
      <w:r>
        <w:rPr>
          <w:spacing w:val="-2"/>
        </w:rPr>
        <w:t>院；</w:t>
      </w:r>
      <w:r>
        <w:rPr>
          <w:rFonts w:ascii="Times New Roman" w:hAnsi="Times New Roman" w:cs="Times New Roman" w:eastAsia="Times New Roman" w:hint="default"/>
          <w:spacing w:val="-2"/>
        </w:rPr>
        <w:t>2005</w:t>
      </w:r>
      <w:r>
        <w:rPr>
          <w:spacing w:val="-2"/>
        </w:rPr>
        <w:t>年起就职于本公司，现任本公司监事会主席。王际松先生对橡胶设备的物料输送、存储和自动配</w:t>
      </w:r>
      <w:r>
        <w:rPr>
          <w:spacing w:val="-45"/>
        </w:rPr>
        <w:t> </w:t>
      </w:r>
      <w:r>
        <w:rPr>
          <w:spacing w:val="-45"/>
        </w:rPr>
      </w:r>
      <w:r>
        <w:rPr>
          <w:spacing w:val="-2"/>
        </w:rPr>
        <w:t>料系统有丰富的设计及现场经验，承担并完成多项橡胶机械设备国家攻关项目，获得过大容量密炼机上辅</w:t>
      </w:r>
      <w:r>
        <w:rPr>
          <w:spacing w:val="-44"/>
        </w:rPr>
        <w:t> </w:t>
      </w:r>
      <w:r>
        <w:rPr>
          <w:spacing w:val="-44"/>
        </w:rPr>
      </w:r>
      <w:r>
        <w:rPr>
          <w:spacing w:val="-2"/>
        </w:rPr>
        <w:t>机微机控制系统获化工部科技进步二等奖、</w:t>
      </w:r>
      <w:r>
        <w:rPr>
          <w:rFonts w:ascii="Times New Roman" w:hAnsi="Times New Roman" w:cs="Times New Roman" w:eastAsia="Times New Roman" w:hint="default"/>
          <w:spacing w:val="-2"/>
        </w:rPr>
        <w:t>2000</w:t>
      </w:r>
      <w:r>
        <w:rPr>
          <w:spacing w:val="-2"/>
        </w:rPr>
        <w:t>升混合机细氧化剂自动机料工艺研究获国家技术发明三等</w:t>
      </w:r>
      <w:r>
        <w:rPr>
          <w:spacing w:val="-39"/>
        </w:rPr>
        <w:t> </w:t>
      </w:r>
      <w:r>
        <w:rPr>
          <w:spacing w:val="-39"/>
        </w:rPr>
      </w:r>
      <w:r>
        <w:rPr>
          <w:spacing w:val="-2"/>
        </w:rPr>
        <w:t>奖、物料气力输送装置和密炼机微机控制系统获部级科技进步三等奖等重要奖项，同时，王际松先生还是</w:t>
      </w:r>
    </w:p>
    <w:p>
      <w:pPr>
        <w:pStyle w:val="BodyText"/>
        <w:spacing w:line="240" w:lineRule="auto" w:before="20"/>
        <w:ind w:right="153"/>
        <w:jc w:val="left"/>
      </w:pPr>
      <w:r>
        <w:rPr>
          <w:spacing w:val="-1"/>
        </w:rPr>
        <w:t>《</w:t>
      </w:r>
      <w:r>
        <w:rPr>
          <w:rFonts w:ascii="Times New Roman" w:hAnsi="Times New Roman" w:cs="Times New Roman" w:eastAsia="Times New Roman" w:hint="default"/>
          <w:spacing w:val="-1"/>
        </w:rPr>
        <w:t>GB/T</w:t>
      </w:r>
      <w:r>
        <w:rPr>
          <w:rFonts w:ascii="Times New Roman" w:hAnsi="Times New Roman" w:cs="Times New Roman" w:eastAsia="Times New Roman" w:hint="default"/>
        </w:rPr>
        <w:t> </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
        </w:rPr>
        <w:t>25938-2010</w:t>
      </w:r>
      <w:r>
        <w:rPr>
          <w:spacing w:val="-2"/>
        </w:rPr>
        <w:t>炼胶工序中小料自动配料称量系统》国家标准的主要起草人之一。</w:t>
      </w:r>
    </w:p>
    <w:p>
      <w:pPr>
        <w:pStyle w:val="BodyText"/>
        <w:spacing w:line="256" w:lineRule="auto" w:before="21"/>
        <w:ind w:right="146"/>
        <w:jc w:val="both"/>
      </w:pPr>
      <w:r>
        <w:rPr>
          <w:rFonts w:ascii="Times New Roman" w:hAnsi="Times New Roman" w:cs="Times New Roman" w:eastAsia="Times New Roman" w:hint="default"/>
        </w:rPr>
        <w:t>9</w:t>
      </w:r>
      <w:r>
        <w:rPr/>
        <w:t>、孙建国</w:t>
      </w:r>
      <w:r>
        <w:rPr>
          <w:spacing w:val="-33"/>
        </w:rPr>
        <w:t> </w:t>
      </w:r>
      <w:r>
        <w:rPr/>
        <w:t>男，</w:t>
      </w:r>
      <w:r>
        <w:rPr>
          <w:rFonts w:ascii="Times New Roman" w:hAnsi="Times New Roman" w:cs="Times New Roman" w:eastAsia="Times New Roman" w:hint="default"/>
        </w:rPr>
        <w:t>1977</w:t>
      </w:r>
      <w:r>
        <w:rPr/>
        <w:t>年出生，中国国籍，无境外永久居留权，硕士研究生。</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2007</w:t>
      </w:r>
      <w:r>
        <w:rPr/>
        <w:t>年任中国华闻投</w:t>
      </w:r>
      <w:r>
        <w:rPr>
          <w:w w:val="100"/>
        </w:rPr>
        <w:t> </w:t>
      </w:r>
      <w:r>
        <w:rPr>
          <w:spacing w:val="-2"/>
        </w:rPr>
        <w:t>资控股有限责任公司项目经理；</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2008</w:t>
      </w:r>
      <w:r>
        <w:rPr>
          <w:spacing w:val="-2"/>
        </w:rPr>
        <w:t>年任北京龙鼎投资管理有限公司总经理助理；</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2"/>
        </w:rPr>
        <w:t>年任首创证券有限责任公司投行总部高级经理；</w:t>
      </w:r>
      <w:r>
        <w:rPr>
          <w:rFonts w:ascii="Times New Roman" w:hAnsi="Times New Roman" w:cs="Times New Roman" w:eastAsia="Times New Roman" w:hint="default"/>
          <w:spacing w:val="-2"/>
        </w:rPr>
        <w:t>2010</w:t>
      </w:r>
      <w:r>
        <w:rPr>
          <w:spacing w:val="-2"/>
        </w:rPr>
        <w:t>年至今任盛世金泉（天津）股权投资基金管理有限公</w:t>
      </w:r>
      <w:r>
        <w:rPr>
          <w:spacing w:val="-43"/>
        </w:rPr>
        <w:t> </w:t>
      </w:r>
      <w:r>
        <w:rPr>
          <w:spacing w:val="-43"/>
        </w:rPr>
      </w:r>
      <w:r>
        <w:rPr/>
        <w:t>司副总经理、董事会秘书；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月至今任本公司监事。</w:t>
      </w:r>
    </w:p>
    <w:p>
      <w:pPr>
        <w:pStyle w:val="BodyText"/>
        <w:spacing w:line="256" w:lineRule="auto" w:before="5"/>
        <w:ind w:right="246"/>
        <w:jc w:val="left"/>
      </w:pPr>
      <w:r>
        <w:rPr>
          <w:rFonts w:ascii="Times New Roman" w:hAnsi="Times New Roman" w:cs="Times New Roman" w:eastAsia="Times New Roman" w:hint="default"/>
        </w:rPr>
        <w:t>10</w:t>
      </w:r>
      <w:r>
        <w:rPr/>
        <w:t>、双国庆</w:t>
      </w:r>
      <w:r>
        <w:rPr>
          <w:spacing w:val="-27"/>
        </w:rPr>
        <w:t> </w:t>
      </w:r>
      <w:r>
        <w:rPr/>
        <w:t>男，</w:t>
      </w:r>
      <w:r>
        <w:rPr>
          <w:rFonts w:ascii="Times New Roman" w:hAnsi="Times New Roman" w:cs="Times New Roman" w:eastAsia="Times New Roman" w:hint="default"/>
        </w:rPr>
        <w:t>1979</w:t>
      </w:r>
      <w:r>
        <w:rPr/>
        <w:t>年出生，中国国籍，无境外永久居留权，本科学历，工程师。曾就职于北京橡胶工</w:t>
      </w:r>
      <w:r>
        <w:rPr>
          <w:w w:val="100"/>
        </w:rPr>
        <w:t> </w:t>
      </w:r>
      <w:r>
        <w:rPr/>
        <w:t>业研究设计院；</w:t>
      </w:r>
      <w:r>
        <w:rPr>
          <w:rFonts w:ascii="Times New Roman" w:hAnsi="Times New Roman" w:cs="Times New Roman" w:eastAsia="Times New Roman" w:hint="default"/>
        </w:rPr>
        <w:t>2004</w:t>
      </w:r>
      <w:r>
        <w:rPr/>
        <w:t>年起就职于本公司，现任本公司设计部部门经理，本公司职工代表监事。</w:t>
      </w:r>
      <w:r>
        <w:rPr>
          <w:w w:val="100"/>
        </w:rPr>
        <w:t> </w:t>
      </w:r>
      <w:r>
        <w:rPr>
          <w:rFonts w:ascii="Times New Roman" w:hAnsi="Times New Roman" w:cs="Times New Roman" w:eastAsia="Times New Roman" w:hint="default"/>
        </w:rPr>
        <w:t>11</w:t>
      </w:r>
      <w:r>
        <w:rPr/>
        <w:t>、张玉生</w:t>
      </w:r>
      <w:r>
        <w:rPr>
          <w:spacing w:val="-27"/>
        </w:rPr>
        <w:t> </w:t>
      </w:r>
      <w:r>
        <w:rPr/>
        <w:t>男，</w:t>
      </w:r>
      <w:r>
        <w:rPr>
          <w:rFonts w:ascii="Times New Roman" w:hAnsi="Times New Roman" w:cs="Times New Roman" w:eastAsia="Times New Roman" w:hint="default"/>
        </w:rPr>
        <w:t>1955</w:t>
      </w:r>
      <w:r>
        <w:rPr/>
        <w:t>年出生，中国国籍，无境外永久居留权，本科学历曾就职于北京橡胶工业研究设计</w:t>
      </w:r>
      <w:r>
        <w:rPr>
          <w:w w:val="100"/>
        </w:rPr>
        <w:t> </w:t>
      </w:r>
      <w:r>
        <w:rPr/>
        <w:t>院；</w:t>
      </w:r>
      <w:r>
        <w:rPr>
          <w:rFonts w:ascii="Times New Roman" w:hAnsi="Times New Roman" w:cs="Times New Roman" w:eastAsia="Times New Roman" w:hint="default"/>
        </w:rPr>
        <w:t>2005</w:t>
      </w:r>
      <w:r>
        <w:rPr/>
        <w:t>年至今任职于本公司，主管市场开发和营销工作，现任本公司副总经理。</w:t>
      </w:r>
    </w:p>
    <w:p>
      <w:pPr>
        <w:pStyle w:val="BodyText"/>
        <w:spacing w:line="264" w:lineRule="auto" w:before="5"/>
        <w:ind w:right="153"/>
        <w:jc w:val="left"/>
      </w:pPr>
      <w:r>
        <w:rPr>
          <w:rFonts w:ascii="Times New Roman" w:hAnsi="Times New Roman" w:cs="Times New Roman" w:eastAsia="Times New Roman" w:hint="default"/>
        </w:rPr>
        <w:t>12</w:t>
      </w:r>
      <w:r>
        <w:rPr/>
        <w:t>、潘帮南</w:t>
      </w:r>
      <w:r>
        <w:rPr>
          <w:spacing w:val="-26"/>
        </w:rPr>
        <w:t> </w:t>
      </w:r>
      <w:r>
        <w:rPr/>
        <w:t>男，</w:t>
      </w:r>
      <w:r>
        <w:rPr>
          <w:rFonts w:ascii="Times New Roman" w:hAnsi="Times New Roman" w:cs="Times New Roman" w:eastAsia="Times New Roman" w:hint="default"/>
        </w:rPr>
        <w:t>1968</w:t>
      </w:r>
      <w:r>
        <w:rPr/>
        <w:t>年出生，中国国籍，无境外永久居留权，高级工程师，本科学历。曾先后就职于原</w:t>
      </w:r>
      <w:r>
        <w:rPr>
          <w:w w:val="100"/>
        </w:rPr>
        <w:t> </w:t>
      </w:r>
      <w:r>
        <w:rPr>
          <w:spacing w:val="-2"/>
        </w:rPr>
        <w:t>辽宁盘锦乙烯有限责任公司、辽宁国民律师事务所、北京市泰福律师事务所、北京市铭滔律师事务所、北</w:t>
      </w:r>
      <w:r>
        <w:rPr>
          <w:spacing w:val="-47"/>
        </w:rPr>
        <w:t> </w:t>
      </w:r>
      <w:r>
        <w:rPr>
          <w:spacing w:val="-47"/>
        </w:rPr>
      </w:r>
      <w:r>
        <w:rPr/>
        <w:t>京市地平线律师事务所；</w:t>
      </w:r>
      <w:r>
        <w:rPr>
          <w:rFonts w:ascii="Times New Roman" w:hAnsi="Times New Roman" w:cs="Times New Roman" w:eastAsia="Times New Roman" w:hint="default"/>
        </w:rPr>
        <w:t>2011</w:t>
      </w:r>
      <w:r>
        <w:rPr/>
        <w:t>年至今任职于本公司，现任本公司副总经理兼董事会秘书。</w:t>
      </w:r>
    </w:p>
    <w:p>
      <w:pPr>
        <w:pStyle w:val="BodyText"/>
        <w:spacing w:line="264" w:lineRule="auto"/>
        <w:ind w:right="153"/>
        <w:jc w:val="left"/>
      </w:pPr>
      <w:r>
        <w:rPr>
          <w:rFonts w:ascii="Times New Roman" w:hAnsi="Times New Roman" w:cs="Times New Roman" w:eastAsia="Times New Roman" w:hint="default"/>
        </w:rPr>
        <w:t>13</w:t>
      </w:r>
      <w:r>
        <w:rPr/>
        <w:t>、张瑞英</w:t>
      </w:r>
      <w:r>
        <w:rPr>
          <w:spacing w:val="-26"/>
        </w:rPr>
        <w:t> </w:t>
      </w:r>
      <w:r>
        <w:rPr/>
        <w:t>女，</w:t>
      </w:r>
      <w:r>
        <w:rPr>
          <w:rFonts w:ascii="Times New Roman" w:hAnsi="Times New Roman" w:cs="Times New Roman" w:eastAsia="Times New Roman" w:hint="default"/>
        </w:rPr>
        <w:t>1965</w:t>
      </w:r>
      <w:r>
        <w:rPr/>
        <w:t>年出生，中国国籍，无境外永久居留权，硕士研究生。曾先后就职于北京机床研究</w:t>
      </w:r>
      <w:r>
        <w:rPr>
          <w:w w:val="100"/>
        </w:rPr>
        <w:t> </w:t>
      </w:r>
      <w:r>
        <w:rPr>
          <w:spacing w:val="-2"/>
        </w:rPr>
        <w:t>所、北京科勒卫浴用品有限公司、北京中信投资顾问有限公司、北京中宣育会计师事务所、中实集团物业</w:t>
      </w:r>
      <w:r>
        <w:rPr>
          <w:spacing w:val="-50"/>
        </w:rPr>
        <w:t> </w:t>
      </w:r>
      <w:r>
        <w:rPr>
          <w:spacing w:val="-50"/>
        </w:rPr>
      </w:r>
      <w:r>
        <w:rPr/>
        <w:t>物流系统；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月至今任本公司财务总监。</w:t>
      </w:r>
    </w:p>
    <w:p>
      <w:pPr>
        <w:pStyle w:val="BodyText"/>
        <w:spacing w:line="240" w:lineRule="auto" w:before="39"/>
        <w:ind w:right="153"/>
        <w:jc w:val="left"/>
      </w:pPr>
      <w:r>
        <w:rPr/>
        <w:t>在股东单位任职情况</w:t>
      </w:r>
    </w:p>
    <w:p>
      <w:pPr>
        <w:pStyle w:val="BodyText"/>
        <w:spacing w:line="240" w:lineRule="auto" w:before="7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6"/>
        <w:gridCol w:w="1486"/>
      </w:tblGrid>
      <w:tr>
        <w:trPr>
          <w:trHeight w:val="102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499" w:right="72" w:hanging="421"/>
              <w:jc w:val="left"/>
              <w:rPr>
                <w:rFonts w:ascii="宋体" w:hAnsi="宋体" w:cs="宋体" w:eastAsia="宋体" w:hint="default"/>
                <w:sz w:val="21"/>
                <w:szCs w:val="21"/>
              </w:rPr>
            </w:pPr>
            <w:r>
              <w:rPr>
                <w:rFonts w:ascii="宋体" w:hAnsi="宋体" w:cs="宋体" w:eastAsia="宋体" w:hint="default"/>
                <w:sz w:val="21"/>
                <w:szCs w:val="21"/>
              </w:rPr>
              <w:t>任职人员姓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979"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12" w:right="111"/>
              <w:jc w:val="center"/>
              <w:rPr>
                <w:rFonts w:ascii="宋体" w:hAnsi="宋体" w:cs="宋体" w:eastAsia="宋体" w:hint="default"/>
                <w:sz w:val="21"/>
                <w:szCs w:val="21"/>
              </w:rPr>
            </w:pPr>
            <w:r>
              <w:rPr>
                <w:rFonts w:ascii="宋体" w:hAnsi="宋体" w:cs="宋体" w:eastAsia="宋体" w:hint="default"/>
                <w:sz w:val="21"/>
                <w:szCs w:val="21"/>
              </w:rPr>
              <w:t>在股东单</w:t>
            </w:r>
            <w:r>
              <w:rPr>
                <w:rFonts w:ascii="宋体" w:hAnsi="宋体" w:cs="宋体" w:eastAsia="宋体" w:hint="default"/>
                <w:w w:val="100"/>
                <w:sz w:val="21"/>
                <w:szCs w:val="21"/>
              </w:rPr>
              <w:t> </w:t>
            </w: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496" w:right="69"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08" w:right="103"/>
              <w:jc w:val="center"/>
              <w:rPr>
                <w:rFonts w:ascii="宋体" w:hAnsi="宋体" w:cs="宋体" w:eastAsia="宋体" w:hint="default"/>
                <w:sz w:val="21"/>
                <w:szCs w:val="21"/>
              </w:rPr>
            </w:pPr>
            <w:r>
              <w:rPr>
                <w:rFonts w:ascii="宋体" w:hAnsi="宋体" w:cs="宋体" w:eastAsia="宋体" w:hint="default"/>
                <w:spacing w:val="-1"/>
                <w:sz w:val="21"/>
                <w:szCs w:val="21"/>
              </w:rPr>
              <w:t>在股东单位是</w:t>
            </w:r>
            <w:r>
              <w:rPr>
                <w:rFonts w:ascii="宋体" w:hAnsi="宋体" w:cs="宋体" w:eastAsia="宋体" w:hint="default"/>
                <w:w w:val="100"/>
                <w:sz w:val="21"/>
                <w:szCs w:val="21"/>
              </w:rPr>
              <w:t> </w:t>
            </w:r>
            <w:r>
              <w:rPr>
                <w:rFonts w:ascii="宋体" w:hAnsi="宋体" w:cs="宋体" w:eastAsia="宋体" w:hint="default"/>
                <w:spacing w:val="-1"/>
                <w:sz w:val="21"/>
                <w:szCs w:val="21"/>
              </w:rPr>
              <w:t>否领取报酬津</w:t>
            </w:r>
            <w:r>
              <w:rPr>
                <w:rFonts w:ascii="宋体" w:hAnsi="宋体" w:cs="宋体" w:eastAsia="宋体" w:hint="default"/>
                <w:w w:val="100"/>
                <w:sz w:val="21"/>
                <w:szCs w:val="21"/>
              </w:rPr>
              <w:t> </w:t>
            </w:r>
            <w:r>
              <w:rPr>
                <w:rFonts w:ascii="宋体" w:hAnsi="宋体" w:cs="宋体" w:eastAsia="宋体" w:hint="default"/>
                <w:sz w:val="21"/>
                <w:szCs w:val="21"/>
              </w:rPr>
              <w:t>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朱业胜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北京世纪万向投资咨询有限公司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1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auto" w:before="28"/>
        <w:ind w:right="153"/>
        <w:jc w:val="left"/>
      </w:pPr>
      <w:r>
        <w:rPr/>
        <w:t>在其他单位任职情况</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16"/>
        <w:jc w:val="left"/>
      </w:pPr>
      <w:r>
        <w:rPr/>
        <w:pict>
          <v:shape style="position:absolute;margin-left:265.127838pt;margin-top:107.563698pt;width:70.350pt;height:17.55pt;mso-position-horizontal-relative:page;mso-position-vertical-relative:paragraph;z-index:-700936" type="#_x0000_t202" filled="false" stroked="false">
            <v:textbox inset="0,0,0,0">
              <w:txbxContent>
                <w:p>
                  <w:pPr>
                    <w:pStyle w:val="BodyText"/>
                    <w:spacing w:line="240" w:lineRule="auto" w:before="28"/>
                    <w:ind w:left="0" w:right="0"/>
                    <w:jc w:val="left"/>
                  </w:pPr>
                  <w:r>
                    <w:rPr/>
                    <w:t>伙）</w:t>
                  </w:r>
                </w:p>
              </w:txbxContent>
            </v:textbox>
            <w10:wrap type="none"/>
          </v:shape>
        </w:pict>
      </w:r>
      <w:r>
        <w:rPr/>
        <w:pict>
          <v:group style="position:absolute;margin-left:337.149994pt;margin-top:71.803703pt;width:61pt;height:7.8pt;mso-position-horizontal-relative:page;mso-position-vertical-relative:paragraph;z-index:-700912" coordorigin="6743,1436" coordsize="1220,156">
            <v:shape style="position:absolute;left:6743;top:1436;width:1220;height:156" coordorigin="6743,1436" coordsize="1220,156" path="m6743,1592l7962,1592,7962,1436,6743,1436,6743,1592xe" filled="true" fillcolor="#ffffff" stroked="false">
              <v:path arrowok="t"/>
              <v:fill type="solid"/>
            </v:shape>
            <w10:wrap type="none"/>
          </v:group>
        </w:pict>
      </w:r>
      <w:r>
        <w:rPr/>
        <w:pict>
          <v:group style="position:absolute;margin-left:283.609985pt;margin-top:107.563698pt;width:114.5pt;height:17.55pt;mso-position-horizontal-relative:page;mso-position-vertical-relative:paragraph;z-index:-700888" coordorigin="5672,2151" coordsize="2290,351">
            <v:group style="position:absolute;left:5672;top:2151;width:1038;height:351" coordorigin="5672,2151" coordsize="1038,351">
              <v:shape style="position:absolute;left:5672;top:2151;width:1038;height:351" coordorigin="5672,2151" coordsize="1038,351" path="m5672,2502l6709,2502,6709,2151,5672,2151,5672,2502xe" filled="true" fillcolor="#ffffff" stroked="false">
                <v:path arrowok="t"/>
                <v:fill type="solid"/>
              </v:shape>
            </v:group>
            <v:group style="position:absolute;left:6743;top:2151;width:1220;height:156" coordorigin="6743,2151" coordsize="1220,156">
              <v:shape style="position:absolute;left:6743;top:2151;width:1220;height:156" coordorigin="6743,2151" coordsize="1220,156" path="m6743,2307l7962,2307,7962,2151,6743,2151,6743,2307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102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506" w:right="82" w:hanging="421"/>
              <w:jc w:val="left"/>
              <w:rPr>
                <w:rFonts w:ascii="宋体" w:hAnsi="宋体" w:cs="宋体" w:eastAsia="宋体" w:hint="default"/>
                <w:sz w:val="21"/>
                <w:szCs w:val="21"/>
              </w:rPr>
            </w:pPr>
            <w:r>
              <w:rPr>
                <w:rFonts w:ascii="宋体" w:hAnsi="宋体" w:cs="宋体" w:eastAsia="宋体" w:hint="default"/>
                <w:sz w:val="21"/>
                <w:szCs w:val="21"/>
              </w:rPr>
              <w:t>任职人员姓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0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2" w:right="115"/>
              <w:jc w:val="center"/>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503" w:right="79"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52" w:right="48"/>
              <w:jc w:val="center"/>
              <w:rPr>
                <w:rFonts w:ascii="宋体" w:hAnsi="宋体" w:cs="宋体" w:eastAsia="宋体" w:hint="default"/>
                <w:sz w:val="21"/>
                <w:szCs w:val="21"/>
              </w:rPr>
            </w:pPr>
            <w:r>
              <w:rPr>
                <w:rFonts w:ascii="宋体" w:hAnsi="宋体" w:cs="宋体" w:eastAsia="宋体" w:hint="default"/>
                <w:spacing w:val="-1"/>
                <w:sz w:val="21"/>
                <w:szCs w:val="21"/>
              </w:rPr>
              <w:t>在其他单位是</w:t>
            </w:r>
            <w:r>
              <w:rPr>
                <w:rFonts w:ascii="宋体" w:hAnsi="宋体" w:cs="宋体" w:eastAsia="宋体" w:hint="default"/>
                <w:w w:val="100"/>
                <w:sz w:val="21"/>
                <w:szCs w:val="21"/>
              </w:rPr>
              <w:t> </w:t>
            </w:r>
            <w:r>
              <w:rPr>
                <w:rFonts w:ascii="宋体" w:hAnsi="宋体" w:cs="宋体" w:eastAsia="宋体" w:hint="default"/>
                <w:spacing w:val="-1"/>
                <w:sz w:val="21"/>
                <w:szCs w:val="21"/>
              </w:rPr>
              <w:t>否领取报酬津</w:t>
            </w:r>
            <w:r>
              <w:rPr>
                <w:rFonts w:ascii="宋体" w:hAnsi="宋体" w:cs="宋体" w:eastAsia="宋体" w:hint="default"/>
                <w:w w:val="100"/>
                <w:sz w:val="21"/>
                <w:szCs w:val="21"/>
              </w:rPr>
              <w:t> </w:t>
            </w:r>
            <w:r>
              <w:rPr>
                <w:rFonts w:ascii="宋体" w:hAnsi="宋体" w:cs="宋体" w:eastAsia="宋体" w:hint="default"/>
                <w:sz w:val="21"/>
                <w:szCs w:val="21"/>
              </w:rPr>
              <w:t>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瞿绪标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0"/>
              <w:jc w:val="left"/>
              <w:rPr>
                <w:rFonts w:ascii="宋体" w:hAnsi="宋体" w:cs="宋体" w:eastAsia="宋体" w:hint="default"/>
                <w:sz w:val="21"/>
                <w:szCs w:val="21"/>
              </w:rPr>
            </w:pPr>
            <w:r>
              <w:rPr>
                <w:rFonts w:ascii="宋体" w:hAnsi="宋体" w:cs="宋体" w:eastAsia="宋体" w:hint="default"/>
                <w:spacing w:val="2"/>
                <w:sz w:val="21"/>
                <w:szCs w:val="21"/>
              </w:rPr>
              <w:t>上海思科瑞新投资管理中心（有限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合伙）</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8"/>
              <w:ind w:left="24" w:right="-58"/>
              <w:jc w:val="left"/>
              <w:rPr>
                <w:rFonts w:ascii="宋体" w:hAnsi="宋体" w:cs="宋体" w:eastAsia="宋体" w:hint="default"/>
                <w:sz w:val="21"/>
                <w:szCs w:val="21"/>
              </w:rPr>
            </w:pPr>
            <w:r>
              <w:rPr>
                <w:rFonts w:ascii="宋体" w:hAnsi="宋体" w:cs="宋体" w:eastAsia="宋体" w:hint="default"/>
                <w:spacing w:val="47"/>
                <w:sz w:val="21"/>
                <w:szCs w:val="21"/>
              </w:rPr>
              <w:t>执行合伙</w:t>
            </w:r>
            <w:r>
              <w:rPr>
                <w:rFonts w:ascii="宋体" w:hAnsi="宋体" w:cs="宋体" w:eastAsia="宋体" w:hint="default"/>
                <w:spacing w:val="-97"/>
                <w:sz w:val="21"/>
                <w:szCs w:val="21"/>
              </w:rPr>
              <w:t> </w:t>
            </w:r>
            <w:r>
              <w:rPr>
                <w:rFonts w:ascii="宋体" w:hAnsi="宋体" w:cs="宋体" w:eastAsia="宋体" w:hint="default"/>
                <w:sz w:val="21"/>
                <w:szCs w:val="21"/>
              </w:rPr>
              <w:t>人</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瞿绪标</w:t>
            </w:r>
          </w:p>
        </w:tc>
        <w:tc>
          <w:tcPr>
            <w:tcW w:w="327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4"/>
                <w:sz w:val="21"/>
                <w:szCs w:val="21"/>
              </w:rPr>
              <w:t>苏州思科投资管理企业（有限合</w:t>
            </w:r>
          </w:p>
        </w:tc>
        <w:tc>
          <w:tcPr>
            <w:tcW w:w="1092" w:type="dxa"/>
            <w:tcBorders>
              <w:top w:val="single" w:sz="4" w:space="0" w:color="000000"/>
              <w:left w:val="single" w:sz="13" w:space="0" w:color="FFFFFF"/>
              <w:bottom w:val="single" w:sz="4" w:space="0" w:color="000000"/>
              <w:right w:val="single" w:sz="13" w:space="0" w:color="FFFFFF"/>
            </w:tcBorders>
          </w:tcPr>
          <w:p>
            <w:pPr>
              <w:pStyle w:val="TableParagraph"/>
              <w:spacing w:line="271" w:lineRule="auto" w:before="28"/>
              <w:ind w:left="12" w:right="-58"/>
              <w:jc w:val="left"/>
              <w:rPr>
                <w:rFonts w:ascii="宋体" w:hAnsi="宋体" w:cs="宋体" w:eastAsia="宋体" w:hint="default"/>
                <w:sz w:val="21"/>
                <w:szCs w:val="21"/>
              </w:rPr>
            </w:pPr>
            <w:r>
              <w:rPr>
                <w:rFonts w:ascii="宋体" w:hAnsi="宋体" w:cs="宋体" w:eastAsia="宋体" w:hint="default"/>
                <w:spacing w:val="47"/>
                <w:sz w:val="21"/>
                <w:szCs w:val="21"/>
              </w:rPr>
              <w:t>执行合伙</w:t>
            </w:r>
            <w:r>
              <w:rPr>
                <w:rFonts w:ascii="宋体" w:hAnsi="宋体" w:cs="宋体" w:eastAsia="宋体" w:hint="default"/>
                <w:spacing w:val="-97"/>
                <w:sz w:val="21"/>
                <w:szCs w:val="21"/>
              </w:rPr>
              <w:t> </w:t>
            </w:r>
            <w:r>
              <w:rPr>
                <w:rFonts w:ascii="宋体" w:hAnsi="宋体" w:cs="宋体" w:eastAsia="宋体" w:hint="default"/>
                <w:sz w:val="21"/>
                <w:szCs w:val="21"/>
              </w:rPr>
              <w:t>人</w:t>
            </w:r>
          </w:p>
        </w:tc>
        <w:tc>
          <w:tcPr>
            <w:tcW w:w="1229" w:type="dxa"/>
            <w:tcBorders>
              <w:top w:val="single" w:sz="4" w:space="0" w:color="000000"/>
              <w:left w:val="single" w:sz="13" w:space="0" w:color="FFFFFF"/>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瞿绪标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2"/>
                <w:sz w:val="21"/>
                <w:szCs w:val="21"/>
              </w:rPr>
              <w:t>上海市思科瑞新资产管理有限责任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瞿绪标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南京亚东启天药业有限公司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瞿绪标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0"/>
              <w:jc w:val="left"/>
              <w:rPr>
                <w:rFonts w:ascii="宋体" w:hAnsi="宋体" w:cs="宋体" w:eastAsia="宋体" w:hint="default"/>
                <w:sz w:val="21"/>
                <w:szCs w:val="21"/>
              </w:rPr>
            </w:pPr>
            <w:r>
              <w:rPr>
                <w:rFonts w:ascii="宋体" w:hAnsi="宋体" w:cs="宋体" w:eastAsia="宋体" w:hint="default"/>
                <w:spacing w:val="2"/>
                <w:sz w:val="21"/>
                <w:szCs w:val="21"/>
              </w:rPr>
              <w:t>四川思科同汇股权投资基金管理有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瞿绪标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北京万向新元科技股份有限公司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瞿绪标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山东旭业新材料股份有限公司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瞿绪标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华油惠博普科技股份有限公司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瞿绪标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青岛佳明测控股份有限公司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叶蜀君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北京交通大学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214"/>
              <w:jc w:val="left"/>
              <w:rPr>
                <w:rFonts w:ascii="宋体" w:hAnsi="宋体" w:cs="宋体" w:eastAsia="宋体" w:hint="default"/>
                <w:sz w:val="21"/>
                <w:szCs w:val="21"/>
              </w:rPr>
            </w:pPr>
            <w:r>
              <w:rPr>
                <w:rFonts w:ascii="宋体" w:hAnsi="宋体" w:cs="宋体" w:eastAsia="宋体" w:hint="default"/>
                <w:sz w:val="21"/>
                <w:szCs w:val="21"/>
              </w:rPr>
              <w:t>金融系主</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叶蜀君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北京三夫户外用品股份有限公司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许春华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中国橡胶工业协会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许春华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山东大业股份有限公司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许春华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天津市科迈化工股份有限公司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许春华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青岛橡胶轮胎工程专修学院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陈业进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中国轻工业出版社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3"/>
              <w:jc w:val="left"/>
              <w:rPr>
                <w:rFonts w:ascii="宋体" w:hAnsi="宋体" w:cs="宋体" w:eastAsia="宋体" w:hint="default"/>
                <w:sz w:val="21"/>
                <w:szCs w:val="21"/>
              </w:rPr>
            </w:pPr>
            <w:r>
              <w:rPr>
                <w:rFonts w:ascii="宋体" w:hAnsi="宋体" w:cs="宋体" w:eastAsia="宋体" w:hint="default"/>
                <w:sz w:val="21"/>
                <w:szCs w:val="21"/>
              </w:rPr>
              <w:t>社长助理、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财务处处</w:t>
            </w:r>
          </w:p>
          <w:p>
            <w:pPr>
              <w:pStyle w:val="TableParagraph"/>
              <w:spacing w:line="240" w:lineRule="auto" w:before="10"/>
              <w:ind w:left="24" w:right="0"/>
              <w:jc w:val="left"/>
              <w:rPr>
                <w:rFonts w:ascii="宋体" w:hAnsi="宋体" w:cs="宋体" w:eastAsia="宋体" w:hint="default"/>
                <w:sz w:val="21"/>
                <w:szCs w:val="21"/>
              </w:rPr>
            </w:pPr>
            <w:r>
              <w:rPr>
                <w:rFonts w:ascii="宋体" w:hAnsi="宋体" w:cs="宋体" w:eastAsia="宋体" w:hint="default"/>
                <w:w w:val="100"/>
                <w:sz w:val="21"/>
                <w:szCs w:val="21"/>
              </w:rPr>
              <w:t>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陈业进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中青旅控股股份有限公司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孙建国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3" w:right="86"/>
              <w:jc w:val="left"/>
              <w:rPr>
                <w:rFonts w:ascii="宋体" w:hAnsi="宋体" w:cs="宋体" w:eastAsia="宋体" w:hint="default"/>
                <w:sz w:val="21"/>
                <w:szCs w:val="21"/>
              </w:rPr>
            </w:pPr>
            <w:r>
              <w:rPr>
                <w:rFonts w:ascii="宋体" w:hAnsi="宋体" w:cs="宋体" w:eastAsia="宋体" w:hint="default"/>
                <w:spacing w:val="-2"/>
                <w:sz w:val="21"/>
                <w:szCs w:val="21"/>
              </w:rPr>
              <w:t>盛世金泉（天津）股权投资基金管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3"/>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董事会秘</w:t>
            </w:r>
          </w:p>
          <w:p>
            <w:pPr>
              <w:pStyle w:val="TableParagraph"/>
              <w:spacing w:line="240" w:lineRule="auto" w:before="10"/>
              <w:ind w:left="24"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16"/>
        <w:jc w:val="left"/>
      </w:pPr>
      <w:r>
        <w:rPr/>
        <w:t>公司现任及报告期内离任董事、监事和高级管理人员近三年证券监管机构处罚的情况</w:t>
      </w:r>
    </w:p>
    <w:p>
      <w:pPr>
        <w:pStyle w:val="BodyText"/>
        <w:spacing w:line="240" w:lineRule="auto" w:before="78"/>
        <w:ind w:right="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116"/>
        <w:jc w:val="left"/>
        <w:rPr>
          <w:b w:val="0"/>
          <w:bCs w:val="0"/>
        </w:rPr>
      </w:pPr>
      <w:r>
        <w:rPr/>
        <w:t>四、董事、监事、高级管理人员报酬情况</w:t>
      </w:r>
      <w:r>
        <w:rPr>
          <w:b w:val="0"/>
          <w:bCs w:val="0"/>
        </w:rPr>
      </w:r>
    </w:p>
    <w:p>
      <w:pPr>
        <w:spacing w:line="240" w:lineRule="auto" w:before="12"/>
        <w:rPr>
          <w:rFonts w:ascii="宋体" w:hAnsi="宋体" w:cs="宋体" w:eastAsia="宋体" w:hint="default"/>
          <w:b/>
          <w:bCs/>
          <w:sz w:val="24"/>
          <w:szCs w:val="24"/>
        </w:rPr>
      </w:pPr>
    </w:p>
    <w:p>
      <w:pPr>
        <w:pStyle w:val="BodyText"/>
        <w:spacing w:line="307" w:lineRule="auto"/>
        <w:ind w:right="116"/>
        <w:jc w:val="left"/>
      </w:pPr>
      <w:r>
        <w:rPr/>
        <w:t>董事、监事、高级管理人员报酬的决策程序、确定依据、实际支付情况</w:t>
      </w:r>
      <w:r>
        <w:rPr>
          <w:w w:val="100"/>
        </w:rPr>
        <w:t> </w:t>
      </w:r>
      <w:r>
        <w:rPr>
          <w:spacing w:val="-5"/>
        </w:rPr>
        <w:t>根据《公司章程》、《公司薪酬福利制度》以及《薪酬与考核委员会工作细则》的规定，公司董事、监事、</w:t>
      </w:r>
    </w:p>
    <w:p>
      <w:pPr>
        <w:spacing w:after="0" w:line="307"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8" w:lineRule="auto" w:before="36"/>
        <w:ind w:right="153"/>
        <w:jc w:val="left"/>
      </w:pPr>
      <w:r>
        <w:rPr>
          <w:spacing w:val="-2"/>
        </w:rPr>
        <w:t>高级管理人员及其他核心人员的工资由工龄工资、基本工资、绩效工资、其他补贴组成，年终奖金以公司</w:t>
      </w:r>
      <w:r>
        <w:rPr>
          <w:spacing w:val="-47"/>
        </w:rPr>
        <w:t> </w:t>
      </w:r>
      <w:r>
        <w:rPr>
          <w:spacing w:val="-47"/>
        </w:rPr>
      </w:r>
      <w:r>
        <w:rPr>
          <w:spacing w:val="-2"/>
        </w:rPr>
        <w:t>当年业绩为基础根据绩效考核办法具体确定，并经董事会薪酬与考核委员会审议通过，公司独立董事薪酬</w:t>
      </w:r>
      <w:r>
        <w:rPr>
          <w:spacing w:val="-42"/>
        </w:rPr>
        <w:t> </w:t>
      </w:r>
      <w:r>
        <w:rPr>
          <w:spacing w:val="-42"/>
        </w:rPr>
      </w:r>
      <w:r>
        <w:rPr/>
        <w:t>仅为履职津贴。截止本报告期末，公司共支付董监高报酬</w:t>
      </w:r>
      <w:r>
        <w:rPr>
          <w:rFonts w:ascii="Times New Roman" w:hAnsi="Times New Roman" w:cs="Times New Roman" w:eastAsia="Times New Roman" w:hint="default"/>
        </w:rPr>
        <w:t>277.87</w:t>
      </w:r>
      <w:r>
        <w:rPr/>
        <w:t>万元。</w:t>
      </w:r>
      <w:r>
        <w:rPr>
          <w:w w:val="100"/>
        </w:rPr>
        <w:t> </w:t>
      </w:r>
      <w:r>
        <w:rPr/>
        <w:t>公司报告期内董事、监事和高级管理人员报酬情况</w:t>
      </w:r>
    </w:p>
    <w:p>
      <w:pPr>
        <w:pStyle w:val="BodyText"/>
        <w:spacing w:line="240" w:lineRule="auto" w:before="42"/>
        <w:ind w:left="0" w:right="148"/>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4"/>
              <w:jc w:val="left"/>
              <w:rPr>
                <w:rFonts w:ascii="宋体" w:hAnsi="宋体" w:cs="宋体" w:eastAsia="宋体" w:hint="default"/>
                <w:sz w:val="21"/>
                <w:szCs w:val="21"/>
              </w:rPr>
            </w:pPr>
            <w:r>
              <w:rPr>
                <w:rFonts w:ascii="宋体" w:hAnsi="宋体" w:cs="宋体" w:eastAsia="宋体" w:hint="default"/>
                <w:sz w:val="21"/>
                <w:szCs w:val="21"/>
              </w:rPr>
              <w:t>从公司获得的</w:t>
            </w:r>
            <w:r>
              <w:rPr>
                <w:rFonts w:ascii="宋体" w:hAnsi="宋体" w:cs="宋体" w:eastAsia="宋体" w:hint="default"/>
                <w:w w:val="100"/>
                <w:sz w:val="21"/>
                <w:szCs w:val="21"/>
              </w:rPr>
              <w:t> </w:t>
            </w:r>
            <w:r>
              <w:rPr>
                <w:rFonts w:ascii="宋体" w:hAnsi="宋体" w:cs="宋体" w:eastAsia="宋体" w:hint="default"/>
                <w:sz w:val="21"/>
                <w:szCs w:val="21"/>
              </w:rPr>
              <w:t>税前报酬总额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5"/>
              <w:jc w:val="left"/>
              <w:rPr>
                <w:rFonts w:ascii="宋体" w:hAnsi="宋体" w:cs="宋体" w:eastAsia="宋体" w:hint="default"/>
                <w:sz w:val="21"/>
                <w:szCs w:val="21"/>
              </w:rPr>
            </w:pPr>
            <w:r>
              <w:rPr>
                <w:rFonts w:ascii="宋体" w:hAnsi="宋体" w:cs="宋体" w:eastAsia="宋体" w:hint="default"/>
                <w:sz w:val="21"/>
                <w:szCs w:val="21"/>
              </w:rPr>
              <w:t>是否在公司关</w:t>
            </w:r>
            <w:r>
              <w:rPr>
                <w:rFonts w:ascii="宋体" w:hAnsi="宋体" w:cs="宋体" w:eastAsia="宋体" w:hint="default"/>
                <w:w w:val="100"/>
                <w:sz w:val="21"/>
                <w:szCs w:val="21"/>
              </w:rPr>
              <w:t> </w:t>
            </w:r>
            <w:r>
              <w:rPr>
                <w:rFonts w:ascii="宋体" w:hAnsi="宋体" w:cs="宋体" w:eastAsia="宋体" w:hint="default"/>
                <w:sz w:val="21"/>
                <w:szCs w:val="21"/>
              </w:rPr>
              <w:t>联方获取报酬</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朱业胜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6" w:right="67"/>
              <w:jc w:val="left"/>
              <w:rPr>
                <w:rFonts w:ascii="宋体" w:hAnsi="宋体" w:cs="宋体" w:eastAsia="宋体" w:hint="default"/>
                <w:sz w:val="21"/>
                <w:szCs w:val="21"/>
              </w:rPr>
            </w:pPr>
            <w:r>
              <w:rPr>
                <w:rFonts w:ascii="宋体" w:hAnsi="宋体" w:cs="宋体" w:eastAsia="宋体" w:hint="default"/>
                <w:sz w:val="21"/>
                <w:szCs w:val="21"/>
              </w:rPr>
              <w:t>董事长、总经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曾维斌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67"/>
              <w:jc w:val="left"/>
              <w:rPr>
                <w:rFonts w:ascii="宋体" w:hAnsi="宋体" w:cs="宋体" w:eastAsia="宋体" w:hint="default"/>
                <w:sz w:val="21"/>
                <w:szCs w:val="21"/>
              </w:rPr>
            </w:pPr>
            <w:r>
              <w:rPr>
                <w:rFonts w:ascii="宋体" w:hAnsi="宋体" w:cs="宋体" w:eastAsia="宋体" w:hint="default"/>
                <w:sz w:val="21"/>
                <w:szCs w:val="21"/>
              </w:rPr>
              <w:t>董事、副总经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姜承法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6" w:right="67"/>
              <w:jc w:val="left"/>
              <w:rPr>
                <w:rFonts w:ascii="宋体" w:hAnsi="宋体" w:cs="宋体" w:eastAsia="宋体" w:hint="default"/>
                <w:sz w:val="21"/>
                <w:szCs w:val="21"/>
              </w:rPr>
            </w:pPr>
            <w:r>
              <w:rPr>
                <w:rFonts w:ascii="宋体" w:hAnsi="宋体" w:cs="宋体" w:eastAsia="宋体" w:hint="default"/>
                <w:sz w:val="21"/>
                <w:szCs w:val="21"/>
              </w:rPr>
              <w:t>董事、副总经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瞿绪标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叶蜀君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许春华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陈业进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王际松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双国庆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孙建国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张玉生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26.94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潘帮南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67"/>
              <w:jc w:val="left"/>
              <w:rPr>
                <w:rFonts w:ascii="宋体" w:hAnsi="宋体" w:cs="宋体" w:eastAsia="宋体" w:hint="default"/>
                <w:sz w:val="21"/>
                <w:szCs w:val="21"/>
              </w:rPr>
            </w:pPr>
            <w:r>
              <w:rPr>
                <w:rFonts w:ascii="宋体" w:hAnsi="宋体" w:cs="宋体" w:eastAsia="宋体" w:hint="default"/>
                <w:sz w:val="21"/>
                <w:szCs w:val="21"/>
              </w:rPr>
              <w:t>副总经理、董</w:t>
            </w:r>
            <w:r>
              <w:rPr>
                <w:rFonts w:ascii="宋体" w:hAnsi="宋体" w:cs="宋体" w:eastAsia="宋体" w:hint="default"/>
                <w:w w:val="100"/>
                <w:sz w:val="21"/>
                <w:szCs w:val="21"/>
              </w:rPr>
              <w:t> </w:t>
            </w:r>
            <w:r>
              <w:rPr>
                <w:rFonts w:ascii="宋体" w:hAnsi="宋体" w:cs="宋体" w:eastAsia="宋体" w:hint="default"/>
                <w:sz w:val="21"/>
                <w:szCs w:val="21"/>
              </w:rPr>
              <w:t>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张瑞英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29.72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z w:val="21"/>
              </w:rPr>
              <w:t>227.87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53"/>
        <w:jc w:val="left"/>
      </w:pPr>
      <w:r>
        <w:rPr/>
        <w:t>公司董事、监事、高级管理人员报告期内被授予的股权激励情况</w:t>
      </w:r>
    </w:p>
    <w:p>
      <w:pPr>
        <w:pStyle w:val="BodyText"/>
        <w:spacing w:line="240" w:lineRule="auto" w:before="7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5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58" w:right="153"/>
        <w:jc w:val="left"/>
      </w:pPr>
      <w:r>
        <w:rPr/>
        <w:t>截止本报告期，公司共有员工</w:t>
      </w:r>
      <w:r>
        <w:rPr>
          <w:rFonts w:ascii="Times New Roman" w:hAnsi="Times New Roman" w:cs="Times New Roman" w:eastAsia="Times New Roman" w:hint="default"/>
        </w:rPr>
        <w:t>416</w:t>
      </w:r>
      <w:r>
        <w:rPr/>
        <w:t>人，具体结构如下：</w:t>
      </w:r>
    </w:p>
    <w:p>
      <w:pPr>
        <w:pStyle w:val="BodyText"/>
        <w:spacing w:line="240" w:lineRule="auto" w:before="21"/>
        <w:ind w:left="558" w:right="153"/>
        <w:jc w:val="left"/>
      </w:pPr>
      <w:r>
        <w:rPr>
          <w:rFonts w:ascii="Times New Roman" w:hAnsi="Times New Roman" w:cs="Times New Roman" w:eastAsia="Times New Roman" w:hint="default"/>
        </w:rPr>
        <w:t>1</w:t>
      </w:r>
      <w:r>
        <w:rPr/>
        <w:t>、专业结构：</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781"/>
        <w:gridCol w:w="1839"/>
        <w:gridCol w:w="1702"/>
      </w:tblGrid>
      <w:tr>
        <w:trPr>
          <w:trHeight w:val="65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center"/>
              <w:rPr>
                <w:rFonts w:ascii="宋体" w:hAnsi="宋体" w:cs="宋体" w:eastAsia="宋体" w:hint="default"/>
                <w:sz w:val="21"/>
                <w:szCs w:val="21"/>
              </w:rPr>
            </w:pPr>
            <w:r>
              <w:rPr>
                <w:rFonts w:ascii="宋体" w:hAnsi="宋体" w:cs="宋体" w:eastAsia="宋体" w:hint="default"/>
                <w:b/>
                <w:bCs/>
                <w:sz w:val="21"/>
                <w:szCs w:val="21"/>
              </w:rPr>
              <w:t>专业类别</w:t>
            </w:r>
            <w:r>
              <w:rPr>
                <w:rFonts w:ascii="宋体" w:hAnsi="宋体" w:cs="宋体" w:eastAsia="宋体" w:hint="default"/>
                <w:sz w:val="21"/>
                <w:szCs w:val="21"/>
              </w:rPr>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08" w:right="0"/>
              <w:jc w:val="left"/>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占员工总数比</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b/>
                <w:bCs/>
                <w:w w:val="100"/>
                <w:sz w:val="21"/>
                <w:szCs w:val="21"/>
              </w:rPr>
              <w:t>例</w:t>
            </w:r>
            <w:r>
              <w:rPr>
                <w:rFonts w:ascii="宋体" w:hAnsi="宋体" w:cs="宋体" w:eastAsia="宋体" w:hint="default"/>
                <w:w w:val="100"/>
                <w:sz w:val="21"/>
                <w:szCs w:val="21"/>
              </w:rPr>
            </w:r>
          </w:p>
        </w:tc>
      </w:tr>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8" w:right="0"/>
              <w:jc w:val="left"/>
              <w:rPr>
                <w:rFonts w:ascii="Times New Roman" w:hAnsi="Times New Roman" w:cs="Times New Roman" w:eastAsia="Times New Roman" w:hint="default"/>
                <w:sz w:val="21"/>
                <w:szCs w:val="21"/>
              </w:rPr>
            </w:pPr>
            <w:r>
              <w:rPr>
                <w:rFonts w:ascii="Times New Roman"/>
                <w:sz w:val="21"/>
              </w:rPr>
              <w:t>92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0" w:right="0"/>
              <w:jc w:val="left"/>
              <w:rPr>
                <w:rFonts w:ascii="Times New Roman" w:hAnsi="Times New Roman" w:cs="Times New Roman" w:eastAsia="Times New Roman" w:hint="default"/>
                <w:sz w:val="21"/>
                <w:szCs w:val="21"/>
              </w:rPr>
            </w:pPr>
            <w:r>
              <w:rPr>
                <w:rFonts w:ascii="Times New Roman"/>
                <w:sz w:val="21"/>
              </w:rPr>
              <w:t>22.12%</w:t>
            </w:r>
          </w:p>
        </w:tc>
      </w:tr>
      <w:tr>
        <w:trPr>
          <w:trHeight w:val="34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8" w:right="0"/>
              <w:jc w:val="left"/>
              <w:rPr>
                <w:rFonts w:ascii="Times New Roman" w:hAnsi="Times New Roman" w:cs="Times New Roman" w:eastAsia="Times New Roman" w:hint="default"/>
                <w:sz w:val="21"/>
                <w:szCs w:val="21"/>
              </w:rPr>
            </w:pPr>
            <w:r>
              <w:rPr>
                <w:rFonts w:ascii="Times New Roman"/>
                <w:sz w:val="21"/>
              </w:rPr>
              <w:t>149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left"/>
              <w:rPr>
                <w:rFonts w:ascii="Times New Roman" w:hAnsi="Times New Roman" w:cs="Times New Roman" w:eastAsia="Times New Roman" w:hint="default"/>
                <w:sz w:val="21"/>
                <w:szCs w:val="21"/>
              </w:rPr>
            </w:pPr>
            <w:r>
              <w:rPr>
                <w:rFonts w:ascii="Times New Roman"/>
                <w:sz w:val="21"/>
              </w:rPr>
              <w:t>35.82%</w:t>
            </w:r>
          </w:p>
        </w:tc>
      </w:tr>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center"/>
              <w:rPr>
                <w:rFonts w:ascii="宋体" w:hAnsi="宋体" w:cs="宋体" w:eastAsia="宋体" w:hint="default"/>
                <w:sz w:val="21"/>
                <w:szCs w:val="21"/>
              </w:rPr>
            </w:pPr>
            <w:r>
              <w:rPr>
                <w:rFonts w:ascii="宋体" w:hAnsi="宋体" w:cs="宋体" w:eastAsia="宋体" w:hint="default"/>
                <w:sz w:val="21"/>
                <w:szCs w:val="21"/>
              </w:rPr>
              <w:t>质量人员</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8" w:right="0"/>
              <w:jc w:val="left"/>
              <w:rPr>
                <w:rFonts w:ascii="Times New Roman" w:hAnsi="Times New Roman" w:cs="Times New Roman" w:eastAsia="Times New Roman" w:hint="default"/>
                <w:sz w:val="21"/>
                <w:szCs w:val="21"/>
              </w:rPr>
            </w:pPr>
            <w:r>
              <w:rPr>
                <w:rFonts w:ascii="Times New Roman"/>
                <w:w w:val="100"/>
                <w:sz w:val="21"/>
              </w:rPr>
              <w:t>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0" w:right="0"/>
              <w:jc w:val="left"/>
              <w:rPr>
                <w:rFonts w:ascii="Times New Roman" w:hAnsi="Times New Roman" w:cs="Times New Roman" w:eastAsia="Times New Roman" w:hint="default"/>
                <w:sz w:val="21"/>
                <w:szCs w:val="21"/>
              </w:rPr>
            </w:pPr>
            <w:r>
              <w:rPr>
                <w:rFonts w:ascii="Times New Roman"/>
                <w:sz w:val="21"/>
              </w:rPr>
              <w:t>0.96%</w:t>
            </w:r>
          </w:p>
        </w:tc>
      </w:tr>
      <w:tr>
        <w:trPr>
          <w:trHeight w:val="34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69"/>
              <w:jc w:val="center"/>
              <w:rPr>
                <w:rFonts w:ascii="宋体" w:hAnsi="宋体" w:cs="宋体" w:eastAsia="宋体" w:hint="default"/>
                <w:sz w:val="21"/>
                <w:szCs w:val="21"/>
              </w:rPr>
            </w:pPr>
            <w:r>
              <w:rPr>
                <w:rFonts w:ascii="宋体" w:hAnsi="宋体" w:cs="宋体" w:eastAsia="宋体" w:hint="default"/>
                <w:sz w:val="21"/>
                <w:szCs w:val="21"/>
              </w:rPr>
              <w:t>设计、调试人员</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8" w:right="0"/>
              <w:jc w:val="left"/>
              <w:rPr>
                <w:rFonts w:ascii="Times New Roman" w:hAnsi="Times New Roman" w:cs="Times New Roman" w:eastAsia="Times New Roman" w:hint="default"/>
                <w:sz w:val="21"/>
                <w:szCs w:val="21"/>
              </w:rPr>
            </w:pPr>
            <w:r>
              <w:rPr>
                <w:rFonts w:ascii="Times New Roman"/>
                <w:sz w:val="21"/>
              </w:rPr>
              <w:t>92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left"/>
              <w:rPr>
                <w:rFonts w:ascii="Times New Roman" w:hAnsi="Times New Roman" w:cs="Times New Roman" w:eastAsia="Times New Roman" w:hint="default"/>
                <w:sz w:val="21"/>
                <w:szCs w:val="21"/>
              </w:rPr>
            </w:pPr>
            <w:r>
              <w:rPr>
                <w:rFonts w:ascii="Times New Roman"/>
                <w:sz w:val="21"/>
              </w:rPr>
              <w:t>22.12%</w:t>
            </w:r>
          </w:p>
        </w:tc>
      </w:tr>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8" w:right="0"/>
              <w:jc w:val="left"/>
              <w:rPr>
                <w:rFonts w:ascii="Times New Roman" w:hAnsi="Times New Roman" w:cs="Times New Roman" w:eastAsia="Times New Roman" w:hint="default"/>
                <w:sz w:val="21"/>
                <w:szCs w:val="21"/>
              </w:rPr>
            </w:pPr>
            <w:r>
              <w:rPr>
                <w:rFonts w:ascii="Times New Roman"/>
                <w:w w:val="100"/>
                <w:sz w:val="21"/>
              </w:rPr>
              <w:t>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0" w:right="0"/>
              <w:jc w:val="left"/>
              <w:rPr>
                <w:rFonts w:ascii="Times New Roman" w:hAnsi="Times New Roman" w:cs="Times New Roman" w:eastAsia="Times New Roman" w:hint="default"/>
                <w:sz w:val="21"/>
                <w:szCs w:val="21"/>
              </w:rPr>
            </w:pPr>
            <w:r>
              <w:rPr>
                <w:rFonts w:ascii="Times New Roman"/>
                <w:sz w:val="21"/>
              </w:rPr>
              <w:t>1.68%</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781"/>
        <w:gridCol w:w="1839"/>
        <w:gridCol w:w="1702"/>
      </w:tblGrid>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1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8" w:right="0"/>
              <w:jc w:val="left"/>
              <w:rPr>
                <w:rFonts w:ascii="Times New Roman" w:hAnsi="Times New Roman" w:cs="Times New Roman" w:eastAsia="Times New Roman" w:hint="default"/>
                <w:sz w:val="21"/>
                <w:szCs w:val="21"/>
              </w:rPr>
            </w:pPr>
            <w:r>
              <w:rPr>
                <w:rFonts w:ascii="Times New Roman"/>
                <w:w w:val="100"/>
                <w:sz w:val="21"/>
              </w:rPr>
              <w:t>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left"/>
              <w:rPr>
                <w:rFonts w:ascii="Times New Roman" w:hAnsi="Times New Roman" w:cs="Times New Roman" w:eastAsia="Times New Roman" w:hint="default"/>
                <w:sz w:val="21"/>
                <w:szCs w:val="21"/>
              </w:rPr>
            </w:pPr>
            <w:r>
              <w:rPr>
                <w:rFonts w:ascii="Times New Roman"/>
                <w:sz w:val="21"/>
              </w:rPr>
              <w:t>1.68%</w:t>
            </w:r>
          </w:p>
        </w:tc>
      </w:tr>
      <w:tr>
        <w:trPr>
          <w:trHeight w:val="34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10"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8" w:right="0"/>
              <w:jc w:val="left"/>
              <w:rPr>
                <w:rFonts w:ascii="Times New Roman" w:hAnsi="Times New Roman" w:cs="Times New Roman" w:eastAsia="Times New Roman" w:hint="default"/>
                <w:sz w:val="21"/>
                <w:szCs w:val="21"/>
              </w:rPr>
            </w:pPr>
            <w:r>
              <w:rPr>
                <w:rFonts w:ascii="Times New Roman"/>
                <w:sz w:val="21"/>
              </w:rPr>
              <w:t>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left"/>
              <w:rPr>
                <w:rFonts w:ascii="Times New Roman" w:hAnsi="Times New Roman" w:cs="Times New Roman" w:eastAsia="Times New Roman" w:hint="default"/>
                <w:sz w:val="21"/>
                <w:szCs w:val="21"/>
              </w:rPr>
            </w:pPr>
            <w:r>
              <w:rPr>
                <w:rFonts w:ascii="Times New Roman"/>
                <w:sz w:val="21"/>
              </w:rPr>
              <w:t>12.02%</w:t>
            </w:r>
          </w:p>
        </w:tc>
      </w:tr>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行政后勤</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8" w:right="0"/>
              <w:jc w:val="left"/>
              <w:rPr>
                <w:rFonts w:ascii="Times New Roman" w:hAnsi="Times New Roman" w:cs="Times New Roman" w:eastAsia="Times New Roman" w:hint="default"/>
                <w:sz w:val="21"/>
                <w:szCs w:val="21"/>
              </w:rPr>
            </w:pPr>
            <w:r>
              <w:rPr>
                <w:rFonts w:ascii="Times New Roman"/>
                <w:sz w:val="21"/>
              </w:rPr>
              <w:t>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0" w:right="0"/>
              <w:jc w:val="left"/>
              <w:rPr>
                <w:rFonts w:ascii="Times New Roman" w:hAnsi="Times New Roman" w:cs="Times New Roman" w:eastAsia="Times New Roman" w:hint="default"/>
                <w:sz w:val="21"/>
                <w:szCs w:val="21"/>
              </w:rPr>
            </w:pPr>
            <w:r>
              <w:rPr>
                <w:rFonts w:ascii="Times New Roman"/>
                <w:sz w:val="21"/>
              </w:rPr>
              <w:t>3.61%</w:t>
            </w:r>
          </w:p>
        </w:tc>
      </w:tr>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8" w:right="0"/>
              <w:jc w:val="left"/>
              <w:rPr>
                <w:rFonts w:ascii="Times New Roman" w:hAnsi="Times New Roman" w:cs="Times New Roman" w:eastAsia="Times New Roman" w:hint="default"/>
                <w:sz w:val="21"/>
                <w:szCs w:val="21"/>
              </w:rPr>
            </w:pPr>
            <w:r>
              <w:rPr>
                <w:rFonts w:ascii="Times New Roman"/>
                <w:sz w:val="21"/>
              </w:rPr>
              <w:t>416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20"/>
          <w:szCs w:val="20"/>
        </w:rPr>
      </w:pPr>
    </w:p>
    <w:p>
      <w:pPr>
        <w:pStyle w:val="BodyText"/>
        <w:spacing w:line="240" w:lineRule="auto" w:before="36"/>
        <w:ind w:left="558" w:right="153"/>
        <w:jc w:val="left"/>
      </w:pPr>
      <w:r>
        <w:rPr>
          <w:rFonts w:ascii="Times New Roman" w:hAnsi="Times New Roman" w:cs="Times New Roman" w:eastAsia="Times New Roman" w:hint="default"/>
        </w:rPr>
        <w:t>2</w:t>
      </w:r>
      <w:r>
        <w:rPr/>
        <w:t>、教育程度</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781"/>
        <w:gridCol w:w="1839"/>
        <w:gridCol w:w="1877"/>
      </w:tblGrid>
      <w:tr>
        <w:trPr>
          <w:trHeight w:val="34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学历类型</w:t>
            </w:r>
            <w:r>
              <w:rPr>
                <w:rFonts w:ascii="宋体" w:hAnsi="宋体" w:cs="宋体" w:eastAsia="宋体" w:hint="default"/>
                <w:sz w:val="21"/>
                <w:szCs w:val="21"/>
              </w:rPr>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08" w:right="0"/>
              <w:jc w:val="left"/>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宋体" w:hAnsi="宋体" w:cs="宋体" w:eastAsia="宋体" w:hint="default"/>
                <w:sz w:val="21"/>
                <w:szCs w:val="21"/>
              </w:rPr>
            </w:r>
          </w:p>
        </w:tc>
      </w:tr>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硕士以上</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8" w:right="0"/>
              <w:jc w:val="left"/>
              <w:rPr>
                <w:rFonts w:ascii="Times New Roman" w:hAnsi="Times New Roman" w:cs="Times New Roman" w:eastAsia="Times New Roman" w:hint="default"/>
                <w:sz w:val="21"/>
                <w:szCs w:val="21"/>
              </w:rPr>
            </w:pPr>
            <w:r>
              <w:rPr>
                <w:rFonts w:ascii="Times New Roman"/>
                <w:sz w:val="21"/>
              </w:rPr>
              <w:t>13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0" w:right="0"/>
              <w:jc w:val="left"/>
              <w:rPr>
                <w:rFonts w:ascii="Times New Roman" w:hAnsi="Times New Roman" w:cs="Times New Roman" w:eastAsia="Times New Roman" w:hint="default"/>
                <w:sz w:val="21"/>
                <w:szCs w:val="21"/>
              </w:rPr>
            </w:pPr>
            <w:r>
              <w:rPr>
                <w:rFonts w:ascii="Times New Roman"/>
                <w:sz w:val="21"/>
              </w:rPr>
              <w:t>3.13%</w:t>
            </w:r>
          </w:p>
        </w:tc>
      </w:tr>
      <w:tr>
        <w:trPr>
          <w:trHeight w:val="34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10"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8" w:right="0"/>
              <w:jc w:val="left"/>
              <w:rPr>
                <w:rFonts w:ascii="Times New Roman" w:hAnsi="Times New Roman" w:cs="Times New Roman" w:eastAsia="Times New Roman" w:hint="default"/>
                <w:sz w:val="21"/>
                <w:szCs w:val="21"/>
              </w:rPr>
            </w:pPr>
            <w:r>
              <w:rPr>
                <w:rFonts w:ascii="Times New Roman"/>
                <w:sz w:val="21"/>
              </w:rPr>
              <w:t>180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left"/>
              <w:rPr>
                <w:rFonts w:ascii="Times New Roman" w:hAnsi="Times New Roman" w:cs="Times New Roman" w:eastAsia="Times New Roman" w:hint="default"/>
                <w:sz w:val="21"/>
                <w:szCs w:val="21"/>
              </w:rPr>
            </w:pPr>
            <w:r>
              <w:rPr>
                <w:rFonts w:ascii="Times New Roman"/>
                <w:sz w:val="21"/>
              </w:rPr>
              <w:t>43.27%</w:t>
            </w:r>
          </w:p>
        </w:tc>
      </w:tr>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8" w:right="0"/>
              <w:jc w:val="left"/>
              <w:rPr>
                <w:rFonts w:ascii="Times New Roman" w:hAnsi="Times New Roman" w:cs="Times New Roman" w:eastAsia="Times New Roman" w:hint="default"/>
                <w:sz w:val="21"/>
                <w:szCs w:val="21"/>
              </w:rPr>
            </w:pPr>
            <w:r>
              <w:rPr>
                <w:rFonts w:ascii="Times New Roman"/>
                <w:sz w:val="21"/>
              </w:rPr>
              <w:t>58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0" w:right="0"/>
              <w:jc w:val="left"/>
              <w:rPr>
                <w:rFonts w:ascii="Times New Roman" w:hAnsi="Times New Roman" w:cs="Times New Roman" w:eastAsia="Times New Roman" w:hint="default"/>
                <w:sz w:val="21"/>
                <w:szCs w:val="21"/>
              </w:rPr>
            </w:pPr>
            <w:r>
              <w:rPr>
                <w:rFonts w:ascii="Times New Roman"/>
                <w:sz w:val="21"/>
              </w:rPr>
              <w:t>13.94%</w:t>
            </w:r>
          </w:p>
        </w:tc>
      </w:tr>
      <w:tr>
        <w:trPr>
          <w:trHeight w:val="34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1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8" w:right="0"/>
              <w:jc w:val="left"/>
              <w:rPr>
                <w:rFonts w:ascii="Times New Roman" w:hAnsi="Times New Roman" w:cs="Times New Roman" w:eastAsia="Times New Roman" w:hint="default"/>
                <w:sz w:val="21"/>
                <w:szCs w:val="21"/>
              </w:rPr>
            </w:pPr>
            <w:r>
              <w:rPr>
                <w:rFonts w:ascii="Times New Roman"/>
                <w:sz w:val="21"/>
              </w:rPr>
              <w:t>165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left"/>
              <w:rPr>
                <w:rFonts w:ascii="Times New Roman" w:hAnsi="Times New Roman" w:cs="Times New Roman" w:eastAsia="Times New Roman" w:hint="default"/>
                <w:sz w:val="21"/>
                <w:szCs w:val="21"/>
              </w:rPr>
            </w:pPr>
            <w:r>
              <w:rPr>
                <w:rFonts w:ascii="Times New Roman"/>
                <w:sz w:val="21"/>
              </w:rPr>
              <w:t>39.66%</w:t>
            </w:r>
          </w:p>
        </w:tc>
      </w:tr>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8" w:right="0"/>
              <w:jc w:val="left"/>
              <w:rPr>
                <w:rFonts w:ascii="Times New Roman" w:hAnsi="Times New Roman" w:cs="Times New Roman" w:eastAsia="Times New Roman" w:hint="default"/>
                <w:sz w:val="21"/>
                <w:szCs w:val="21"/>
              </w:rPr>
            </w:pPr>
            <w:r>
              <w:rPr>
                <w:rFonts w:ascii="Times New Roman"/>
                <w:sz w:val="21"/>
              </w:rPr>
              <w:t>416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0" w:right="0"/>
              <w:jc w:val="left"/>
              <w:rPr>
                <w:rFonts w:ascii="Times New Roman" w:hAnsi="Times New Roman" w:cs="Times New Roman" w:eastAsia="Times New Roman" w:hint="default"/>
                <w:sz w:val="21"/>
                <w:szCs w:val="21"/>
              </w:rPr>
            </w:pPr>
            <w:r>
              <w:rPr>
                <w:rFonts w:ascii="Times New Roman"/>
                <w:sz w:val="21"/>
              </w:rPr>
              <w:t>100.00%</w:t>
            </w:r>
          </w:p>
        </w:tc>
      </w:tr>
    </w:tbl>
    <w:p>
      <w:pPr>
        <w:pStyle w:val="BodyText"/>
        <w:spacing w:line="279" w:lineRule="exact"/>
        <w:ind w:left="558" w:right="153"/>
        <w:jc w:val="left"/>
      </w:pPr>
      <w:r>
        <w:rPr>
          <w:rFonts w:ascii="Times New Roman" w:hAnsi="Times New Roman" w:cs="Times New Roman" w:eastAsia="Times New Roman" w:hint="default"/>
        </w:rPr>
        <w:t>3</w:t>
      </w:r>
      <w:r>
        <w:rPr/>
        <w:t>、年龄结构</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781"/>
        <w:gridCol w:w="1839"/>
        <w:gridCol w:w="1877"/>
      </w:tblGrid>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08" w:right="0"/>
              <w:jc w:val="left"/>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宋体" w:hAnsi="宋体" w:cs="宋体" w:eastAsia="宋体" w:hint="default"/>
                <w:sz w:val="21"/>
                <w:szCs w:val="21"/>
              </w:rPr>
            </w:r>
          </w:p>
        </w:tc>
      </w:tr>
      <w:tr>
        <w:trPr>
          <w:trHeight w:val="34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8" w:right="0"/>
              <w:jc w:val="left"/>
              <w:rPr>
                <w:rFonts w:ascii="Times New Roman" w:hAnsi="Times New Roman" w:cs="Times New Roman" w:eastAsia="Times New Roman" w:hint="default"/>
                <w:sz w:val="21"/>
                <w:szCs w:val="21"/>
              </w:rPr>
            </w:pPr>
            <w:r>
              <w:rPr>
                <w:rFonts w:ascii="Times New Roman"/>
                <w:sz w:val="21"/>
              </w:rPr>
              <w:t>164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left"/>
              <w:rPr>
                <w:rFonts w:ascii="Times New Roman" w:hAnsi="Times New Roman" w:cs="Times New Roman" w:eastAsia="Times New Roman" w:hint="default"/>
                <w:sz w:val="21"/>
                <w:szCs w:val="21"/>
              </w:rPr>
            </w:pPr>
            <w:r>
              <w:rPr>
                <w:rFonts w:ascii="Times New Roman"/>
                <w:sz w:val="21"/>
              </w:rPr>
              <w:t>39.42%</w:t>
            </w:r>
          </w:p>
        </w:tc>
      </w:tr>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40</w:t>
            </w:r>
            <w:r>
              <w:rPr>
                <w:rFonts w:ascii="宋体" w:hAnsi="宋体" w:cs="宋体" w:eastAsia="宋体" w:hint="default"/>
                <w:sz w:val="21"/>
                <w:szCs w:val="21"/>
              </w:rPr>
              <w:t>岁</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8" w:right="0"/>
              <w:jc w:val="left"/>
              <w:rPr>
                <w:rFonts w:ascii="Times New Roman" w:hAnsi="Times New Roman" w:cs="Times New Roman" w:eastAsia="Times New Roman" w:hint="default"/>
                <w:sz w:val="21"/>
                <w:szCs w:val="21"/>
              </w:rPr>
            </w:pPr>
            <w:r>
              <w:rPr>
                <w:rFonts w:ascii="Times New Roman"/>
                <w:sz w:val="21"/>
              </w:rPr>
              <w:t>165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0" w:right="0"/>
              <w:jc w:val="left"/>
              <w:rPr>
                <w:rFonts w:ascii="Times New Roman" w:hAnsi="Times New Roman" w:cs="Times New Roman" w:eastAsia="Times New Roman" w:hint="default"/>
                <w:sz w:val="21"/>
                <w:szCs w:val="21"/>
              </w:rPr>
            </w:pPr>
            <w:r>
              <w:rPr>
                <w:rFonts w:ascii="Times New Roman"/>
                <w:sz w:val="21"/>
              </w:rPr>
              <w:t>39.66%</w:t>
            </w:r>
          </w:p>
        </w:tc>
      </w:tr>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8" w:right="0"/>
              <w:jc w:val="left"/>
              <w:rPr>
                <w:rFonts w:ascii="Times New Roman" w:hAnsi="Times New Roman" w:cs="Times New Roman" w:eastAsia="Times New Roman" w:hint="default"/>
                <w:sz w:val="21"/>
                <w:szCs w:val="21"/>
              </w:rPr>
            </w:pPr>
            <w:r>
              <w:rPr>
                <w:rFonts w:ascii="Times New Roman"/>
                <w:sz w:val="21"/>
              </w:rPr>
              <w:t>57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left"/>
              <w:rPr>
                <w:rFonts w:ascii="Times New Roman" w:hAnsi="Times New Roman" w:cs="Times New Roman" w:eastAsia="Times New Roman" w:hint="default"/>
                <w:sz w:val="21"/>
                <w:szCs w:val="21"/>
              </w:rPr>
            </w:pPr>
            <w:r>
              <w:rPr>
                <w:rFonts w:ascii="Times New Roman"/>
                <w:sz w:val="21"/>
              </w:rPr>
              <w:t>13.70%</w:t>
            </w:r>
          </w:p>
        </w:tc>
      </w:tr>
      <w:tr>
        <w:trPr>
          <w:trHeight w:val="34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岁以上</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8" w:right="0"/>
              <w:jc w:val="left"/>
              <w:rPr>
                <w:rFonts w:ascii="Times New Roman" w:hAnsi="Times New Roman" w:cs="Times New Roman" w:eastAsia="Times New Roman" w:hint="default"/>
                <w:sz w:val="21"/>
                <w:szCs w:val="21"/>
              </w:rPr>
            </w:pPr>
            <w:r>
              <w:rPr>
                <w:rFonts w:ascii="Times New Roman"/>
                <w:sz w:val="21"/>
              </w:rPr>
              <w:t>30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10" w:right="0"/>
              <w:jc w:val="left"/>
              <w:rPr>
                <w:rFonts w:ascii="Times New Roman" w:hAnsi="Times New Roman" w:cs="Times New Roman" w:eastAsia="Times New Roman" w:hint="default"/>
                <w:sz w:val="21"/>
                <w:szCs w:val="21"/>
              </w:rPr>
            </w:pPr>
            <w:r>
              <w:rPr>
                <w:rFonts w:ascii="Times New Roman"/>
                <w:sz w:val="21"/>
              </w:rPr>
              <w:t>7.21%</w:t>
            </w:r>
          </w:p>
        </w:tc>
      </w:tr>
      <w:tr>
        <w:trPr>
          <w:trHeight w:val="34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08" w:right="0"/>
              <w:jc w:val="left"/>
              <w:rPr>
                <w:rFonts w:ascii="Times New Roman" w:hAnsi="Times New Roman" w:cs="Times New Roman" w:eastAsia="Times New Roman" w:hint="default"/>
                <w:sz w:val="21"/>
                <w:szCs w:val="21"/>
              </w:rPr>
            </w:pPr>
            <w:r>
              <w:rPr>
                <w:rFonts w:ascii="Times New Roman"/>
                <w:sz w:val="21"/>
              </w:rPr>
              <w:t>416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10" w:right="0"/>
              <w:jc w:val="left"/>
              <w:rPr>
                <w:rFonts w:ascii="Times New Roman" w:hAnsi="Times New Roman" w:cs="Times New Roman" w:eastAsia="Times New Roman" w:hint="default"/>
                <w:sz w:val="21"/>
                <w:szCs w:val="21"/>
              </w:rPr>
            </w:pPr>
            <w:r>
              <w:rPr>
                <w:rFonts w:ascii="Times New Roman"/>
                <w:sz w:val="21"/>
              </w:rPr>
              <w:t>100.00%</w:t>
            </w:r>
          </w:p>
        </w:tc>
      </w:tr>
    </w:tbl>
    <w:p>
      <w:pPr>
        <w:pStyle w:val="BodyText"/>
        <w:spacing w:line="256" w:lineRule="auto"/>
        <w:ind w:left="558" w:right="153"/>
        <w:jc w:val="left"/>
      </w:pPr>
      <w:r>
        <w:rPr>
          <w:rFonts w:ascii="Times New Roman" w:hAnsi="Times New Roman" w:cs="Times New Roman" w:eastAsia="Times New Roman" w:hint="default"/>
        </w:rPr>
        <w:t>4</w:t>
      </w:r>
      <w:r>
        <w:rPr/>
        <w:t>、员工薪酬政策</w:t>
      </w:r>
      <w:r>
        <w:rPr>
          <w:w w:val="100"/>
        </w:rPr>
        <w:t> </w:t>
      </w:r>
      <w:r>
        <w:rPr>
          <w:spacing w:val="-2"/>
        </w:rPr>
        <w:t>报告期内，公司调整员工薪酬体系，完善岗位责任制和绩效评价体系，建立有序的岗位竞争、激励、</w:t>
      </w:r>
    </w:p>
    <w:p>
      <w:pPr>
        <w:pStyle w:val="BodyText"/>
        <w:spacing w:line="266" w:lineRule="auto" w:before="22"/>
        <w:ind w:left="558" w:right="153" w:hanging="407"/>
        <w:jc w:val="left"/>
      </w:pPr>
      <w:r>
        <w:rPr/>
        <w:t>淘汰机制，增加岗位流动性，充分发挥员工的主观能动性，为员工提供职业发展的空间与平台。</w:t>
      </w:r>
      <w:r>
        <w:rPr>
          <w:w w:val="100"/>
        </w:rPr>
        <w:t> </w:t>
      </w:r>
      <w:r>
        <w:rPr>
          <w:rFonts w:ascii="Times New Roman" w:hAnsi="Times New Roman" w:cs="Times New Roman" w:eastAsia="Times New Roman" w:hint="default"/>
        </w:rPr>
        <w:t>5</w:t>
      </w:r>
      <w:r>
        <w:rPr/>
        <w:t>、建设人才培训体系</w:t>
      </w:r>
      <w:r>
        <w:rPr>
          <w:w w:val="100"/>
        </w:rPr>
        <w:t> </w:t>
      </w:r>
      <w:r>
        <w:rPr>
          <w:spacing w:val="-2"/>
        </w:rPr>
        <w:t>报告期内，公司持续建立学习型组织，帮助员工制定职业生涯规划，制订科学有效的培训制度。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right="153"/>
        <w:jc w:val="left"/>
      </w:pPr>
      <w:r>
        <w:rPr/>
        <w:t>企业薪酬成本情况</w:t>
      </w:r>
    </w:p>
    <w:p>
      <w:pPr>
        <w:spacing w:line="240" w:lineRule="auto" w:before="1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03"/>
        <w:gridCol w:w="5856"/>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3"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416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当期总体薪酬发生额（万元）</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4,028.08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总体薪酬占当期营业收入比例</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18.80%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高管人均薪酬金额（万元</w:t>
            </w:r>
            <w:r>
              <w:rPr>
                <w:rFonts w:ascii="Times New Roman" w:hAnsi="Times New Roman" w:cs="Times New Roman" w:eastAsia="Times New Roman" w:hint="default"/>
                <w:sz w:val="21"/>
                <w:szCs w:val="21"/>
              </w:rPr>
              <w:t>/</w:t>
            </w:r>
            <w:r>
              <w:rPr>
                <w:rFonts w:ascii="宋体" w:hAnsi="宋体" w:cs="宋体" w:eastAsia="宋体" w:hint="default"/>
                <w:sz w:val="21"/>
                <w:szCs w:val="21"/>
              </w:rPr>
              <w:t>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27.44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所有员工人均薪酬金额（万元</w:t>
            </w:r>
            <w:r>
              <w:rPr>
                <w:rFonts w:ascii="Times New Roman" w:hAnsi="Times New Roman" w:cs="Times New Roman" w:eastAsia="Times New Roman" w:hint="default"/>
                <w:sz w:val="21"/>
                <w:szCs w:val="21"/>
              </w:rPr>
              <w:t>/</w:t>
            </w:r>
            <w:r>
              <w:rPr>
                <w:rFonts w:ascii="宋体" w:hAnsi="宋体" w:cs="宋体" w:eastAsia="宋体" w:hint="default"/>
                <w:sz w:val="21"/>
                <w:szCs w:val="21"/>
              </w:rPr>
              <w:t>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9.68</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07"/>
        <w:jc w:val="center"/>
        <w:rPr>
          <w:b w:val="0"/>
          <w:bCs w:val="0"/>
        </w:rPr>
      </w:pPr>
      <w:bookmarkStart w:name="_TOC_250002"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03" w:firstLine="336"/>
        <w:jc w:val="both"/>
      </w:pPr>
      <w:r>
        <w:rPr/>
        <w:t>报告期内，公司严格按照《公司法》、《证券法》、《上市公司治理准则》、《深圳证券交易所创业</w:t>
      </w:r>
      <w:r>
        <w:rPr>
          <w:w w:val="100"/>
        </w:rPr>
        <w:t> </w:t>
      </w:r>
      <w:r>
        <w:rPr>
          <w:spacing w:val="-2"/>
        </w:rPr>
        <w:t>板股票上市规则》、《深圳证券交易所创业板上市公司规范运作指引》等法律、法规和中国证监会有关法</w:t>
      </w:r>
      <w:r>
        <w:rPr>
          <w:spacing w:val="-43"/>
        </w:rPr>
        <w:t> </w:t>
      </w:r>
      <w:r>
        <w:rPr>
          <w:spacing w:val="-43"/>
        </w:rPr>
      </w:r>
      <w:r>
        <w:rPr>
          <w:spacing w:val="-2"/>
        </w:rPr>
        <w:t>律法规等的要求，不断完善公司的法人治理结构，建立健全公司内部管理和控制制度，持续深入开展公司</w:t>
      </w:r>
      <w:r>
        <w:rPr>
          <w:spacing w:val="-44"/>
        </w:rPr>
        <w:t> </w:t>
      </w:r>
      <w:r>
        <w:rPr>
          <w:spacing w:val="-44"/>
        </w:rPr>
      </w:r>
      <w:r>
        <w:rPr>
          <w:spacing w:val="-3"/>
        </w:rPr>
        <w:t>治理活动，促进公司规范运作，提高公司治理水平。报告期内，公司制定或修订了《公司章程》、《股东</w:t>
      </w:r>
      <w:r>
        <w:rPr>
          <w:spacing w:val="-5"/>
        </w:rPr>
        <w:t> </w:t>
      </w:r>
      <w:r>
        <w:rPr>
          <w:spacing w:val="-5"/>
        </w:rPr>
      </w:r>
      <w:r>
        <w:rPr>
          <w:spacing w:val="-9"/>
        </w:rPr>
        <w:t>大会议事规则》、《董事会议事规则》、《对外担保管理制度》、《关联交易制度》、重大投资管理制度》、</w:t>
      </w:r>
    </w:p>
    <w:p>
      <w:pPr>
        <w:pStyle w:val="BodyText"/>
        <w:spacing w:line="273" w:lineRule="auto" w:before="7"/>
        <w:ind w:right="116"/>
        <w:jc w:val="left"/>
      </w:pPr>
      <w:r>
        <w:rPr>
          <w:spacing w:val="-2"/>
        </w:rPr>
        <w:t>《内幕信息知情人登记管理制度》、《信息披露实施细则》等规章制度，并严格按照执行。不断完善公司</w:t>
      </w:r>
      <w:r>
        <w:rPr>
          <w:spacing w:val="-42"/>
        </w:rPr>
        <w:t> </w:t>
      </w:r>
      <w:r>
        <w:rPr>
          <w:spacing w:val="-42"/>
        </w:rPr>
      </w:r>
      <w:r>
        <w:rPr>
          <w:spacing w:val="-5"/>
        </w:rPr>
        <w:t>的法人治理结构，建立健全公司内部管理和控制制度，持续深入开展公司治理活动，促进了公司规范动作，</w:t>
      </w:r>
      <w:r>
        <w:rPr>
          <w:spacing w:val="-6"/>
        </w:rPr>
        <w:t> </w:t>
      </w:r>
      <w:r>
        <w:rPr>
          <w:spacing w:val="-6"/>
        </w:rPr>
      </w:r>
      <w:r>
        <w:rPr/>
        <w:t>提高了公司治理水平。</w:t>
      </w:r>
    </w:p>
    <w:p>
      <w:pPr>
        <w:pStyle w:val="BodyText"/>
        <w:spacing w:line="273" w:lineRule="auto" w:before="7"/>
        <w:ind w:right="184" w:firstLine="420"/>
        <w:jc w:val="both"/>
      </w:pPr>
      <w:r>
        <w:rPr>
          <w:spacing w:val="-2"/>
        </w:rPr>
        <w:t>报告期内，公司定期组织投资者调研沟通活动，通过与投资者面对面的交流以及实地介绍公司研发、</w:t>
      </w:r>
      <w:r>
        <w:rPr>
          <w:w w:val="100"/>
        </w:rPr>
        <w:t> </w:t>
      </w:r>
      <w:r>
        <w:rPr>
          <w:spacing w:val="-2"/>
        </w:rPr>
        <w:t>营销以及战略发展等问题，并将实地调研记录及时的在网上予以公告，保证全体投资者平等的共享相关信</w:t>
      </w:r>
      <w:r>
        <w:rPr>
          <w:spacing w:val="-43"/>
        </w:rPr>
        <w:t> </w:t>
      </w:r>
      <w:r>
        <w:rPr>
          <w:spacing w:val="-43"/>
        </w:rPr>
      </w:r>
      <w:r>
        <w:rPr>
          <w:spacing w:val="-2"/>
        </w:rPr>
        <w:t>息。同时，开通电话专线接听投资者的电话咨询，在投资者互动平台上及时反馈回复投资者的问题，与投</w:t>
      </w:r>
      <w:r>
        <w:rPr>
          <w:spacing w:val="-47"/>
        </w:rPr>
        <w:t> </w:t>
      </w:r>
      <w:r>
        <w:rPr>
          <w:spacing w:val="-47"/>
        </w:rPr>
      </w:r>
      <w:r>
        <w:rPr/>
        <w:t>资者保持良好沟通。</w:t>
      </w:r>
    </w:p>
    <w:p>
      <w:pPr>
        <w:pStyle w:val="BodyText"/>
        <w:spacing w:line="256" w:lineRule="auto" w:before="7"/>
        <w:ind w:left="573" w:right="116"/>
        <w:jc w:val="left"/>
      </w:pPr>
      <w:r>
        <w:rPr>
          <w:rFonts w:ascii="Times New Roman" w:hAnsi="Times New Roman" w:cs="Times New Roman" w:eastAsia="Times New Roman" w:hint="default"/>
        </w:rPr>
        <w:t>1</w:t>
      </w:r>
      <w:r>
        <w:rPr/>
        <w:t>、</w:t>
      </w:r>
      <w:r>
        <w:rPr>
          <w:spacing w:val="-21"/>
        </w:rPr>
        <w:t> </w:t>
      </w:r>
      <w:r>
        <w:rPr/>
        <w:t>关于股东和股东大会</w:t>
      </w:r>
      <w:r>
        <w:rPr>
          <w:w w:val="100"/>
        </w:rPr>
        <w:t> </w:t>
      </w:r>
      <w:r>
        <w:rPr>
          <w:spacing w:val="-2"/>
        </w:rPr>
        <w:t>公司严格按照《公司法》、《公司章程》和《股东大会议事规则》等法律、法规要求，规范股东大会</w:t>
      </w:r>
    </w:p>
    <w:p>
      <w:pPr>
        <w:pStyle w:val="BodyText"/>
        <w:spacing w:line="273" w:lineRule="auto" w:before="22"/>
        <w:ind w:right="116"/>
        <w:jc w:val="left"/>
      </w:pPr>
      <w:r>
        <w:rPr>
          <w:spacing w:val="-2"/>
        </w:rPr>
        <w:t>召集、召开、表决程序，确保所有股东享有平等地位、平等权利，充分行使自己的权利，并承担相应的义</w:t>
      </w:r>
      <w:r>
        <w:rPr>
          <w:spacing w:val="-42"/>
        </w:rPr>
        <w:t> </w:t>
      </w:r>
      <w:r>
        <w:rPr>
          <w:spacing w:val="-42"/>
        </w:rPr>
      </w:r>
      <w:r>
        <w:rPr/>
        <w:t>务。报告期内，公司共召开了</w:t>
      </w:r>
      <w:r>
        <w:rPr>
          <w:rFonts w:ascii="Times New Roman" w:hAnsi="Times New Roman" w:cs="Times New Roman" w:eastAsia="Times New Roman" w:hint="default"/>
        </w:rPr>
        <w:t>1</w:t>
      </w:r>
      <w:r>
        <w:rPr/>
        <w:t>次年度股东大会，</w:t>
      </w:r>
      <w:r>
        <w:rPr>
          <w:rFonts w:ascii="Times New Roman" w:hAnsi="Times New Roman" w:cs="Times New Roman" w:eastAsia="Times New Roman" w:hint="default"/>
        </w:rPr>
        <w:t>2</w:t>
      </w:r>
      <w:r>
        <w:rPr/>
        <w:t>次临时股东大会，会议均由董事会召集、召开。</w:t>
      </w:r>
    </w:p>
    <w:p>
      <w:pPr>
        <w:pStyle w:val="BodyText"/>
        <w:spacing w:line="256" w:lineRule="auto"/>
        <w:ind w:left="573" w:right="116"/>
        <w:jc w:val="left"/>
      </w:pPr>
      <w:r>
        <w:rPr>
          <w:rFonts w:ascii="Times New Roman" w:hAnsi="Times New Roman" w:cs="Times New Roman" w:eastAsia="Times New Roman" w:hint="default"/>
        </w:rPr>
        <w:t>2</w:t>
      </w:r>
      <w:r>
        <w:rPr/>
        <w:t>、关于董事和董事会</w:t>
      </w:r>
      <w:r>
        <w:rPr>
          <w:w w:val="100"/>
        </w:rPr>
        <w:t> </w:t>
      </w:r>
      <w:r>
        <w:rPr>
          <w:spacing w:val="-2"/>
        </w:rPr>
        <w:t>报告期内，公司董事会设董事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名，董事会人数及人员构成符合法律、法规和《公</w:t>
      </w:r>
    </w:p>
    <w:p>
      <w:pPr>
        <w:pStyle w:val="BodyText"/>
        <w:spacing w:line="273" w:lineRule="auto" w:before="5"/>
        <w:ind w:right="207"/>
        <w:jc w:val="both"/>
      </w:pPr>
      <w:r>
        <w:rPr>
          <w:spacing w:val="-2"/>
        </w:rPr>
        <w:t>司章程》的要求。各位董事能够依据《深圳证券交易所创业板上市公司规范运作指引》、《公司董事会议</w:t>
      </w:r>
      <w:r>
        <w:rPr>
          <w:spacing w:val="-42"/>
        </w:rPr>
        <w:t> </w:t>
      </w:r>
      <w:r>
        <w:rPr>
          <w:spacing w:val="-42"/>
        </w:rPr>
      </w:r>
      <w:r>
        <w:rPr>
          <w:spacing w:val="-2"/>
        </w:rPr>
        <w:t>事规则》和《公司独立董事工作细则》等开展工作，诚信、勤勉地履行职责和义务，同时积极参加有关培</w:t>
      </w:r>
      <w:r>
        <w:rPr>
          <w:spacing w:val="-42"/>
        </w:rPr>
        <w:t> </w:t>
      </w:r>
      <w:r>
        <w:rPr>
          <w:spacing w:val="-42"/>
        </w:rPr>
      </w:r>
      <w:r>
        <w:rPr/>
        <w:t>训，熟悉有关法律法规。报告期内，公司共召开</w:t>
      </w:r>
      <w:r>
        <w:rPr>
          <w:rFonts w:ascii="Times New Roman" w:hAnsi="Times New Roman" w:cs="Times New Roman" w:eastAsia="Times New Roman" w:hint="default"/>
        </w:rPr>
        <w:t>5</w:t>
      </w:r>
      <w:r>
        <w:rPr/>
        <w:t>次董事会，均由董事长召集、召开。</w:t>
      </w:r>
    </w:p>
    <w:p>
      <w:pPr>
        <w:pStyle w:val="BodyText"/>
        <w:spacing w:line="256" w:lineRule="auto"/>
        <w:ind w:left="573" w:right="116"/>
        <w:jc w:val="left"/>
      </w:pPr>
      <w:r>
        <w:rPr>
          <w:rFonts w:ascii="Times New Roman" w:hAnsi="Times New Roman" w:cs="Times New Roman" w:eastAsia="Times New Roman" w:hint="default"/>
        </w:rPr>
        <w:t>3</w:t>
      </w:r>
      <w:r>
        <w:rPr/>
        <w:t>、关于监事和监事会</w:t>
      </w:r>
      <w:r>
        <w:rPr>
          <w:w w:val="100"/>
        </w:rPr>
        <w:t>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名，监事会的人数和构成符合法律、法规的要求。各位监事严</w:t>
      </w:r>
    </w:p>
    <w:p>
      <w:pPr>
        <w:pStyle w:val="BodyText"/>
        <w:spacing w:line="273" w:lineRule="auto" w:before="5"/>
        <w:ind w:right="206"/>
        <w:jc w:val="both"/>
      </w:pPr>
      <w:r>
        <w:rPr>
          <w:spacing w:val="-2"/>
        </w:rPr>
        <w:t>格按照《公司法》、《公司章程》和《监事会议事规则》的有关规定认真履行职责，对公司财务状况、重</w:t>
      </w:r>
      <w:r>
        <w:rPr>
          <w:spacing w:val="-44"/>
        </w:rPr>
        <w:t> </w:t>
      </w:r>
      <w:r>
        <w:rPr>
          <w:spacing w:val="-44"/>
        </w:rPr>
      </w:r>
      <w:r>
        <w:rPr>
          <w:spacing w:val="-2"/>
        </w:rPr>
        <w:t>大事项以及公司董事及高级管理人员履行职责的合法合规性等进行监督，维护公司及股东的合法权益。报</w:t>
      </w:r>
      <w:r>
        <w:rPr>
          <w:spacing w:val="-44"/>
        </w:rPr>
        <w:t> </w:t>
      </w:r>
      <w:r>
        <w:rPr>
          <w:spacing w:val="-44"/>
        </w:rPr>
      </w:r>
      <w:r>
        <w:rPr/>
        <w:t>告期内，公司共召开</w:t>
      </w:r>
      <w:r>
        <w:rPr>
          <w:rFonts w:ascii="Times New Roman" w:hAnsi="Times New Roman" w:cs="Times New Roman" w:eastAsia="Times New Roman" w:hint="default"/>
        </w:rPr>
        <w:t>4</w:t>
      </w:r>
      <w:r>
        <w:rPr/>
        <w:t>次监事会，会议均由监事会主席召集、召开。</w:t>
      </w:r>
    </w:p>
    <w:p>
      <w:pPr>
        <w:spacing w:line="240" w:lineRule="auto" w:before="1"/>
        <w:rPr>
          <w:rFonts w:ascii="宋体" w:hAnsi="宋体" w:cs="宋体" w:eastAsia="宋体" w:hint="default"/>
          <w:sz w:val="26"/>
          <w:szCs w:val="26"/>
        </w:rPr>
      </w:pPr>
    </w:p>
    <w:p>
      <w:pPr>
        <w:pStyle w:val="BodyText"/>
        <w:spacing w:line="240" w:lineRule="auto"/>
        <w:ind w:right="0"/>
        <w:jc w:val="both"/>
      </w:pPr>
      <w:r>
        <w:rPr/>
        <w:t>公司治理的实际状况与中国证监会发布的有关上市公司治理的规范性文件是否存在重大差异</w:t>
      </w:r>
    </w:p>
    <w:p>
      <w:pPr>
        <w:pStyle w:val="BodyText"/>
        <w:spacing w:line="290" w:lineRule="auto" w:before="75"/>
        <w:ind w:right="9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公司治理的实际状况与中国证监会发布的有关上市公司治理的规范性文件不存在重大差异。</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6" w:firstLine="420"/>
        <w:jc w:val="left"/>
      </w:pPr>
      <w:r>
        <w:rPr>
          <w:spacing w:val="-5"/>
        </w:rPr>
        <w:t>公司自成立以来，严格按照《公司法》、《证券法》等有关法律法规及《公司章程》的要求规范运作，</w:t>
      </w:r>
      <w:r>
        <w:rPr>
          <w:w w:val="100"/>
        </w:rPr>
        <w:t> </w:t>
      </w:r>
      <w:r>
        <w:rPr>
          <w:spacing w:val="-2"/>
        </w:rPr>
        <w:t>在业务、资产、人员、机构和财务等方面均独立于控股股东、实际控制人及其控制的其他企业，具有完整</w:t>
      </w:r>
      <w:r>
        <w:rPr>
          <w:spacing w:val="-43"/>
        </w:rPr>
        <w:t> </w:t>
      </w:r>
      <w:r>
        <w:rPr>
          <w:spacing w:val="-43"/>
        </w:rPr>
      </w:r>
      <w:r>
        <w:rPr/>
        <w:t>的业务体系及面向市场独立经营的能力。</w:t>
      </w:r>
    </w:p>
    <w:p>
      <w:pPr>
        <w:pStyle w:val="BodyText"/>
        <w:spacing w:line="256" w:lineRule="auto" w:before="7"/>
        <w:ind w:left="573" w:right="116"/>
        <w:jc w:val="left"/>
      </w:pPr>
      <w:r>
        <w:rPr>
          <w:rFonts w:ascii="Times New Roman" w:hAnsi="Times New Roman" w:cs="Times New Roman" w:eastAsia="Times New Roman" w:hint="default"/>
        </w:rPr>
        <w:t>1</w:t>
      </w:r>
      <w:r>
        <w:rPr/>
        <w:t>、业务独立</w:t>
      </w:r>
      <w:r>
        <w:rPr>
          <w:w w:val="100"/>
        </w:rPr>
        <w:t> </w:t>
      </w:r>
      <w:r>
        <w:rPr>
          <w:spacing w:val="-2"/>
        </w:rPr>
        <w:t>公司专业从为轮胎橡胶行业提供炼胶生产成套方案、自动化装备和信息化技术，致力于节能环保型物</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207"/>
        <w:jc w:val="both"/>
      </w:pPr>
      <w:r>
        <w:rPr>
          <w:spacing w:val="-2"/>
        </w:rPr>
        <w:t>料气力输送系统、智能型密炼机上辅机系统、智能型小粉料自动称量配料系统、生胶破碎、称量及转运系</w:t>
      </w:r>
      <w:r>
        <w:rPr>
          <w:spacing w:val="-47"/>
        </w:rPr>
        <w:t> </w:t>
      </w:r>
      <w:r>
        <w:rPr>
          <w:spacing w:val="-47"/>
        </w:rPr>
      </w:r>
      <w:r>
        <w:rPr>
          <w:spacing w:val="-2"/>
        </w:rPr>
        <w:t>统、一次法低温炼胶生产线、除尘除味环保设备、计算机信息化技术的研究、设计、制造和技术服务。公</w:t>
      </w:r>
      <w:r>
        <w:rPr>
          <w:spacing w:val="-42"/>
        </w:rPr>
        <w:t> </w:t>
      </w:r>
      <w:r>
        <w:rPr>
          <w:spacing w:val="-42"/>
        </w:rPr>
      </w:r>
      <w:r>
        <w:rPr/>
        <w:t>司拥有从事上述业务完整、独立的产、供、销系统和人员，不存在依赖股东单位及其他关联方的情况。</w:t>
      </w:r>
    </w:p>
    <w:p>
      <w:pPr>
        <w:pStyle w:val="BodyText"/>
        <w:spacing w:line="256" w:lineRule="auto" w:before="7"/>
        <w:ind w:left="573" w:right="116"/>
        <w:jc w:val="left"/>
      </w:pPr>
      <w:r>
        <w:rPr>
          <w:rFonts w:ascii="Times New Roman" w:hAnsi="Times New Roman" w:cs="Times New Roman" w:eastAsia="Times New Roman" w:hint="default"/>
        </w:rPr>
        <w:t>2</w:t>
      </w:r>
      <w:r>
        <w:rPr/>
        <w:t>、资产完整</w:t>
      </w:r>
      <w:r>
        <w:rPr>
          <w:w w:val="100"/>
        </w:rPr>
        <w:t> </w:t>
      </w:r>
      <w:r>
        <w:rPr>
          <w:spacing w:val="-2"/>
        </w:rPr>
        <w:t>公司资产与股东资产严格分开，并完全独立运营。目前公司业务和生产经营相关的全部资产权属完全</w:t>
      </w:r>
    </w:p>
    <w:p>
      <w:pPr>
        <w:pStyle w:val="BodyText"/>
        <w:spacing w:line="273" w:lineRule="auto" w:before="22"/>
        <w:ind w:right="116"/>
        <w:jc w:val="left"/>
      </w:pPr>
      <w:r>
        <w:rPr>
          <w:spacing w:val="-5"/>
        </w:rPr>
        <w:t>由公司独立享有，不存在与股东单位共用的情况。公司对所有资产拥有完全的控制和支配权，不存在资产、 </w:t>
      </w:r>
      <w:r>
        <w:rPr/>
        <w:t>资金被股东占用而损害公司利益的情况。</w:t>
      </w:r>
    </w:p>
    <w:p>
      <w:pPr>
        <w:pStyle w:val="BodyText"/>
        <w:spacing w:line="256" w:lineRule="auto" w:before="7"/>
        <w:ind w:left="573" w:right="116"/>
        <w:jc w:val="left"/>
      </w:pPr>
      <w:r>
        <w:rPr>
          <w:rFonts w:ascii="Times New Roman" w:hAnsi="Times New Roman" w:cs="Times New Roman" w:eastAsia="Times New Roman" w:hint="default"/>
        </w:rPr>
        <w:t>3</w:t>
      </w:r>
      <w:r>
        <w:rPr/>
        <w:t>、人员独立</w:t>
      </w:r>
      <w:r>
        <w:rPr>
          <w:w w:val="100"/>
        </w:rPr>
        <w:t> </w:t>
      </w:r>
      <w:r>
        <w:rPr>
          <w:spacing w:val="-2"/>
        </w:rPr>
        <w:t>公司的研发、采购、生产、销售、行政管理和财务人员均完全独立于股东，公司所有员工均与公司签</w:t>
      </w:r>
    </w:p>
    <w:p>
      <w:pPr>
        <w:pStyle w:val="BodyText"/>
        <w:spacing w:line="273" w:lineRule="auto" w:before="22"/>
        <w:ind w:right="206"/>
        <w:jc w:val="both"/>
      </w:pPr>
      <w:r>
        <w:rPr>
          <w:spacing w:val="-2"/>
        </w:rPr>
        <w:t>订了劳动合同。公司根据工资管理制度按月发放员工工资，并代扣代缴个人所得税。公司总经理、副总经</w:t>
      </w:r>
      <w:r>
        <w:rPr>
          <w:spacing w:val="-47"/>
        </w:rPr>
        <w:t> </w:t>
      </w:r>
      <w:r>
        <w:rPr>
          <w:spacing w:val="-47"/>
        </w:rPr>
      </w:r>
      <w:r>
        <w:rPr>
          <w:spacing w:val="-2"/>
        </w:rPr>
        <w:t>理、财务总监、销售总监、董事会秘书均专职在公司工作并领取薪酬，均未在控股股东、实际控制人及其</w:t>
      </w:r>
      <w:r>
        <w:rPr>
          <w:spacing w:val="-43"/>
        </w:rPr>
        <w:t> </w:t>
      </w:r>
      <w:r>
        <w:rPr>
          <w:spacing w:val="-43"/>
        </w:rPr>
      </w:r>
      <w:r>
        <w:rPr>
          <w:spacing w:val="-2"/>
        </w:rPr>
        <w:t>控制的其他企业中担任除董事、监事以外的其他职务；公司的财务人员不存在在控股股东、实际控制人及</w:t>
      </w:r>
      <w:r>
        <w:rPr>
          <w:spacing w:val="-44"/>
        </w:rPr>
        <w:t> </w:t>
      </w:r>
      <w:r>
        <w:rPr>
          <w:spacing w:val="-44"/>
        </w:rPr>
      </w:r>
      <w:r>
        <w:rPr/>
        <w:t>其控制的其他企业中兼职的情况。</w:t>
      </w:r>
    </w:p>
    <w:p>
      <w:pPr>
        <w:pStyle w:val="BodyText"/>
        <w:spacing w:line="256" w:lineRule="auto" w:before="8"/>
        <w:ind w:left="573" w:right="116"/>
        <w:jc w:val="left"/>
      </w:pPr>
      <w:r>
        <w:rPr>
          <w:rFonts w:ascii="Times New Roman" w:hAnsi="Times New Roman" w:cs="Times New Roman" w:eastAsia="Times New Roman" w:hint="default"/>
        </w:rPr>
        <w:t>4</w:t>
      </w:r>
      <w:r>
        <w:rPr/>
        <w:t>、财务独立</w:t>
      </w:r>
      <w:r>
        <w:rPr>
          <w:w w:val="100"/>
        </w:rPr>
        <w:t> </w:t>
      </w:r>
      <w:r>
        <w:rPr>
          <w:spacing w:val="-2"/>
        </w:rPr>
        <w:t>公司设有独立的财务部门，有独立的财务核算体系，具有独立、规范的财务会计制度和对分公司、子</w:t>
      </w:r>
    </w:p>
    <w:p>
      <w:pPr>
        <w:pStyle w:val="BodyText"/>
        <w:spacing w:line="273" w:lineRule="auto" w:before="22"/>
        <w:ind w:right="209"/>
        <w:jc w:val="both"/>
      </w:pPr>
      <w:r>
        <w:rPr>
          <w:spacing w:val="-2"/>
        </w:rPr>
        <w:t>公司的财务管理制度。公司开设有独立的银行账户，作为独立的纳税人，依法独立纳税。公司不存在为股</w:t>
      </w:r>
      <w:r>
        <w:rPr>
          <w:spacing w:val="-47"/>
        </w:rPr>
        <w:t> </w:t>
      </w:r>
      <w:r>
        <w:rPr>
          <w:spacing w:val="-47"/>
        </w:rPr>
      </w:r>
      <w:r>
        <w:rPr/>
        <w:t>东提供担保，也不存在资产、资金被股东占用或其它损害公司利益的情况。</w:t>
      </w:r>
    </w:p>
    <w:p>
      <w:pPr>
        <w:pStyle w:val="BodyText"/>
        <w:spacing w:line="256" w:lineRule="auto" w:before="7"/>
        <w:ind w:left="573" w:right="116"/>
        <w:jc w:val="left"/>
      </w:pPr>
      <w:r>
        <w:rPr>
          <w:rFonts w:ascii="Times New Roman" w:hAnsi="Times New Roman" w:cs="Times New Roman" w:eastAsia="Times New Roman" w:hint="default"/>
        </w:rPr>
        <w:t>5</w:t>
      </w:r>
      <w:r>
        <w:rPr/>
        <w:t>、机构独立</w:t>
      </w:r>
      <w:r>
        <w:rPr>
          <w:w w:val="100"/>
        </w:rPr>
        <w:t> </w:t>
      </w:r>
      <w:r>
        <w:rPr>
          <w:spacing w:val="-2"/>
        </w:rPr>
        <w:t>公司拥有独立的生产经营和办公场所，与控股股东、实际控制人及其控制的其他企业间不存在混合经</w:t>
      </w:r>
    </w:p>
    <w:p>
      <w:pPr>
        <w:pStyle w:val="BodyText"/>
        <w:spacing w:line="273" w:lineRule="auto" w:before="22"/>
        <w:ind w:right="185"/>
        <w:jc w:val="both"/>
      </w:pPr>
      <w:r>
        <w:rPr>
          <w:spacing w:val="-2"/>
        </w:rPr>
        <w:t>营的情形。公司依法设置股东大会作为最高权力机构、设置董事会为决策机构、设置监事会为监督机构，</w:t>
      </w:r>
      <w:r>
        <w:rPr>
          <w:spacing w:val="-21"/>
        </w:rPr>
        <w:t> </w:t>
      </w:r>
      <w:r>
        <w:rPr>
          <w:spacing w:val="-21"/>
        </w:rPr>
      </w:r>
      <w:r>
        <w:rPr>
          <w:spacing w:val="-2"/>
        </w:rPr>
        <w:t>并设有研发、采购、生产、质量、销售、企划、信息部等业务部门及财务部、行政人事部等管理部门。各</w:t>
      </w:r>
      <w:r>
        <w:rPr>
          <w:spacing w:val="-49"/>
        </w:rPr>
        <w:t> </w:t>
      </w:r>
      <w:r>
        <w:rPr>
          <w:spacing w:val="-49"/>
        </w:rPr>
      </w:r>
      <w:r>
        <w:rPr/>
        <w:t>职能部门分工协作，形成有机的独立运营主体。控股股东根据公司章程行使股东权利；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ind w:right="0"/>
        <w:jc w:val="both"/>
        <w:rPr>
          <w:b w:val="0"/>
          <w:bCs w:val="0"/>
        </w:rPr>
      </w:pPr>
      <w:r>
        <w:rPr/>
        <w:t>三、同业竞争情况</w:t>
      </w:r>
      <w:r>
        <w:rPr>
          <w:b w:val="0"/>
          <w:bCs w:val="0"/>
        </w:rPr>
      </w:r>
    </w:p>
    <w:p>
      <w:pPr>
        <w:spacing w:line="240" w:lineRule="auto" w:before="12"/>
        <w:rPr>
          <w:rFonts w:ascii="宋体" w:hAnsi="宋体" w:cs="宋体" w:eastAsia="宋体" w:hint="default"/>
          <w:b/>
          <w:bCs/>
          <w:sz w:val="24"/>
          <w:szCs w:val="24"/>
        </w:rPr>
      </w:pPr>
    </w:p>
    <w:p>
      <w:pPr>
        <w:spacing w:line="484" w:lineRule="auto" w:before="0"/>
        <w:ind w:left="152" w:right="33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0"/>
              <w:jc w:val="right"/>
              <w:rPr>
                <w:rFonts w:ascii="宋体" w:hAnsi="宋体" w:cs="宋体" w:eastAsia="宋体" w:hint="default"/>
                <w:sz w:val="21"/>
                <w:szCs w:val="21"/>
              </w:rPr>
            </w:pPr>
            <w:r>
              <w:rPr>
                <w:rFonts w:ascii="宋体" w:hAnsi="宋体" w:cs="宋体" w:eastAsia="宋体" w:hint="default"/>
                <w:spacing w:val="-1"/>
                <w:sz w:val="21"/>
                <w:szCs w:val="21"/>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4"/>
              <w:jc w:val="left"/>
              <w:rPr>
                <w:rFonts w:ascii="宋体" w:hAnsi="宋体" w:cs="宋体" w:eastAsia="宋体" w:hint="default"/>
                <w:sz w:val="21"/>
                <w:szCs w:val="21"/>
              </w:rPr>
            </w:pPr>
            <w:r>
              <w:rPr>
                <w:rFonts w:ascii="宋体" w:hAnsi="宋体" w:cs="宋体" w:eastAsia="宋体" w:hint="default"/>
                <w:sz w:val="21"/>
                <w:szCs w:val="21"/>
              </w:rPr>
              <w:t>发行前未公开披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露</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84"/>
              <w:jc w:val="left"/>
              <w:rPr>
                <w:rFonts w:ascii="宋体" w:hAnsi="宋体" w:cs="宋体" w:eastAsia="宋体" w:hint="default"/>
                <w:sz w:val="21"/>
                <w:szCs w:val="21"/>
              </w:rPr>
            </w:pPr>
            <w:r>
              <w:rPr>
                <w:rFonts w:ascii="宋体" w:hAnsi="宋体" w:cs="宋体" w:eastAsia="宋体" w:hint="default"/>
                <w:sz w:val="21"/>
                <w:szCs w:val="21"/>
              </w:rPr>
              <w:t>发行前未公开披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露</w:t>
            </w:r>
          </w:p>
        </w:tc>
      </w:tr>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8"/>
                <w:szCs w:val="28"/>
              </w:rPr>
            </w:pPr>
          </w:p>
          <w:p>
            <w:pPr>
              <w:pStyle w:val="TableParagraph"/>
              <w:spacing w:line="256" w:lineRule="auto"/>
              <w:ind w:left="24"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both"/>
              <w:rPr>
                <w:rFonts w:ascii="宋体" w:hAnsi="宋体" w:cs="宋体" w:eastAsia="宋体" w:hint="default"/>
                <w:sz w:val="21"/>
                <w:szCs w:val="21"/>
              </w:rPr>
            </w:pPr>
            <w:r>
              <w:rPr>
                <w:rFonts w:ascii="宋体" w:hAnsi="宋体" w:cs="宋体" w:eastAsia="宋体" w:hint="default"/>
                <w:sz w:val="21"/>
                <w:szCs w:val="21"/>
              </w:rPr>
              <w:t>公告编号：临</w:t>
            </w:r>
          </w:p>
          <w:p>
            <w:pPr>
              <w:pStyle w:val="TableParagraph"/>
              <w:spacing w:line="240" w:lineRule="auto" w:before="37"/>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-2015-023</w:t>
            </w:r>
            <w:r>
              <w:rPr>
                <w:rFonts w:ascii="宋体" w:hAnsi="宋体" w:cs="宋体" w:eastAsia="宋体" w:hint="default"/>
                <w:sz w:val="21"/>
                <w:szCs w:val="21"/>
              </w:rPr>
              <w:t>；公告</w:t>
            </w:r>
          </w:p>
          <w:p>
            <w:pPr>
              <w:pStyle w:val="TableParagraph"/>
              <w:spacing w:line="266" w:lineRule="auto" w:before="21"/>
              <w:ind w:left="23" w:right="17"/>
              <w:jc w:val="both"/>
              <w:rPr>
                <w:rFonts w:ascii="宋体" w:hAnsi="宋体" w:cs="宋体" w:eastAsia="宋体" w:hint="default"/>
                <w:sz w:val="21"/>
                <w:szCs w:val="21"/>
              </w:rPr>
            </w:pPr>
            <w:r>
              <w:rPr>
                <w:rFonts w:ascii="宋体" w:hAnsi="宋体" w:cs="宋体" w:eastAsia="宋体" w:hint="default"/>
                <w:spacing w:val="-25"/>
                <w:w w:val="100"/>
                <w:sz w:val="21"/>
                <w:szCs w:val="21"/>
              </w:rPr>
              <w:t>名称：《</w:t>
            </w:r>
            <w:r>
              <w:rPr>
                <w:rFonts w:ascii="Times New Roman" w:hAnsi="Times New Roman" w:cs="Times New Roman" w:eastAsia="Times New Roman" w:hint="default"/>
                <w:spacing w:val="-25"/>
                <w:w w:val="100"/>
                <w:sz w:val="21"/>
                <w:szCs w:val="21"/>
              </w:rPr>
              <w:t>2015</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年第 </w:t>
            </w:r>
            <w:r>
              <w:rPr>
                <w:rFonts w:ascii="宋体" w:hAnsi="宋体" w:cs="宋体" w:eastAsia="宋体" w:hint="default"/>
                <w:sz w:val="21"/>
                <w:szCs w:val="21"/>
              </w:rPr>
              <w:t>二次临时股东大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9"/>
                <w:w w:val="100"/>
                <w:sz w:val="21"/>
                <w:szCs w:val="21"/>
              </w:rPr>
              <w:t>会决议公告》；披</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露网站：巨潮资</w:t>
            </w:r>
          </w:p>
        </w:tc>
      </w:tr>
    </w:tbl>
    <w:p>
      <w:pPr>
        <w:spacing w:after="0" w:line="266" w:lineRule="auto"/>
        <w:jc w:val="both"/>
        <w:rPr>
          <w:rFonts w:ascii="宋体" w:hAnsi="宋体" w:cs="宋体" w:eastAsia="宋体" w:hint="default"/>
          <w:sz w:val="21"/>
          <w:szCs w:val="21"/>
        </w:rPr>
        <w:sectPr>
          <w:pgSz w:w="11910" w:h="16840"/>
          <w:pgMar w:header="745" w:footer="980" w:top="1060" w:bottom="1160" w:left="980" w:right="92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讯网；</w:t>
            </w:r>
          </w:p>
        </w:tc>
      </w:tr>
    </w:tbl>
    <w:p>
      <w:pPr>
        <w:pStyle w:val="BodyText"/>
        <w:spacing w:line="240" w:lineRule="auto" w:before="28"/>
        <w:ind w:right="153"/>
        <w:jc w:val="left"/>
      </w:pPr>
      <w:r>
        <w:rPr/>
        <w:t>机构投资者情况</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3" w:right="0"/>
              <w:jc w:val="left"/>
              <w:rPr>
                <w:rFonts w:ascii="宋体" w:hAnsi="宋体" w:cs="宋体" w:eastAsia="宋体" w:hint="default"/>
                <w:sz w:val="21"/>
                <w:szCs w:val="21"/>
              </w:rPr>
            </w:pPr>
            <w:r>
              <w:rPr>
                <w:rFonts w:ascii="宋体" w:hAnsi="宋体" w:cs="宋体" w:eastAsia="宋体" w:hint="default"/>
                <w:sz w:val="21"/>
                <w:szCs w:val="21"/>
              </w:rPr>
              <w:t>机构投资者名称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出任董事人数</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1" w:right="0"/>
              <w:jc w:val="left"/>
              <w:rPr>
                <w:rFonts w:ascii="宋体" w:hAnsi="宋体" w:cs="宋体" w:eastAsia="宋体" w:hint="default"/>
                <w:sz w:val="21"/>
                <w:szCs w:val="21"/>
              </w:rPr>
            </w:pPr>
            <w:r>
              <w:rPr>
                <w:rFonts w:ascii="宋体" w:hAnsi="宋体" w:cs="宋体" w:eastAsia="宋体" w:hint="default"/>
                <w:sz w:val="21"/>
                <w:szCs w:val="21"/>
              </w:rPr>
              <w:t>股东大会参与次数</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0"/>
        <w:rPr>
          <w:rFonts w:ascii="宋体" w:hAnsi="宋体" w:cs="宋体" w:eastAsia="宋体" w:hint="default"/>
          <w:b/>
          <w:bCs/>
          <w:sz w:val="24"/>
          <w:szCs w:val="24"/>
        </w:rPr>
      </w:pPr>
    </w:p>
    <w:p>
      <w:pPr>
        <w:spacing w:line="484" w:lineRule="auto" w:before="0"/>
        <w:ind w:left="152" w:right="567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1027"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6" w:right="22"/>
              <w:jc w:val="left"/>
              <w:rPr>
                <w:rFonts w:ascii="宋体" w:hAnsi="宋体" w:cs="宋体" w:eastAsia="宋体" w:hint="default"/>
                <w:sz w:val="21"/>
                <w:szCs w:val="21"/>
              </w:rPr>
            </w:pPr>
            <w:r>
              <w:rPr>
                <w:rFonts w:ascii="宋体" w:hAnsi="宋体" w:cs="宋体" w:eastAsia="宋体" w:hint="default"/>
                <w:sz w:val="21"/>
                <w:szCs w:val="21"/>
              </w:rPr>
              <w:t>本报告期应参</w:t>
            </w:r>
            <w:r>
              <w:rPr>
                <w:rFonts w:ascii="宋体" w:hAnsi="宋体" w:cs="宋体" w:eastAsia="宋体" w:hint="default"/>
                <w:w w:val="100"/>
                <w:sz w:val="21"/>
                <w:szCs w:val="21"/>
              </w:rPr>
              <w:t> </w:t>
            </w:r>
            <w:r>
              <w:rPr>
                <w:rFonts w:ascii="宋体" w:hAnsi="宋体" w:cs="宋体" w:eastAsia="宋体" w:hint="default"/>
                <w:sz w:val="21"/>
                <w:szCs w:val="21"/>
              </w:rPr>
              <w:t>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1"/>
                <w:sz w:val="21"/>
                <w:szCs w:val="21"/>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340" w:right="24" w:hanging="315"/>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1"/>
                <w:sz w:val="21"/>
                <w:szCs w:val="21"/>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4"/>
              <w:jc w:val="center"/>
              <w:rPr>
                <w:rFonts w:ascii="宋体" w:hAnsi="宋体" w:cs="宋体" w:eastAsia="宋体" w:hint="default"/>
                <w:sz w:val="21"/>
                <w:szCs w:val="21"/>
              </w:rPr>
            </w:pPr>
            <w:r>
              <w:rPr>
                <w:rFonts w:ascii="宋体" w:hAnsi="宋体" w:cs="宋体" w:eastAsia="宋体" w:hint="default"/>
                <w:spacing w:val="-1"/>
                <w:sz w:val="21"/>
                <w:szCs w:val="21"/>
              </w:rPr>
              <w:t>是否连续两次</w:t>
            </w:r>
            <w:r>
              <w:rPr>
                <w:rFonts w:ascii="宋体" w:hAnsi="宋体" w:cs="宋体" w:eastAsia="宋体" w:hint="default"/>
                <w:w w:val="100"/>
                <w:sz w:val="21"/>
                <w:szCs w:val="21"/>
              </w:rPr>
              <w:t> </w:t>
            </w:r>
            <w:r>
              <w:rPr>
                <w:rFonts w:ascii="宋体" w:hAnsi="宋体" w:cs="宋体" w:eastAsia="宋体" w:hint="default"/>
                <w:spacing w:val="-1"/>
                <w:sz w:val="21"/>
                <w:szCs w:val="21"/>
              </w:rPr>
              <w:t>未亲自参加会</w:t>
            </w:r>
            <w:r>
              <w:rPr>
                <w:rFonts w:ascii="宋体" w:hAnsi="宋体" w:cs="宋体" w:eastAsia="宋体" w:hint="default"/>
                <w:w w:val="100"/>
                <w:sz w:val="21"/>
                <w:szCs w:val="21"/>
              </w:rPr>
              <w:t> </w:t>
            </w:r>
            <w:r>
              <w:rPr>
                <w:rFonts w:ascii="宋体" w:hAnsi="宋体" w:cs="宋体" w:eastAsia="宋体" w:hint="default"/>
                <w:sz w:val="21"/>
                <w:szCs w:val="21"/>
              </w:rPr>
              <w:t>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叶蜀君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许春华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陈业进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3</w:t>
            </w:r>
          </w:p>
        </w:tc>
      </w:tr>
    </w:tbl>
    <w:p>
      <w:pPr>
        <w:pStyle w:val="BodyText"/>
        <w:spacing w:line="240" w:lineRule="auto" w:before="28"/>
        <w:ind w:right="153"/>
        <w:jc w:val="left"/>
      </w:pPr>
      <w:r>
        <w:rPr/>
        <w:t>连续两次未亲自出席董事会的说明</w:t>
      </w:r>
    </w:p>
    <w:p>
      <w:pPr>
        <w:spacing w:line="600" w:lineRule="atLeast" w:before="25"/>
        <w:ind w:left="152" w:right="4525"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、独立董事对公司有关事项提出异议的情况</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独立董事对公司有关事项是否提出异议</w:t>
      </w:r>
    </w:p>
    <w:p>
      <w:pPr>
        <w:pStyle w:val="BodyText"/>
        <w:spacing w:line="290" w:lineRule="auto" w:before="78"/>
        <w:ind w:right="452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报告期内独立董事对公司有关事项未提出异议。</w:t>
      </w:r>
    </w:p>
    <w:p>
      <w:pPr>
        <w:spacing w:line="614" w:lineRule="exact" w:before="47"/>
        <w:ind w:left="152" w:right="45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w w:val="100"/>
          <w:sz w:val="21"/>
          <w:szCs w:val="21"/>
        </w:rPr>
        <w:t> </w:t>
      </w:r>
      <w:r>
        <w:rPr>
          <w:rFonts w:ascii="宋体" w:hAnsi="宋体" w:cs="宋体" w:eastAsia="宋体" w:hint="default"/>
          <w:spacing w:val="-2"/>
          <w:sz w:val="21"/>
          <w:szCs w:val="21"/>
        </w:rPr>
        <w:t>独立董事对公司有关建议是否被采纳</w:t>
      </w:r>
    </w:p>
    <w:p>
      <w:pPr>
        <w:pStyle w:val="BodyText"/>
        <w:spacing w:line="275" w:lineRule="exact"/>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307" w:lineRule="auto" w:before="59"/>
        <w:ind w:right="153"/>
        <w:jc w:val="left"/>
      </w:pPr>
      <w:r>
        <w:rPr/>
        <w:t>独立董事对公司有关建议被采纳或未被采纳的说明</w:t>
      </w:r>
      <w:r>
        <w:rPr>
          <w:w w:val="100"/>
        </w:rPr>
        <w:t> </w:t>
      </w:r>
      <w:r>
        <w:rPr/>
        <w:t>报告期内，独立董事对公司提出的各项合理建议均被采纳。</w:t>
      </w:r>
    </w:p>
    <w:p>
      <w:pPr>
        <w:spacing w:line="240" w:lineRule="auto" w:before="5"/>
        <w:rPr>
          <w:rFonts w:ascii="宋体" w:hAnsi="宋体" w:cs="宋体" w:eastAsia="宋体" w:hint="default"/>
          <w:sz w:val="19"/>
          <w:szCs w:val="19"/>
        </w:rPr>
      </w:pPr>
    </w:p>
    <w:p>
      <w:pPr>
        <w:pStyle w:val="Heading2"/>
        <w:spacing w:line="240" w:lineRule="auto"/>
        <w:ind w:right="153"/>
        <w:jc w:val="left"/>
        <w:rPr>
          <w:b w:val="0"/>
          <w:bCs w:val="0"/>
        </w:rPr>
      </w:pPr>
      <w:r>
        <w:rPr/>
        <w:t>六、董事会下设专门委员会在报告期内履行职责情况</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right="153"/>
        <w:jc w:val="left"/>
      </w:pPr>
      <w:r>
        <w:rPr>
          <w:spacing w:val="-2"/>
        </w:rPr>
        <w:t>审计委员会：报告期内共召开</w:t>
      </w:r>
      <w:r>
        <w:rPr>
          <w:rFonts w:ascii="Times New Roman" w:hAnsi="Times New Roman" w:cs="Times New Roman" w:eastAsia="Times New Roman" w:hint="default"/>
          <w:spacing w:val="-2"/>
        </w:rPr>
        <w:t>3</w:t>
      </w:r>
      <w:r>
        <w:rPr>
          <w:spacing w:val="-2"/>
        </w:rPr>
        <w:t>次会议，分别审议了</w:t>
      </w:r>
      <w:r>
        <w:rPr>
          <w:rFonts w:ascii="Times New Roman" w:hAnsi="Times New Roman" w:cs="Times New Roman" w:eastAsia="Times New Roman" w:hint="default"/>
          <w:spacing w:val="-2"/>
        </w:rPr>
        <w:t>2014</w:t>
      </w:r>
      <w:r>
        <w:rPr>
          <w:spacing w:val="-2"/>
        </w:rPr>
        <w:t>年年度财务报告、</w:t>
      </w:r>
      <w:r>
        <w:rPr>
          <w:rFonts w:ascii="Times New Roman" w:hAnsi="Times New Roman" w:cs="Times New Roman" w:eastAsia="Times New Roman" w:hint="default"/>
          <w:spacing w:val="-2"/>
        </w:rPr>
        <w:t>2015</w:t>
      </w:r>
      <w:r>
        <w:rPr>
          <w:spacing w:val="-2"/>
        </w:rPr>
        <w:t>年半年度财务报告、</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年第三季度财务报告、</w:t>
      </w:r>
      <w:r>
        <w:rPr>
          <w:rFonts w:ascii="Times New Roman" w:hAnsi="Times New Roman" w:cs="Times New Roman" w:eastAsia="Times New Roman" w:hint="default"/>
        </w:rPr>
        <w:t>2015</w:t>
      </w:r>
      <w:r>
        <w:rPr/>
        <w:t>年第三季度募集资金专项审计报告等议案，并形成决议。</w:t>
      </w:r>
    </w:p>
    <w:p>
      <w:pPr>
        <w:spacing w:after="0" w:line="256"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七、监事会工作情况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t>监事会在报告期内的监督活动是否发现公司存在风险</w:t>
      </w:r>
    </w:p>
    <w:p>
      <w:pPr>
        <w:pStyle w:val="BodyText"/>
        <w:spacing w:line="290" w:lineRule="auto" w:before="75"/>
        <w:ind w:right="49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公司监事会对报告期内的监督事项无异议。</w:t>
      </w:r>
    </w:p>
    <w:p>
      <w:pPr>
        <w:spacing w:line="240" w:lineRule="auto" w:before="6"/>
        <w:rPr>
          <w:rFonts w:ascii="宋体" w:hAnsi="宋体" w:cs="宋体" w:eastAsia="宋体" w:hint="default"/>
          <w:sz w:val="20"/>
          <w:szCs w:val="20"/>
        </w:rPr>
      </w:pPr>
    </w:p>
    <w:p>
      <w:pPr>
        <w:pStyle w:val="Heading2"/>
        <w:spacing w:line="240" w:lineRule="auto"/>
        <w:ind w:right="153"/>
        <w:jc w:val="left"/>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27" w:firstLine="420"/>
        <w:jc w:val="both"/>
      </w:pPr>
      <w:r>
        <w:rPr>
          <w:spacing w:val="-2"/>
        </w:rPr>
        <w:t>公司根据管理制度，建立了高级管理人员的薪酬与公司业绩挂钩的绩效考核与激励约束机制，公司高</w:t>
      </w:r>
      <w:r>
        <w:rPr>
          <w:w w:val="100"/>
        </w:rPr>
        <w:t> </w:t>
      </w:r>
      <w:r>
        <w:rPr>
          <w:spacing w:val="-2"/>
        </w:rPr>
        <w:t>级管理人员实行基本年薪和年终绩效考核相结合的薪酬制度。根据公司年度经营目标完成情况以及高级管</w:t>
      </w:r>
      <w:r>
        <w:rPr>
          <w:spacing w:val="-43"/>
        </w:rPr>
        <w:t> </w:t>
      </w:r>
      <w:r>
        <w:rPr>
          <w:spacing w:val="-43"/>
        </w:rPr>
      </w:r>
      <w:r>
        <w:rPr>
          <w:spacing w:val="-2"/>
        </w:rPr>
        <w:t>理人员的工作业绩，对高级管理人员进行年度绩效考核，并监督薪酬制度执行情况。公司则根据绩效考核</w:t>
      </w:r>
      <w:r>
        <w:rPr>
          <w:spacing w:val="-43"/>
        </w:rPr>
        <w:t> </w:t>
      </w:r>
      <w:r>
        <w:rPr>
          <w:spacing w:val="-43"/>
        </w:rPr>
      </w:r>
      <w:r>
        <w:rPr>
          <w:spacing w:val="-2"/>
        </w:rPr>
        <w:t>结果兑现其绩效年薪，并进行奖惩。</w:t>
      </w:r>
      <w:r>
        <w:rPr>
          <w:rFonts w:ascii="Times New Roman" w:hAnsi="Times New Roman" w:cs="Times New Roman" w:eastAsia="Times New Roman" w:hint="default"/>
          <w:spacing w:val="-2"/>
        </w:rPr>
        <w:t>2015</w:t>
      </w:r>
      <w:r>
        <w:rPr>
          <w:spacing w:val="-2"/>
        </w:rPr>
        <w:t>年度公司高级管理人员薪酬方案严格执行了公司薪酬管理制度。</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ind w:right="15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pStyle w:val="BodyText"/>
        <w:spacing w:line="262" w:lineRule="exact"/>
        <w:ind w:left="0" w:right="139"/>
        <w:jc w:val="right"/>
      </w:pPr>
      <w:r>
        <w:rPr/>
        <w:pict>
          <v:shape style="position:absolute;margin-left:365.576721pt;margin-top:-15.6pt;width:168.2pt;height:15.6pt;mso-position-horizontal-relative:page;mso-position-vertical-relative:paragraph;z-index:-700792" type="#_x0000_t202" filled="false" stroked="false">
            <v:textbox inset="0,0,0,0">
              <w:txbxContent>
                <w:p>
                  <w:pPr>
                    <w:pStyle w:val="BodyText"/>
                    <w:spacing w:line="262" w:lineRule="exact"/>
                    <w:ind w:left="0" w:right="0"/>
                    <w:jc w:val="left"/>
                  </w:pPr>
                  <w:r>
                    <w:rPr/>
                    <w:t>陷：</w:t>
                  </w:r>
                </w:p>
              </w:txbxContent>
            </v:textbox>
            <w10:wrap type="none"/>
          </v:shape>
        </w:pict>
      </w:r>
      <w:r>
        <w:rPr/>
        <w:pict>
          <v:shape style="position:absolute;margin-left:55.799999pt;margin-top:-201.140015pt;width:479.9pt;height:342.0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35"/>
                    <w:gridCol w:w="3040"/>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9" w:space="0" w:color="D2D2D2"/>
                          <w:right w:val="single" w:sz="4" w:space="0" w:color="000000"/>
                        </w:tcBorders>
                      </w:tcPr>
                      <w:p>
                        <w:pPr>
                          <w:pStyle w:val="TableParagraph"/>
                          <w:spacing w:line="256" w:lineRule="auto" w:before="28"/>
                          <w:ind w:left="18" w:right="36"/>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日在巨潮资讯网刊登的《</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年度内部</w:t>
                        </w:r>
                        <w:r>
                          <w:rPr>
                            <w:rFonts w:ascii="宋体" w:hAnsi="宋体" w:cs="宋体" w:eastAsia="宋体" w:hint="default"/>
                            <w:w w:val="100"/>
                            <w:sz w:val="21"/>
                            <w:szCs w:val="21"/>
                          </w:rPr>
                          <w:t> </w:t>
                        </w:r>
                        <w:r>
                          <w:rPr>
                            <w:rFonts w:ascii="宋体" w:hAnsi="宋体" w:cs="宋体" w:eastAsia="宋体" w:hint="default"/>
                            <w:sz w:val="21"/>
                            <w:szCs w:val="21"/>
                          </w:rPr>
                          <w:t>控制自我评价报告》</w:t>
                        </w:r>
                      </w:p>
                    </w:tc>
                  </w:tr>
                  <w:tr>
                    <w:trPr>
                      <w:trHeight w:val="391" w:hRule="exact"/>
                    </w:trPr>
                    <w:tc>
                      <w:tcPr>
                        <w:tcW w:w="3195" w:type="dxa"/>
                        <w:tcBorders>
                          <w:top w:val="nil" w:sz="6" w:space="0" w:color="auto"/>
                          <w:left w:val="single" w:sz="13" w:space="0" w:color="D2D2D2"/>
                          <w:bottom w:val="nil" w:sz="6" w:space="0" w:color="auto"/>
                          <w:right w:val="single" w:sz="9" w:space="0" w:color="D2D2D2"/>
                        </w:tcBorders>
                      </w:tcPr>
                      <w:p>
                        <w:pPr>
                          <w:pStyle w:val="TableParagraph"/>
                          <w:tabs>
                            <w:tab w:pos="3152" w:val="left" w:leader="none"/>
                          </w:tabs>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D2D2D2" w:color="auto" w:val="clear"/>
                          </w:rPr>
                          <w:t> </w:t>
                        </w:r>
                        <w:r>
                          <w:rPr>
                            <w:rFonts w:ascii="宋体" w:hAnsi="宋体" w:cs="宋体" w:eastAsia="宋体" w:hint="default"/>
                            <w:sz w:val="21"/>
                            <w:szCs w:val="21"/>
                            <w:shd w:fill="D2D2D2" w:color="auto" w:val="clear"/>
                          </w:rPr>
                          <w:t>内部控制评价报告全文披露索引</w:t>
                          <w:tab/>
                        </w:r>
                        <w:r>
                          <w:rPr>
                            <w:rFonts w:ascii="宋体" w:hAnsi="宋体" w:cs="宋体" w:eastAsia="宋体" w:hint="default"/>
                            <w:sz w:val="21"/>
                            <w:szCs w:val="21"/>
                          </w:rPr>
                        </w:r>
                      </w:p>
                    </w:tc>
                    <w:tc>
                      <w:tcPr>
                        <w:tcW w:w="6375"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9" w:space="0" w:color="D2D2D2"/>
                          <w:bottom w:val="single" w:sz="4" w:space="0" w:color="000000"/>
                          <w:right w:val="single" w:sz="4" w:space="0" w:color="000000"/>
                        </w:tcBorders>
                      </w:tcPr>
                      <w:p>
                        <w:pPr/>
                      </w:p>
                    </w:tc>
                  </w:tr>
                  <w:tr>
                    <w:trPr>
                      <w:trHeight w:val="71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4"/>
                          <w:jc w:val="left"/>
                          <w:rPr>
                            <w:rFonts w:ascii="宋体" w:hAnsi="宋体" w:cs="宋体" w:eastAsia="宋体" w:hint="default"/>
                            <w:sz w:val="21"/>
                            <w:szCs w:val="21"/>
                          </w:rPr>
                        </w:pPr>
                        <w:r>
                          <w:rPr>
                            <w:rFonts w:ascii="宋体" w:hAnsi="宋体" w:cs="宋体" w:eastAsia="宋体" w:hint="default"/>
                            <w:spacing w:val="-2"/>
                            <w:sz w:val="21"/>
                            <w:szCs w:val="21"/>
                          </w:rPr>
                          <w:t>纳入评价范围单位资产总额占公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214"/>
                          <w:jc w:val="left"/>
                          <w:rPr>
                            <w:rFonts w:ascii="宋体" w:hAnsi="宋体" w:cs="宋体" w:eastAsia="宋体" w:hint="default"/>
                            <w:sz w:val="21"/>
                            <w:szCs w:val="21"/>
                          </w:rPr>
                        </w:pPr>
                        <w:r>
                          <w:rPr>
                            <w:rFonts w:ascii="宋体" w:hAnsi="宋体" w:cs="宋体" w:eastAsia="宋体" w:hint="default"/>
                            <w:spacing w:val="-2"/>
                            <w:sz w:val="21"/>
                            <w:szCs w:val="21"/>
                          </w:rPr>
                          <w:t>纳入评价范围单位营业收入占公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r>
                  <w:tr>
                    <w:trPr>
                      <w:trHeight w:val="39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9"/>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985"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1546"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14" w:space="0" w:color="FFFFFF"/>
                        </w:tcBorders>
                      </w:tcPr>
                      <w:p>
                        <w:pPr>
                          <w:pStyle w:val="TableParagraph"/>
                          <w:spacing w:line="268" w:lineRule="auto" w:before="28"/>
                          <w:ind w:left="18" w:right="17"/>
                          <w:jc w:val="left"/>
                          <w:rPr>
                            <w:rFonts w:ascii="宋体" w:hAnsi="宋体" w:cs="宋体" w:eastAsia="宋体" w:hint="default"/>
                            <w:sz w:val="21"/>
                            <w:szCs w:val="21"/>
                          </w:rPr>
                        </w:pPr>
                        <w:r>
                          <w:rPr>
                            <w:rFonts w:ascii="宋体" w:hAnsi="宋体" w:cs="宋体" w:eastAsia="宋体" w:hint="default"/>
                            <w:sz w:val="21"/>
                            <w:szCs w:val="21"/>
                          </w:rPr>
                          <w:t>公司确定的财务报告内部控制缺陷</w:t>
                        </w:r>
                        <w:r>
                          <w:rPr>
                            <w:rFonts w:ascii="宋体" w:hAnsi="宋体" w:cs="宋体" w:eastAsia="宋体" w:hint="default"/>
                            <w:w w:val="100"/>
                            <w:sz w:val="21"/>
                            <w:szCs w:val="21"/>
                          </w:rPr>
                          <w:t> </w:t>
                        </w:r>
                        <w:r>
                          <w:rPr>
                            <w:rFonts w:ascii="宋体" w:hAnsi="宋体" w:cs="宋体" w:eastAsia="宋体" w:hint="default"/>
                            <w:spacing w:val="-20"/>
                            <w:w w:val="100"/>
                            <w:sz w:val="21"/>
                            <w:szCs w:val="21"/>
                          </w:rPr>
                          <w:t>评价的定性标准如下：（</w:t>
                        </w:r>
                        <w:r>
                          <w:rPr>
                            <w:rFonts w:ascii="Times New Roman" w:hAnsi="Times New Roman" w:cs="Times New Roman" w:eastAsia="Times New Roman" w:hint="default"/>
                            <w:spacing w:val="-20"/>
                            <w:w w:val="100"/>
                            <w:sz w:val="21"/>
                            <w:szCs w:val="21"/>
                          </w:rPr>
                          <w:t>1</w:t>
                        </w:r>
                        <w:r>
                          <w:rPr>
                            <w:rFonts w:ascii="宋体" w:hAnsi="宋体" w:cs="宋体" w:eastAsia="宋体" w:hint="default"/>
                            <w:spacing w:val="-20"/>
                            <w:w w:val="100"/>
                            <w:sz w:val="21"/>
                            <w:szCs w:val="21"/>
                          </w:rPr>
                          <w:t>）重大缺</w:t>
                        </w:r>
                        <w:r>
                          <w:rPr>
                            <w:rFonts w:ascii="宋体" w:hAnsi="宋体" w:cs="宋体" w:eastAsia="宋体" w:hint="default"/>
                            <w:w w:val="100"/>
                            <w:sz w:val="21"/>
                            <w:szCs w:val="21"/>
                          </w:rPr>
                          <w:t> </w:t>
                        </w:r>
                        <w:r>
                          <w:rPr>
                            <w:rFonts w:ascii="宋体" w:hAnsi="宋体" w:cs="宋体" w:eastAsia="宋体" w:hint="default"/>
                            <w:spacing w:val="-8"/>
                            <w:sz w:val="21"/>
                            <w:szCs w:val="21"/>
                          </w:rPr>
                          <w:t>控制环境无效；公司董事、监事和高</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8"/>
                            <w:w w:val="100"/>
                            <w:sz w:val="21"/>
                            <w:szCs w:val="21"/>
                          </w:rPr>
                          <w:t>级管理人员舞弊行为；外部审计发现</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的重大错报未被公司内部控制识</w:t>
                        </w:r>
                        <w:r>
                          <w:rPr>
                            <w:rFonts w:ascii="宋体" w:hAnsi="宋体" w:cs="宋体" w:eastAsia="宋体" w:hint="default"/>
                            <w:w w:val="100"/>
                            <w:sz w:val="21"/>
                            <w:szCs w:val="21"/>
                          </w:rPr>
                          <w:t> </w:t>
                        </w:r>
                        <w:r>
                          <w:rPr>
                            <w:rFonts w:ascii="宋体" w:hAnsi="宋体" w:cs="宋体" w:eastAsia="宋体" w:hint="default"/>
                            <w:sz w:val="21"/>
                            <w:szCs w:val="21"/>
                          </w:rPr>
                          <w:t>审计委员会和内部审计机构对内部</w:t>
                        </w:r>
                        <w:r>
                          <w:rPr>
                            <w:rFonts w:ascii="宋体" w:hAnsi="宋体" w:cs="宋体" w:eastAsia="宋体" w:hint="default"/>
                            <w:w w:val="100"/>
                            <w:sz w:val="21"/>
                            <w:szCs w:val="21"/>
                          </w:rPr>
                          <w:t> </w:t>
                        </w:r>
                        <w:r>
                          <w:rPr>
                            <w:rFonts w:ascii="宋体" w:hAnsi="宋体" w:cs="宋体" w:eastAsia="宋体" w:hint="default"/>
                            <w:spacing w:val="-8"/>
                            <w:w w:val="100"/>
                            <w:sz w:val="21"/>
                            <w:szCs w:val="21"/>
                          </w:rPr>
                          <w:t>控制的监督无效；内部控制评价的结</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8"/>
                            <w:w w:val="100"/>
                            <w:sz w:val="21"/>
                            <w:szCs w:val="21"/>
                          </w:rPr>
                          <w:t>果特别是重大缺陷未得到整改。（</w:t>
                        </w:r>
                        <w:r>
                          <w:rPr>
                            <w:rFonts w:ascii="Times New Roman" w:hAnsi="Times New Roman" w:cs="Times New Roman" w:eastAsia="Times New Roman" w:hint="default"/>
                            <w:spacing w:val="-8"/>
                            <w:w w:val="100"/>
                            <w:sz w:val="21"/>
                            <w:szCs w:val="21"/>
                          </w:rPr>
                          <w:t>2</w:t>
                        </w:r>
                        <w:r>
                          <w:rPr>
                            <w:rFonts w:ascii="Times New Roman" w:hAnsi="Times New Roman" w:cs="Times New Roman" w:eastAsia="Times New Roman" w:hint="default"/>
                            <w:spacing w:val="-49"/>
                            <w:w w:val="100"/>
                            <w:sz w:val="21"/>
                            <w:szCs w:val="21"/>
                          </w:rPr>
                          <w:t> </w:t>
                        </w:r>
                        <w:r>
                          <w:rPr>
                            <w:rFonts w:ascii="宋体" w:hAnsi="宋体" w:cs="宋体" w:eastAsia="宋体" w:hint="default"/>
                            <w:spacing w:val="-8"/>
                            <w:w w:val="100"/>
                            <w:sz w:val="21"/>
                            <w:szCs w:val="21"/>
                          </w:rPr>
                          <w:t>重要缺陷：未依照公认会计准则选择</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8"/>
                            <w:w w:val="100"/>
                            <w:sz w:val="21"/>
                            <w:szCs w:val="21"/>
                          </w:rPr>
                          <w:t>和应用会计政策；公司缺乏反舞弊控</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8"/>
                            <w:w w:val="100"/>
                            <w:sz w:val="21"/>
                            <w:szCs w:val="21"/>
                          </w:rPr>
                          <w:t>制措施；对于非常规或特殊交易的账</w:t>
                        </w:r>
                      </w:p>
                    </w:tc>
                    <w:tc>
                      <w:tcPr>
                        <w:tcW w:w="3040" w:type="dxa"/>
                        <w:vMerge w:val="restart"/>
                        <w:tcBorders>
                          <w:top w:val="single" w:sz="4" w:space="0" w:color="000000"/>
                          <w:left w:val="single" w:sz="14" w:space="0" w:color="FFFFFF"/>
                          <w:right w:val="nil" w:sz="6" w:space="0" w:color="auto"/>
                        </w:tcBorders>
                      </w:tcPr>
                      <w:p>
                        <w:pPr>
                          <w:pStyle w:val="TableParagraph"/>
                          <w:spacing w:line="266" w:lineRule="auto" w:before="28"/>
                          <w:ind w:left="-1" w:right="75"/>
                          <w:jc w:val="both"/>
                          <w:rPr>
                            <w:rFonts w:ascii="宋体" w:hAnsi="宋体" w:cs="宋体" w:eastAsia="宋体" w:hint="default"/>
                            <w:sz w:val="21"/>
                            <w:szCs w:val="21"/>
                          </w:rPr>
                        </w:pPr>
                        <w:r>
                          <w:rPr>
                            <w:rFonts w:ascii="宋体" w:hAnsi="宋体" w:cs="宋体" w:eastAsia="宋体" w:hint="default"/>
                            <w:sz w:val="21"/>
                            <w:szCs w:val="21"/>
                          </w:rPr>
                          <w:t>出现以下情形的，可认定为重大</w:t>
                        </w:r>
                        <w:r>
                          <w:rPr>
                            <w:rFonts w:ascii="宋体" w:hAnsi="宋体" w:cs="宋体" w:eastAsia="宋体" w:hint="default"/>
                            <w:w w:val="100"/>
                            <w:sz w:val="21"/>
                            <w:szCs w:val="21"/>
                          </w:rPr>
                          <w:t> </w:t>
                        </w:r>
                        <w:r>
                          <w:rPr>
                            <w:rFonts w:ascii="宋体" w:hAnsi="宋体" w:cs="宋体" w:eastAsia="宋体" w:hint="default"/>
                            <w:sz w:val="21"/>
                            <w:szCs w:val="21"/>
                          </w:rPr>
                          <w:t>缺陷，其他情形按影响程度分别</w:t>
                        </w:r>
                        <w:r>
                          <w:rPr>
                            <w:rFonts w:ascii="宋体" w:hAnsi="宋体" w:cs="宋体" w:eastAsia="宋体" w:hint="default"/>
                            <w:w w:val="100"/>
                            <w:sz w:val="21"/>
                            <w:szCs w:val="21"/>
                          </w:rPr>
                          <w:t> </w:t>
                        </w:r>
                        <w:r>
                          <w:rPr>
                            <w:rFonts w:ascii="宋体" w:hAnsi="宋体" w:cs="宋体" w:eastAsia="宋体" w:hint="default"/>
                            <w:spacing w:val="-12"/>
                            <w:w w:val="100"/>
                            <w:sz w:val="21"/>
                            <w:szCs w:val="21"/>
                          </w:rPr>
                          <w:t>确定为重要缺陷或一般缺陷：（</w:t>
                        </w:r>
                        <w:r>
                          <w:rPr>
                            <w:rFonts w:ascii="Times New Roman" w:hAnsi="Times New Roman" w:cs="Times New Roman" w:eastAsia="Times New Roman" w:hint="default"/>
                            <w:spacing w:val="-12"/>
                            <w:w w:val="100"/>
                            <w:sz w:val="21"/>
                            <w:szCs w:val="21"/>
                          </w:rPr>
                          <w:t>1</w:t>
                        </w:r>
                        <w:r>
                          <w:rPr>
                            <w:rFonts w:ascii="Times New Roman" w:hAnsi="Times New Roman" w:cs="Times New Roman" w:eastAsia="Times New Roman" w:hint="default"/>
                            <w:spacing w:val="-45"/>
                            <w:w w:val="100"/>
                            <w:sz w:val="21"/>
                            <w:szCs w:val="21"/>
                          </w:rPr>
                          <w:t> </w:t>
                        </w:r>
                        <w:r>
                          <w:rPr>
                            <w:rFonts w:ascii="宋体" w:hAnsi="宋体" w:cs="宋体" w:eastAsia="宋体" w:hint="default"/>
                            <w:sz w:val="21"/>
                            <w:szCs w:val="21"/>
                          </w:rPr>
                          <w:t>公司经营或决策严重违反国家法</w:t>
                        </w:r>
                        <w:r>
                          <w:rPr>
                            <w:rFonts w:ascii="宋体" w:hAnsi="宋体" w:cs="宋体" w:eastAsia="宋体" w:hint="default"/>
                            <w:w w:val="100"/>
                            <w:sz w:val="21"/>
                            <w:szCs w:val="21"/>
                          </w:rPr>
                          <w:t> </w:t>
                        </w:r>
                        <w:r>
                          <w:rPr>
                            <w:rFonts w:ascii="宋体" w:hAnsi="宋体" w:cs="宋体" w:eastAsia="宋体" w:hint="default"/>
                            <w:spacing w:val="-9"/>
                            <w:w w:val="100"/>
                            <w:sz w:val="21"/>
                            <w:szCs w:val="21"/>
                          </w:rPr>
                          <w:t>律法规；（</w:t>
                        </w: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）对于公司重大事项</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缺乏民主决策程序或虽有程序但</w:t>
                        </w:r>
                        <w:r>
                          <w:rPr>
                            <w:rFonts w:ascii="宋体" w:hAnsi="宋体" w:cs="宋体" w:eastAsia="宋体" w:hint="default"/>
                            <w:w w:val="100"/>
                            <w:sz w:val="21"/>
                            <w:szCs w:val="21"/>
                          </w:rPr>
                          <w:t> </w:t>
                        </w:r>
                        <w:r>
                          <w:rPr>
                            <w:rFonts w:ascii="宋体" w:hAnsi="宋体" w:cs="宋体" w:eastAsia="宋体" w:hint="default"/>
                            <w:spacing w:val="-12"/>
                            <w:w w:val="100"/>
                            <w:sz w:val="21"/>
                            <w:szCs w:val="21"/>
                          </w:rPr>
                          <w:t>未有效执行，导致重大损失；（</w:t>
                        </w:r>
                        <w:r>
                          <w:rPr>
                            <w:rFonts w:ascii="Times New Roman" w:hAnsi="Times New Roman" w:cs="Times New Roman" w:eastAsia="Times New Roman" w:hint="default"/>
                            <w:spacing w:val="-12"/>
                            <w:w w:val="100"/>
                            <w:sz w:val="21"/>
                            <w:szCs w:val="21"/>
                          </w:rPr>
                          <w:t>3</w:t>
                        </w:r>
                        <w:r>
                          <w:rPr>
                            <w:rFonts w:ascii="Times New Roman" w:hAnsi="Times New Roman" w:cs="Times New Roman" w:eastAsia="Times New Roman" w:hint="default"/>
                            <w:spacing w:val="-47"/>
                            <w:w w:val="100"/>
                            <w:sz w:val="21"/>
                            <w:szCs w:val="21"/>
                          </w:rPr>
                          <w:t> </w:t>
                        </w:r>
                        <w:r>
                          <w:rPr>
                            <w:rFonts w:ascii="宋体" w:hAnsi="宋体" w:cs="宋体" w:eastAsia="宋体" w:hint="default"/>
                            <w:sz w:val="21"/>
                            <w:szCs w:val="21"/>
                          </w:rPr>
                          <w:t>中高级管理人员和高级技术人员</w:t>
                        </w:r>
                        <w:r>
                          <w:rPr>
                            <w:rFonts w:ascii="宋体" w:hAnsi="宋体" w:cs="宋体" w:eastAsia="宋体" w:hint="default"/>
                            <w:w w:val="100"/>
                            <w:sz w:val="21"/>
                            <w:szCs w:val="21"/>
                          </w:rPr>
                          <w:t> </w:t>
                        </w:r>
                        <w:r>
                          <w:rPr>
                            <w:rFonts w:ascii="宋体" w:hAnsi="宋体" w:cs="宋体" w:eastAsia="宋体" w:hint="default"/>
                            <w:sz w:val="21"/>
                            <w:szCs w:val="21"/>
                          </w:rPr>
                          <w:t>流失严重，对公司业务造成重大</w:t>
                        </w:r>
                        <w:r>
                          <w:rPr>
                            <w:rFonts w:ascii="宋体" w:hAnsi="宋体" w:cs="宋体" w:eastAsia="宋体" w:hint="default"/>
                            <w:w w:val="100"/>
                            <w:sz w:val="21"/>
                            <w:szCs w:val="21"/>
                          </w:rPr>
                          <w:t> </w:t>
                        </w:r>
                        <w:r>
                          <w:rPr>
                            <w:rFonts w:ascii="宋体" w:hAnsi="宋体" w:cs="宋体" w:eastAsia="宋体" w:hint="default"/>
                            <w:spacing w:val="-8"/>
                            <w:w w:val="100"/>
                            <w:sz w:val="21"/>
                            <w:szCs w:val="21"/>
                          </w:rPr>
                          <w:t>影响；（</w:t>
                        </w:r>
                        <w:r>
                          <w:rPr>
                            <w:rFonts w:ascii="Times New Roman" w:hAnsi="Times New Roman" w:cs="Times New Roman" w:eastAsia="Times New Roman" w:hint="default"/>
                            <w:spacing w:val="-8"/>
                            <w:w w:val="100"/>
                            <w:sz w:val="21"/>
                            <w:szCs w:val="21"/>
                          </w:rPr>
                          <w:t>4</w:t>
                        </w:r>
                        <w:r>
                          <w:rPr>
                            <w:rFonts w:ascii="宋体" w:hAnsi="宋体" w:cs="宋体" w:eastAsia="宋体" w:hint="default"/>
                            <w:spacing w:val="-8"/>
                            <w:w w:val="100"/>
                            <w:sz w:val="21"/>
                            <w:szCs w:val="21"/>
                          </w:rPr>
                          <w:t>）重要业务缺乏制度控</w:t>
                        </w:r>
                        <w:r>
                          <w:rPr>
                            <w:rFonts w:ascii="宋体" w:hAnsi="宋体" w:cs="宋体" w:eastAsia="宋体" w:hint="default"/>
                            <w:w w:val="100"/>
                            <w:sz w:val="21"/>
                            <w:szCs w:val="21"/>
                          </w:rPr>
                          <w:t> </w:t>
                        </w:r>
                        <w:r>
                          <w:rPr>
                            <w:rFonts w:ascii="宋体" w:hAnsi="宋体" w:cs="宋体" w:eastAsia="宋体" w:hint="default"/>
                            <w:sz w:val="21"/>
                            <w:szCs w:val="21"/>
                          </w:rPr>
                          <w:t>制或系统性失效，且缺乏有效的</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3335" w:type="dxa"/>
                        <w:vMerge/>
                        <w:tcBorders>
                          <w:left w:val="single" w:sz="9" w:space="0" w:color="D2D2D2"/>
                          <w:right w:val="single" w:sz="14" w:space="0" w:color="FFFFFF"/>
                        </w:tcBorders>
                      </w:tcPr>
                      <w:p>
                        <w:pPr/>
                      </w:p>
                    </w:tc>
                    <w:tc>
                      <w:tcPr>
                        <w:tcW w:w="3040" w:type="dxa"/>
                        <w:vMerge/>
                        <w:tcBorders>
                          <w:left w:val="single" w:sz="14" w:space="0" w:color="FFFFFF"/>
                          <w:right w:val="nil" w:sz="6" w:space="0" w:color="auto"/>
                        </w:tcBorders>
                      </w:tcPr>
                      <w:p>
                        <w:pPr/>
                      </w:p>
                    </w:tc>
                  </w:tr>
                  <w:tr>
                    <w:trPr>
                      <w:trHeight w:val="1546"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nil" w:sz="6" w:space="0" w:color="auto"/>
                        </w:tcBorders>
                      </w:tcPr>
                      <w:p>
                        <w:pPr/>
                      </w:p>
                    </w:tc>
                  </w:tr>
                </w:tbl>
                <w:p>
                  <w:pPr/>
                </w:p>
              </w:txbxContent>
            </v:textbox>
            <w10:wrap type="none"/>
          </v:shape>
        </w:pict>
      </w:r>
      <w:r>
        <w:rPr>
          <w:w w:val="100"/>
        </w:rPr>
        <w:t>）</w:t>
      </w:r>
    </w:p>
    <w:p>
      <w:pPr>
        <w:spacing w:line="240" w:lineRule="auto" w:before="8"/>
        <w:rPr>
          <w:rFonts w:ascii="宋体" w:hAnsi="宋体" w:cs="宋体" w:eastAsia="宋体" w:hint="default"/>
          <w:sz w:val="27"/>
          <w:szCs w:val="27"/>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5pt;mso-position-horizontal-relative:char;mso-position-vertical-relative:line" coordorigin="0,0" coordsize="2994,313">
            <v:group style="position:absolute;left:0;top:0;width:2994;height:313" coordorigin="0,0" coordsize="2994,313">
              <v:shape style="position:absolute;left:0;top:0;width:2994;height:313" coordorigin="0,0" coordsize="2994,313"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2"/>
        <w:rPr>
          <w:rFonts w:ascii="宋体" w:hAnsi="宋体" w:cs="宋体" w:eastAsia="宋体" w:hint="default"/>
          <w:sz w:val="20"/>
          <w:szCs w:val="20"/>
        </w:rPr>
      </w:pPr>
    </w:p>
    <w:p>
      <w:pPr>
        <w:pStyle w:val="BodyText"/>
        <w:spacing w:line="240" w:lineRule="auto" w:before="36"/>
        <w:ind w:left="0" w:right="139"/>
        <w:jc w:val="right"/>
      </w:pPr>
      <w:r>
        <w:rPr/>
        <w:pict>
          <v:shape style="position:absolute;margin-left:364.993042pt;margin-top:-28.800325pt;width:168.75pt;height:15.65pt;mso-position-horizontal-relative:page;mso-position-vertical-relative:paragraph;z-index:-700768" type="#_x0000_t202" filled="false" stroked="false">
            <v:textbox inset="0,0,0,0">
              <w:txbxContent>
                <w:p>
                  <w:pPr>
                    <w:pStyle w:val="BodyText"/>
                    <w:spacing w:line="262" w:lineRule="exact"/>
                    <w:ind w:left="0" w:right="0"/>
                    <w:jc w:val="left"/>
                  </w:pPr>
                  <w:r>
                    <w:rPr/>
                    <w:t>别；</w:t>
                  </w:r>
                </w:p>
              </w:txbxContent>
            </v:textbox>
            <w10:wrap type="none"/>
          </v:shape>
        </w:pict>
      </w:r>
      <w:r>
        <w:rPr/>
        <w:pict>
          <v:shape style="position:absolute;margin-left:375.549988pt;margin-top:18.023674pt;width:158.2pt;height:15.6pt;mso-position-horizontal-relative:page;mso-position-vertical-relative:paragraph;z-index:-700744" type="#_x0000_t202" filled="false" stroked="false">
            <v:textbox inset="0,0,0,0">
              <w:txbxContent>
                <w:p>
                  <w:pPr>
                    <w:pStyle w:val="BodyText"/>
                    <w:spacing w:line="262" w:lineRule="exact"/>
                    <w:ind w:left="0" w:right="0"/>
                    <w:jc w:val="left"/>
                  </w:pPr>
                  <w:r>
                    <w:rPr>
                      <w:w w:val="100"/>
                    </w:rPr>
                    <w:t>）</w:t>
                  </w:r>
                </w:p>
              </w:txbxContent>
            </v:textbox>
            <w10:wrap type="none"/>
          </v:shape>
        </w:pict>
      </w:r>
      <w:r>
        <w:rPr>
          <w:w w:val="100"/>
        </w:rPr>
        <w:t>）</w:t>
      </w:r>
    </w:p>
    <w:p>
      <w:pPr>
        <w:spacing w:line="240" w:lineRule="auto" w:before="10"/>
        <w:rPr>
          <w:rFonts w:ascii="宋体" w:hAnsi="宋体" w:cs="宋体" w:eastAsia="宋体" w:hint="default"/>
          <w:sz w:val="3"/>
          <w:szCs w:val="3"/>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375.43689pt;margin-top:105.739983pt;width:159.5pt;height:78pt;mso-position-horizontal-relative:page;mso-position-vertical-relative:page;z-index:-70067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14" w:right="0"/>
                    <w:jc w:val="left"/>
                  </w:pPr>
                  <w:r>
                    <w:rPr>
                      <w:w w:val="100"/>
                    </w:rPr>
                    <w:t>、</w:t>
                  </w:r>
                </w:p>
                <w:p>
                  <w:pPr>
                    <w:pStyle w:val="BodyText"/>
                    <w:spacing w:line="240" w:lineRule="auto" w:before="37"/>
                    <w:ind w:left="0" w:right="0"/>
                    <w:jc w:val="left"/>
                  </w:pPr>
                  <w:r>
                    <w:rPr>
                      <w:w w:val="100"/>
                    </w:rPr>
                    <w:t>。</w:t>
                  </w:r>
                </w:p>
              </w:txbxContent>
            </v:textbox>
            <w10:wrap type="none"/>
          </v:shape>
        </w:pict>
      </w:r>
      <w:r>
        <w:rPr/>
        <w:pict>
          <v:shape style="position:absolute;margin-left:364.993042pt;margin-top:88.075981pt;width:168.75pt;height:17.7pt;mso-position-horizontal-relative:page;mso-position-vertical-relative:page;z-index:-700648" type="#_x0000_t202" filled="false" stroked="false">
            <v:textbox inset="0,0,0,0">
              <w:txbxContent>
                <w:p>
                  <w:pPr>
                    <w:pStyle w:val="BodyText"/>
                    <w:spacing w:line="263" w:lineRule="exact"/>
                    <w:ind w:left="0" w:right="0"/>
                    <w:jc w:val="left"/>
                  </w:pPr>
                  <w:r>
                    <w:rPr/>
                    <w:t>制；</w:t>
                  </w:r>
                </w:p>
              </w:txbxContent>
            </v:textbox>
            <w10:wrap type="none"/>
          </v:shape>
        </w:pict>
      </w:r>
      <w:r>
        <w:rPr/>
        <w:pict>
          <v:shape style="position:absolute;margin-left:375.549988pt;margin-top:404.689972pt;width:158.2pt;height:17.55pt;mso-position-horizontal-relative:page;mso-position-vertical-relative:page;z-index:-700624" type="#_x0000_t202" filled="false" stroked="false">
            <v:textbox inset="0,0,0,0">
              <w:txbxContent>
                <w:p>
                  <w:pPr>
                    <w:pStyle w:val="BodyText"/>
                    <w:spacing w:line="262" w:lineRule="exact"/>
                    <w:ind w:left="0" w:right="0"/>
                    <w:jc w:val="left"/>
                  </w:pPr>
                  <w:r>
                    <w:rPr>
                      <w:w w:val="100"/>
                    </w:rPr>
                    <w:t>）</w:t>
                  </w:r>
                </w:p>
              </w:txbxContent>
            </v:textbox>
            <w10:wrap type="none"/>
          </v:shape>
        </w:pict>
      </w:r>
      <w:r>
        <w:rPr/>
        <w:pict>
          <v:group style="position:absolute;margin-left:382.869995pt;margin-top:88.075981pt;width:152.1pt;height:95.7pt;mso-position-horizontal-relative:page;mso-position-vertical-relative:page;z-index:-700600" coordorigin="7657,1762" coordsize="3042,1914">
            <v:group style="position:absolute;left:7657;top:2115;width:3042;height:1560" coordorigin="7657,2115" coordsize="3042,1560">
              <v:shape style="position:absolute;left:7657;top:2115;width:3042;height:1560" coordorigin="7657,2115" coordsize="3042,1560" path="m7657,3675l10699,3675,10699,2115,7657,2115,7657,3675xe" filled="true" fillcolor="#ffffff" stroked="false">
                <v:path arrowok="t"/>
                <v:fill type="solid"/>
              </v:shape>
            </v:group>
            <v:group style="position:absolute;left:7681;top:1762;width:2994;height:354" coordorigin="7681,1762" coordsize="2994,354">
              <v:shape style="position:absolute;left:7681;top:1762;width:2994;height:354" coordorigin="7681,1762" coordsize="2994,354" path="m7681,2115l10675,2115,10675,1762,7681,1762,7681,211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22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14" w:space="0" w:color="FFFFFF"/>
            </w:tcBorders>
          </w:tcPr>
          <w:p>
            <w:pPr>
              <w:pStyle w:val="TableParagraph"/>
              <w:spacing w:line="271" w:lineRule="auto"/>
              <w:ind w:left="24" w:right="3"/>
              <w:jc w:val="left"/>
              <w:rPr>
                <w:rFonts w:ascii="宋体" w:hAnsi="宋体" w:cs="宋体" w:eastAsia="宋体" w:hint="default"/>
                <w:sz w:val="21"/>
                <w:szCs w:val="21"/>
              </w:rPr>
            </w:pPr>
            <w:r>
              <w:rPr>
                <w:rFonts w:ascii="宋体" w:hAnsi="宋体" w:cs="宋体" w:eastAsia="宋体" w:hint="default"/>
                <w:spacing w:val="-8"/>
                <w:w w:val="100"/>
                <w:sz w:val="21"/>
                <w:szCs w:val="21"/>
              </w:rPr>
              <w:t>务处理，没有建立相应的控制机制或</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没有实施且没有相应的补偿性控</w:t>
            </w:r>
            <w:r>
              <w:rPr>
                <w:rFonts w:ascii="宋体" w:hAnsi="宋体" w:cs="宋体" w:eastAsia="宋体" w:hint="default"/>
                <w:w w:val="100"/>
                <w:sz w:val="21"/>
                <w:szCs w:val="21"/>
              </w:rPr>
              <w:t> </w:t>
            </w:r>
            <w:r>
              <w:rPr>
                <w:rFonts w:ascii="宋体" w:hAnsi="宋体" w:cs="宋体" w:eastAsia="宋体" w:hint="default"/>
                <w:sz w:val="21"/>
                <w:szCs w:val="21"/>
              </w:rPr>
              <w:t>对于期末财务报告过程的控制存在</w:t>
            </w:r>
            <w:r>
              <w:rPr>
                <w:rFonts w:ascii="宋体" w:hAnsi="宋体" w:cs="宋体" w:eastAsia="宋体" w:hint="default"/>
                <w:w w:val="100"/>
                <w:sz w:val="21"/>
                <w:szCs w:val="21"/>
              </w:rPr>
              <w:t> </w:t>
            </w:r>
            <w:r>
              <w:rPr>
                <w:rFonts w:ascii="宋体" w:hAnsi="宋体" w:cs="宋体" w:eastAsia="宋体" w:hint="default"/>
                <w:sz w:val="21"/>
                <w:szCs w:val="21"/>
              </w:rPr>
              <w:t>一项或多项缺陷且不能合理保证编</w:t>
            </w:r>
            <w:r>
              <w:rPr>
                <w:rFonts w:ascii="宋体" w:hAnsi="宋体" w:cs="宋体" w:eastAsia="宋体" w:hint="default"/>
                <w:w w:val="100"/>
                <w:sz w:val="21"/>
                <w:szCs w:val="21"/>
              </w:rPr>
              <w:t> </w:t>
            </w:r>
            <w:r>
              <w:rPr>
                <w:rFonts w:ascii="宋体" w:hAnsi="宋体" w:cs="宋体" w:eastAsia="宋体" w:hint="default"/>
                <w:sz w:val="21"/>
                <w:szCs w:val="21"/>
              </w:rPr>
              <w:t>制的财务报表达到真实、准确的目</w:t>
            </w:r>
            <w:r>
              <w:rPr>
                <w:rFonts w:ascii="宋体" w:hAnsi="宋体" w:cs="宋体" w:eastAsia="宋体" w:hint="default"/>
                <w:w w:val="100"/>
                <w:sz w:val="21"/>
                <w:szCs w:val="21"/>
              </w:rPr>
              <w:t> </w:t>
            </w:r>
            <w:r>
              <w:rPr>
                <w:rFonts w:ascii="宋体" w:hAnsi="宋体" w:cs="宋体" w:eastAsia="宋体" w:hint="default"/>
                <w:spacing w:val="-19"/>
                <w:w w:val="100"/>
                <w:sz w:val="21"/>
                <w:szCs w:val="21"/>
              </w:rPr>
              <w:t>标。（</w:t>
            </w:r>
            <w:r>
              <w:rPr>
                <w:rFonts w:ascii="Times New Roman" w:hAnsi="Times New Roman" w:cs="Times New Roman" w:eastAsia="Times New Roman" w:hint="default"/>
                <w:spacing w:val="-19"/>
                <w:w w:val="100"/>
                <w:sz w:val="21"/>
                <w:szCs w:val="21"/>
              </w:rPr>
              <w:t>3</w:t>
            </w:r>
            <w:r>
              <w:rPr>
                <w:rFonts w:ascii="宋体" w:hAnsi="宋体" w:cs="宋体" w:eastAsia="宋体" w:hint="default"/>
                <w:spacing w:val="-19"/>
                <w:w w:val="100"/>
                <w:sz w:val="21"/>
                <w:szCs w:val="21"/>
              </w:rPr>
              <w:t>）一般缺陷：未构成重大缺陷</w:t>
            </w:r>
            <w:r>
              <w:rPr>
                <w:rFonts w:ascii="宋体" w:hAnsi="宋体" w:cs="宋体" w:eastAsia="宋体" w:hint="default"/>
                <w:w w:val="100"/>
                <w:sz w:val="21"/>
                <w:szCs w:val="21"/>
              </w:rPr>
              <w:t> </w:t>
            </w:r>
            <w:r>
              <w:rPr>
                <w:rFonts w:ascii="宋体" w:hAnsi="宋体" w:cs="宋体" w:eastAsia="宋体" w:hint="default"/>
                <w:sz w:val="21"/>
                <w:szCs w:val="21"/>
              </w:rPr>
              <w:t>重要缺陷标准的其他内部控制缺陷</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256" w:lineRule="auto"/>
              <w:ind w:left="13" w:right="70"/>
              <w:jc w:val="left"/>
              <w:rPr>
                <w:rFonts w:ascii="宋体" w:hAnsi="宋体" w:cs="宋体" w:eastAsia="宋体" w:hint="default"/>
                <w:sz w:val="21"/>
                <w:szCs w:val="21"/>
              </w:rPr>
            </w:pPr>
            <w:r>
              <w:rPr>
                <w:rFonts w:ascii="宋体" w:hAnsi="宋体" w:cs="宋体" w:eastAsia="宋体" w:hint="default"/>
                <w:spacing w:val="-9"/>
                <w:w w:val="100"/>
                <w:sz w:val="21"/>
                <w:szCs w:val="21"/>
              </w:rPr>
              <w:t>补偿性控制；（</w:t>
            </w:r>
            <w:r>
              <w:rPr>
                <w:rFonts w:ascii="Times New Roman" w:hAnsi="Times New Roman" w:cs="Times New Roman" w:eastAsia="Times New Roman" w:hint="default"/>
                <w:spacing w:val="-9"/>
                <w:w w:val="100"/>
                <w:sz w:val="21"/>
                <w:szCs w:val="21"/>
              </w:rPr>
              <w:t>5</w:t>
            </w:r>
            <w:r>
              <w:rPr>
                <w:rFonts w:ascii="宋体" w:hAnsi="宋体" w:cs="宋体" w:eastAsia="宋体" w:hint="default"/>
                <w:spacing w:val="-9"/>
                <w:w w:val="100"/>
                <w:sz w:val="21"/>
                <w:szCs w:val="21"/>
              </w:rPr>
              <w:t>）公司内控重大</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缺陷或重要缺陷未得到整改。</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664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3322" w:type="dxa"/>
            <w:tcBorders>
              <w:top w:val="single" w:sz="4" w:space="0" w:color="000000"/>
              <w:left w:val="single" w:sz="4" w:space="0" w:color="000000"/>
              <w:bottom w:val="single" w:sz="4" w:space="0" w:color="000000"/>
              <w:right w:val="single" w:sz="14" w:space="0" w:color="FFFFFF"/>
            </w:tcBorders>
          </w:tcPr>
          <w:p>
            <w:pPr>
              <w:pStyle w:val="TableParagraph"/>
              <w:spacing w:line="266" w:lineRule="auto" w:before="28"/>
              <w:ind w:left="24" w:right="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）重大缺陷：当一个或一组内控</w:t>
            </w:r>
            <w:r>
              <w:rPr>
                <w:rFonts w:ascii="宋体" w:hAnsi="宋体" w:cs="宋体" w:eastAsia="宋体" w:hint="default"/>
                <w:w w:val="100"/>
                <w:sz w:val="21"/>
                <w:szCs w:val="21"/>
              </w:rPr>
              <w:t> </w:t>
            </w:r>
            <w:r>
              <w:rPr>
                <w:rFonts w:ascii="宋体" w:hAnsi="宋体" w:cs="宋体" w:eastAsia="宋体" w:hint="default"/>
                <w:spacing w:val="-8"/>
                <w:w w:val="100"/>
                <w:sz w:val="21"/>
                <w:szCs w:val="21"/>
              </w:rPr>
              <w:t>缺陷的存在，有合理的可能性导致无</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法及时地预防或发现财务报告中出</w:t>
            </w:r>
            <w:r>
              <w:rPr>
                <w:rFonts w:ascii="宋体" w:hAnsi="宋体" w:cs="宋体" w:eastAsia="宋体" w:hint="default"/>
                <w:w w:val="100"/>
                <w:sz w:val="21"/>
                <w:szCs w:val="21"/>
              </w:rPr>
              <w:t> </w:t>
            </w:r>
            <w:r>
              <w:rPr>
                <w:rFonts w:ascii="宋体" w:hAnsi="宋体" w:cs="宋体" w:eastAsia="宋体" w:hint="default"/>
                <w:sz w:val="21"/>
                <w:szCs w:val="21"/>
              </w:rPr>
              <w:t>现影响利润总额的错报大于等于利</w:t>
            </w:r>
            <w:r>
              <w:rPr>
                <w:rFonts w:ascii="宋体" w:hAnsi="宋体" w:cs="宋体" w:eastAsia="宋体" w:hint="default"/>
                <w:w w:val="100"/>
                <w:sz w:val="21"/>
                <w:szCs w:val="21"/>
              </w:rPr>
              <w:t> </w:t>
            </w:r>
            <w:r>
              <w:rPr>
                <w:rFonts w:ascii="宋体" w:hAnsi="宋体" w:cs="宋体" w:eastAsia="宋体" w:hint="default"/>
                <w:sz w:val="21"/>
                <w:szCs w:val="21"/>
              </w:rPr>
              <w:t>润总额</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或者影响资产、负债和权</w:t>
            </w:r>
            <w:r>
              <w:rPr>
                <w:rFonts w:ascii="宋体" w:hAnsi="宋体" w:cs="宋体" w:eastAsia="宋体" w:hint="default"/>
                <w:w w:val="100"/>
                <w:sz w:val="21"/>
                <w:szCs w:val="21"/>
              </w:rPr>
              <w:t> </w:t>
            </w:r>
            <w:r>
              <w:rPr>
                <w:rFonts w:ascii="宋体" w:hAnsi="宋体" w:cs="宋体" w:eastAsia="宋体" w:hint="default"/>
                <w:sz w:val="21"/>
                <w:szCs w:val="21"/>
              </w:rPr>
              <w:t>益错报漏报大于等于资产总额</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15"/>
                <w:w w:val="100"/>
                <w:sz w:val="21"/>
                <w:szCs w:val="21"/>
              </w:rPr>
              <w:t>情形时，被认定为重大缺陷；（</w:t>
            </w:r>
            <w:r>
              <w:rPr>
                <w:rFonts w:ascii="Times New Roman" w:hAnsi="Times New Roman" w:cs="Times New Roman" w:eastAsia="Times New Roman" w:hint="default"/>
                <w:spacing w:val="-15"/>
                <w:w w:val="100"/>
                <w:sz w:val="21"/>
                <w:szCs w:val="21"/>
              </w:rPr>
              <w:t>2</w:t>
            </w:r>
            <w:r>
              <w:rPr>
                <w:rFonts w:ascii="宋体" w:hAnsi="宋体" w:cs="宋体" w:eastAsia="宋体" w:hint="default"/>
                <w:spacing w:val="-15"/>
                <w:w w:val="100"/>
                <w:sz w:val="21"/>
                <w:szCs w:val="21"/>
              </w:rPr>
              <w:t>）重</w:t>
            </w:r>
            <w:r>
              <w:rPr>
                <w:rFonts w:ascii="宋体" w:hAnsi="宋体" w:cs="宋体" w:eastAsia="宋体" w:hint="default"/>
                <w:spacing w:val="-102"/>
                <w:w w:val="100"/>
                <w:sz w:val="21"/>
                <w:szCs w:val="21"/>
              </w:rPr>
              <w:t> </w:t>
            </w:r>
            <w:r>
              <w:rPr>
                <w:rFonts w:ascii="宋体" w:hAnsi="宋体" w:cs="宋体" w:eastAsia="宋体" w:hint="default"/>
                <w:spacing w:val="-8"/>
                <w:w w:val="100"/>
                <w:sz w:val="21"/>
                <w:szCs w:val="21"/>
              </w:rPr>
              <w:t>要缺陷：当一个或一组内控缺陷的存</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8"/>
                <w:w w:val="100"/>
                <w:sz w:val="21"/>
                <w:szCs w:val="21"/>
              </w:rPr>
              <w:t>在，有合理的可能性导致无法及时地</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预防或发现财务报告中出现影响利</w:t>
            </w:r>
            <w:r>
              <w:rPr>
                <w:rFonts w:ascii="宋体" w:hAnsi="宋体" w:cs="宋体" w:eastAsia="宋体" w:hint="default"/>
                <w:w w:val="100"/>
                <w:sz w:val="21"/>
                <w:szCs w:val="21"/>
              </w:rPr>
              <w:t> </w:t>
            </w:r>
            <w:r>
              <w:rPr>
                <w:rFonts w:ascii="宋体" w:hAnsi="宋体" w:cs="宋体" w:eastAsia="宋体" w:hint="default"/>
                <w:sz w:val="21"/>
                <w:szCs w:val="21"/>
              </w:rPr>
              <w:t>润总额的错报大于等于利润总额的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且小于利润总额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或者影响资</w:t>
            </w:r>
            <w:r>
              <w:rPr>
                <w:rFonts w:ascii="宋体" w:hAnsi="宋体" w:cs="宋体" w:eastAsia="宋体" w:hint="default"/>
                <w:w w:val="100"/>
                <w:sz w:val="21"/>
                <w:szCs w:val="21"/>
              </w:rPr>
              <w:t> </w:t>
            </w:r>
            <w:r>
              <w:rPr>
                <w:rFonts w:ascii="宋体" w:hAnsi="宋体" w:cs="宋体" w:eastAsia="宋体" w:hint="default"/>
                <w:spacing w:val="-8"/>
                <w:w w:val="100"/>
                <w:sz w:val="21"/>
                <w:szCs w:val="21"/>
              </w:rPr>
              <w:t>产、负债和权益错报漏报大于等于资</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产总额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且小于合并资产总额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w w:val="100"/>
                <w:sz w:val="21"/>
                <w:szCs w:val="21"/>
              </w:rPr>
              <w:t> </w:t>
            </w:r>
            <w:r>
              <w:rPr>
                <w:rFonts w:ascii="宋体" w:hAnsi="宋体" w:cs="宋体" w:eastAsia="宋体" w:hint="default"/>
                <w:spacing w:val="-8"/>
                <w:w w:val="100"/>
                <w:sz w:val="21"/>
                <w:szCs w:val="21"/>
              </w:rPr>
              <w:t>的情形时，被认定为重要缺陷；（</w:t>
            </w:r>
            <w:r>
              <w:rPr>
                <w:rFonts w:ascii="Times New Roman" w:hAnsi="Times New Roman" w:cs="Times New Roman" w:eastAsia="Times New Roman" w:hint="default"/>
                <w:spacing w:val="-8"/>
                <w:w w:val="100"/>
                <w:sz w:val="21"/>
                <w:szCs w:val="21"/>
              </w:rPr>
              <w:t>3</w:t>
            </w:r>
            <w:r>
              <w:rPr>
                <w:rFonts w:ascii="Times New Roman" w:hAnsi="Times New Roman" w:cs="Times New Roman" w:eastAsia="Times New Roman" w:hint="default"/>
                <w:spacing w:val="-49"/>
                <w:w w:val="100"/>
                <w:sz w:val="21"/>
                <w:szCs w:val="21"/>
              </w:rPr>
              <w:t> </w:t>
            </w:r>
            <w:r>
              <w:rPr>
                <w:rFonts w:ascii="宋体" w:hAnsi="宋体" w:cs="宋体" w:eastAsia="宋体" w:hint="default"/>
                <w:spacing w:val="-8"/>
                <w:w w:val="100"/>
                <w:sz w:val="21"/>
                <w:szCs w:val="21"/>
              </w:rPr>
              <w:t>一般缺陷：对不构成重大缺陷和重要</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8"/>
                <w:w w:val="100"/>
                <w:sz w:val="21"/>
                <w:szCs w:val="21"/>
              </w:rPr>
              <w:t>缺陷之外的其他缺陷，会被视为一般</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缺陷。即：</w:t>
            </w:r>
            <w:r>
              <w:rPr>
                <w:rFonts w:ascii="宋体" w:hAnsi="宋体" w:cs="宋体" w:eastAsia="宋体" w:hint="default"/>
                <w:spacing w:val="-2"/>
                <w:sz w:val="21"/>
                <w:szCs w:val="21"/>
              </w:rPr>
              <w:t> </w:t>
            </w:r>
            <w:r>
              <w:rPr>
                <w:rFonts w:ascii="宋体" w:hAnsi="宋体" w:cs="宋体" w:eastAsia="宋体" w:hint="default"/>
                <w:sz w:val="21"/>
                <w:szCs w:val="21"/>
              </w:rPr>
              <w:t>影响利润总额的错报小</w:t>
            </w:r>
            <w:r>
              <w:rPr>
                <w:rFonts w:ascii="宋体" w:hAnsi="宋体" w:cs="宋体" w:eastAsia="宋体" w:hint="default"/>
                <w:w w:val="100"/>
                <w:sz w:val="21"/>
                <w:szCs w:val="21"/>
              </w:rPr>
              <w:t> </w:t>
            </w:r>
            <w:r>
              <w:rPr>
                <w:rFonts w:ascii="宋体" w:hAnsi="宋体" w:cs="宋体" w:eastAsia="宋体" w:hint="default"/>
                <w:sz w:val="21"/>
                <w:szCs w:val="21"/>
              </w:rPr>
              <w:t>于利润总额的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，或者影响资产、</w:t>
            </w:r>
            <w:r>
              <w:rPr>
                <w:rFonts w:ascii="宋体" w:hAnsi="宋体" w:cs="宋体" w:eastAsia="宋体" w:hint="default"/>
                <w:spacing w:val="-3"/>
                <w:w w:val="100"/>
                <w:sz w:val="21"/>
                <w:szCs w:val="21"/>
              </w:rPr>
              <w:t> </w:t>
            </w:r>
            <w:r>
              <w:rPr>
                <w:rFonts w:ascii="宋体" w:hAnsi="宋体" w:cs="宋体" w:eastAsia="宋体" w:hint="default"/>
                <w:sz w:val="21"/>
                <w:szCs w:val="21"/>
              </w:rPr>
              <w:t>负债和权益错报漏报小于资产总额</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66" w:lineRule="auto"/>
              <w:ind w:left="13" w:right="17"/>
              <w:jc w:val="left"/>
              <w:rPr>
                <w:rFonts w:ascii="宋体" w:hAnsi="宋体" w:cs="宋体" w:eastAsia="宋体" w:hint="default"/>
                <w:sz w:val="21"/>
                <w:szCs w:val="21"/>
              </w:rPr>
            </w:pPr>
            <w:r>
              <w:rPr>
                <w:rFonts w:ascii="宋体" w:hAnsi="宋体" w:cs="宋体" w:eastAsia="宋体" w:hint="default"/>
                <w:sz w:val="21"/>
                <w:szCs w:val="21"/>
              </w:rPr>
              <w:t>公司确定的非财务报告内部控制</w:t>
            </w:r>
            <w:r>
              <w:rPr>
                <w:rFonts w:ascii="宋体" w:hAnsi="宋体" w:cs="宋体" w:eastAsia="宋体" w:hint="default"/>
                <w:w w:val="100"/>
                <w:sz w:val="21"/>
                <w:szCs w:val="21"/>
              </w:rPr>
              <w:t> </w:t>
            </w:r>
            <w:r>
              <w:rPr>
                <w:rFonts w:ascii="宋体" w:hAnsi="宋体" w:cs="宋体" w:eastAsia="宋体" w:hint="default"/>
                <w:sz w:val="21"/>
                <w:szCs w:val="21"/>
              </w:rPr>
              <w:t>缺陷评价的定量标准如下：影响</w:t>
            </w:r>
            <w:r>
              <w:rPr>
                <w:rFonts w:ascii="宋体" w:hAnsi="宋体" w:cs="宋体" w:eastAsia="宋体" w:hint="default"/>
                <w:w w:val="100"/>
                <w:sz w:val="21"/>
                <w:szCs w:val="21"/>
              </w:rPr>
              <w:t> </w:t>
            </w:r>
            <w:r>
              <w:rPr>
                <w:rFonts w:ascii="宋体" w:hAnsi="宋体" w:cs="宋体" w:eastAsia="宋体" w:hint="default"/>
                <w:sz w:val="21"/>
                <w:szCs w:val="21"/>
              </w:rPr>
              <w:t>利润总额的错报大于利润总额</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的认定为重大缺陷；影响利润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总额的错报大于等于利润总额的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且小于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的，则认定为重要</w:t>
            </w:r>
            <w:r>
              <w:rPr>
                <w:rFonts w:ascii="宋体" w:hAnsi="宋体" w:cs="宋体" w:eastAsia="宋体" w:hint="default"/>
                <w:w w:val="100"/>
                <w:sz w:val="21"/>
                <w:szCs w:val="21"/>
              </w:rPr>
              <w:t> </w:t>
            </w:r>
            <w:r>
              <w:rPr>
                <w:rFonts w:ascii="宋体" w:hAnsi="宋体" w:cs="宋体" w:eastAsia="宋体" w:hint="default"/>
                <w:sz w:val="21"/>
                <w:szCs w:val="21"/>
              </w:rPr>
              <w:t>缺陷；影响利润总额的错报小于</w:t>
            </w:r>
            <w:r>
              <w:rPr>
                <w:rFonts w:ascii="宋体" w:hAnsi="宋体" w:cs="宋体" w:eastAsia="宋体" w:hint="default"/>
                <w:w w:val="100"/>
                <w:sz w:val="21"/>
                <w:szCs w:val="21"/>
              </w:rPr>
              <w:t> </w:t>
            </w:r>
            <w:r>
              <w:rPr>
                <w:rFonts w:ascii="宋体" w:hAnsi="宋体" w:cs="宋体" w:eastAsia="宋体" w:hint="default"/>
                <w:sz w:val="21"/>
                <w:szCs w:val="21"/>
              </w:rPr>
              <w:t>利润总额</w:t>
            </w:r>
            <w:r>
              <w:rPr>
                <w:rFonts w:ascii="宋体" w:hAnsi="宋体" w:cs="宋体" w:eastAsia="宋体" w:hint="default"/>
                <w:spacing w:val="-42"/>
                <w:sz w:val="21"/>
                <w:szCs w:val="21"/>
              </w:rPr>
              <w:t> </w:t>
            </w: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的，则认定为一般缺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陷</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50" w:lineRule="exact"/>
              <w:ind w:left="13" w:right="-27"/>
              <w:jc w:val="left"/>
              <w:rPr>
                <w:rFonts w:ascii="宋体" w:hAnsi="宋体" w:cs="宋体" w:eastAsia="宋体" w:hint="default"/>
                <w:sz w:val="20"/>
                <w:szCs w:val="20"/>
              </w:rPr>
            </w:pPr>
            <w:r>
              <w:rPr>
                <w:rFonts w:ascii="宋体" w:hAnsi="宋体" w:cs="宋体" w:eastAsia="宋体" w:hint="default"/>
                <w:position w:val="-6"/>
                <w:sz w:val="20"/>
                <w:szCs w:val="20"/>
              </w:rPr>
              <w:pict>
                <v:group style="width:149.7pt;height:17.55pt;mso-position-horizontal-relative:char;mso-position-vertical-relative:line" coordorigin="0,0" coordsize="2994,351">
                  <v:group style="position:absolute;left:0;top:0;width:2994;height:351" coordorigin="0,0" coordsize="2994,351">
                    <v:shape style="position:absolute;left:0;top:0;width:2994;height:351" coordorigin="0,0" coordsize="2994,351" path="m0,350l2993,350,2993,0,0,0,0,350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420"/>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华普天健会计师事务所（特殊普通合伙）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会审字</w:t>
            </w:r>
            <w:r>
              <w:rPr>
                <w:rFonts w:ascii="Times New Roman" w:hAnsi="Times New Roman" w:cs="Times New Roman" w:eastAsia="Times New Roman" w:hint="default"/>
                <w:sz w:val="21"/>
                <w:szCs w:val="21"/>
              </w:rPr>
              <w:t>[2016]0273 </w:t>
            </w:r>
            <w:r>
              <w:rPr>
                <w:rFonts w:ascii="宋体" w:hAnsi="宋体" w:cs="宋体" w:eastAsia="宋体" w:hint="default"/>
                <w:sz w:val="21"/>
                <w:szCs w:val="21"/>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肖桂莲，张雪咏，孙建伟</w:t>
            </w:r>
          </w:p>
        </w:tc>
      </w:tr>
    </w:tbl>
    <w:p>
      <w:pPr>
        <w:pStyle w:val="BodyText"/>
        <w:spacing w:line="240" w:lineRule="auto" w:before="29"/>
        <w:ind w:left="2421" w:right="2421"/>
        <w:jc w:val="center"/>
      </w:pPr>
      <w:r>
        <w:rPr/>
        <w:t>审计报告正文</w:t>
      </w:r>
    </w:p>
    <w:p>
      <w:pPr>
        <w:pStyle w:val="BodyText"/>
        <w:spacing w:line="240" w:lineRule="auto" w:before="75"/>
        <w:ind w:right="153"/>
        <w:jc w:val="left"/>
      </w:pPr>
      <w:r>
        <w:rPr/>
        <w:t>北京万向新元科技股份有限公司全体股东：</w:t>
      </w:r>
    </w:p>
    <w:p>
      <w:pPr>
        <w:spacing w:line="240" w:lineRule="auto" w:before="3"/>
        <w:rPr>
          <w:rFonts w:ascii="宋体" w:hAnsi="宋体" w:cs="宋体" w:eastAsia="宋体" w:hint="default"/>
          <w:sz w:val="9"/>
          <w:szCs w:val="9"/>
        </w:rPr>
      </w:pPr>
    </w:p>
    <w:p>
      <w:pPr>
        <w:pStyle w:val="BodyText"/>
        <w:spacing w:line="256" w:lineRule="auto" w:before="36"/>
        <w:ind w:right="151" w:firstLine="480"/>
        <w:jc w:val="both"/>
      </w:pPr>
      <w:r>
        <w:rPr/>
        <w:t>我们审计了后附的北京万向新元科技股份有限公司（以下简称万向新元）财务报表，包括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
          <w:w w:val="100"/>
        </w:rPr>
        <w:t> </w:t>
      </w:r>
      <w:r>
        <w:rPr/>
        <w:t>月</w:t>
      </w:r>
      <w:r>
        <w:rPr>
          <w:rFonts w:ascii="Times New Roman" w:hAnsi="Times New Roman" w:cs="Times New Roman" w:eastAsia="Times New Roman" w:hint="default"/>
        </w:rPr>
        <w:t>31</w:t>
      </w:r>
      <w:r>
        <w:rPr/>
        <w:t>日的合并及母公司资产负债表，</w:t>
      </w:r>
      <w:r>
        <w:rPr>
          <w:spacing w:val="63"/>
        </w:rPr>
        <w:t> </w:t>
      </w:r>
      <w:r>
        <w:rPr>
          <w:rFonts w:ascii="Times New Roman" w:hAnsi="Times New Roman" w:cs="Times New Roman" w:eastAsia="Times New Roman" w:hint="default"/>
        </w:rPr>
        <w:t>2015</w:t>
      </w:r>
      <w:r>
        <w:rPr/>
        <w:t>年度的合并及母公司利润表、合并及母公司现金流量表、合并</w:t>
      </w:r>
      <w:r>
        <w:rPr>
          <w:spacing w:val="-93"/>
        </w:rPr>
        <w:t> </w:t>
      </w:r>
      <w:r>
        <w:rPr>
          <w:spacing w:val="-93"/>
        </w:rPr>
      </w:r>
      <w:r>
        <w:rPr/>
        <w:t>及母公司所有者权益变动表，以及财务报表附注。</w:t>
      </w:r>
    </w:p>
    <w:p>
      <w:pPr>
        <w:spacing w:line="432" w:lineRule="exact" w:before="42"/>
        <w:ind w:left="633" w:right="153"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1"/>
          <w:sz w:val="21"/>
          <w:szCs w:val="21"/>
        </w:rPr>
        <w:t>编制和公允列报财务报表是万向新元管理层的责任，这种责任包括：（</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）按照企业会计准则的规定</w:t>
      </w:r>
    </w:p>
    <w:p>
      <w:pPr>
        <w:pStyle w:val="BodyText"/>
        <w:spacing w:line="271" w:lineRule="exact"/>
        <w:ind w:right="153"/>
        <w:jc w:val="left"/>
      </w:pPr>
      <w:r>
        <w:rPr/>
        <w:t>编制财务报表，并使其实现公允反映；（</w:t>
      </w:r>
      <w:r>
        <w:rPr>
          <w:rFonts w:ascii="Times New Roman" w:hAnsi="Times New Roman" w:cs="Times New Roman" w:eastAsia="Times New Roman" w:hint="default"/>
        </w:rPr>
        <w:t>2</w:t>
      </w:r>
      <w:r>
        <w:rPr/>
        <w:t>）设计、执行和维护必要的内部控制，以使财务报表不存在由</w:t>
      </w:r>
    </w:p>
    <w:p>
      <w:pPr>
        <w:spacing w:line="376" w:lineRule="auto" w:before="21"/>
        <w:ind w:left="635" w:right="5816" w:hanging="483"/>
        <w:jc w:val="left"/>
        <w:rPr>
          <w:rFonts w:ascii="宋体" w:hAnsi="宋体" w:cs="宋体" w:eastAsia="宋体" w:hint="default"/>
          <w:sz w:val="21"/>
          <w:szCs w:val="21"/>
        </w:rPr>
      </w:pPr>
      <w:r>
        <w:rPr>
          <w:rFonts w:ascii="宋体" w:hAnsi="宋体" w:cs="宋体" w:eastAsia="宋体" w:hint="default"/>
          <w:spacing w:val="-2"/>
          <w:sz w:val="21"/>
          <w:szCs w:val="21"/>
        </w:rPr>
        <w:t>于舞弊或错误而导致的重大错报。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pStyle w:val="BodyText"/>
        <w:spacing w:line="273" w:lineRule="auto" w:before="38"/>
        <w:ind w:right="146" w:firstLine="480"/>
        <w:jc w:val="both"/>
      </w:pPr>
      <w:r>
        <w:rPr>
          <w:spacing w:val="-4"/>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273" w:lineRule="auto" w:before="127"/>
        <w:ind w:right="146" w:firstLine="480"/>
        <w:jc w:val="both"/>
      </w:pPr>
      <w:r>
        <w:rPr>
          <w:spacing w:val="-4"/>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376" w:lineRule="auto" w:before="127"/>
        <w:ind w:left="635" w:right="1704" w:hanging="3"/>
        <w:jc w:val="left"/>
        <w:rPr>
          <w:rFonts w:ascii="宋体" w:hAnsi="宋体" w:cs="宋体" w:eastAsia="宋体" w:hint="default"/>
        </w:rPr>
      </w:pPr>
      <w:r>
        <w:rPr>
          <w:spacing w:val="-2"/>
        </w:rPr>
        <w:t>我们相信，我们获取的审计证据是充分、适当的，为发表审计意见提供了基础。</w:t>
      </w:r>
      <w:r>
        <w:rPr>
          <w:spacing w:val="-38"/>
        </w:rPr>
        <w:t> </w:t>
      </w:r>
      <w:r>
        <w:rPr>
          <w:spacing w:val="-38"/>
        </w:rPr>
      </w:r>
      <w:r>
        <w:rPr>
          <w:rFonts w:ascii="宋体" w:hAnsi="宋体" w:cs="宋体" w:eastAsia="宋体" w:hint="default"/>
          <w:b/>
          <w:bCs/>
        </w:rPr>
        <w:t>三、审计意见</w:t>
      </w:r>
      <w:r>
        <w:rPr>
          <w:rFonts w:ascii="宋体" w:hAnsi="宋体" w:cs="宋体" w:eastAsia="宋体" w:hint="default"/>
        </w:rPr>
      </w:r>
    </w:p>
    <w:p>
      <w:pPr>
        <w:pStyle w:val="BodyText"/>
        <w:spacing w:line="240" w:lineRule="auto" w:before="37"/>
        <w:ind w:left="633" w:right="153"/>
        <w:jc w:val="left"/>
      </w:pPr>
      <w:r>
        <w:rPr/>
        <w:t>我们认为，万向新元财务报表在所有重大方面按照企业会计准则的规定编制，公允反映了万向新元</w:t>
      </w:r>
    </w:p>
    <w:p>
      <w:pPr>
        <w:pStyle w:val="BodyText"/>
        <w:spacing w:line="240" w:lineRule="auto" w:before="37"/>
        <w:ind w:right="15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52"/>
        <w:ind w:right="153"/>
        <w:jc w:val="left"/>
        <w:rPr>
          <w:b w:val="0"/>
          <w:bCs w:val="0"/>
        </w:rPr>
      </w:pPr>
      <w:r>
        <w:rPr/>
        <w:t>二、财务报表</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3"/>
        <w:jc w:val="left"/>
      </w:pPr>
      <w:r>
        <w:rPr/>
        <w:t>财务附注中报表的单位为：人民币元</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53"/>
        <w:jc w:val="left"/>
      </w:pPr>
      <w:r>
        <w:rPr/>
        <w:t>编制单位：北京万向新元科技股份有限公司</w:t>
      </w:r>
    </w:p>
    <w:p>
      <w:pPr>
        <w:pStyle w:val="BodyText"/>
        <w:spacing w:line="240" w:lineRule="auto" w:before="75"/>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92,559,444.77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66,694,866.51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60,646,416.67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9,128,650.26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27,158,238.85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142,162,445.25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73,434,055.49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5,674,816.48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7,277,414.95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3,238,208.13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6,079,095.02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83,511,791.16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87,312,010.30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3,568,999.84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8,535,256.98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400,490,772.56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276,490,938.10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42,957,794.75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43,841,596.02</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29,242,401.03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6,146,662.83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24,569,171.02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24,836,779.97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4,385,339.00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3,653,471.43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1,367,798.00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102,522,503.80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78,478,510.25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503,013,276.36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354,969,448.35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14,900,000.00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6"/>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35,367,948.83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31,608,206.35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46,353,551.70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44,311,055.88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24,251,852.79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48,553,301.48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06"/>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4,359,744.94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4,770,346.78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9,544,381.86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6,284,689.23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443,011.07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2,096,624.28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120,320,491.19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152,524,224.00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5"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374,636.52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1,303,078.28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7,141,393.26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7,380,562.14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96,962.50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7,612,992.28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8,683,640.42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127,933,483.47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161,207,864.42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66,670,000.00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5"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184,709,742.00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38,289,767.60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12,021,736.42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10,193,351.78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111,678,314.47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95,278,464.55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375,079,792.89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193,761,583.93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375,079,792.89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193,761,583.93</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6" w:right="0"/>
              <w:jc w:val="left"/>
              <w:rPr>
                <w:rFonts w:ascii="Times New Roman" w:hAnsi="Times New Roman" w:cs="Times New Roman" w:eastAsia="Times New Roman" w:hint="default"/>
                <w:sz w:val="21"/>
                <w:szCs w:val="21"/>
              </w:rPr>
            </w:pPr>
            <w:r>
              <w:rPr>
                <w:rFonts w:ascii="Times New Roman"/>
                <w:sz w:val="21"/>
              </w:rPr>
              <w:t>503,013,276.36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6" w:right="0"/>
              <w:jc w:val="left"/>
              <w:rPr>
                <w:rFonts w:ascii="Times New Roman" w:hAnsi="Times New Roman" w:cs="Times New Roman" w:eastAsia="Times New Roman" w:hint="default"/>
                <w:sz w:val="21"/>
                <w:szCs w:val="21"/>
              </w:rPr>
            </w:pPr>
            <w:r>
              <w:rPr>
                <w:rFonts w:ascii="Times New Roman"/>
                <w:sz w:val="21"/>
              </w:rPr>
              <w:t>354,969,448.35</w:t>
            </w:r>
          </w:p>
        </w:tc>
      </w:tr>
    </w:tbl>
    <w:p>
      <w:pPr>
        <w:spacing w:line="240" w:lineRule="auto" w:before="10"/>
        <w:rPr>
          <w:rFonts w:ascii="Times New Roman" w:hAnsi="Times New Roman" w:cs="Times New Roman" w:eastAsia="Times New Roman" w:hint="default"/>
          <w:sz w:val="21"/>
          <w:szCs w:val="21"/>
        </w:rPr>
      </w:pPr>
    </w:p>
    <w:p>
      <w:pPr>
        <w:pStyle w:val="BodyText"/>
        <w:tabs>
          <w:tab w:pos="3250" w:val="left" w:leader="none"/>
          <w:tab w:pos="7338" w:val="left" w:leader="none"/>
        </w:tabs>
        <w:spacing w:line="240" w:lineRule="auto" w:before="36"/>
        <w:ind w:left="0" w:right="150"/>
        <w:jc w:val="right"/>
      </w:pPr>
      <w:r>
        <w:rPr>
          <w:spacing w:val="-2"/>
        </w:rPr>
        <w:t>法定代表人：朱业胜</w:t>
        <w:tab/>
        <w:t>主管会计工作负责人：张瑞英</w:t>
        <w:tab/>
        <w:t>会计机构负责人：孙洪涛</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1"/>
        <w:jc w:val="right"/>
      </w:pPr>
      <w:r>
        <w:rPr>
          <w:spacing w:val="-2"/>
        </w:rPr>
        <w:t>单位：元</w:t>
      </w:r>
      <w:r>
        <w:rPr/>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69,308,252.65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38,327,465.19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60,646,416.67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8,621,603.66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25,806,589.00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133,664,495.56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71,354,686.62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5,060,438.07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4,020,304.11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61,448,539.96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35,467,129.61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60,042,358.15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66,157,365.48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2,768,343.04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5,945,551.68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401,560,447.76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247,079,091.69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38,844,000.00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38,844,000.00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4,964,751.55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4,916,812.06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447,874.85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339,340.57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3,383,449.11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2,457,779.80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47,640,075.51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46,557,932.43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449,200,523.27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293,637,024.12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14,900,000.00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36,067,948.83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32,326,492.45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23,992,830.75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24,973,210.10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21,936,649.15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36,588,448.64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1,685,331.57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2,053,806.47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8,070,445.34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2,800,960.16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3,816,066.66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141,506.37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95,569,272.30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113,784,424.19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5"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305,699.99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997,832.25</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96,962.50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402,662.49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997,832.25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95,971,934.79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114,782,256.44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66,670,000.00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5"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184,341,224.26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37,921,249.86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12,021,736.42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10,193,351.78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90,195,627.80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80,740,166.04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353,228,588.48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178,854,767.68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449,200,523.27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293,637,024.12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214,272,084.27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192,262,399.80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214,272,084.27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192,262,399.80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6"/>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76"/>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193,272,582.37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154,691,431.04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144,967,131.67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114,223,900.99</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76"/>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87"/>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63" w:right="0"/>
              <w:jc w:val="left"/>
              <w:rPr>
                <w:rFonts w:ascii="宋体" w:hAnsi="宋体" w:cs="宋体" w:eastAsia="宋体" w:hint="default"/>
                <w:sz w:val="21"/>
                <w:szCs w:val="21"/>
              </w:rPr>
            </w:pPr>
            <w:r>
              <w:rPr>
                <w:rFonts w:ascii="宋体" w:hAnsi="宋体" w:cs="宋体" w:eastAsia="宋体" w:hint="default"/>
                <w:sz w:val="21"/>
                <w:szCs w:val="21"/>
              </w:rPr>
              <w:t>提取保险合同准备金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04.143845pt;margin-top:342.889984pt;width:165.8pt;height:19.7pt;mso-position-horizontal-relative:page;mso-position-vertical-relative:page;z-index:-700576"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shape style="position:absolute;margin-left:204.143845pt;margin-top:499.269989pt;width:165.8pt;height:19.6pt;mso-position-horizontal-relative:page;mso-position-vertical-relative:page;z-index:-700552"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group style="position:absolute;margin-left:211.009995pt;margin-top:342.349976pt;width:158.9pt;height:20.8pt;mso-position-horizontal-relative:page;mso-position-vertical-relative:page;z-index:-700528" coordorigin="4220,6847" coordsize="3178,416">
            <v:group style="position:absolute;left:4231;top:6858;width:2;height:394" coordorigin="4231,6858" coordsize="2,394">
              <v:shape style="position:absolute;left:4231;top:6858;width:2;height:394" coordorigin="4231,6858" coordsize="0,394" path="m4231,6858l4231,7251e" filled="false" stroked="true" strokeweight="1.08pt" strokecolor="#ffffff">
                <v:path arrowok="t"/>
              </v:shape>
            </v:group>
            <v:group style="position:absolute;left:4242;top:6858;width:3157;height:394" coordorigin="4242,6858" coordsize="3157,394">
              <v:shape style="position:absolute;left:4242;top:6858;width:3157;height:394" coordorigin="4242,6858" coordsize="3157,394" path="m4242,7251l7398,7251,7398,6858,4242,6858,4242,7251xe" filled="true" fillcolor="#ffffff" stroked="false">
                <v:path arrowok="t"/>
                <v:fill type="solid"/>
              </v:shape>
            </v:group>
            <w10:wrap type="none"/>
          </v:group>
        </w:pict>
      </w:r>
      <w:r>
        <w:rPr/>
        <w:pict>
          <v:group style="position:absolute;margin-left:211.009995pt;margin-top:498.72998pt;width:158.9pt;height:20.65pt;mso-position-horizontal-relative:page;mso-position-vertical-relative:page;z-index:-700504" coordorigin="4220,9975" coordsize="3178,413">
            <v:group style="position:absolute;left:4231;top:9985;width:2;height:392" coordorigin="4231,9985" coordsize="2,392">
              <v:shape style="position:absolute;left:4231;top:9985;width:2;height:392" coordorigin="4231,9985" coordsize="0,392" path="m4231,9985l4231,10377e" filled="false" stroked="true" strokeweight="1.08pt" strokecolor="#ffffff">
                <v:path arrowok="t"/>
              </v:shape>
            </v:group>
            <v:group style="position:absolute;left:4242;top:9985;width:3157;height:392" coordorigin="4242,9985" coordsize="3157,392">
              <v:shape style="position:absolute;left:4242;top:9985;width:3157;height:392" coordorigin="4242,9985" coordsize="3157,392" path="m4242,10377l7398,10377,7398,9985,4242,9985,4242,1037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39"/>
        <w:gridCol w:w="2183"/>
        <w:gridCol w:w="3277"/>
      </w:tblGrid>
      <w:tr>
        <w:trPr>
          <w:trHeight w:val="36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5"/>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079" w:right="0"/>
              <w:jc w:val="left"/>
              <w:rPr>
                <w:rFonts w:ascii="Times New Roman" w:hAnsi="Times New Roman" w:cs="Times New Roman" w:eastAsia="Times New Roman" w:hint="default"/>
                <w:sz w:val="21"/>
                <w:szCs w:val="21"/>
              </w:rPr>
            </w:pPr>
            <w:r>
              <w:rPr>
                <w:rFonts w:ascii="Times New Roman"/>
                <w:sz w:val="21"/>
              </w:rPr>
              <w:t>1,712,919.23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1,702,009.80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5"/>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079" w:right="0"/>
              <w:jc w:val="left"/>
              <w:rPr>
                <w:rFonts w:ascii="Times New Roman" w:hAnsi="Times New Roman" w:cs="Times New Roman" w:eastAsia="Times New Roman" w:hint="default"/>
                <w:sz w:val="21"/>
                <w:szCs w:val="21"/>
              </w:rPr>
            </w:pPr>
            <w:r>
              <w:rPr>
                <w:rFonts w:ascii="Times New Roman"/>
                <w:sz w:val="21"/>
              </w:rPr>
              <w:t>4,036,228.54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5,214,199.21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5"/>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974" w:right="0"/>
              <w:jc w:val="left"/>
              <w:rPr>
                <w:rFonts w:ascii="Times New Roman" w:hAnsi="Times New Roman" w:cs="Times New Roman" w:eastAsia="Times New Roman" w:hint="default"/>
                <w:sz w:val="21"/>
                <w:szCs w:val="21"/>
              </w:rPr>
            </w:pPr>
            <w:r>
              <w:rPr>
                <w:rFonts w:ascii="Times New Roman"/>
                <w:sz w:val="21"/>
              </w:rPr>
              <w:t>35,163,357.22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29,834,040.23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5"/>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007" w:right="0"/>
              <w:jc w:val="left"/>
              <w:rPr>
                <w:rFonts w:ascii="Times New Roman" w:hAnsi="Times New Roman" w:cs="Times New Roman" w:eastAsia="Times New Roman" w:hint="default"/>
                <w:sz w:val="21"/>
                <w:szCs w:val="21"/>
              </w:rPr>
            </w:pPr>
            <w:r>
              <w:rPr>
                <w:rFonts w:ascii="Times New Roman"/>
                <w:sz w:val="21"/>
              </w:rPr>
              <w:t>-1,643,401.05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631,373.74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079" w:right="0"/>
              <w:jc w:val="left"/>
              <w:rPr>
                <w:rFonts w:ascii="Times New Roman" w:hAnsi="Times New Roman" w:cs="Times New Roman" w:eastAsia="Times New Roman" w:hint="default"/>
                <w:sz w:val="21"/>
                <w:szCs w:val="21"/>
              </w:rPr>
            </w:pPr>
            <w:r>
              <w:rPr>
                <w:rFonts w:ascii="Times New Roman"/>
                <w:sz w:val="21"/>
              </w:rPr>
              <w:t>9,036,346.76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3,085,907.07</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646,416.67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3"/>
                <w:sz w:val="21"/>
              </w:rPr>
              <w:t>114,411.82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88"/>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10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10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号填列</w:t>
            </w:r>
          </w:p>
        </w:tc>
        <w:tc>
          <w:tcPr>
            <w:tcW w:w="1039" w:type="dxa"/>
            <w:tcBorders>
              <w:top w:val="single" w:sz="4" w:space="0" w:color="000000"/>
              <w:left w:val="single" w:sz="10" w:space="0" w:color="D2D2D2"/>
              <w:bottom w:val="single" w:sz="4" w:space="0" w:color="000000"/>
              <w:right w:val="nil" w:sz="6" w:space="0" w:color="auto"/>
            </w:tcBorders>
          </w:tcPr>
          <w:p>
            <w:pPr/>
          </w:p>
        </w:tc>
        <w:tc>
          <w:tcPr>
            <w:tcW w:w="2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21,645,918.57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37,685,380.58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079" w:right="0"/>
              <w:jc w:val="left"/>
              <w:rPr>
                <w:rFonts w:ascii="Times New Roman" w:hAnsi="Times New Roman" w:cs="Times New Roman" w:eastAsia="Times New Roman" w:hint="default"/>
                <w:sz w:val="21"/>
                <w:szCs w:val="21"/>
              </w:rPr>
            </w:pPr>
            <w:r>
              <w:rPr>
                <w:rFonts w:ascii="Times New Roman"/>
                <w:sz w:val="21"/>
              </w:rPr>
              <w:t>7,128,506.97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2,786,698.11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21,378.16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9,359.14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93,710.05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4,328.64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6,678.53</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11"/>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74" w:right="0"/>
              <w:jc w:val="left"/>
              <w:rPr>
                <w:rFonts w:ascii="Times New Roman" w:hAnsi="Times New Roman" w:cs="Times New Roman" w:eastAsia="Times New Roman" w:hint="default"/>
                <w:sz w:val="21"/>
                <w:szCs w:val="21"/>
              </w:rPr>
            </w:pPr>
            <w:r>
              <w:rPr>
                <w:rFonts w:ascii="Times New Roman"/>
                <w:sz w:val="21"/>
              </w:rPr>
              <w:t>28,765,066.40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40,378,368.64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079" w:right="0"/>
              <w:jc w:val="left"/>
              <w:rPr>
                <w:rFonts w:ascii="Times New Roman" w:hAnsi="Times New Roman" w:cs="Times New Roman" w:eastAsia="Times New Roman" w:hint="default"/>
                <w:sz w:val="21"/>
                <w:szCs w:val="21"/>
              </w:rPr>
            </w:pPr>
            <w:r>
              <w:rPr>
                <w:rFonts w:ascii="Times New Roman"/>
                <w:sz w:val="21"/>
              </w:rPr>
              <w:t>3,536,831.84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5,842,908.50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106"/>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104"/>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号填列</w:t>
            </w:r>
          </w:p>
        </w:tc>
        <w:tc>
          <w:tcPr>
            <w:tcW w:w="1039" w:type="dxa"/>
            <w:tcBorders>
              <w:top w:val="single" w:sz="4" w:space="0" w:color="000000"/>
              <w:left w:val="single" w:sz="10" w:space="0" w:color="D2D2D2"/>
              <w:bottom w:val="single" w:sz="4" w:space="0" w:color="000000"/>
              <w:right w:val="nil" w:sz="6" w:space="0" w:color="auto"/>
            </w:tcBorders>
          </w:tcPr>
          <w:p>
            <w:pPr/>
          </w:p>
        </w:tc>
        <w:tc>
          <w:tcPr>
            <w:tcW w:w="2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25,228,234.56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34,535,460.14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974" w:right="0"/>
              <w:jc w:val="left"/>
              <w:rPr>
                <w:rFonts w:ascii="Times New Roman" w:hAnsi="Times New Roman" w:cs="Times New Roman" w:eastAsia="Times New Roman" w:hint="default"/>
                <w:sz w:val="21"/>
                <w:szCs w:val="21"/>
              </w:rPr>
            </w:pPr>
            <w:r>
              <w:rPr>
                <w:rFonts w:ascii="Times New Roman"/>
                <w:sz w:val="21"/>
              </w:rPr>
              <w:t>25,228,234.56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34,535,460.14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88"/>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88"/>
              <w:jc w:val="left"/>
              <w:rPr>
                <w:rFonts w:ascii="宋体" w:hAnsi="宋体" w:cs="宋体" w:eastAsia="宋体" w:hint="default"/>
                <w:sz w:val="21"/>
                <w:szCs w:val="21"/>
              </w:rPr>
            </w:pPr>
            <w:r>
              <w:rPr>
                <w:rFonts w:ascii="宋体" w:hAnsi="宋体" w:cs="宋体" w:eastAsia="宋体" w:hint="default"/>
                <w:spacing w:val="-2"/>
                <w:sz w:val="21"/>
                <w:szCs w:val="21"/>
              </w:rPr>
              <w:t>（一）以后不能重分类进损益的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其他综合收益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9"/>
              <w:ind w:left="22" w:right="141"/>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重新计量设定受益计划净负债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88"/>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w:t>
            </w:r>
            <w:r>
              <w:rPr>
                <w:rFonts w:ascii="宋体" w:hAnsi="宋体" w:cs="宋体" w:eastAsia="宋体" w:hint="default"/>
                <w:w w:val="100"/>
                <w:sz w:val="21"/>
                <w:szCs w:val="21"/>
              </w:rPr>
              <w:t> </w:t>
            </w:r>
            <w:r>
              <w:rPr>
                <w:rFonts w:ascii="宋体" w:hAnsi="宋体" w:cs="宋体" w:eastAsia="宋体" w:hint="default"/>
                <w:spacing w:val="-2"/>
                <w:sz w:val="21"/>
                <w:szCs w:val="21"/>
              </w:rPr>
              <w:t>分类进损益的其他综合收益中享</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2" w:right="88"/>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权益法下在被投资单位以后将</w:t>
            </w:r>
            <w:r>
              <w:rPr>
                <w:rFonts w:ascii="宋体" w:hAnsi="宋体" w:cs="宋体" w:eastAsia="宋体" w:hint="default"/>
                <w:w w:val="100"/>
                <w:sz w:val="21"/>
                <w:szCs w:val="21"/>
              </w:rPr>
              <w:t> </w:t>
            </w:r>
            <w:r>
              <w:rPr>
                <w:rFonts w:ascii="宋体" w:hAnsi="宋体" w:cs="宋体" w:eastAsia="宋体" w:hint="default"/>
                <w:spacing w:val="-2"/>
                <w:sz w:val="21"/>
                <w:szCs w:val="21"/>
              </w:rPr>
              <w:t>重分类进损益的其他综合收益中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41"/>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可供出售金融资产公允价值变</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41"/>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持有至到期投资重分类为可供</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88"/>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25,228,234.56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34,535,460.14</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88"/>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25,228,234.56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34,535,460.14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0.69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0.69</w:t>
            </w:r>
          </w:p>
        </w:tc>
      </w:tr>
    </w:tbl>
    <w:p>
      <w:pPr>
        <w:pStyle w:val="BodyText"/>
        <w:spacing w:line="273" w:lineRule="auto" w:before="28"/>
        <w:ind w:right="116"/>
        <w:jc w:val="left"/>
      </w:pPr>
      <w:r>
        <w:rPr>
          <w:spacing w:val="-5"/>
        </w:rPr>
        <w:t>本期发生同一控制下企业合并的，被合并方在合并前实现的净利润为：元，上期被合并方实现的净利润为： </w:t>
      </w:r>
      <w:r>
        <w:rPr/>
        <w:t>元。</w:t>
      </w:r>
    </w:p>
    <w:p>
      <w:pPr>
        <w:spacing w:line="240" w:lineRule="auto" w:before="7"/>
        <w:rPr>
          <w:rFonts w:ascii="宋体" w:hAnsi="宋体" w:cs="宋体" w:eastAsia="宋体" w:hint="default"/>
          <w:sz w:val="23"/>
          <w:szCs w:val="23"/>
        </w:rPr>
      </w:pPr>
    </w:p>
    <w:p>
      <w:pPr>
        <w:pStyle w:val="BodyText"/>
        <w:tabs>
          <w:tab w:pos="3403" w:val="left" w:leader="none"/>
          <w:tab w:pos="7490" w:val="left" w:leader="none"/>
        </w:tabs>
        <w:spacing w:line="240" w:lineRule="auto"/>
        <w:ind w:right="116"/>
        <w:jc w:val="left"/>
      </w:pPr>
      <w:r>
        <w:rPr>
          <w:spacing w:val="-2"/>
        </w:rPr>
        <w:t>法定代表人：朱业胜</w:t>
        <w:tab/>
        <w:t>主管会计工作负责人：张瑞英</w:t>
        <w:tab/>
        <w:t>会计机构负责人：孙洪涛</w:t>
      </w:r>
    </w:p>
    <w:p>
      <w:pPr>
        <w:spacing w:line="240" w:lineRule="auto" w:before="10"/>
        <w:rPr>
          <w:rFonts w:ascii="宋体" w:hAnsi="宋体" w:cs="宋体" w:eastAsia="宋体" w:hint="default"/>
          <w:sz w:val="25"/>
          <w:szCs w:val="25"/>
        </w:rPr>
      </w:pPr>
    </w:p>
    <w:p>
      <w:pPr>
        <w:pStyle w:val="Heading4"/>
        <w:spacing w:line="240" w:lineRule="auto"/>
        <w:ind w:right="116"/>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08"/>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167,137,570.08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160,249,803.31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118,177,865.34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107,044,554.44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839,295.84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1,046,465.86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2,209,606.91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2,012,746.91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22,845,739.45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18,355,139.79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-238,780.03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648,390.27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8,773,598.72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2,762,172.24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646,416.67</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3"/>
                <w:sz w:val="21"/>
              </w:rPr>
              <w:t>114,411.82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842"/>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7"/>
              <w:jc w:val="left"/>
              <w:rPr>
                <w:rFonts w:ascii="宋体" w:hAnsi="宋体" w:cs="宋体" w:eastAsia="宋体" w:hint="default"/>
                <w:sz w:val="21"/>
                <w:szCs w:val="21"/>
              </w:rPr>
            </w:pPr>
            <w:r>
              <w:rPr>
                <w:rFonts w:ascii="宋体" w:hAnsi="宋体" w:cs="宋体" w:eastAsia="宋体" w:hint="default"/>
                <w:spacing w:val="-2"/>
                <w:sz w:val="21"/>
                <w:szCs w:val="21"/>
              </w:rPr>
              <w:t>二、营业利润（亏损以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82"/>
                <w:sz w:val="21"/>
                <w:szCs w:val="21"/>
              </w:rPr>
              <w:t> </w:t>
            </w:r>
            <w:r>
              <w:rPr>
                <w:rFonts w:ascii="宋体" w:hAnsi="宋体" w:cs="宋体" w:eastAsia="宋体" w:hint="default"/>
                <w:sz w:val="21"/>
                <w:szCs w:val="21"/>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15,176,660.52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28,494,745.62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5,638,435.85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2,150,167.75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21,378.16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9,355.99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18,802.22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4,328.64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7"/>
              <w:jc w:val="left"/>
              <w:rPr>
                <w:rFonts w:ascii="宋体" w:hAnsi="宋体" w:cs="宋体" w:eastAsia="宋体" w:hint="default"/>
                <w:sz w:val="21"/>
                <w:szCs w:val="21"/>
              </w:rPr>
            </w:pPr>
            <w:r>
              <w:rPr>
                <w:rFonts w:ascii="宋体" w:hAnsi="宋体" w:cs="宋体" w:eastAsia="宋体" w:hint="default"/>
                <w:spacing w:val="-2"/>
                <w:sz w:val="21"/>
                <w:szCs w:val="21"/>
              </w:rPr>
              <w:t>三、利润总额（亏损总额以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20,805,740.38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30,626,111.15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2,521,893.98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3,983,985.91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7"/>
              <w:jc w:val="left"/>
              <w:rPr>
                <w:rFonts w:ascii="宋体" w:hAnsi="宋体" w:cs="宋体" w:eastAsia="宋体" w:hint="default"/>
                <w:sz w:val="21"/>
                <w:szCs w:val="21"/>
              </w:rPr>
            </w:pPr>
            <w:r>
              <w:rPr>
                <w:rFonts w:ascii="宋体" w:hAnsi="宋体" w:cs="宋体" w:eastAsia="宋体" w:hint="default"/>
                <w:spacing w:val="-2"/>
                <w:sz w:val="21"/>
                <w:szCs w:val="21"/>
              </w:rPr>
              <w:t>四、净利润（净亏损以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83"/>
                <w:sz w:val="21"/>
                <w:szCs w:val="21"/>
              </w:rPr>
              <w:t> </w:t>
            </w:r>
            <w:r>
              <w:rPr>
                <w:rFonts w:ascii="宋体" w:hAnsi="宋体" w:cs="宋体" w:eastAsia="宋体" w:hint="default"/>
                <w:sz w:val="21"/>
                <w:szCs w:val="21"/>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18,283,846.40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26,642,125.24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406"/>
              <w:jc w:val="left"/>
              <w:rPr>
                <w:rFonts w:ascii="宋体" w:hAnsi="宋体" w:cs="宋体" w:eastAsia="宋体" w:hint="default"/>
                <w:sz w:val="21"/>
                <w:szCs w:val="21"/>
              </w:rPr>
            </w:pPr>
            <w:r>
              <w:rPr>
                <w:rFonts w:ascii="宋体" w:hAnsi="宋体" w:cs="宋体" w:eastAsia="宋体" w:hint="default"/>
                <w:spacing w:val="-3"/>
                <w:sz w:val="21"/>
                <w:szCs w:val="21"/>
              </w:rPr>
              <w:t>（一）以后不能重分类进损</w:t>
            </w:r>
            <w:r>
              <w:rPr>
                <w:rFonts w:ascii="宋体" w:hAnsi="宋体" w:cs="宋体" w:eastAsia="宋体" w:hint="default"/>
                <w:w w:val="100"/>
                <w:sz w:val="21"/>
                <w:szCs w:val="21"/>
              </w:rPr>
              <w:t> </w:t>
            </w:r>
            <w:r>
              <w:rPr>
                <w:rFonts w:ascii="宋体" w:hAnsi="宋体" w:cs="宋体" w:eastAsia="宋体" w:hint="default"/>
                <w:sz w:val="21"/>
                <w:szCs w:val="21"/>
              </w:rPr>
              <w:t>益的其他综合收益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w:t>
            </w:r>
            <w:r>
              <w:rPr>
                <w:rFonts w:ascii="宋体" w:hAnsi="宋体" w:cs="宋体" w:eastAsia="宋体" w:hint="default"/>
                <w:w w:val="100"/>
                <w:sz w:val="21"/>
                <w:szCs w:val="21"/>
              </w:rPr>
              <w:t> </w:t>
            </w:r>
            <w:r>
              <w:rPr>
                <w:rFonts w:ascii="宋体" w:hAnsi="宋体" w:cs="宋体" w:eastAsia="宋体" w:hint="default"/>
                <w:sz w:val="21"/>
                <w:szCs w:val="21"/>
              </w:rPr>
              <w:t>计划净负债或净资产的变动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w:t>
            </w:r>
            <w:r>
              <w:rPr>
                <w:rFonts w:ascii="宋体" w:hAnsi="宋体" w:cs="宋体" w:eastAsia="宋体" w:hint="default"/>
                <w:w w:val="100"/>
                <w:sz w:val="21"/>
                <w:szCs w:val="21"/>
              </w:rPr>
              <w:t> </w:t>
            </w:r>
            <w:r>
              <w:rPr>
                <w:rFonts w:ascii="宋体" w:hAnsi="宋体" w:cs="宋体" w:eastAsia="宋体" w:hint="default"/>
                <w:sz w:val="21"/>
                <w:szCs w:val="21"/>
              </w:rPr>
              <w:t>单位不能重分类进损益的其他</w:t>
            </w:r>
            <w:r>
              <w:rPr>
                <w:rFonts w:ascii="宋体" w:hAnsi="宋体" w:cs="宋体" w:eastAsia="宋体" w:hint="default"/>
                <w:w w:val="100"/>
                <w:sz w:val="21"/>
                <w:szCs w:val="21"/>
              </w:rPr>
              <w:t> </w:t>
            </w:r>
            <w:r>
              <w:rPr>
                <w:rFonts w:ascii="宋体" w:hAnsi="宋体" w:cs="宋体" w:eastAsia="宋体" w:hint="default"/>
                <w:sz w:val="21"/>
                <w:szCs w:val="21"/>
              </w:rPr>
              <w:t>综合收益中享有的份额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firstLine="406"/>
              <w:jc w:val="left"/>
              <w:rPr>
                <w:rFonts w:ascii="宋体" w:hAnsi="宋体" w:cs="宋体" w:eastAsia="宋体" w:hint="default"/>
                <w:sz w:val="21"/>
                <w:szCs w:val="21"/>
              </w:rPr>
            </w:pPr>
            <w:r>
              <w:rPr>
                <w:rFonts w:ascii="宋体" w:hAnsi="宋体" w:cs="宋体" w:eastAsia="宋体" w:hint="default"/>
                <w:spacing w:val="-3"/>
                <w:sz w:val="21"/>
                <w:szCs w:val="21"/>
              </w:rPr>
              <w:t>（二）以后将重分类进损益</w:t>
            </w:r>
            <w:r>
              <w:rPr>
                <w:rFonts w:ascii="宋体" w:hAnsi="宋体" w:cs="宋体" w:eastAsia="宋体" w:hint="default"/>
                <w:w w:val="100"/>
                <w:sz w:val="21"/>
                <w:szCs w:val="21"/>
              </w:rPr>
              <w:t> </w:t>
            </w:r>
            <w:r>
              <w:rPr>
                <w:rFonts w:ascii="宋体" w:hAnsi="宋体" w:cs="宋体" w:eastAsia="宋体" w:hint="default"/>
                <w:sz w:val="21"/>
                <w:szCs w:val="21"/>
              </w:rPr>
              <w:t>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w:t>
            </w:r>
            <w:r>
              <w:rPr>
                <w:rFonts w:ascii="宋体" w:hAnsi="宋体" w:cs="宋体" w:eastAsia="宋体" w:hint="default"/>
                <w:w w:val="100"/>
                <w:sz w:val="21"/>
                <w:szCs w:val="21"/>
              </w:rPr>
              <w:t> </w:t>
            </w:r>
            <w:r>
              <w:rPr>
                <w:rFonts w:ascii="宋体" w:hAnsi="宋体" w:cs="宋体" w:eastAsia="宋体" w:hint="default"/>
                <w:sz w:val="21"/>
                <w:szCs w:val="21"/>
              </w:rPr>
              <w:t>单位以后将重分类进损益的其</w:t>
            </w:r>
            <w:r>
              <w:rPr>
                <w:rFonts w:ascii="宋体" w:hAnsi="宋体" w:cs="宋体" w:eastAsia="宋体" w:hint="default"/>
                <w:w w:val="100"/>
                <w:sz w:val="21"/>
                <w:szCs w:val="21"/>
              </w:rPr>
              <w:t> </w:t>
            </w:r>
            <w:r>
              <w:rPr>
                <w:rFonts w:ascii="宋体" w:hAnsi="宋体" w:cs="宋体" w:eastAsia="宋体" w:hint="default"/>
                <w:sz w:val="21"/>
                <w:szCs w:val="21"/>
              </w:rPr>
              <w:t>他综合收益中享有的份额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w:t>
            </w:r>
            <w:r>
              <w:rPr>
                <w:rFonts w:ascii="宋体" w:hAnsi="宋体" w:cs="宋体" w:eastAsia="宋体" w:hint="default"/>
                <w:w w:val="100"/>
                <w:sz w:val="21"/>
                <w:szCs w:val="21"/>
              </w:rPr>
              <w:t> </w:t>
            </w:r>
            <w:r>
              <w:rPr>
                <w:rFonts w:ascii="宋体" w:hAnsi="宋体" w:cs="宋体" w:eastAsia="宋体" w:hint="default"/>
                <w:sz w:val="21"/>
                <w:szCs w:val="21"/>
              </w:rPr>
              <w:t>分类为可供出售金融资产损益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w:t>
            </w:r>
            <w:r>
              <w:rPr>
                <w:rFonts w:ascii="宋体" w:hAnsi="宋体" w:cs="宋体" w:eastAsia="宋体" w:hint="default"/>
                <w:w w:val="100"/>
                <w:sz w:val="21"/>
                <w:szCs w:val="21"/>
              </w:rPr>
              <w:t> </w:t>
            </w:r>
            <w:r>
              <w:rPr>
                <w:rFonts w:ascii="宋体" w:hAnsi="宋体" w:cs="宋体" w:eastAsia="宋体" w:hint="default"/>
                <w:sz w:val="21"/>
                <w:szCs w:val="21"/>
              </w:rPr>
              <w:t>的有效部分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29"/>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left="2065" w:right="0"/>
              <w:jc w:val="left"/>
              <w:rPr>
                <w:rFonts w:ascii="Times New Roman" w:hAnsi="Times New Roman" w:cs="Times New Roman" w:eastAsia="Times New Roman" w:hint="default"/>
                <w:sz w:val="21"/>
                <w:szCs w:val="21"/>
              </w:rPr>
            </w:pPr>
            <w:r>
              <w:rPr>
                <w:rFonts w:ascii="Times New Roman"/>
                <w:sz w:val="21"/>
              </w:rPr>
              <w:t>18,283,846.40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062" w:right="0"/>
              <w:jc w:val="left"/>
              <w:rPr>
                <w:rFonts w:ascii="Times New Roman" w:hAnsi="Times New Roman" w:cs="Times New Roman" w:eastAsia="Times New Roman" w:hint="default"/>
                <w:sz w:val="21"/>
                <w:szCs w:val="21"/>
              </w:rPr>
            </w:pPr>
            <w:r>
              <w:rPr>
                <w:rFonts w:ascii="Times New Roman"/>
                <w:sz w:val="21"/>
              </w:rPr>
              <w:t>26,642,125.24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06"/>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6"/>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2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116,352,020.34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168,522,138.31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客户存款和同业存放款项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向其他金融机构拆入资金</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收到原保险合同保费取得</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both"/>
              <w:rPr>
                <w:rFonts w:ascii="宋体" w:hAnsi="宋体" w:cs="宋体" w:eastAsia="宋体" w:hint="default"/>
                <w:sz w:val="21"/>
                <w:szCs w:val="21"/>
              </w:rPr>
            </w:pPr>
            <w:r>
              <w:rPr>
                <w:rFonts w:ascii="宋体" w:hAnsi="宋体" w:cs="宋体" w:eastAsia="宋体" w:hint="default"/>
                <w:spacing w:val="-2"/>
                <w:sz w:val="21"/>
                <w:szCs w:val="21"/>
              </w:rPr>
              <w:t>处置以公允价值计量且其</w:t>
            </w:r>
            <w:r>
              <w:rPr>
                <w:rFonts w:ascii="宋体" w:hAnsi="宋体" w:cs="宋体" w:eastAsia="宋体" w:hint="default"/>
                <w:w w:val="100"/>
                <w:sz w:val="21"/>
                <w:szCs w:val="21"/>
              </w:rPr>
              <w:t> </w:t>
            </w:r>
            <w:r>
              <w:rPr>
                <w:rFonts w:ascii="宋体" w:hAnsi="宋体" w:cs="宋体" w:eastAsia="宋体" w:hint="default"/>
                <w:spacing w:val="-2"/>
                <w:sz w:val="21"/>
                <w:szCs w:val="21"/>
              </w:rPr>
              <w:t>变动计入当期损益的金融资产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收取利息、手续费及佣金的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7,650,499.71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1,153,662.08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5,168,140.37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1,978,457.56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129,170,660.42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171,654,257.95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89,137,473.54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75,630,100.50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存放中央银行和同业款项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支付原保险合同赔付款项</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支付利息、手续费及佣金的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40,691,430.48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33,401,021.37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13,420,061.32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23,345,686.55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20,072,885.79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13,795,943.85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163,321,851.13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146,172,752.27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-34,151,190.71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25,481,505.68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3"/>
              <w:jc w:val="righ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3"/>
                <w:sz w:val="21"/>
              </w:rPr>
              <w:t>114,411.82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24,673.40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1,650.00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24,673.40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116,061.82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25,941,257.76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1,900,449.13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85,941,257.76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1,900,449.13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-85,916,584.36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-1,784,387.31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3"/>
              <w:jc w:val="righ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175,961,300.00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
              <w:jc w:val="right"/>
              <w:rPr>
                <w:rFonts w:ascii="宋体" w:hAnsi="宋体" w:cs="宋体" w:eastAsia="宋体" w:hint="default"/>
                <w:sz w:val="21"/>
                <w:szCs w:val="21"/>
              </w:rPr>
            </w:pPr>
            <w:r>
              <w:rPr>
                <w:rFonts w:ascii="宋体" w:hAnsi="宋体" w:cs="宋体" w:eastAsia="宋体" w:hint="default"/>
                <w:spacing w:val="-4"/>
                <w:sz w:val="21"/>
                <w:szCs w:val="21"/>
              </w:rPr>
              <w:t>其中：子公司吸收少数股东</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14,900,000.00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180,961,300.00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14,900,000.00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13,900,000.00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8,748,757.17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6,847,666.25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w:t>
            </w:r>
            <w:r>
              <w:rPr>
                <w:rFonts w:ascii="宋体" w:hAnsi="宋体" w:cs="宋体" w:eastAsia="宋体" w:hint="default"/>
                <w:w w:val="100"/>
                <w:sz w:val="21"/>
                <w:szCs w:val="21"/>
              </w:rPr>
              <w:t> </w:t>
            </w:r>
            <w:r>
              <w:rPr>
                <w:rFonts w:ascii="宋体" w:hAnsi="宋体" w:cs="宋体" w:eastAsia="宋体" w:hint="default"/>
                <w:sz w:val="21"/>
                <w:szCs w:val="21"/>
              </w:rPr>
              <w:t>东的股利、利润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8,803,992.60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834,082.88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37,452,749.77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21,581,749.13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143,508,550.23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-6,681,749.13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886,697.36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160,274.68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24,327,472.52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17,175,643.92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65,300,964.40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48,125,320.48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89,628,436.92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65,300,964.40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84,225,505.60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121,656,008.07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2,699,846.15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991,965.81</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3,830,368.44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1,463,294.72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90,755,720.19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124,111,268.60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94,344,565.71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80,188,358.03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19,744,605.21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15,251,976.29</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5,683,796.80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18,763,462.23</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13,482,308.02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9,799,465.65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133,255,275.74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124,003,262.20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-42,499,555.55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108,006.40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3"/>
                <w:sz w:val="21"/>
              </w:rPr>
              <w:t>114,411.82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24,673.40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24,673.40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3"/>
                <w:sz w:val="21"/>
              </w:rPr>
              <w:t>114,411.82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570,458.12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351,140.98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1,916,775.55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60,570,458.12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2,267,916.53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-60,545,784.72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-2,153,504.71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23"/>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175,961,300.00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14,900,000.00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18,839,904.60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3,682,203.23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199,801,204.60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18,582,203.23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19,900,000.00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12,900,000.00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8,748,757.17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6,809,270.41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38,673,537.40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834,082.88</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67,322,294.57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20,543,353.29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132,478,910.03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-1,961,150.06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10,111.96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29,443,681.72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-4,006,648.37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36,933,563.08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40,940,211.45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66,377,244.80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36,933,563.08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53"/>
        <w:jc w:val="left"/>
      </w:pPr>
      <w:r>
        <w:rPr/>
        <w:t>本期金额</w:t>
      </w:r>
    </w:p>
    <w:p>
      <w:pPr>
        <w:pStyle w:val="BodyText"/>
        <w:spacing w:line="240" w:lineRule="auto" w:before="76"/>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1"/>
        <w:gridCol w:w="530"/>
        <w:gridCol w:w="665"/>
        <w:gridCol w:w="665"/>
        <w:gridCol w:w="665"/>
        <w:gridCol w:w="665"/>
        <w:gridCol w:w="665"/>
        <w:gridCol w:w="665"/>
        <w:gridCol w:w="665"/>
        <w:gridCol w:w="665"/>
        <w:gridCol w:w="660"/>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94"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25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5" w:right="110"/>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146"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13"/>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60" w:type="dxa"/>
            <w:vMerge/>
            <w:tcBorders>
              <w:left w:val="single" w:sz="4" w:space="0" w:color="000000"/>
              <w:right w:val="single" w:sz="4" w:space="0" w:color="000000"/>
            </w:tcBorders>
            <w:shd w:val="clear" w:color="auto" w:fill="D2D2D2"/>
          </w:tcPr>
          <w:p>
            <w:pPr/>
          </w:p>
        </w:tc>
      </w:tr>
      <w:tr>
        <w:trPr>
          <w:trHeight w:val="211"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6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117" w:right="11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117" w:right="11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117" w:right="113"/>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bottom w:val="single" w:sz="18" w:space="0" w:color="FFFFFF"/>
              <w:right w:val="single" w:sz="4" w:space="0" w:color="000000"/>
            </w:tcBorders>
            <w:shd w:val="clear" w:color="auto" w:fill="D2D2D2"/>
          </w:tcPr>
          <w:p>
            <w:pPr/>
          </w:p>
        </w:tc>
        <w:tc>
          <w:tcPr>
            <w:tcW w:w="572" w:type="dxa"/>
            <w:vMerge/>
            <w:tcBorders>
              <w:left w:val="single" w:sz="4" w:space="0" w:color="000000"/>
              <w:bottom w:val="single" w:sz="18" w:space="0" w:color="FFFFFF"/>
              <w:right w:val="single" w:sz="4" w:space="0" w:color="000000"/>
            </w:tcBorders>
            <w:shd w:val="clear" w:color="auto" w:fill="D2D2D2"/>
          </w:tcPr>
          <w:p>
            <w:pPr/>
          </w:p>
        </w:tc>
        <w:tc>
          <w:tcPr>
            <w:tcW w:w="1594" w:type="dxa"/>
            <w:gridSpan w:val="3"/>
            <w:vMerge/>
            <w:tcBorders>
              <w:left w:val="single" w:sz="4" w:space="0" w:color="000000"/>
              <w:bottom w:val="single" w:sz="18" w:space="0" w:color="FFFFFF"/>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13"/>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7" w:hanging="94"/>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存股</w:t>
            </w: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13"/>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13"/>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8" w:hRule="exact"/>
        </w:trPr>
        <w:tc>
          <w:tcPr>
            <w:tcW w:w="1415" w:type="dxa"/>
            <w:vMerge w:val="restart"/>
            <w:tcBorders>
              <w:top w:val="single" w:sz="18" w:space="0" w:color="FFFFFF"/>
              <w:left w:val="single" w:sz="4" w:space="0" w:color="000000"/>
              <w:right w:val="single" w:sz="4" w:space="0" w:color="000000"/>
            </w:tcBorders>
            <w:shd w:val="clear" w:color="auto" w:fill="D2D2D2"/>
          </w:tcPr>
          <w:p>
            <w:pPr/>
          </w:p>
        </w:tc>
        <w:tc>
          <w:tcPr>
            <w:tcW w:w="572" w:type="dxa"/>
            <w:vMerge w:val="restart"/>
            <w:tcBorders>
              <w:top w:val="single" w:sz="18" w:space="0" w:color="FFFFFF"/>
              <w:left w:val="single" w:sz="13" w:space="0" w:color="D2D2D2"/>
              <w:right w:val="single" w:sz="22" w:space="0" w:color="D2D2D2"/>
            </w:tcBorders>
          </w:tcPr>
          <w:p>
            <w:pPr>
              <w:pStyle w:val="TableParagraph"/>
              <w:tabs>
                <w:tab w:pos="529" w:val="left" w:leader="none"/>
              </w:tabs>
              <w:spacing w:line="267" w:lineRule="exact"/>
              <w:ind w:left="22" w:right="-2"/>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0"/>
                <w:w w:val="100"/>
                <w:sz w:val="21"/>
                <w:szCs w:val="21"/>
                <w:shd w:fill="D2D2D2" w:color="auto" w:val="clear"/>
              </w:rPr>
              <w:t> </w:t>
            </w:r>
            <w:r>
              <w:rPr>
                <w:rFonts w:ascii="宋体" w:hAnsi="宋体" w:cs="宋体" w:eastAsia="宋体" w:hint="default"/>
                <w:sz w:val="21"/>
                <w:szCs w:val="21"/>
                <w:shd w:fill="D2D2D2" w:color="auto" w:val="clear"/>
              </w:rPr>
              <w:t>股本</w:t>
              <w:tab/>
            </w:r>
            <w:r>
              <w:rPr>
                <w:rFonts w:ascii="宋体" w:hAnsi="宋体" w:cs="宋体" w:eastAsia="宋体" w:hint="default"/>
                <w:sz w:val="21"/>
                <w:szCs w:val="21"/>
              </w:rPr>
            </w:r>
          </w:p>
        </w:tc>
        <w:tc>
          <w:tcPr>
            <w:tcW w:w="533" w:type="dxa"/>
            <w:vMerge w:val="restart"/>
            <w:tcBorders>
              <w:top w:val="single" w:sz="18" w:space="0" w:color="FFFFFF"/>
              <w:left w:val="single" w:sz="4" w:space="0" w:color="000000"/>
              <w:right w:val="single" w:sz="4" w:space="0" w:color="000000"/>
            </w:tcBorders>
            <w:shd w:val="clear" w:color="auto" w:fill="D2D2D2"/>
          </w:tcPr>
          <w:p>
            <w:pPr>
              <w:pStyle w:val="TableParagraph"/>
              <w:spacing w:line="271" w:lineRule="auto" w:before="38"/>
              <w:ind w:left="155" w:right="48"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31" w:type="dxa"/>
            <w:vMerge w:val="restart"/>
            <w:tcBorders>
              <w:top w:val="single" w:sz="18" w:space="0" w:color="FFFFFF"/>
              <w:left w:val="single" w:sz="4" w:space="0" w:color="000000"/>
              <w:right w:val="single" w:sz="4" w:space="0" w:color="000000"/>
            </w:tcBorders>
            <w:shd w:val="clear" w:color="auto" w:fill="D2D2D2"/>
          </w:tcPr>
          <w:p>
            <w:pPr>
              <w:pStyle w:val="TableParagraph"/>
              <w:spacing w:line="271" w:lineRule="auto" w:before="38"/>
              <w:ind w:left="156" w:right="46"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30" w:type="dxa"/>
            <w:tcBorders>
              <w:top w:val="single" w:sz="18" w:space="0" w:color="FFFFFF"/>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90"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13" w:space="0" w:color="D2D2D2"/>
              <w:bottom w:val="nil" w:sz="6" w:space="0" w:color="auto"/>
              <w:right w:val="single" w:sz="22" w:space="0" w:color="D2D2D2"/>
            </w:tcBorders>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22" w:space="0" w:color="D2D2D2"/>
              <w:right w:val="single" w:sz="22" w:space="0" w:color="D2D2D2"/>
            </w:tcBorders>
          </w:tcPr>
          <w:p>
            <w:pPr>
              <w:pStyle w:val="TableParagraph"/>
              <w:tabs>
                <w:tab w:pos="476" w:val="left" w:leader="none"/>
              </w:tabs>
              <w:spacing w:line="240" w:lineRule="auto" w:before="28"/>
              <w:ind w:left="1" w:right="-2"/>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27"/>
                <w:w w:val="100"/>
                <w:sz w:val="21"/>
                <w:szCs w:val="21"/>
                <w:shd w:fill="D2D2D2" w:color="auto" w:val="clear"/>
              </w:rPr>
              <w:t> </w:t>
            </w:r>
            <w:r>
              <w:rPr>
                <w:rFonts w:ascii="宋体" w:hAnsi="宋体" w:cs="宋体" w:eastAsia="宋体" w:hint="default"/>
                <w:sz w:val="21"/>
                <w:szCs w:val="21"/>
                <w:shd w:fill="D2D2D2" w:color="auto" w:val="clear"/>
              </w:rPr>
              <w:t>其他</w:t>
              <w:tab/>
            </w:r>
            <w:r>
              <w:rPr>
                <w:rFonts w:ascii="宋体" w:hAnsi="宋体" w:cs="宋体" w:eastAsia="宋体" w:hint="default"/>
                <w:sz w:val="21"/>
                <w:szCs w:val="21"/>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34"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22" w:space="0" w:color="D2D2D2"/>
              <w:bottom w:val="nil" w:sz="6" w:space="0" w:color="auto"/>
              <w:right w:val="single" w:sz="22" w:space="0" w:color="D2D2D2"/>
            </w:tcBorders>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24"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75"/>
              <w:ind w:left="61" w:right="0"/>
              <w:jc w:val="left"/>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70"/>
              <w:ind w:left="61"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0"/>
              <w:ind w:left="272" w:right="0"/>
              <w:jc w:val="left"/>
              <w:rPr>
                <w:rFonts w:ascii="Times New Roman" w:hAnsi="Times New Roman" w:cs="Times New Roman" w:eastAsia="Times New Roman" w:hint="default"/>
                <w:sz w:val="21"/>
                <w:szCs w:val="21"/>
              </w:rPr>
            </w:pPr>
            <w:r>
              <w:rPr>
                <w:rFonts w:ascii="Times New Roman"/>
                <w:sz w:val="21"/>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38,289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,767.6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22" w:space="0" w:color="D2D2D2"/>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10,193</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,351.7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8</w:t>
            </w:r>
          </w:p>
        </w:tc>
        <w:tc>
          <w:tcPr>
            <w:tcW w:w="665" w:type="dxa"/>
            <w:vMerge w:val="restart"/>
            <w:tcBorders>
              <w:top w:val="single" w:sz="22" w:space="0" w:color="D2D2D2"/>
              <w:left w:val="single" w:sz="4" w:space="0" w:color="000000"/>
              <w:right w:val="single" w:sz="4" w:space="0" w:color="000000"/>
            </w:tcBorders>
          </w:tcPr>
          <w:p>
            <w:pPr/>
          </w:p>
        </w:tc>
        <w:tc>
          <w:tcPr>
            <w:tcW w:w="665" w:type="dxa"/>
            <w:vMerge w:val="restart"/>
            <w:tcBorders>
              <w:top w:val="single" w:sz="22" w:space="0" w:color="D2D2D2"/>
              <w:left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21"/>
                <w:szCs w:val="21"/>
              </w:rPr>
            </w:pPr>
            <w:r>
              <w:rPr>
                <w:rFonts w:ascii="Times New Roman"/>
                <w:sz w:val="21"/>
              </w:rPr>
              <w:t>95,278</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,464.5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100"/>
                <w:sz w:val="21"/>
              </w:rPr>
              <w:t>5</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39" w:space="0" w:color="D2D2D2"/>
              <w:left w:val="single" w:sz="4" w:space="0" w:color="000000"/>
              <w:right w:val="single" w:sz="4" w:space="0" w:color="000000"/>
            </w:tcBorders>
          </w:tcPr>
          <w:p>
            <w:pPr>
              <w:pStyle w:val="TableParagraph"/>
              <w:spacing w:line="240" w:lineRule="auto" w:before="30"/>
              <w:ind w:left="47" w:right="0"/>
              <w:jc w:val="left"/>
              <w:rPr>
                <w:rFonts w:ascii="Times New Roman" w:hAnsi="Times New Roman" w:cs="Times New Roman" w:eastAsia="Times New Roman" w:hint="default"/>
                <w:sz w:val="21"/>
                <w:szCs w:val="21"/>
              </w:rPr>
            </w:pPr>
            <w:r>
              <w:rPr>
                <w:rFonts w:ascii="Times New Roman"/>
                <w:sz w:val="21"/>
              </w:rPr>
              <w:t>193,76</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1,583.</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93</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6" w:firstLine="422"/>
              <w:jc w:val="left"/>
              <w:rPr>
                <w:rFonts w:ascii="宋体" w:hAnsi="宋体" w:cs="宋体" w:eastAsia="宋体" w:hint="default"/>
                <w:sz w:val="21"/>
                <w:szCs w:val="21"/>
              </w:rPr>
            </w:pPr>
            <w:r>
              <w:rPr>
                <w:rFonts w:ascii="宋体" w:hAnsi="宋体" w:cs="宋体" w:eastAsia="宋体" w:hint="default"/>
                <w:spacing w:val="-19"/>
                <w:w w:val="100"/>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z w:val="21"/>
                <w:szCs w:val="21"/>
              </w:rPr>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29" w:firstLine="842"/>
              <w:jc w:val="both"/>
              <w:rPr>
                <w:rFonts w:ascii="宋体" w:hAnsi="宋体" w:cs="宋体" w:eastAsia="宋体" w:hint="default"/>
                <w:sz w:val="21"/>
                <w:szCs w:val="21"/>
              </w:rPr>
            </w:pPr>
            <w:r>
              <w:rPr>
                <w:rFonts w:ascii="宋体" w:hAnsi="宋体" w:cs="宋体" w:eastAsia="宋体" w:hint="default"/>
                <w:spacing w:val="-3"/>
                <w:sz w:val="21"/>
                <w:szCs w:val="21"/>
              </w:rPr>
              <w:t>同一</w:t>
            </w:r>
            <w:r>
              <w:rPr>
                <w:rFonts w:ascii="宋体" w:hAnsi="宋体" w:cs="宋体" w:eastAsia="宋体" w:hint="default"/>
                <w:spacing w:val="-3"/>
                <w:w w:val="100"/>
                <w:sz w:val="21"/>
                <w:szCs w:val="21"/>
              </w:rPr>
              <w:t> </w:t>
            </w:r>
            <w:r>
              <w:rPr>
                <w:rFonts w:ascii="宋体" w:hAnsi="宋体" w:cs="宋体" w:eastAsia="宋体" w:hint="default"/>
                <w:sz w:val="21"/>
                <w:szCs w:val="21"/>
              </w:rPr>
              <w:t>控制下企业合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75"/>
              <w:ind w:left="61" w:right="0"/>
              <w:jc w:val="left"/>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68"/>
              <w:ind w:left="61"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0"/>
              <w:ind w:left="272" w:right="0"/>
              <w:jc w:val="left"/>
              <w:rPr>
                <w:rFonts w:ascii="Times New Roman" w:hAnsi="Times New Roman" w:cs="Times New Roman" w:eastAsia="Times New Roman" w:hint="default"/>
                <w:sz w:val="21"/>
                <w:szCs w:val="21"/>
              </w:rPr>
            </w:pPr>
            <w:r>
              <w:rPr>
                <w:rFonts w:ascii="Times New Roman"/>
                <w:sz w:val="21"/>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38,289</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,767.6</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10,193</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,351.7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95,278</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,464.5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100"/>
                <w:sz w:val="21"/>
              </w:rPr>
              <w:t>5</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75"/>
              <w:ind w:left="47" w:right="0"/>
              <w:jc w:val="left"/>
              <w:rPr>
                <w:rFonts w:ascii="Times New Roman" w:hAnsi="Times New Roman" w:cs="Times New Roman" w:eastAsia="Times New Roman" w:hint="default"/>
                <w:sz w:val="21"/>
                <w:szCs w:val="21"/>
              </w:rPr>
            </w:pPr>
            <w:r>
              <w:rPr>
                <w:rFonts w:ascii="Times New Roman"/>
                <w:sz w:val="21"/>
              </w:rPr>
              <w:t>193,76</w:t>
            </w:r>
          </w:p>
          <w:p>
            <w:pPr>
              <w:pStyle w:val="TableParagraph"/>
              <w:spacing w:line="240" w:lineRule="auto" w:before="68"/>
              <w:ind w:left="100" w:right="0"/>
              <w:jc w:val="left"/>
              <w:rPr>
                <w:rFonts w:ascii="Times New Roman" w:hAnsi="Times New Roman" w:cs="Times New Roman" w:eastAsia="Times New Roman" w:hint="default"/>
                <w:sz w:val="21"/>
                <w:szCs w:val="21"/>
              </w:rPr>
            </w:pPr>
            <w:r>
              <w:rPr>
                <w:rFonts w:ascii="Times New Roman"/>
                <w:sz w:val="21"/>
              </w:rPr>
              <w:t>1,583.</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93</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6"/>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61" w:right="0"/>
              <w:jc w:val="left"/>
              <w:rPr>
                <w:rFonts w:ascii="Times New Roman" w:hAnsi="Times New Roman" w:cs="Times New Roman" w:eastAsia="Times New Roman" w:hint="default"/>
                <w:sz w:val="21"/>
                <w:szCs w:val="21"/>
              </w:rPr>
            </w:pPr>
            <w:r>
              <w:rPr>
                <w:rFonts w:ascii="Times New Roman"/>
                <w:sz w:val="21"/>
              </w:rPr>
              <w:t>16,67</w:t>
            </w:r>
          </w:p>
          <w:p>
            <w:pPr>
              <w:pStyle w:val="TableParagraph"/>
              <w:spacing w:line="240" w:lineRule="auto" w:before="70"/>
              <w:ind w:left="61"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0"/>
              <w:ind w:left="272" w:right="0"/>
              <w:jc w:val="left"/>
              <w:rPr>
                <w:rFonts w:ascii="Times New Roman" w:hAnsi="Times New Roman" w:cs="Times New Roman" w:eastAsia="Times New Roman" w:hint="default"/>
                <w:sz w:val="21"/>
                <w:szCs w:val="21"/>
              </w:rPr>
            </w:pPr>
            <w:r>
              <w:rPr>
                <w:rFonts w:ascii="Times New Roman"/>
                <w:sz w:val="21"/>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left"/>
              <w:rPr>
                <w:rFonts w:ascii="Times New Roman" w:hAnsi="Times New Roman" w:cs="Times New Roman" w:eastAsia="Times New Roman" w:hint="default"/>
                <w:sz w:val="21"/>
                <w:szCs w:val="21"/>
              </w:rPr>
            </w:pPr>
            <w:r>
              <w:rPr>
                <w:rFonts w:ascii="Times New Roman"/>
                <w:sz w:val="21"/>
              </w:rPr>
              <w:t>146,41</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9,974.</w:t>
            </w:r>
          </w:p>
          <w:p>
            <w:pPr>
              <w:pStyle w:val="TableParagraph"/>
              <w:spacing w:line="240" w:lineRule="auto" w:before="70"/>
              <w:ind w:left="419" w:right="0"/>
              <w:jc w:val="left"/>
              <w:rPr>
                <w:rFonts w:ascii="Times New Roman" w:hAnsi="Times New Roman" w:cs="Times New Roman" w:eastAsia="Times New Roman" w:hint="default"/>
                <w:sz w:val="21"/>
                <w:szCs w:val="21"/>
              </w:rPr>
            </w:pPr>
            <w:r>
              <w:rPr>
                <w:rFonts w:ascii="Times New Roman"/>
                <w:sz w:val="21"/>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1,828,</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384.64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16,399</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,849.9</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100"/>
                <w:sz w:val="21"/>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left"/>
              <w:rPr>
                <w:rFonts w:ascii="Times New Roman" w:hAnsi="Times New Roman" w:cs="Times New Roman" w:eastAsia="Times New Roman" w:hint="default"/>
                <w:sz w:val="21"/>
                <w:szCs w:val="21"/>
              </w:rPr>
            </w:pPr>
            <w:r>
              <w:rPr>
                <w:rFonts w:ascii="Times New Roman"/>
                <w:sz w:val="21"/>
              </w:rPr>
              <w:t>181,31</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8,208.</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96</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25,228</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,234.5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100"/>
                <w:sz w:val="21"/>
              </w:rPr>
              <w:t>6</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25,228</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,234.5</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6</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6"/>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总额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2"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2"/>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者投</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61" w:right="0"/>
              <w:jc w:val="left"/>
              <w:rPr>
                <w:rFonts w:ascii="Times New Roman" w:hAnsi="Times New Roman" w:cs="Times New Roman" w:eastAsia="Times New Roman" w:hint="default"/>
                <w:sz w:val="21"/>
                <w:szCs w:val="21"/>
              </w:rPr>
            </w:pPr>
            <w:r>
              <w:rPr>
                <w:rFonts w:ascii="Times New Roman"/>
                <w:sz w:val="21"/>
              </w:rPr>
              <w:t>16,67</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21"/>
                <w:szCs w:val="21"/>
              </w:rPr>
            </w:pPr>
            <w:r>
              <w:rPr>
                <w:rFonts w:ascii="Times New Roman"/>
                <w:sz w:val="21"/>
              </w:rPr>
              <w:t>146,41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 w:right="0"/>
              <w:jc w:val="left"/>
              <w:rPr>
                <w:rFonts w:ascii="Times New Roman" w:hAnsi="Times New Roman" w:cs="Times New Roman" w:eastAsia="Times New Roman" w:hint="default"/>
                <w:sz w:val="21"/>
                <w:szCs w:val="21"/>
              </w:rPr>
            </w:pPr>
            <w:r>
              <w:rPr>
                <w:rFonts w:ascii="Times New Roman"/>
                <w:sz w:val="21"/>
              </w:rPr>
              <w:t>163,08</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1"/>
              <w:ind w:left="268" w:right="0"/>
              <w:jc w:val="left"/>
              <w:rPr>
                <w:rFonts w:ascii="Times New Roman" w:hAnsi="Times New Roman" w:cs="Times New Roman" w:eastAsia="Times New Roman" w:hint="default"/>
                <w:sz w:val="21"/>
                <w:szCs w:val="21"/>
              </w:rPr>
            </w:pPr>
            <w:r>
              <w:rPr>
                <w:rFonts w:ascii="Times New Roman"/>
                <w:sz w:val="21"/>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9,974.</w:t>
            </w:r>
          </w:p>
          <w:p>
            <w:pPr>
              <w:pStyle w:val="TableParagraph"/>
              <w:spacing w:line="240" w:lineRule="auto" w:before="71"/>
              <w:ind w:left="419" w:right="0"/>
              <w:jc w:val="left"/>
              <w:rPr>
                <w:rFonts w:ascii="Times New Roman" w:hAnsi="Times New Roman" w:cs="Times New Roman" w:eastAsia="Times New Roman" w:hint="default"/>
                <w:sz w:val="21"/>
                <w:szCs w:val="21"/>
              </w:rPr>
            </w:pPr>
            <w:r>
              <w:rPr>
                <w:rFonts w:ascii="Times New Roman"/>
                <w:sz w:val="21"/>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9,974.</w:t>
            </w:r>
          </w:p>
          <w:p>
            <w:pPr>
              <w:pStyle w:val="TableParagraph"/>
              <w:spacing w:line="240" w:lineRule="auto" w:before="71"/>
              <w:ind w:left="415" w:right="0"/>
              <w:jc w:val="left"/>
              <w:rPr>
                <w:rFonts w:ascii="Times New Roman" w:hAnsi="Times New Roman" w:cs="Times New Roman" w:eastAsia="Times New Roman" w:hint="default"/>
                <w:sz w:val="21"/>
                <w:szCs w:val="21"/>
              </w:rPr>
            </w:pPr>
            <w:r>
              <w:rPr>
                <w:rFonts w:ascii="Times New Roman"/>
                <w:sz w:val="21"/>
              </w:rPr>
              <w:t>40</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56" w:lineRule="auto"/>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Times New Roman" w:hAnsi="Times New Roman" w:cs="Times New Roman" w:eastAsia="Times New Roman" w:hint="default"/>
                <w:sz w:val="21"/>
                <w:szCs w:val="21"/>
              </w:rPr>
            </w:pPr>
            <w:r>
              <w:rPr>
                <w:rFonts w:ascii="Times New Roman"/>
                <w:sz w:val="21"/>
              </w:rPr>
              <w:t>16,67</w:t>
            </w:r>
          </w:p>
          <w:p>
            <w:pPr>
              <w:pStyle w:val="TableParagraph"/>
              <w:spacing w:line="240" w:lineRule="auto" w:before="70"/>
              <w:ind w:left="57"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0"/>
              <w:ind w:left="268" w:right="0"/>
              <w:jc w:val="left"/>
              <w:rPr>
                <w:rFonts w:ascii="Times New Roman" w:hAnsi="Times New Roman" w:cs="Times New Roman" w:eastAsia="Times New Roman" w:hint="default"/>
                <w:sz w:val="21"/>
                <w:szCs w:val="21"/>
              </w:rPr>
            </w:pPr>
            <w:r>
              <w:rPr>
                <w:rFonts w:ascii="Times New Roman"/>
                <w:sz w:val="21"/>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left"/>
              <w:rPr>
                <w:rFonts w:ascii="Times New Roman" w:hAnsi="Times New Roman" w:cs="Times New Roman" w:eastAsia="Times New Roman" w:hint="default"/>
                <w:sz w:val="21"/>
                <w:szCs w:val="21"/>
              </w:rPr>
            </w:pPr>
            <w:r>
              <w:rPr>
                <w:rFonts w:ascii="Times New Roman"/>
                <w:sz w:val="21"/>
              </w:rPr>
              <w:t>146,41</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9,974.</w:t>
            </w:r>
          </w:p>
          <w:p>
            <w:pPr>
              <w:pStyle w:val="TableParagraph"/>
              <w:spacing w:line="240" w:lineRule="auto" w:before="70"/>
              <w:ind w:left="419" w:right="0"/>
              <w:jc w:val="left"/>
              <w:rPr>
                <w:rFonts w:ascii="Times New Roman" w:hAnsi="Times New Roman" w:cs="Times New Roman" w:eastAsia="Times New Roman" w:hint="default"/>
                <w:sz w:val="21"/>
                <w:szCs w:val="21"/>
              </w:rPr>
            </w:pPr>
            <w:r>
              <w:rPr>
                <w:rFonts w:ascii="Times New Roman"/>
                <w:sz w:val="21"/>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left"/>
              <w:rPr>
                <w:rFonts w:ascii="Times New Roman" w:hAnsi="Times New Roman" w:cs="Times New Roman" w:eastAsia="Times New Roman" w:hint="default"/>
                <w:sz w:val="21"/>
                <w:szCs w:val="21"/>
              </w:rPr>
            </w:pPr>
            <w:r>
              <w:rPr>
                <w:rFonts w:ascii="Times New Roman"/>
                <w:sz w:val="21"/>
              </w:rPr>
              <w:t>163,08</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9,974.</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40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2"/>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1,828,</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384.64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 w:right="0"/>
              <w:jc w:val="left"/>
              <w:rPr>
                <w:rFonts w:ascii="Times New Roman" w:hAnsi="Times New Roman" w:cs="Times New Roman" w:eastAsia="Times New Roman" w:hint="default"/>
                <w:sz w:val="21"/>
                <w:szCs w:val="21"/>
              </w:rPr>
            </w:pPr>
            <w:r>
              <w:rPr>
                <w:rFonts w:ascii="Times New Roman"/>
                <w:sz w:val="21"/>
              </w:rPr>
              <w:t>-8,828,</w:t>
            </w:r>
          </w:p>
          <w:p>
            <w:pPr>
              <w:pStyle w:val="TableParagraph"/>
              <w:spacing w:line="240" w:lineRule="auto" w:before="70"/>
              <w:ind w:left="55" w:right="0"/>
              <w:jc w:val="left"/>
              <w:rPr>
                <w:rFonts w:ascii="Times New Roman" w:hAnsi="Times New Roman" w:cs="Times New Roman" w:eastAsia="Times New Roman" w:hint="default"/>
                <w:sz w:val="21"/>
                <w:szCs w:val="21"/>
              </w:rPr>
            </w:pPr>
            <w:r>
              <w:rPr>
                <w:rFonts w:ascii="Times New Roman"/>
                <w:sz w:val="21"/>
              </w:rPr>
              <w:t>384.64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-7,000,</w:t>
            </w:r>
          </w:p>
          <w:p>
            <w:pPr>
              <w:pStyle w:val="TableParagraph"/>
              <w:spacing w:line="240" w:lineRule="auto" w:before="70"/>
              <w:ind w:left="47" w:right="0"/>
              <w:jc w:val="left"/>
              <w:rPr>
                <w:rFonts w:ascii="Times New Roman" w:hAnsi="Times New Roman" w:cs="Times New Roman" w:eastAsia="Times New Roman" w:hint="default"/>
                <w:sz w:val="21"/>
                <w:szCs w:val="21"/>
              </w:rPr>
            </w:pPr>
            <w:r>
              <w:rPr>
                <w:rFonts w:ascii="Times New Roman"/>
                <w:sz w:val="21"/>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1,828,</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384.64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 w:right="0"/>
              <w:jc w:val="left"/>
              <w:rPr>
                <w:rFonts w:ascii="Times New Roman" w:hAnsi="Times New Roman" w:cs="Times New Roman" w:eastAsia="Times New Roman" w:hint="default"/>
                <w:sz w:val="21"/>
                <w:szCs w:val="21"/>
              </w:rPr>
            </w:pPr>
            <w:r>
              <w:rPr>
                <w:rFonts w:ascii="Times New Roman"/>
                <w:sz w:val="21"/>
              </w:rPr>
              <w:t>-1,828,</w:t>
            </w:r>
          </w:p>
          <w:p>
            <w:pPr>
              <w:pStyle w:val="TableParagraph"/>
              <w:spacing w:line="240" w:lineRule="auto" w:before="70"/>
              <w:ind w:left="55" w:right="0"/>
              <w:jc w:val="left"/>
              <w:rPr>
                <w:rFonts w:ascii="Times New Roman" w:hAnsi="Times New Roman" w:cs="Times New Roman" w:eastAsia="Times New Roman" w:hint="default"/>
                <w:sz w:val="21"/>
                <w:szCs w:val="21"/>
              </w:rPr>
            </w:pPr>
            <w:r>
              <w:rPr>
                <w:rFonts w:ascii="Times New Roman"/>
                <w:sz w:val="21"/>
              </w:rPr>
              <w:t>384.64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7"/>
              <w:jc w:val="left"/>
              <w:rPr>
                <w:rFonts w:ascii="宋体" w:hAnsi="宋体" w:cs="宋体" w:eastAsia="宋体" w:hint="default"/>
                <w:sz w:val="21"/>
                <w:szCs w:val="21"/>
              </w:rPr>
            </w:pPr>
            <w:r>
              <w:rPr>
                <w:rFonts w:ascii="Times New Roman" w:hAnsi="Times New Roman" w:cs="Times New Roman" w:eastAsia="Times New Roman" w:hint="default"/>
                <w:spacing w:val="-26"/>
                <w:w w:val="100"/>
                <w:sz w:val="21"/>
                <w:szCs w:val="21"/>
              </w:rPr>
              <w:t>3</w:t>
            </w:r>
            <w:r>
              <w:rPr>
                <w:rFonts w:ascii="宋体" w:hAnsi="宋体" w:cs="宋体" w:eastAsia="宋体" w:hint="default"/>
                <w:spacing w:val="-26"/>
                <w:w w:val="100"/>
                <w:sz w:val="21"/>
                <w:szCs w:val="21"/>
              </w:rPr>
              <w:t>．对所有者（或</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 w:right="0"/>
              <w:jc w:val="left"/>
              <w:rPr>
                <w:rFonts w:ascii="Times New Roman" w:hAnsi="Times New Roman" w:cs="Times New Roman" w:eastAsia="Times New Roman" w:hint="default"/>
                <w:sz w:val="21"/>
                <w:szCs w:val="21"/>
              </w:rPr>
            </w:pPr>
            <w:r>
              <w:rPr>
                <w:rFonts w:ascii="Times New Roman"/>
                <w:sz w:val="21"/>
              </w:rPr>
              <w:t>-7,000,</w:t>
            </w:r>
          </w:p>
          <w:p>
            <w:pPr>
              <w:pStyle w:val="TableParagraph"/>
              <w:spacing w:line="240" w:lineRule="auto" w:before="70"/>
              <w:ind w:left="55"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-7,000,</w:t>
            </w:r>
          </w:p>
          <w:p>
            <w:pPr>
              <w:pStyle w:val="TableParagraph"/>
              <w:spacing w:line="240" w:lineRule="auto" w:before="70"/>
              <w:ind w:left="47" w:right="0"/>
              <w:jc w:val="left"/>
              <w:rPr>
                <w:rFonts w:ascii="Times New Roman" w:hAnsi="Times New Roman" w:cs="Times New Roman" w:eastAsia="Times New Roman" w:hint="default"/>
                <w:sz w:val="21"/>
                <w:szCs w:val="21"/>
              </w:rPr>
            </w:pPr>
            <w:r>
              <w:rPr>
                <w:rFonts w:ascii="Times New Roman"/>
                <w:sz w:val="21"/>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92"/>
                <w:w w:val="100"/>
                <w:sz w:val="21"/>
                <w:szCs w:val="21"/>
              </w:rPr>
              <w:t>）</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Times New Roman" w:hAnsi="Times New Roman" w:cs="Times New Roman" w:eastAsia="Times New Roman" w:hint="default"/>
                <w:sz w:val="21"/>
                <w:szCs w:val="21"/>
              </w:rPr>
            </w:pPr>
            <w:r>
              <w:rPr>
                <w:rFonts w:ascii="Times New Roman"/>
                <w:sz w:val="21"/>
              </w:rPr>
              <w:t>66,67</w:t>
            </w:r>
          </w:p>
          <w:p>
            <w:pPr>
              <w:pStyle w:val="TableParagraph"/>
              <w:spacing w:line="240" w:lineRule="auto" w:before="70"/>
              <w:ind w:left="57"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0"/>
              <w:ind w:left="268" w:right="0"/>
              <w:jc w:val="left"/>
              <w:rPr>
                <w:rFonts w:ascii="Times New Roman" w:hAnsi="Times New Roman" w:cs="Times New Roman" w:eastAsia="Times New Roman" w:hint="default"/>
                <w:sz w:val="21"/>
                <w:szCs w:val="21"/>
              </w:rPr>
            </w:pPr>
            <w:r>
              <w:rPr>
                <w:rFonts w:ascii="Times New Roman"/>
                <w:sz w:val="21"/>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left"/>
              <w:rPr>
                <w:rFonts w:ascii="Times New Roman" w:hAnsi="Times New Roman" w:cs="Times New Roman" w:eastAsia="Times New Roman" w:hint="default"/>
                <w:sz w:val="21"/>
                <w:szCs w:val="21"/>
              </w:rPr>
            </w:pPr>
            <w:r>
              <w:rPr>
                <w:rFonts w:ascii="Times New Roman"/>
                <w:sz w:val="21"/>
              </w:rPr>
              <w:t>184,70</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9,742.</w:t>
            </w:r>
          </w:p>
          <w:p>
            <w:pPr>
              <w:pStyle w:val="TableParagraph"/>
              <w:spacing w:line="240" w:lineRule="auto" w:before="70"/>
              <w:ind w:left="419"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12,021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,736.4</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1" w:right="0"/>
              <w:jc w:val="left"/>
              <w:rPr>
                <w:rFonts w:ascii="Times New Roman" w:hAnsi="Times New Roman" w:cs="Times New Roman" w:eastAsia="Times New Roman" w:hint="default"/>
                <w:sz w:val="21"/>
                <w:szCs w:val="21"/>
              </w:rPr>
            </w:pPr>
            <w:r>
              <w:rPr>
                <w:rFonts w:ascii="Times New Roman"/>
                <w:spacing w:val="-4"/>
                <w:sz w:val="21"/>
              </w:rPr>
              <w:t>111,67</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8,314.</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left"/>
              <w:rPr>
                <w:rFonts w:ascii="Times New Roman" w:hAnsi="Times New Roman" w:cs="Times New Roman" w:eastAsia="Times New Roman" w:hint="default"/>
                <w:sz w:val="21"/>
                <w:szCs w:val="21"/>
              </w:rPr>
            </w:pPr>
            <w:r>
              <w:rPr>
                <w:rFonts w:ascii="Times New Roman"/>
                <w:sz w:val="21"/>
              </w:rPr>
              <w:t>375,07</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9,792.</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89</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BodyText"/>
        <w:spacing w:line="240" w:lineRule="auto" w:before="36"/>
        <w:ind w:right="153"/>
        <w:jc w:val="left"/>
      </w:pPr>
      <w:r>
        <w:rPr/>
        <w:t>上期金额</w:t>
      </w:r>
    </w:p>
    <w:p>
      <w:pPr>
        <w:pStyle w:val="BodyText"/>
        <w:spacing w:line="240" w:lineRule="auto" w:before="78"/>
        <w:ind w:left="0" w:right="148"/>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94"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26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5" w:right="108"/>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146"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0" w:right="108"/>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58" w:type="dxa"/>
            <w:vMerge/>
            <w:tcBorders>
              <w:left w:val="single" w:sz="4" w:space="0" w:color="000000"/>
              <w:right w:val="single" w:sz="4" w:space="0" w:color="000000"/>
            </w:tcBorders>
            <w:shd w:val="clear" w:color="auto" w:fill="D2D2D2"/>
          </w:tcPr>
          <w:p>
            <w:pPr/>
          </w:p>
        </w:tc>
      </w:tr>
      <w:tr>
        <w:trPr>
          <w:trHeight w:val="211"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6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119" w:right="11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117" w:right="11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124" w:right="122"/>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bottom w:val="single" w:sz="18" w:space="0" w:color="FFFFFF"/>
              <w:right w:val="single" w:sz="4" w:space="0" w:color="000000"/>
            </w:tcBorders>
            <w:shd w:val="clear" w:color="auto" w:fill="D2D2D2"/>
          </w:tcPr>
          <w:p>
            <w:pPr/>
          </w:p>
        </w:tc>
        <w:tc>
          <w:tcPr>
            <w:tcW w:w="572" w:type="dxa"/>
            <w:vMerge/>
            <w:tcBorders>
              <w:left w:val="single" w:sz="4" w:space="0" w:color="000000"/>
              <w:bottom w:val="single" w:sz="18" w:space="0" w:color="FFFFFF"/>
              <w:right w:val="single" w:sz="4" w:space="0" w:color="000000"/>
            </w:tcBorders>
            <w:shd w:val="clear" w:color="auto" w:fill="D2D2D2"/>
          </w:tcPr>
          <w:p>
            <w:pPr/>
          </w:p>
        </w:tc>
        <w:tc>
          <w:tcPr>
            <w:tcW w:w="1594" w:type="dxa"/>
            <w:gridSpan w:val="3"/>
            <w:vMerge/>
            <w:tcBorders>
              <w:left w:val="single" w:sz="4" w:space="0" w:color="000000"/>
              <w:bottom w:val="single" w:sz="18" w:space="0" w:color="FFFFFF"/>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10"/>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7" w:hanging="94"/>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存股</w:t>
            </w:r>
          </w:p>
        </w:tc>
        <w:tc>
          <w:tcPr>
            <w:tcW w:w="668"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13"/>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7" w:right="110"/>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8" w:hRule="exact"/>
        </w:trPr>
        <w:tc>
          <w:tcPr>
            <w:tcW w:w="1415" w:type="dxa"/>
            <w:vMerge w:val="restart"/>
            <w:tcBorders>
              <w:top w:val="single" w:sz="18" w:space="0" w:color="FFFFFF"/>
              <w:left w:val="single" w:sz="4" w:space="0" w:color="000000"/>
              <w:right w:val="single" w:sz="4" w:space="0" w:color="000000"/>
            </w:tcBorders>
            <w:shd w:val="clear" w:color="auto" w:fill="D2D2D2"/>
          </w:tcPr>
          <w:p>
            <w:pPr/>
          </w:p>
        </w:tc>
        <w:tc>
          <w:tcPr>
            <w:tcW w:w="572" w:type="dxa"/>
            <w:vMerge w:val="restart"/>
            <w:tcBorders>
              <w:top w:val="single" w:sz="18" w:space="0" w:color="FFFFFF"/>
              <w:left w:val="single" w:sz="10" w:space="0" w:color="D2D2D2"/>
              <w:right w:val="single" w:sz="22" w:space="0" w:color="D2D2D2"/>
            </w:tcBorders>
          </w:tcPr>
          <w:p>
            <w:pPr>
              <w:pStyle w:val="TableParagraph"/>
              <w:tabs>
                <w:tab w:pos="533" w:val="left" w:leader="none"/>
              </w:tabs>
              <w:spacing w:line="267" w:lineRule="exact"/>
              <w:ind w:left="27" w:right="-2"/>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0"/>
                <w:w w:val="100"/>
                <w:sz w:val="21"/>
                <w:szCs w:val="21"/>
                <w:shd w:fill="D2D2D2" w:color="auto" w:val="clear"/>
              </w:rPr>
              <w:t> </w:t>
            </w:r>
            <w:r>
              <w:rPr>
                <w:rFonts w:ascii="宋体" w:hAnsi="宋体" w:cs="宋体" w:eastAsia="宋体" w:hint="default"/>
                <w:sz w:val="21"/>
                <w:szCs w:val="21"/>
                <w:shd w:fill="D2D2D2" w:color="auto" w:val="clear"/>
              </w:rPr>
              <w:t>股本</w:t>
              <w:tab/>
            </w:r>
            <w:r>
              <w:rPr>
                <w:rFonts w:ascii="宋体" w:hAnsi="宋体" w:cs="宋体" w:eastAsia="宋体" w:hint="default"/>
                <w:sz w:val="21"/>
                <w:szCs w:val="21"/>
              </w:rPr>
            </w:r>
          </w:p>
        </w:tc>
        <w:tc>
          <w:tcPr>
            <w:tcW w:w="530" w:type="dxa"/>
            <w:vMerge w:val="restart"/>
            <w:tcBorders>
              <w:top w:val="single" w:sz="18" w:space="0" w:color="FFFFFF"/>
              <w:left w:val="single" w:sz="4" w:space="0" w:color="000000"/>
              <w:right w:val="single" w:sz="4" w:space="0" w:color="000000"/>
            </w:tcBorders>
            <w:shd w:val="clear" w:color="auto" w:fill="D2D2D2"/>
          </w:tcPr>
          <w:p>
            <w:pPr>
              <w:pStyle w:val="TableParagraph"/>
              <w:spacing w:line="273" w:lineRule="auto" w:before="38"/>
              <w:ind w:left="155" w:right="47"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31" w:type="dxa"/>
            <w:vMerge w:val="restart"/>
            <w:tcBorders>
              <w:top w:val="single" w:sz="18" w:space="0" w:color="FFFFFF"/>
              <w:left w:val="single" w:sz="4" w:space="0" w:color="000000"/>
              <w:right w:val="single" w:sz="4" w:space="0" w:color="000000"/>
            </w:tcBorders>
            <w:shd w:val="clear" w:color="auto" w:fill="D2D2D2"/>
          </w:tcPr>
          <w:p>
            <w:pPr>
              <w:pStyle w:val="TableParagraph"/>
              <w:spacing w:line="273" w:lineRule="auto" w:before="38"/>
              <w:ind w:left="156" w:right="46"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33" w:type="dxa"/>
            <w:tcBorders>
              <w:top w:val="single" w:sz="18" w:space="0" w:color="FFFFFF"/>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92"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10" w:space="0" w:color="D2D2D2"/>
              <w:bottom w:val="nil" w:sz="6" w:space="0" w:color="auto"/>
              <w:right w:val="single" w:sz="22" w:space="0" w:color="D2D2D2"/>
            </w:tcBorders>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23" w:space="0" w:color="D2D2D2"/>
              <w:right w:val="single" w:sz="23" w:space="0" w:color="D2D2D2"/>
            </w:tcBorders>
          </w:tcPr>
          <w:p>
            <w:pPr>
              <w:pStyle w:val="TableParagraph"/>
              <w:tabs>
                <w:tab w:pos="475" w:val="left" w:leader="none"/>
              </w:tabs>
              <w:spacing w:line="240" w:lineRule="auto" w:before="28"/>
              <w:ind w:left="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27"/>
                <w:w w:val="100"/>
                <w:sz w:val="21"/>
                <w:szCs w:val="21"/>
                <w:shd w:fill="D2D2D2" w:color="auto" w:val="clear"/>
              </w:rPr>
              <w:t> </w:t>
            </w:r>
            <w:r>
              <w:rPr>
                <w:rFonts w:ascii="宋体" w:hAnsi="宋体" w:cs="宋体" w:eastAsia="宋体" w:hint="default"/>
                <w:sz w:val="21"/>
                <w:szCs w:val="21"/>
                <w:shd w:fill="D2D2D2" w:color="auto" w:val="clear"/>
              </w:rPr>
              <w:t>其他</w:t>
              <w:tab/>
            </w:r>
            <w:r>
              <w:rPr>
                <w:rFonts w:ascii="宋体" w:hAnsi="宋体" w:cs="宋体" w:eastAsia="宋体" w:hint="default"/>
                <w:sz w:val="21"/>
                <w:szCs w:val="21"/>
              </w:rPr>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33"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23" w:space="0" w:color="D2D2D2"/>
              <w:bottom w:val="nil" w:sz="6" w:space="0" w:color="auto"/>
              <w:right w:val="single" w:sz="23" w:space="0" w:color="D2D2D2"/>
            </w:tcBorders>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22"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70"/>
              <w:ind w:left="6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0"/>
              <w:ind w:left="273" w:right="0"/>
              <w:jc w:val="left"/>
              <w:rPr>
                <w:rFonts w:ascii="Times New Roman" w:hAnsi="Times New Roman" w:cs="Times New Roman" w:eastAsia="Times New Roman" w:hint="default"/>
                <w:sz w:val="21"/>
                <w:szCs w:val="21"/>
              </w:rPr>
            </w:pPr>
            <w:r>
              <w:rPr>
                <w:rFonts w:ascii="Times New Roman"/>
                <w:sz w:val="21"/>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38,289</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,767.6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21" w:space="0" w:color="D2D2D2"/>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7,529,</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139.26</w:t>
            </w:r>
          </w:p>
        </w:tc>
        <w:tc>
          <w:tcPr>
            <w:tcW w:w="665" w:type="dxa"/>
            <w:vMerge w:val="restart"/>
            <w:tcBorders>
              <w:top w:val="single" w:sz="21" w:space="0" w:color="D2D2D2"/>
              <w:left w:val="single" w:sz="4" w:space="0" w:color="000000"/>
              <w:right w:val="single" w:sz="4" w:space="0" w:color="000000"/>
            </w:tcBorders>
          </w:tcPr>
          <w:p>
            <w:pPr/>
          </w:p>
        </w:tc>
        <w:tc>
          <w:tcPr>
            <w:tcW w:w="680" w:type="dxa"/>
            <w:vMerge w:val="restart"/>
            <w:tcBorders>
              <w:top w:val="single" w:sz="21" w:space="0" w:color="D2D2D2"/>
              <w:left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z w:val="21"/>
              </w:rPr>
              <w:t>70,407</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,216.9</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100"/>
                <w:sz w:val="21"/>
              </w:rPr>
              <w:t>3</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39" w:space="0" w:color="D2D2D2"/>
              <w:left w:val="single" w:sz="4" w:space="0" w:color="000000"/>
              <w:right w:val="single" w:sz="4" w:space="0" w:color="000000"/>
            </w:tcBorders>
          </w:tcPr>
          <w:p>
            <w:pPr>
              <w:pStyle w:val="TableParagraph"/>
              <w:spacing w:line="240" w:lineRule="auto" w:before="30"/>
              <w:ind w:left="47" w:right="0"/>
              <w:jc w:val="left"/>
              <w:rPr>
                <w:rFonts w:ascii="Times New Roman" w:hAnsi="Times New Roman" w:cs="Times New Roman" w:eastAsia="Times New Roman" w:hint="default"/>
                <w:sz w:val="21"/>
                <w:szCs w:val="21"/>
              </w:rPr>
            </w:pPr>
            <w:r>
              <w:rPr>
                <w:rFonts w:ascii="Times New Roman"/>
                <w:sz w:val="21"/>
              </w:rPr>
              <w:t>166,22</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6,123.</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79</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9"/>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8" w:firstLine="422"/>
              <w:jc w:val="left"/>
              <w:rPr>
                <w:rFonts w:ascii="宋体" w:hAnsi="宋体" w:cs="宋体" w:eastAsia="宋体" w:hint="default"/>
                <w:sz w:val="21"/>
                <w:szCs w:val="21"/>
              </w:rPr>
            </w:pPr>
            <w:r>
              <w:rPr>
                <w:rFonts w:ascii="宋体" w:hAnsi="宋体" w:cs="宋体" w:eastAsia="宋体" w:hint="default"/>
                <w:spacing w:val="-20"/>
                <w:w w:val="100"/>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z w:val="21"/>
                <w:szCs w:val="21"/>
              </w:rPr>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29" w:firstLine="842"/>
              <w:jc w:val="both"/>
              <w:rPr>
                <w:rFonts w:ascii="宋体" w:hAnsi="宋体" w:cs="宋体" w:eastAsia="宋体" w:hint="default"/>
                <w:sz w:val="21"/>
                <w:szCs w:val="21"/>
              </w:rPr>
            </w:pPr>
            <w:r>
              <w:rPr>
                <w:rFonts w:ascii="宋体" w:hAnsi="宋体" w:cs="宋体" w:eastAsia="宋体" w:hint="default"/>
                <w:spacing w:val="-3"/>
                <w:sz w:val="21"/>
                <w:szCs w:val="21"/>
              </w:rPr>
              <w:t>同一</w:t>
            </w:r>
            <w:r>
              <w:rPr>
                <w:rFonts w:ascii="宋体" w:hAnsi="宋体" w:cs="宋体" w:eastAsia="宋体" w:hint="default"/>
                <w:spacing w:val="-3"/>
                <w:w w:val="100"/>
                <w:sz w:val="21"/>
                <w:szCs w:val="21"/>
              </w:rPr>
              <w:t> </w:t>
            </w:r>
            <w:r>
              <w:rPr>
                <w:rFonts w:ascii="宋体" w:hAnsi="宋体" w:cs="宋体" w:eastAsia="宋体" w:hint="default"/>
                <w:sz w:val="21"/>
                <w:szCs w:val="21"/>
              </w:rPr>
              <w:t>控制下企业合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70"/>
              <w:ind w:left="6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0"/>
              <w:ind w:left="273" w:right="0"/>
              <w:jc w:val="left"/>
              <w:rPr>
                <w:rFonts w:ascii="Times New Roman" w:hAnsi="Times New Roman" w:cs="Times New Roman" w:eastAsia="Times New Roman" w:hint="default"/>
                <w:sz w:val="21"/>
                <w:szCs w:val="21"/>
              </w:rPr>
            </w:pPr>
            <w:r>
              <w:rPr>
                <w:rFonts w:ascii="Times New Roman"/>
                <w:sz w:val="21"/>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38,289</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,767.6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7,529,</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139.26</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70,407</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,216.9</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100"/>
                <w:sz w:val="21"/>
              </w:rPr>
              <w:t>3</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75"/>
              <w:ind w:left="47" w:right="0"/>
              <w:jc w:val="left"/>
              <w:rPr>
                <w:rFonts w:ascii="Times New Roman" w:hAnsi="Times New Roman" w:cs="Times New Roman" w:eastAsia="Times New Roman" w:hint="default"/>
                <w:sz w:val="21"/>
                <w:szCs w:val="21"/>
              </w:rPr>
            </w:pPr>
            <w:r>
              <w:rPr>
                <w:rFonts w:ascii="Times New Roman"/>
                <w:sz w:val="21"/>
              </w:rPr>
              <w:t>166,22</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6,123.</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79</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9"/>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w w:val="100"/>
                <w:sz w:val="21"/>
                <w:szCs w:val="21"/>
              </w:rPr>
              <w:t> </w:t>
            </w:r>
            <w:r>
              <w:rPr>
                <w:rFonts w:ascii="宋体" w:hAnsi="宋体" w:cs="宋体" w:eastAsia="宋体" w:hint="default"/>
                <w:spacing w:val="-14"/>
                <w:w w:val="100"/>
                <w:sz w:val="21"/>
                <w:szCs w:val="21"/>
              </w:rPr>
              <w:t>动金额（减少以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2,664,</w:t>
            </w:r>
          </w:p>
          <w:p>
            <w:pPr>
              <w:pStyle w:val="TableParagraph"/>
              <w:spacing w:line="240" w:lineRule="auto" w:before="71"/>
              <w:ind w:left="52" w:right="0"/>
              <w:jc w:val="left"/>
              <w:rPr>
                <w:rFonts w:ascii="Times New Roman" w:hAnsi="Times New Roman" w:cs="Times New Roman" w:eastAsia="Times New Roman" w:hint="default"/>
                <w:sz w:val="21"/>
                <w:szCs w:val="21"/>
              </w:rPr>
            </w:pPr>
            <w:r>
              <w:rPr>
                <w:rFonts w:ascii="Times New Roman"/>
                <w:sz w:val="21"/>
              </w:rPr>
              <w:t>212.52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24,871</w:t>
            </w:r>
          </w:p>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z w:val="21"/>
              </w:rPr>
              <w:t>,247.6</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100"/>
                <w:sz w:val="21"/>
              </w:rPr>
              <w:t>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27,535</w:t>
            </w:r>
          </w:p>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,460.1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34,535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,460.1</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100"/>
                <w:sz w:val="21"/>
              </w:rPr>
              <w:t>4</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34,535</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,460.1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8"/>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8"/>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w w:val="100"/>
                <w:sz w:val="21"/>
                <w:szCs w:val="21"/>
              </w:rPr>
              <w:t> </w:t>
            </w:r>
            <w:r>
              <w:rPr>
                <w:rFonts w:ascii="宋体" w:hAnsi="宋体" w:cs="宋体" w:eastAsia="宋体" w:hint="default"/>
                <w:sz w:val="21"/>
                <w:szCs w:val="21"/>
              </w:rPr>
              <w:t>入和减少资本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2" w:right="2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2" w:right="2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三</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21"/>
                <w:szCs w:val="21"/>
              </w:rPr>
            </w:pPr>
            <w:r>
              <w:rPr>
                <w:rFonts w:ascii="Times New Roman"/>
                <w:sz w:val="21"/>
              </w:rPr>
              <w:t>2,664,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21"/>
                <w:szCs w:val="21"/>
              </w:rPr>
            </w:pPr>
            <w:r>
              <w:rPr>
                <w:rFonts w:ascii="Times New Roman"/>
                <w:sz w:val="21"/>
              </w:rPr>
              <w:t>-9,664,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 w:right="0"/>
              <w:jc w:val="left"/>
              <w:rPr>
                <w:rFonts w:ascii="Times New Roman" w:hAnsi="Times New Roman" w:cs="Times New Roman" w:eastAsia="Times New Roman" w:hint="default"/>
                <w:sz w:val="21"/>
                <w:szCs w:val="21"/>
              </w:rPr>
            </w:pPr>
            <w:r>
              <w:rPr>
                <w:rFonts w:ascii="Times New Roman"/>
                <w:sz w:val="21"/>
              </w:rPr>
              <w:t>-7,000,</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 w:right="0"/>
              <w:jc w:val="left"/>
              <w:rPr>
                <w:rFonts w:ascii="Times New Roman" w:hAnsi="Times New Roman" w:cs="Times New Roman" w:eastAsia="Times New Roman" w:hint="default"/>
                <w:sz w:val="21"/>
                <w:szCs w:val="21"/>
              </w:rPr>
            </w:pPr>
            <w:r>
              <w:rPr>
                <w:rFonts w:ascii="Times New Roman"/>
                <w:sz w:val="21"/>
              </w:rPr>
              <w:t>212.52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7" w:right="0"/>
              <w:jc w:val="left"/>
              <w:rPr>
                <w:rFonts w:ascii="Times New Roman" w:hAnsi="Times New Roman" w:cs="Times New Roman" w:eastAsia="Times New Roman" w:hint="default"/>
                <w:sz w:val="21"/>
                <w:szCs w:val="21"/>
              </w:rPr>
            </w:pPr>
            <w:r>
              <w:rPr>
                <w:rFonts w:ascii="Times New Roman"/>
                <w:sz w:val="21"/>
              </w:rPr>
              <w:t>212.52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7" w:right="0"/>
              <w:jc w:val="left"/>
              <w:rPr>
                <w:rFonts w:ascii="Times New Roman" w:hAnsi="Times New Roman" w:cs="Times New Roman" w:eastAsia="Times New Roman" w:hint="default"/>
                <w:sz w:val="21"/>
                <w:szCs w:val="21"/>
              </w:rPr>
            </w:pPr>
            <w:r>
              <w:rPr>
                <w:rFonts w:ascii="Times New Roman"/>
                <w:sz w:val="21"/>
              </w:rPr>
              <w:t>000.00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2,664,</w:t>
            </w:r>
          </w:p>
          <w:p>
            <w:pPr>
              <w:pStyle w:val="TableParagraph"/>
              <w:spacing w:line="240" w:lineRule="auto" w:before="70"/>
              <w:ind w:left="52" w:right="0"/>
              <w:jc w:val="left"/>
              <w:rPr>
                <w:rFonts w:ascii="Times New Roman" w:hAnsi="Times New Roman" w:cs="Times New Roman" w:eastAsia="Times New Roman" w:hint="default"/>
                <w:sz w:val="21"/>
                <w:szCs w:val="21"/>
              </w:rPr>
            </w:pPr>
            <w:r>
              <w:rPr>
                <w:rFonts w:ascii="Times New Roman"/>
                <w:sz w:val="21"/>
              </w:rPr>
              <w:t>212.52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0" w:right="0"/>
              <w:jc w:val="left"/>
              <w:rPr>
                <w:rFonts w:ascii="Times New Roman" w:hAnsi="Times New Roman" w:cs="Times New Roman" w:eastAsia="Times New Roman" w:hint="default"/>
                <w:sz w:val="21"/>
                <w:szCs w:val="21"/>
              </w:rPr>
            </w:pPr>
            <w:r>
              <w:rPr>
                <w:rFonts w:ascii="Times New Roman"/>
                <w:sz w:val="21"/>
              </w:rPr>
              <w:t>-2,664,</w:t>
            </w:r>
          </w:p>
          <w:p>
            <w:pPr>
              <w:pStyle w:val="TableParagraph"/>
              <w:spacing w:line="240" w:lineRule="auto" w:before="70"/>
              <w:ind w:left="67" w:right="0"/>
              <w:jc w:val="left"/>
              <w:rPr>
                <w:rFonts w:ascii="Times New Roman" w:hAnsi="Times New Roman" w:cs="Times New Roman" w:eastAsia="Times New Roman" w:hint="default"/>
                <w:sz w:val="21"/>
                <w:szCs w:val="21"/>
              </w:rPr>
            </w:pPr>
            <w:r>
              <w:rPr>
                <w:rFonts w:ascii="Times New Roman"/>
                <w:sz w:val="21"/>
              </w:rPr>
              <w:t>212.52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9"/>
              <w:jc w:val="left"/>
              <w:rPr>
                <w:rFonts w:ascii="宋体" w:hAnsi="宋体" w:cs="宋体" w:eastAsia="宋体" w:hint="default"/>
                <w:sz w:val="21"/>
                <w:szCs w:val="21"/>
              </w:rPr>
            </w:pPr>
            <w:r>
              <w:rPr>
                <w:rFonts w:ascii="Times New Roman" w:hAnsi="Times New Roman" w:cs="Times New Roman" w:eastAsia="Times New Roman" w:hint="default"/>
                <w:spacing w:val="-26"/>
                <w:w w:val="100"/>
                <w:sz w:val="21"/>
                <w:szCs w:val="21"/>
              </w:rPr>
              <w:t>3</w:t>
            </w:r>
            <w:r>
              <w:rPr>
                <w:rFonts w:ascii="宋体" w:hAnsi="宋体" w:cs="宋体" w:eastAsia="宋体" w:hint="default"/>
                <w:spacing w:val="-26"/>
                <w:w w:val="100"/>
                <w:sz w:val="21"/>
                <w:szCs w:val="21"/>
              </w:rPr>
              <w:t>．对所有者（或</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0" w:right="0"/>
              <w:jc w:val="left"/>
              <w:rPr>
                <w:rFonts w:ascii="Times New Roman" w:hAnsi="Times New Roman" w:cs="Times New Roman" w:eastAsia="Times New Roman" w:hint="default"/>
                <w:sz w:val="21"/>
                <w:szCs w:val="21"/>
              </w:rPr>
            </w:pPr>
            <w:r>
              <w:rPr>
                <w:rFonts w:ascii="Times New Roman"/>
                <w:sz w:val="21"/>
              </w:rPr>
              <w:t>-7,000,</w:t>
            </w:r>
          </w:p>
          <w:p>
            <w:pPr>
              <w:pStyle w:val="TableParagraph"/>
              <w:spacing w:line="240" w:lineRule="auto" w:before="70"/>
              <w:ind w:left="67" w:right="0"/>
              <w:jc w:val="left"/>
              <w:rPr>
                <w:rFonts w:ascii="Times New Roman" w:hAnsi="Times New Roman" w:cs="Times New Roman" w:eastAsia="Times New Roman" w:hint="default"/>
                <w:sz w:val="21"/>
                <w:szCs w:val="21"/>
              </w:rPr>
            </w:pPr>
            <w:r>
              <w:rPr>
                <w:rFonts w:ascii="Times New Roman"/>
                <w:sz w:val="21"/>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-7,000,</w:t>
            </w:r>
          </w:p>
          <w:p>
            <w:pPr>
              <w:pStyle w:val="TableParagraph"/>
              <w:spacing w:line="240" w:lineRule="auto" w:before="70"/>
              <w:ind w:left="47" w:right="0"/>
              <w:jc w:val="left"/>
              <w:rPr>
                <w:rFonts w:ascii="Times New Roman" w:hAnsi="Times New Roman" w:cs="Times New Roman" w:eastAsia="Times New Roman" w:hint="default"/>
                <w:sz w:val="21"/>
                <w:szCs w:val="21"/>
              </w:rPr>
            </w:pPr>
            <w:r>
              <w:rPr>
                <w:rFonts w:ascii="Times New Roman"/>
                <w:sz w:val="21"/>
              </w:rPr>
              <w:t>000.00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w w:val="100"/>
                <w:sz w:val="21"/>
                <w:szCs w:val="21"/>
              </w:rPr>
              <w:t> </w:t>
            </w:r>
            <w:r>
              <w:rPr>
                <w:rFonts w:ascii="宋体" w:hAnsi="宋体" w:cs="宋体" w:eastAsia="宋体" w:hint="default"/>
                <w:sz w:val="21"/>
                <w:szCs w:val="21"/>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w:t>
            </w:r>
            <w:r>
              <w:rPr>
                <w:rFonts w:ascii="宋体" w:hAnsi="宋体" w:cs="宋体" w:eastAsia="宋体" w:hint="default"/>
                <w:w w:val="100"/>
                <w:sz w:val="21"/>
                <w:szCs w:val="21"/>
              </w:rPr>
              <w:t>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70"/>
              <w:ind w:left="57"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0"/>
              <w:ind w:left="268" w:right="0"/>
              <w:jc w:val="left"/>
              <w:rPr>
                <w:rFonts w:ascii="Times New Roman" w:hAnsi="Times New Roman" w:cs="Times New Roman" w:eastAsia="Times New Roman" w:hint="default"/>
                <w:sz w:val="21"/>
                <w:szCs w:val="21"/>
              </w:rPr>
            </w:pPr>
            <w:r>
              <w:rPr>
                <w:rFonts w:ascii="Times New Roman"/>
                <w:sz w:val="21"/>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38,289</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,767.6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10,193</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,351.7</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95,278</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,464.5</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100"/>
                <w:sz w:val="21"/>
              </w:rPr>
              <w:t>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left"/>
              <w:rPr>
                <w:rFonts w:ascii="Times New Roman" w:hAnsi="Times New Roman" w:cs="Times New Roman" w:eastAsia="Times New Roman" w:hint="default"/>
                <w:sz w:val="21"/>
                <w:szCs w:val="21"/>
              </w:rPr>
            </w:pPr>
            <w:r>
              <w:rPr>
                <w:rFonts w:ascii="Times New Roman"/>
                <w:sz w:val="21"/>
              </w:rPr>
              <w:t>193,76</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1,583.</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93</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53"/>
        <w:jc w:val="left"/>
      </w:pPr>
      <w:r>
        <w:rPr/>
        <w:t>本期金额</w:t>
      </w:r>
    </w:p>
    <w:p>
      <w:pPr>
        <w:pStyle w:val="BodyText"/>
        <w:spacing w:line="240" w:lineRule="auto" w:before="75"/>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8"/>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184" w:hRule="exact"/>
        </w:trPr>
        <w:tc>
          <w:tcPr>
            <w:tcW w:w="144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single" w:sz="5" w:space="0" w:color="FFFFFF"/>
              <w:left w:val="single" w:sz="4" w:space="0" w:color="000000"/>
              <w:right w:val="single" w:sz="4" w:space="0" w:color="000000"/>
            </w:tcBorders>
            <w:shd w:val="clear" w:color="auto" w:fill="D2D2D2"/>
          </w:tcPr>
          <w:p>
            <w:pPr/>
          </w:p>
        </w:tc>
        <w:tc>
          <w:tcPr>
            <w:tcW w:w="1997" w:type="dxa"/>
            <w:gridSpan w:val="3"/>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28"/>
              <w:ind w:left="36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tcBorders>
              <w:top w:val="single" w:sz="5" w:space="0" w:color="FFFFFF"/>
              <w:left w:val="single" w:sz="4" w:space="0" w:color="000000"/>
              <w:bottom w:val="nil" w:sz="6" w:space="0" w:color="auto"/>
              <w:right w:val="single" w:sz="4" w:space="0" w:color="000000"/>
            </w:tcBorders>
            <w:shd w:val="clear" w:color="auto" w:fill="D2D2D2"/>
          </w:tcPr>
          <w:p>
            <w:pPr/>
          </w:p>
        </w:tc>
        <w:tc>
          <w:tcPr>
            <w:tcW w:w="797" w:type="dxa"/>
            <w:tcBorders>
              <w:top w:val="single" w:sz="5" w:space="0" w:color="FFFFFF"/>
              <w:left w:val="single" w:sz="4" w:space="0" w:color="000000"/>
              <w:bottom w:val="nil" w:sz="6" w:space="0" w:color="auto"/>
              <w:right w:val="single" w:sz="4" w:space="0" w:color="000000"/>
            </w:tcBorders>
            <w:shd w:val="clear" w:color="auto" w:fill="D2D2D2"/>
          </w:tcPr>
          <w:p>
            <w:pPr/>
          </w:p>
        </w:tc>
        <w:tc>
          <w:tcPr>
            <w:tcW w:w="797" w:type="dxa"/>
            <w:tcBorders>
              <w:top w:val="single" w:sz="5" w:space="0" w:color="FFFFFF"/>
              <w:left w:val="single" w:sz="4" w:space="0" w:color="000000"/>
              <w:bottom w:val="nil" w:sz="6" w:space="0" w:color="auto"/>
              <w:right w:val="single" w:sz="4" w:space="0" w:color="000000"/>
            </w:tcBorders>
            <w:shd w:val="clear" w:color="auto" w:fill="D2D2D2"/>
          </w:tcPr>
          <w:p>
            <w:pPr/>
          </w:p>
        </w:tc>
        <w:tc>
          <w:tcPr>
            <w:tcW w:w="799" w:type="dxa"/>
            <w:tcBorders>
              <w:top w:val="single" w:sz="5" w:space="0" w:color="FFFFFF"/>
              <w:left w:val="single" w:sz="4" w:space="0" w:color="000000"/>
              <w:bottom w:val="nil" w:sz="6" w:space="0" w:color="auto"/>
              <w:right w:val="single" w:sz="4" w:space="0" w:color="000000"/>
            </w:tcBorders>
            <w:shd w:val="clear" w:color="auto" w:fill="D2D2D2"/>
          </w:tcPr>
          <w:p>
            <w:pPr/>
          </w:p>
        </w:tc>
        <w:tc>
          <w:tcPr>
            <w:tcW w:w="797" w:type="dxa"/>
            <w:tcBorders>
              <w:top w:val="single" w:sz="5" w:space="0" w:color="FFFFFF"/>
              <w:left w:val="single" w:sz="4" w:space="0" w:color="000000"/>
              <w:bottom w:val="nil" w:sz="6" w:space="0" w:color="auto"/>
              <w:right w:val="single" w:sz="4" w:space="0" w:color="000000"/>
            </w:tcBorders>
            <w:shd w:val="clear" w:color="auto" w:fill="D2D2D2"/>
          </w:tcPr>
          <w:p>
            <w:pPr/>
          </w:p>
        </w:tc>
        <w:tc>
          <w:tcPr>
            <w:tcW w:w="677" w:type="dxa"/>
            <w:vMerge w:val="restart"/>
            <w:tcBorders>
              <w:top w:val="single" w:sz="5" w:space="0" w:color="FFFFFF"/>
              <w:left w:val="single" w:sz="4" w:space="0" w:color="000000"/>
              <w:right w:val="single" w:sz="4" w:space="0" w:color="000000"/>
            </w:tcBorders>
            <w:shd w:val="clear" w:color="auto" w:fill="D2D2D2"/>
          </w:tcPr>
          <w:p>
            <w:pPr>
              <w:pStyle w:val="TableParagraph"/>
              <w:spacing w:line="273" w:lineRule="auto" w:before="72"/>
              <w:ind w:left="123" w:right="120"/>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80" w:type="dxa"/>
            <w:vMerge w:val="restart"/>
            <w:tcBorders>
              <w:top w:val="single" w:sz="5" w:space="0" w:color="FFFFFF"/>
              <w:left w:val="single" w:sz="4" w:space="0" w:color="000000"/>
              <w:right w:val="single" w:sz="4" w:space="0" w:color="000000"/>
            </w:tcBorders>
            <w:shd w:val="clear" w:color="auto" w:fill="D2D2D2"/>
          </w:tcPr>
          <w:p>
            <w:pPr>
              <w:pStyle w:val="TableParagraph"/>
              <w:spacing w:line="273" w:lineRule="auto" w:before="72"/>
              <w:ind w:left="69" w:right="65"/>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214" w:hRule="exact"/>
        </w:trPr>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91" w:type="dxa"/>
            <w:vMerge/>
            <w:tcBorders>
              <w:left w:val="single" w:sz="4" w:space="0" w:color="000000"/>
              <w:bottom w:val="nil" w:sz="6" w:space="0" w:color="auto"/>
              <w:right w:val="single" w:sz="4" w:space="0" w:color="000000"/>
            </w:tcBorders>
            <w:shd w:val="clear" w:color="auto" w:fill="D2D2D2"/>
          </w:tcPr>
          <w:p>
            <w:pP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7" w:right="72"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7" w:right="17" w:hanging="264"/>
              <w:jc w:val="left"/>
              <w:rPr>
                <w:rFonts w:ascii="宋体" w:hAnsi="宋体" w:cs="宋体" w:eastAsia="宋体" w:hint="default"/>
                <w:sz w:val="21"/>
                <w:szCs w:val="21"/>
              </w:rPr>
            </w:pPr>
            <w:r>
              <w:rPr>
                <w:rFonts w:ascii="宋体" w:hAnsi="宋体" w:cs="宋体" w:eastAsia="宋体" w:hint="default"/>
                <w:spacing w:val="-26"/>
                <w:w w:val="100"/>
                <w:sz w:val="21"/>
                <w:szCs w:val="21"/>
              </w:rPr>
              <w:t>减：库存</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79" w:right="72"/>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7" w:right="74"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7" w:right="72"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44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67" w:lineRule="exact"/>
              <w:ind w:left="13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23" w:right="113"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26" w:right="113"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7" w:hRule="exact"/>
        </w:trPr>
        <w:tc>
          <w:tcPr>
            <w:tcW w:w="144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50,000,</w:t>
            </w:r>
          </w:p>
          <w:p>
            <w:pPr>
              <w:pStyle w:val="TableParagraph"/>
              <w:spacing w:line="240" w:lineRule="auto" w:before="70"/>
              <w:ind w:left="76" w:right="0"/>
              <w:jc w:val="left"/>
              <w:rPr>
                <w:rFonts w:ascii="Times New Roman" w:hAnsi="Times New Roman" w:cs="Times New Roman" w:eastAsia="Times New Roman" w:hint="default"/>
                <w:sz w:val="21"/>
                <w:szCs w:val="21"/>
              </w:rPr>
            </w:pPr>
            <w:r>
              <w:rPr>
                <w:rFonts w:ascii="Times New Roman"/>
                <w:sz w:val="21"/>
              </w:rPr>
              <w:t>000.00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37,921,2</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49.86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10,193,3</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51.78</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z w:val="21"/>
              </w:rPr>
              <w:t>80,740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,166.0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4</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178,854</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,767.68</w:t>
            </w:r>
          </w:p>
        </w:tc>
      </w:tr>
      <w:tr>
        <w:trPr>
          <w:trHeight w:val="706"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6" w:firstLine="422"/>
              <w:jc w:val="left"/>
              <w:rPr>
                <w:rFonts w:ascii="宋体" w:hAnsi="宋体" w:cs="宋体" w:eastAsia="宋体" w:hint="default"/>
                <w:sz w:val="21"/>
                <w:szCs w:val="21"/>
              </w:rPr>
            </w:pPr>
            <w:r>
              <w:rPr>
                <w:rFonts w:ascii="宋体" w:hAnsi="宋体" w:cs="宋体" w:eastAsia="宋体" w:hint="default"/>
                <w:spacing w:val="-19"/>
                <w:w w:val="100"/>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z w:val="21"/>
                <w:szCs w:val="21"/>
              </w:rPr>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50,000,</w:t>
            </w:r>
          </w:p>
          <w:p>
            <w:pPr>
              <w:pStyle w:val="TableParagraph"/>
              <w:spacing w:line="240" w:lineRule="auto" w:before="68"/>
              <w:ind w:left="83"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37,921,2</w:t>
            </w:r>
          </w:p>
          <w:p>
            <w:pPr>
              <w:pStyle w:val="TableParagraph"/>
              <w:spacing w:line="240" w:lineRule="auto" w:before="68"/>
              <w:ind w:left="292" w:right="0"/>
              <w:jc w:val="left"/>
              <w:rPr>
                <w:rFonts w:ascii="Times New Roman" w:hAnsi="Times New Roman" w:cs="Times New Roman" w:eastAsia="Times New Roman" w:hint="default"/>
                <w:sz w:val="21"/>
                <w:szCs w:val="21"/>
              </w:rPr>
            </w:pPr>
            <w:r>
              <w:rPr>
                <w:rFonts w:ascii="Times New Roman"/>
                <w:sz w:val="21"/>
              </w:rPr>
              <w:t>49.86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10,193,3</w:t>
            </w:r>
          </w:p>
          <w:p>
            <w:pPr>
              <w:pStyle w:val="TableParagraph"/>
              <w:spacing w:line="240" w:lineRule="auto" w:before="68"/>
              <w:ind w:left="292" w:right="0"/>
              <w:jc w:val="left"/>
              <w:rPr>
                <w:rFonts w:ascii="Times New Roman" w:hAnsi="Times New Roman" w:cs="Times New Roman" w:eastAsia="Times New Roman" w:hint="default"/>
                <w:sz w:val="21"/>
                <w:szCs w:val="21"/>
              </w:rPr>
            </w:pPr>
            <w:r>
              <w:rPr>
                <w:rFonts w:ascii="Times New Roman"/>
                <w:sz w:val="21"/>
              </w:rPr>
              <w:t>51.78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80,740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,166.0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178,854</w:t>
            </w:r>
          </w:p>
          <w:p>
            <w:pPr>
              <w:pStyle w:val="TableParagraph"/>
              <w:spacing w:line="240" w:lineRule="auto" w:before="68"/>
              <w:ind w:left="117" w:right="0"/>
              <w:jc w:val="left"/>
              <w:rPr>
                <w:rFonts w:ascii="Times New Roman" w:hAnsi="Times New Roman" w:cs="Times New Roman" w:eastAsia="Times New Roman" w:hint="default"/>
                <w:sz w:val="21"/>
                <w:szCs w:val="21"/>
              </w:rPr>
            </w:pPr>
            <w:r>
              <w:rPr>
                <w:rFonts w:ascii="Times New Roman"/>
                <w:sz w:val="21"/>
              </w:rPr>
              <w:t>,767.68</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16,670,</w:t>
            </w:r>
          </w:p>
          <w:p>
            <w:pPr>
              <w:pStyle w:val="TableParagraph"/>
              <w:spacing w:line="240" w:lineRule="auto" w:before="70"/>
              <w:ind w:left="83"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sz w:val="21"/>
              </w:rPr>
              <w:t>146,419,</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974.40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1,828,38</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4.64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8" w:right="0"/>
              <w:jc w:val="left"/>
              <w:rPr>
                <w:rFonts w:ascii="Times New Roman" w:hAnsi="Times New Roman" w:cs="Times New Roman" w:eastAsia="Times New Roman" w:hint="default"/>
                <w:sz w:val="21"/>
                <w:szCs w:val="21"/>
              </w:rPr>
            </w:pPr>
            <w:r>
              <w:rPr>
                <w:rFonts w:ascii="Times New Roman"/>
                <w:sz w:val="21"/>
              </w:rPr>
              <w:t>9,455,</w:t>
            </w:r>
          </w:p>
          <w:p>
            <w:pPr>
              <w:pStyle w:val="TableParagraph"/>
              <w:spacing w:line="240" w:lineRule="auto" w:before="70"/>
              <w:ind w:left="65" w:right="0"/>
              <w:jc w:val="left"/>
              <w:rPr>
                <w:rFonts w:ascii="Times New Roman" w:hAnsi="Times New Roman" w:cs="Times New Roman" w:eastAsia="Times New Roman" w:hint="default"/>
                <w:sz w:val="21"/>
                <w:szCs w:val="21"/>
              </w:rPr>
            </w:pPr>
            <w:r>
              <w:rPr>
                <w:rFonts w:ascii="Times New Roman"/>
                <w:sz w:val="21"/>
              </w:rPr>
              <w:t>461.76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174,373</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,820.80</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18,283</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,846.4</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18,283,</w:t>
            </w:r>
          </w:p>
          <w:p>
            <w:pPr>
              <w:pStyle w:val="TableParagraph"/>
              <w:spacing w:line="240" w:lineRule="auto" w:before="68"/>
              <w:ind w:left="170" w:right="0"/>
              <w:jc w:val="left"/>
              <w:rPr>
                <w:rFonts w:ascii="Times New Roman" w:hAnsi="Times New Roman" w:cs="Times New Roman" w:eastAsia="Times New Roman" w:hint="default"/>
                <w:sz w:val="21"/>
                <w:szCs w:val="21"/>
              </w:rPr>
            </w:pPr>
            <w:r>
              <w:rPr>
                <w:rFonts w:ascii="Times New Roman"/>
                <w:sz w:val="21"/>
              </w:rPr>
              <w:t>846.40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16,670,</w:t>
            </w:r>
          </w:p>
          <w:p>
            <w:pPr>
              <w:pStyle w:val="TableParagraph"/>
              <w:spacing w:line="240" w:lineRule="auto" w:before="70"/>
              <w:ind w:left="83"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 w:right="0"/>
              <w:jc w:val="center"/>
              <w:rPr>
                <w:rFonts w:ascii="Times New Roman" w:hAnsi="Times New Roman" w:cs="Times New Roman" w:eastAsia="Times New Roman" w:hint="default"/>
                <w:sz w:val="21"/>
                <w:szCs w:val="21"/>
              </w:rPr>
            </w:pPr>
            <w:r>
              <w:rPr>
                <w:rFonts w:ascii="Times New Roman"/>
                <w:sz w:val="21"/>
              </w:rPr>
              <w:t>146,419,</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974.40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left"/>
              <w:rPr>
                <w:rFonts w:ascii="Times New Roman" w:hAnsi="Times New Roman" w:cs="Times New Roman" w:eastAsia="Times New Roman" w:hint="default"/>
                <w:sz w:val="21"/>
                <w:szCs w:val="21"/>
              </w:rPr>
            </w:pPr>
            <w:r>
              <w:rPr>
                <w:rFonts w:ascii="Times New Roman"/>
                <w:sz w:val="21"/>
              </w:rPr>
              <w:t>163,089</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,974.40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 w:right="0"/>
              <w:jc w:val="left"/>
              <w:rPr>
                <w:rFonts w:ascii="Times New Roman" w:hAnsi="Times New Roman" w:cs="Times New Roman" w:eastAsia="Times New Roman" w:hint="default"/>
                <w:sz w:val="21"/>
                <w:szCs w:val="21"/>
              </w:rPr>
            </w:pPr>
            <w:r>
              <w:rPr>
                <w:rFonts w:ascii="Times New Roman"/>
                <w:sz w:val="21"/>
              </w:rPr>
              <w:t>16,670,</w:t>
            </w:r>
          </w:p>
          <w:p>
            <w:pPr>
              <w:pStyle w:val="TableParagraph"/>
              <w:spacing w:line="240" w:lineRule="auto" w:before="68"/>
              <w:ind w:left="83"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 w:right="0"/>
              <w:jc w:val="center"/>
              <w:rPr>
                <w:rFonts w:ascii="Times New Roman" w:hAnsi="Times New Roman" w:cs="Times New Roman" w:eastAsia="Times New Roman" w:hint="default"/>
                <w:sz w:val="21"/>
                <w:szCs w:val="21"/>
              </w:rPr>
            </w:pPr>
            <w:r>
              <w:rPr>
                <w:rFonts w:ascii="Times New Roman"/>
                <w:sz w:val="21"/>
              </w:rPr>
              <w:t>146,419,</w:t>
            </w:r>
          </w:p>
          <w:p>
            <w:pPr>
              <w:pStyle w:val="TableParagraph"/>
              <w:spacing w:line="240" w:lineRule="auto" w:before="68"/>
              <w:ind w:left="167" w:right="0"/>
              <w:jc w:val="center"/>
              <w:rPr>
                <w:rFonts w:ascii="Times New Roman" w:hAnsi="Times New Roman" w:cs="Times New Roman" w:eastAsia="Times New Roman" w:hint="default"/>
                <w:sz w:val="21"/>
                <w:szCs w:val="21"/>
              </w:rPr>
            </w:pPr>
            <w:r>
              <w:rPr>
                <w:rFonts w:ascii="Times New Roman"/>
                <w:sz w:val="21"/>
              </w:rPr>
              <w:t>974.40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7" w:right="0"/>
              <w:jc w:val="left"/>
              <w:rPr>
                <w:rFonts w:ascii="Times New Roman" w:hAnsi="Times New Roman" w:cs="Times New Roman" w:eastAsia="Times New Roman" w:hint="default"/>
                <w:sz w:val="21"/>
                <w:szCs w:val="21"/>
              </w:rPr>
            </w:pPr>
            <w:r>
              <w:rPr>
                <w:rFonts w:ascii="Times New Roman"/>
                <w:sz w:val="21"/>
              </w:rPr>
              <w:t>163,089</w:t>
            </w:r>
          </w:p>
          <w:p>
            <w:pPr>
              <w:pStyle w:val="TableParagraph"/>
              <w:spacing w:line="240" w:lineRule="auto" w:before="68"/>
              <w:ind w:left="117" w:right="0"/>
              <w:jc w:val="left"/>
              <w:rPr>
                <w:rFonts w:ascii="Times New Roman" w:hAnsi="Times New Roman" w:cs="Times New Roman" w:eastAsia="Times New Roman" w:hint="default"/>
                <w:sz w:val="21"/>
                <w:szCs w:val="21"/>
              </w:rPr>
            </w:pPr>
            <w:r>
              <w:rPr>
                <w:rFonts w:ascii="Times New Roman"/>
                <w:sz w:val="21"/>
              </w:rPr>
              <w:t>,974.40</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三</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 w:right="0"/>
              <w:jc w:val="left"/>
              <w:rPr>
                <w:rFonts w:ascii="Times New Roman" w:hAnsi="Times New Roman" w:cs="Times New Roman" w:eastAsia="Times New Roman" w:hint="default"/>
                <w:sz w:val="21"/>
                <w:szCs w:val="21"/>
              </w:rPr>
            </w:pPr>
            <w:r>
              <w:rPr>
                <w:rFonts w:ascii="Times New Roman"/>
                <w:sz w:val="21"/>
              </w:rPr>
              <w:t>1,828,38</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4.64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 w:right="0"/>
              <w:jc w:val="left"/>
              <w:rPr>
                <w:rFonts w:ascii="Times New Roman" w:hAnsi="Times New Roman" w:cs="Times New Roman" w:eastAsia="Times New Roman" w:hint="default"/>
                <w:sz w:val="21"/>
                <w:szCs w:val="21"/>
              </w:rPr>
            </w:pPr>
            <w:r>
              <w:rPr>
                <w:rFonts w:ascii="Times New Roman"/>
                <w:sz w:val="21"/>
              </w:rPr>
              <w:t>-8,828,</w:t>
            </w:r>
          </w:p>
          <w:p>
            <w:pPr>
              <w:pStyle w:val="TableParagraph"/>
              <w:spacing w:line="240" w:lineRule="auto" w:before="68"/>
              <w:ind w:left="65" w:right="0"/>
              <w:jc w:val="left"/>
              <w:rPr>
                <w:rFonts w:ascii="Times New Roman" w:hAnsi="Times New Roman" w:cs="Times New Roman" w:eastAsia="Times New Roman" w:hint="default"/>
                <w:sz w:val="21"/>
                <w:szCs w:val="21"/>
              </w:rPr>
            </w:pPr>
            <w:r>
              <w:rPr>
                <w:rFonts w:ascii="Times New Roman"/>
                <w:sz w:val="21"/>
              </w:rPr>
              <w:t>384.64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 w:right="0"/>
              <w:jc w:val="left"/>
              <w:rPr>
                <w:rFonts w:ascii="Times New Roman" w:hAnsi="Times New Roman" w:cs="Times New Roman" w:eastAsia="Times New Roman" w:hint="default"/>
                <w:sz w:val="21"/>
                <w:szCs w:val="21"/>
              </w:rPr>
            </w:pPr>
            <w:r>
              <w:rPr>
                <w:rFonts w:ascii="Times New Roman"/>
                <w:sz w:val="21"/>
              </w:rPr>
              <w:t>-7,000,0</w:t>
            </w:r>
          </w:p>
          <w:p>
            <w:pPr>
              <w:pStyle w:val="TableParagraph"/>
              <w:spacing w:line="240" w:lineRule="auto" w:before="68"/>
              <w:ind w:left="275" w:right="0"/>
              <w:jc w:val="left"/>
              <w:rPr>
                <w:rFonts w:ascii="Times New Roman" w:hAnsi="Times New Roman" w:cs="Times New Roman" w:eastAsia="Times New Roman" w:hint="default"/>
                <w:sz w:val="21"/>
                <w:szCs w:val="21"/>
              </w:rPr>
            </w:pPr>
            <w:r>
              <w:rPr>
                <w:rFonts w:ascii="Times New Roman"/>
                <w:sz w:val="21"/>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1,828,38</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4.64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left"/>
              <w:rPr>
                <w:rFonts w:ascii="Times New Roman" w:hAnsi="Times New Roman" w:cs="Times New Roman" w:eastAsia="Times New Roman" w:hint="default"/>
                <w:sz w:val="21"/>
                <w:szCs w:val="21"/>
              </w:rPr>
            </w:pPr>
            <w:r>
              <w:rPr>
                <w:rFonts w:ascii="Times New Roman"/>
                <w:sz w:val="21"/>
              </w:rPr>
              <w:t>-1,828,</w:t>
            </w:r>
          </w:p>
          <w:p>
            <w:pPr>
              <w:pStyle w:val="TableParagraph"/>
              <w:spacing w:line="240" w:lineRule="auto" w:before="70"/>
              <w:ind w:left="65" w:right="0"/>
              <w:jc w:val="left"/>
              <w:rPr>
                <w:rFonts w:ascii="Times New Roman" w:hAnsi="Times New Roman" w:cs="Times New Roman" w:eastAsia="Times New Roman" w:hint="default"/>
                <w:sz w:val="21"/>
                <w:szCs w:val="21"/>
              </w:rPr>
            </w:pPr>
            <w:r>
              <w:rPr>
                <w:rFonts w:ascii="Times New Roman"/>
                <w:sz w:val="21"/>
              </w:rPr>
              <w:t>384.64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7"/>
              <w:jc w:val="left"/>
              <w:rPr>
                <w:rFonts w:ascii="宋体" w:hAnsi="宋体" w:cs="宋体" w:eastAsia="宋体" w:hint="default"/>
                <w:sz w:val="21"/>
                <w:szCs w:val="21"/>
              </w:rPr>
            </w:pPr>
            <w:r>
              <w:rPr>
                <w:rFonts w:ascii="Times New Roman" w:hAnsi="Times New Roman" w:cs="Times New Roman" w:eastAsia="Times New Roman" w:hint="default"/>
                <w:spacing w:val="-25"/>
                <w:w w:val="100"/>
                <w:sz w:val="21"/>
                <w:szCs w:val="21"/>
              </w:rPr>
              <w:t>2</w:t>
            </w:r>
            <w:r>
              <w:rPr>
                <w:rFonts w:ascii="宋体" w:hAnsi="宋体" w:cs="宋体" w:eastAsia="宋体" w:hint="default"/>
                <w:spacing w:val="-25"/>
                <w:w w:val="100"/>
                <w:sz w:val="21"/>
                <w:szCs w:val="21"/>
              </w:rPr>
              <w:t>．对所有者（或</w:t>
            </w:r>
            <w:r>
              <w:rPr>
                <w:rFonts w:ascii="宋体" w:hAnsi="宋体" w:cs="宋体" w:eastAsia="宋体" w:hint="default"/>
                <w:w w:val="100"/>
                <w:sz w:val="21"/>
                <w:szCs w:val="21"/>
              </w:rPr>
              <w:t> </w:t>
            </w:r>
            <w:r>
              <w:rPr>
                <w:rFonts w:ascii="宋体" w:hAnsi="宋体" w:cs="宋体" w:eastAsia="宋体" w:hint="default"/>
                <w:sz w:val="21"/>
                <w:szCs w:val="21"/>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 w:right="0"/>
              <w:jc w:val="left"/>
              <w:rPr>
                <w:rFonts w:ascii="Times New Roman" w:hAnsi="Times New Roman" w:cs="Times New Roman" w:eastAsia="Times New Roman" w:hint="default"/>
                <w:sz w:val="21"/>
                <w:szCs w:val="21"/>
              </w:rPr>
            </w:pPr>
            <w:r>
              <w:rPr>
                <w:rFonts w:ascii="Times New Roman"/>
                <w:sz w:val="21"/>
              </w:rPr>
              <w:t>-7,000,</w:t>
            </w:r>
          </w:p>
          <w:p>
            <w:pPr>
              <w:pStyle w:val="TableParagraph"/>
              <w:spacing w:line="240" w:lineRule="auto" w:before="68"/>
              <w:ind w:left="6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 w:right="0"/>
              <w:jc w:val="left"/>
              <w:rPr>
                <w:rFonts w:ascii="Times New Roman" w:hAnsi="Times New Roman" w:cs="Times New Roman" w:eastAsia="Times New Roman" w:hint="default"/>
                <w:sz w:val="21"/>
                <w:szCs w:val="21"/>
              </w:rPr>
            </w:pPr>
            <w:r>
              <w:rPr>
                <w:rFonts w:ascii="Times New Roman"/>
                <w:sz w:val="21"/>
              </w:rPr>
              <w:t>-7,000,0</w:t>
            </w:r>
          </w:p>
          <w:p>
            <w:pPr>
              <w:pStyle w:val="TableParagraph"/>
              <w:spacing w:line="240" w:lineRule="auto" w:before="68"/>
              <w:ind w:left="275" w:right="0"/>
              <w:jc w:val="left"/>
              <w:rPr>
                <w:rFonts w:ascii="Times New Roman" w:hAnsi="Times New Roman" w:cs="Times New Roman" w:eastAsia="Times New Roman" w:hint="default"/>
                <w:sz w:val="21"/>
                <w:szCs w:val="21"/>
              </w:rPr>
            </w:pPr>
            <w:r>
              <w:rPr>
                <w:rFonts w:ascii="Times New Roman"/>
                <w:sz w:val="21"/>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auto" w:before="30"/>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w:t>
            </w:r>
            <w:r>
              <w:rPr>
                <w:rFonts w:ascii="宋体" w:hAnsi="宋体" w:cs="宋体" w:eastAsia="宋体" w:hint="default"/>
                <w:w w:val="100"/>
                <w:sz w:val="21"/>
                <w:szCs w:val="21"/>
              </w:rPr>
              <w:t>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66,670,</w:t>
            </w:r>
          </w:p>
          <w:p>
            <w:pPr>
              <w:pStyle w:val="TableParagraph"/>
              <w:spacing w:line="240" w:lineRule="auto" w:before="70"/>
              <w:ind w:left="83"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sz w:val="21"/>
              </w:rPr>
              <w:t>184,341,</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224.26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12,021,7</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36.42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90,195</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,627.8</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353,228</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,588.48</w:t>
            </w:r>
          </w:p>
        </w:tc>
      </w:tr>
    </w:tbl>
    <w:p>
      <w:pPr>
        <w:pStyle w:val="BodyText"/>
        <w:spacing w:line="240" w:lineRule="auto" w:before="29"/>
        <w:ind w:right="153"/>
        <w:jc w:val="left"/>
      </w:pPr>
      <w:r>
        <w:rPr/>
        <w:t>上期金额</w:t>
      </w:r>
    </w:p>
    <w:p>
      <w:pPr>
        <w:pStyle w:val="BodyText"/>
        <w:spacing w:line="240" w:lineRule="auto" w:before="78"/>
        <w:ind w:left="0" w:right="148"/>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419"/>
        <w:gridCol w:w="701"/>
        <w:gridCol w:w="665"/>
        <w:gridCol w:w="668"/>
        <w:gridCol w:w="665"/>
        <w:gridCol w:w="797"/>
        <w:gridCol w:w="797"/>
        <w:gridCol w:w="797"/>
        <w:gridCol w:w="799"/>
        <w:gridCol w:w="797"/>
        <w:gridCol w:w="677"/>
        <w:gridCol w:w="780"/>
      </w:tblGrid>
      <w:tr>
        <w:trPr>
          <w:trHeight w:val="397"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3"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188"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4" w:space="0" w:color="000000"/>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6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123" w:right="120"/>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69" w:right="65"/>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212"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01" w:type="dxa"/>
            <w:vMerge/>
            <w:tcBorders>
              <w:left w:val="single" w:sz="4" w:space="0" w:color="000000"/>
              <w:bottom w:val="nil" w:sz="6" w:space="0" w:color="auto"/>
              <w:right w:val="single" w:sz="4" w:space="0" w:color="000000"/>
            </w:tcBorders>
            <w:shd w:val="clear" w:color="auto" w:fill="D2D2D2"/>
          </w:tcPr>
          <w:p>
            <w:pP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87" w:right="72"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87" w:right="17" w:hanging="264"/>
              <w:jc w:val="left"/>
              <w:rPr>
                <w:rFonts w:ascii="宋体" w:hAnsi="宋体" w:cs="宋体" w:eastAsia="宋体" w:hint="default"/>
                <w:sz w:val="21"/>
                <w:szCs w:val="21"/>
              </w:rPr>
            </w:pPr>
            <w:r>
              <w:rPr>
                <w:rFonts w:ascii="宋体" w:hAnsi="宋体" w:cs="宋体" w:eastAsia="宋体" w:hint="default"/>
                <w:spacing w:val="-26"/>
                <w:w w:val="100"/>
                <w:sz w:val="21"/>
                <w:szCs w:val="21"/>
              </w:rPr>
              <w:t>减：库存</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79" w:right="72"/>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87" w:right="74"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87" w:right="72"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2"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70" w:lineRule="exact"/>
              <w:ind w:left="14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5"/>
              <w:ind w:left="223" w:right="113"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5"/>
              <w:ind w:left="226" w:right="113"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6"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419" w:type="dxa"/>
            <w:vMerge/>
            <w:tcBorders>
              <w:left w:val="single" w:sz="4" w:space="0" w:color="000000"/>
              <w:right w:val="single" w:sz="4" w:space="0" w:color="000000"/>
            </w:tcBorders>
            <w:shd w:val="clear" w:color="auto" w:fill="D2D2D2"/>
          </w:tcPr>
          <w:p>
            <w:pPr/>
          </w:p>
        </w:tc>
        <w:tc>
          <w:tcPr>
            <w:tcW w:w="701"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 w:right="0"/>
              <w:jc w:val="left"/>
              <w:rPr>
                <w:rFonts w:ascii="Times New Roman" w:hAnsi="Times New Roman" w:cs="Times New Roman" w:eastAsia="Times New Roman" w:hint="default"/>
                <w:sz w:val="21"/>
                <w:szCs w:val="21"/>
              </w:rPr>
            </w:pPr>
            <w:r>
              <w:rPr>
                <w:rFonts w:ascii="Times New Roman"/>
                <w:sz w:val="21"/>
              </w:rPr>
              <w:t>50,000,</w:t>
            </w:r>
          </w:p>
          <w:p>
            <w:pPr>
              <w:pStyle w:val="TableParagraph"/>
              <w:spacing w:line="240" w:lineRule="auto" w:before="70"/>
              <w:ind w:left="86" w:right="0"/>
              <w:jc w:val="left"/>
              <w:rPr>
                <w:rFonts w:ascii="Times New Roman" w:hAnsi="Times New Roman" w:cs="Times New Roman" w:eastAsia="Times New Roman" w:hint="default"/>
                <w:sz w:val="21"/>
                <w:szCs w:val="21"/>
              </w:rPr>
            </w:pPr>
            <w:r>
              <w:rPr>
                <w:rFonts w:ascii="Times New Roman"/>
                <w:sz w:val="21"/>
              </w:rPr>
              <w:t>000.00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37,921,2</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49.86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7,529,13</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9.26</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21"/>
                <w:szCs w:val="21"/>
              </w:rPr>
            </w:pPr>
            <w:r>
              <w:rPr>
                <w:rFonts w:ascii="Times New Roman"/>
                <w:sz w:val="21"/>
              </w:rPr>
              <w:t>63,762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,253.3</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2</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159,212</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,642.44</w:t>
            </w:r>
          </w:p>
        </w:tc>
      </w:tr>
      <w:tr>
        <w:trPr>
          <w:trHeight w:val="703"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70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7" w:firstLine="422"/>
              <w:jc w:val="left"/>
              <w:rPr>
                <w:rFonts w:ascii="宋体" w:hAnsi="宋体" w:cs="宋体" w:eastAsia="宋体" w:hint="default"/>
                <w:sz w:val="21"/>
                <w:szCs w:val="21"/>
              </w:rPr>
            </w:pPr>
            <w:r>
              <w:rPr>
                <w:rFonts w:ascii="宋体" w:hAnsi="宋体" w:cs="宋体" w:eastAsia="宋体" w:hint="default"/>
                <w:spacing w:val="-19"/>
                <w:w w:val="100"/>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z w:val="21"/>
                <w:szCs w:val="21"/>
              </w:rPr>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 w:right="0"/>
              <w:jc w:val="left"/>
              <w:rPr>
                <w:rFonts w:ascii="Times New Roman" w:hAnsi="Times New Roman" w:cs="Times New Roman" w:eastAsia="Times New Roman" w:hint="default"/>
                <w:sz w:val="21"/>
                <w:szCs w:val="21"/>
              </w:rPr>
            </w:pPr>
            <w:r>
              <w:rPr>
                <w:rFonts w:ascii="Times New Roman"/>
                <w:sz w:val="21"/>
              </w:rPr>
              <w:t>50,000,</w:t>
            </w:r>
          </w:p>
          <w:p>
            <w:pPr>
              <w:pStyle w:val="TableParagraph"/>
              <w:spacing w:line="240" w:lineRule="auto" w:before="70"/>
              <w:ind w:left="86" w:right="0"/>
              <w:jc w:val="left"/>
              <w:rPr>
                <w:rFonts w:ascii="Times New Roman" w:hAnsi="Times New Roman" w:cs="Times New Roman" w:eastAsia="Times New Roman" w:hint="default"/>
                <w:sz w:val="21"/>
                <w:szCs w:val="21"/>
              </w:rPr>
            </w:pPr>
            <w:r>
              <w:rPr>
                <w:rFonts w:ascii="Times New Roman"/>
                <w:sz w:val="21"/>
              </w:rPr>
              <w:t>000.00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37,921,2</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49.86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7,529,13</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9.26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63,762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,253.3</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159,212</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,642.44</w:t>
            </w:r>
          </w:p>
        </w:tc>
      </w:tr>
      <w:tr>
        <w:trPr>
          <w:trHeight w:val="703"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70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7"/>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2,664,21</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2.52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16,977</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,912.7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19,642,</w:t>
            </w:r>
          </w:p>
          <w:p>
            <w:pPr>
              <w:pStyle w:val="TableParagraph"/>
              <w:spacing w:line="240" w:lineRule="auto" w:before="68"/>
              <w:ind w:left="170" w:right="0"/>
              <w:jc w:val="left"/>
              <w:rPr>
                <w:rFonts w:ascii="Times New Roman" w:hAnsi="Times New Roman" w:cs="Times New Roman" w:eastAsia="Times New Roman" w:hint="default"/>
                <w:sz w:val="21"/>
                <w:szCs w:val="21"/>
              </w:rPr>
            </w:pPr>
            <w:r>
              <w:rPr>
                <w:rFonts w:ascii="Times New Roman"/>
                <w:sz w:val="21"/>
              </w:rPr>
              <w:t>125.24</w:t>
            </w: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26,642</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,125.2</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26,642,</w:t>
            </w:r>
          </w:p>
          <w:p>
            <w:pPr>
              <w:pStyle w:val="TableParagraph"/>
              <w:spacing w:line="240" w:lineRule="auto" w:before="71"/>
              <w:ind w:left="170" w:right="0"/>
              <w:jc w:val="left"/>
              <w:rPr>
                <w:rFonts w:ascii="Times New Roman" w:hAnsi="Times New Roman" w:cs="Times New Roman" w:eastAsia="Times New Roman" w:hint="default"/>
                <w:sz w:val="21"/>
                <w:szCs w:val="21"/>
              </w:rPr>
            </w:pPr>
            <w:r>
              <w:rPr>
                <w:rFonts w:ascii="Times New Roman"/>
                <w:sz w:val="21"/>
              </w:rPr>
              <w:t>125.24</w:t>
            </w:r>
          </w:p>
        </w:tc>
      </w:tr>
      <w:tr>
        <w:trPr>
          <w:trHeight w:val="704"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总额</w:t>
            </w:r>
          </w:p>
        </w:tc>
        <w:tc>
          <w:tcPr>
            <w:tcW w:w="70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7"/>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入和减少资本</w:t>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70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三</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 w:right="0"/>
              <w:jc w:val="left"/>
              <w:rPr>
                <w:rFonts w:ascii="Times New Roman" w:hAnsi="Times New Roman" w:cs="Times New Roman" w:eastAsia="Times New Roman" w:hint="default"/>
                <w:sz w:val="21"/>
                <w:szCs w:val="21"/>
              </w:rPr>
            </w:pPr>
            <w:r>
              <w:rPr>
                <w:rFonts w:ascii="Times New Roman"/>
                <w:sz w:val="21"/>
              </w:rPr>
              <w:t>2,664,21</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2.52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 w:right="0"/>
              <w:jc w:val="left"/>
              <w:rPr>
                <w:rFonts w:ascii="Times New Roman" w:hAnsi="Times New Roman" w:cs="Times New Roman" w:eastAsia="Times New Roman" w:hint="default"/>
                <w:sz w:val="21"/>
                <w:szCs w:val="21"/>
              </w:rPr>
            </w:pPr>
            <w:r>
              <w:rPr>
                <w:rFonts w:ascii="Times New Roman"/>
                <w:sz w:val="21"/>
              </w:rPr>
              <w:t>-9,664,</w:t>
            </w:r>
          </w:p>
          <w:p>
            <w:pPr>
              <w:pStyle w:val="TableParagraph"/>
              <w:spacing w:line="240" w:lineRule="auto" w:before="68"/>
              <w:ind w:left="65" w:right="0"/>
              <w:jc w:val="left"/>
              <w:rPr>
                <w:rFonts w:ascii="Times New Roman" w:hAnsi="Times New Roman" w:cs="Times New Roman" w:eastAsia="Times New Roman" w:hint="default"/>
                <w:sz w:val="21"/>
                <w:szCs w:val="21"/>
              </w:rPr>
            </w:pPr>
            <w:r>
              <w:rPr>
                <w:rFonts w:ascii="Times New Roman"/>
                <w:sz w:val="21"/>
              </w:rPr>
              <w:t>212.52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 w:right="0"/>
              <w:jc w:val="left"/>
              <w:rPr>
                <w:rFonts w:ascii="Times New Roman" w:hAnsi="Times New Roman" w:cs="Times New Roman" w:eastAsia="Times New Roman" w:hint="default"/>
                <w:sz w:val="21"/>
                <w:szCs w:val="21"/>
              </w:rPr>
            </w:pPr>
            <w:r>
              <w:rPr>
                <w:rFonts w:ascii="Times New Roman"/>
                <w:sz w:val="21"/>
              </w:rPr>
              <w:t>-7,000,0</w:t>
            </w:r>
          </w:p>
          <w:p>
            <w:pPr>
              <w:pStyle w:val="TableParagraph"/>
              <w:spacing w:line="240" w:lineRule="auto" w:before="68"/>
              <w:ind w:left="275" w:right="0"/>
              <w:jc w:val="left"/>
              <w:rPr>
                <w:rFonts w:ascii="Times New Roman" w:hAnsi="Times New Roman" w:cs="Times New Roman" w:eastAsia="Times New Roman" w:hint="default"/>
                <w:sz w:val="21"/>
                <w:szCs w:val="21"/>
              </w:rPr>
            </w:pPr>
            <w:r>
              <w:rPr>
                <w:rFonts w:ascii="Times New Roman"/>
                <w:sz w:val="21"/>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2,664,21</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2.52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left"/>
              <w:rPr>
                <w:rFonts w:ascii="Times New Roman" w:hAnsi="Times New Roman" w:cs="Times New Roman" w:eastAsia="Times New Roman" w:hint="default"/>
                <w:sz w:val="21"/>
                <w:szCs w:val="21"/>
              </w:rPr>
            </w:pPr>
            <w:r>
              <w:rPr>
                <w:rFonts w:ascii="Times New Roman"/>
                <w:sz w:val="21"/>
              </w:rPr>
              <w:t>-2,664,</w:t>
            </w:r>
          </w:p>
          <w:p>
            <w:pPr>
              <w:pStyle w:val="TableParagraph"/>
              <w:spacing w:line="240" w:lineRule="auto" w:before="70"/>
              <w:ind w:left="65" w:right="0"/>
              <w:jc w:val="left"/>
              <w:rPr>
                <w:rFonts w:ascii="Times New Roman" w:hAnsi="Times New Roman" w:cs="Times New Roman" w:eastAsia="Times New Roman" w:hint="default"/>
                <w:sz w:val="21"/>
                <w:szCs w:val="21"/>
              </w:rPr>
            </w:pPr>
            <w:r>
              <w:rPr>
                <w:rFonts w:ascii="Times New Roman"/>
                <w:sz w:val="21"/>
              </w:rPr>
              <w:t>212.52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7"/>
              <w:jc w:val="left"/>
              <w:rPr>
                <w:rFonts w:ascii="宋体" w:hAnsi="宋体" w:cs="宋体" w:eastAsia="宋体" w:hint="default"/>
                <w:sz w:val="21"/>
                <w:szCs w:val="21"/>
              </w:rPr>
            </w:pPr>
            <w:r>
              <w:rPr>
                <w:rFonts w:ascii="Times New Roman" w:hAnsi="Times New Roman" w:cs="Times New Roman" w:eastAsia="Times New Roman" w:hint="default"/>
                <w:spacing w:val="-25"/>
                <w:w w:val="100"/>
                <w:sz w:val="21"/>
                <w:szCs w:val="21"/>
              </w:rPr>
              <w:t>2</w:t>
            </w:r>
            <w:r>
              <w:rPr>
                <w:rFonts w:ascii="宋体" w:hAnsi="宋体" w:cs="宋体" w:eastAsia="宋体" w:hint="default"/>
                <w:spacing w:val="-25"/>
                <w:w w:val="100"/>
                <w:sz w:val="21"/>
                <w:szCs w:val="21"/>
              </w:rPr>
              <w:t>．对所有者（或</w:t>
            </w:r>
            <w:r>
              <w:rPr>
                <w:rFonts w:ascii="宋体" w:hAnsi="宋体" w:cs="宋体" w:eastAsia="宋体" w:hint="default"/>
                <w:w w:val="100"/>
                <w:sz w:val="21"/>
                <w:szCs w:val="21"/>
              </w:rPr>
              <w:t> </w:t>
            </w:r>
            <w:r>
              <w:rPr>
                <w:rFonts w:ascii="宋体" w:hAnsi="宋体" w:cs="宋体" w:eastAsia="宋体" w:hint="default"/>
                <w:sz w:val="21"/>
                <w:szCs w:val="21"/>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 w:right="0"/>
              <w:jc w:val="left"/>
              <w:rPr>
                <w:rFonts w:ascii="Times New Roman" w:hAnsi="Times New Roman" w:cs="Times New Roman" w:eastAsia="Times New Roman" w:hint="default"/>
                <w:sz w:val="21"/>
                <w:szCs w:val="21"/>
              </w:rPr>
            </w:pPr>
            <w:r>
              <w:rPr>
                <w:rFonts w:ascii="Times New Roman"/>
                <w:sz w:val="21"/>
              </w:rPr>
              <w:t>-7,000,</w:t>
            </w:r>
          </w:p>
          <w:p>
            <w:pPr>
              <w:pStyle w:val="TableParagraph"/>
              <w:spacing w:line="240" w:lineRule="auto" w:before="68"/>
              <w:ind w:left="6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 w:right="0"/>
              <w:jc w:val="left"/>
              <w:rPr>
                <w:rFonts w:ascii="Times New Roman" w:hAnsi="Times New Roman" w:cs="Times New Roman" w:eastAsia="Times New Roman" w:hint="default"/>
                <w:sz w:val="21"/>
                <w:szCs w:val="21"/>
              </w:rPr>
            </w:pPr>
            <w:r>
              <w:rPr>
                <w:rFonts w:ascii="Times New Roman"/>
                <w:sz w:val="21"/>
              </w:rPr>
              <w:t>-7,000,0</w:t>
            </w:r>
          </w:p>
          <w:p>
            <w:pPr>
              <w:pStyle w:val="TableParagraph"/>
              <w:spacing w:line="240" w:lineRule="auto" w:before="68"/>
              <w:ind w:left="275" w:right="0"/>
              <w:jc w:val="left"/>
              <w:rPr>
                <w:rFonts w:ascii="Times New Roman" w:hAnsi="Times New Roman" w:cs="Times New Roman" w:eastAsia="Times New Roman" w:hint="default"/>
                <w:sz w:val="21"/>
                <w:szCs w:val="21"/>
              </w:rPr>
            </w:pPr>
            <w:r>
              <w:rPr>
                <w:rFonts w:ascii="Times New Roman"/>
                <w:sz w:val="21"/>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w:t>
            </w:r>
            <w:r>
              <w:rPr>
                <w:rFonts w:ascii="宋体" w:hAnsi="宋体" w:cs="宋体" w:eastAsia="宋体" w:hint="default"/>
                <w:w w:val="100"/>
                <w:sz w:val="21"/>
                <w:szCs w:val="21"/>
              </w:rPr>
              <w:t>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50,000,</w:t>
            </w:r>
          </w:p>
          <w:p>
            <w:pPr>
              <w:pStyle w:val="TableParagraph"/>
              <w:spacing w:line="240" w:lineRule="auto" w:before="70"/>
              <w:ind w:left="83"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37,921,2</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49.86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10,193,3</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51.78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80,740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,166.0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178,854</w:t>
            </w:r>
          </w:p>
          <w:p>
            <w:pPr>
              <w:pStyle w:val="TableParagraph"/>
              <w:spacing w:line="240" w:lineRule="auto" w:before="70"/>
              <w:ind w:left="117" w:right="0"/>
              <w:jc w:val="left"/>
              <w:rPr>
                <w:rFonts w:ascii="Times New Roman" w:hAnsi="Times New Roman" w:cs="Times New Roman" w:eastAsia="Times New Roman" w:hint="default"/>
                <w:sz w:val="21"/>
                <w:szCs w:val="21"/>
              </w:rPr>
            </w:pPr>
            <w:r>
              <w:rPr>
                <w:rFonts w:ascii="Times New Roman"/>
                <w:sz w:val="21"/>
              </w:rPr>
              <w:t>,767.68</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三、公司基本情况</w:t>
      </w:r>
      <w:r>
        <w:rPr>
          <w:b w:val="0"/>
          <w:bCs w:val="0"/>
        </w:rPr>
      </w:r>
    </w:p>
    <w:p>
      <w:pPr>
        <w:spacing w:line="240" w:lineRule="auto" w:before="9"/>
        <w:rPr>
          <w:rFonts w:ascii="宋体" w:hAnsi="宋体" w:cs="宋体" w:eastAsia="宋体" w:hint="default"/>
          <w:b/>
          <w:bCs/>
          <w:sz w:val="24"/>
          <w:szCs w:val="24"/>
        </w:rPr>
      </w:pPr>
    </w:p>
    <w:p>
      <w:pPr>
        <w:pStyle w:val="BodyText"/>
        <w:spacing w:line="266" w:lineRule="auto"/>
        <w:ind w:right="146" w:firstLine="470"/>
        <w:jc w:val="both"/>
      </w:pPr>
      <w:r>
        <w:rPr>
          <w:spacing w:val="-3"/>
        </w:rPr>
        <w:t>北京万向新元科技股份有限公司（以下简称公司或本公司）系由北京万向新元科技有限公司整体变更</w:t>
      </w:r>
      <w:r>
        <w:rPr>
          <w:w w:val="100"/>
        </w:rPr>
        <w:t> </w:t>
      </w:r>
      <w:r>
        <w:rPr>
          <w:spacing w:val="-2"/>
        </w:rPr>
        <w:t>设立，并于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spacing w:val="-2"/>
        </w:rPr>
        <w:t>日在北京市工商行政管理局海淀分局办理工商变更登记。</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日，中国证</w:t>
      </w:r>
      <w:r>
        <w:rPr>
          <w:spacing w:val="-35"/>
        </w:rPr>
        <w:t> </w:t>
      </w:r>
      <w:r>
        <w:rPr>
          <w:spacing w:val="-35"/>
        </w:rPr>
      </w:r>
      <w:r>
        <w:rPr>
          <w:spacing w:val="-2"/>
        </w:rPr>
        <w:t>券监督管理委员会出具《关于核准北京万向新元科技股份有限公司首次公开发行股票的批复》（证监许可</w:t>
      </w:r>
      <w:r>
        <w:rPr>
          <w:spacing w:val="-43"/>
        </w:rPr>
        <w:t> </w:t>
      </w:r>
      <w:r>
        <w:rPr>
          <w:spacing w:val="-43"/>
        </w:rPr>
      </w:r>
      <w:r>
        <w:rPr>
          <w:rFonts w:ascii="Times New Roman" w:hAnsi="Times New Roman" w:cs="Times New Roman" w:eastAsia="Times New Roman" w:hint="default"/>
        </w:rPr>
        <w:t>[2015]951</w:t>
      </w:r>
      <w:r>
        <w:rPr/>
        <w:t>号文），核准本公司向社会公众发行人民币普通股</w:t>
      </w:r>
      <w:r>
        <w:rPr>
          <w:rFonts w:ascii="Times New Roman" w:hAnsi="Times New Roman" w:cs="Times New Roman" w:eastAsia="Times New Roman" w:hint="default"/>
        </w:rPr>
        <w:t>1,667</w:t>
      </w:r>
      <w:r>
        <w:rPr/>
        <w:t>万股。</w:t>
      </w:r>
    </w:p>
    <w:p>
      <w:pPr>
        <w:spacing w:after="0" w:line="266"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633" w:right="116"/>
        <w:jc w:val="left"/>
      </w:pPr>
      <w:r>
        <w:rPr/>
        <w:t>公司现持有统一社会信用代码为</w:t>
      </w:r>
      <w:r>
        <w:rPr>
          <w:rFonts w:ascii="Times New Roman" w:hAnsi="Times New Roman" w:cs="Times New Roman" w:eastAsia="Times New Roman" w:hint="default"/>
        </w:rPr>
        <w:t>911100007546611048</w:t>
      </w:r>
      <w:r>
        <w:rPr/>
        <w:t>的《企业法人营业执照》，注册资本为人民币</w:t>
      </w:r>
    </w:p>
    <w:p>
      <w:pPr>
        <w:pStyle w:val="BodyText"/>
        <w:spacing w:line="357" w:lineRule="auto" w:before="21"/>
        <w:ind w:left="633" w:right="3329" w:hanging="481"/>
        <w:jc w:val="left"/>
      </w:pPr>
      <w:r>
        <w:rPr>
          <w:rFonts w:ascii="Times New Roman" w:hAnsi="Times New Roman" w:cs="Times New Roman" w:eastAsia="Times New Roman" w:hint="default"/>
        </w:rPr>
        <w:t>6,667.00</w:t>
      </w:r>
      <w:r>
        <w:rPr/>
        <w:t>万元，股份总数</w:t>
      </w:r>
      <w:r>
        <w:rPr>
          <w:rFonts w:ascii="Times New Roman" w:hAnsi="Times New Roman" w:cs="Times New Roman" w:eastAsia="Times New Roman" w:hint="default"/>
        </w:rPr>
        <w:t>6,667.00</w:t>
      </w:r>
      <w:r>
        <w:rPr/>
        <w:t>万股。</w:t>
      </w:r>
      <w:r>
        <w:rPr>
          <w:w w:val="100"/>
        </w:rPr>
        <w:t> </w:t>
      </w:r>
      <w:r>
        <w:rPr>
          <w:spacing w:val="-2"/>
        </w:rPr>
        <w:t>公司股票已于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日在深圳证券交易所创业板挂牌交易。</w:t>
      </w:r>
      <w:r>
        <w:rPr>
          <w:w w:val="100"/>
        </w:rPr>
        <w:t> </w:t>
      </w:r>
      <w:r>
        <w:rPr/>
        <w:t>公司住所：北京市海淀区阜成路</w:t>
      </w:r>
      <w:r>
        <w:rPr>
          <w:rFonts w:ascii="Times New Roman" w:hAnsi="Times New Roman" w:cs="Times New Roman" w:eastAsia="Times New Roman" w:hint="default"/>
        </w:rPr>
        <w:t>58</w:t>
      </w:r>
      <w:r>
        <w:rPr/>
        <w:t>号新洲商务大厦</w:t>
      </w:r>
      <w:r>
        <w:rPr>
          <w:rFonts w:ascii="Times New Roman" w:hAnsi="Times New Roman" w:cs="Times New Roman" w:eastAsia="Times New Roman" w:hint="default"/>
        </w:rPr>
        <w:t>409</w:t>
      </w:r>
      <w:r>
        <w:rPr/>
        <w:t>房间</w:t>
      </w:r>
      <w:r>
        <w:rPr>
          <w:w w:val="100"/>
        </w:rPr>
        <w:t> </w:t>
      </w:r>
      <w:r>
        <w:rPr/>
        <w:t>公司法定代表人：朱业胜</w:t>
      </w:r>
    </w:p>
    <w:p>
      <w:pPr>
        <w:pStyle w:val="BodyText"/>
        <w:spacing w:line="273" w:lineRule="auto" w:before="54"/>
        <w:ind w:right="116" w:firstLine="480"/>
        <w:jc w:val="left"/>
      </w:pPr>
      <w:r>
        <w:rPr>
          <w:spacing w:val="-4"/>
        </w:rPr>
        <w:t>公司经营范围：许可经营项目：以下项目仅限分公司经营：加工制造环保设备、物料输送设备、物料</w:t>
      </w:r>
      <w:r>
        <w:rPr>
          <w:w w:val="100"/>
        </w:rPr>
        <w:t> </w:t>
      </w:r>
      <w:r>
        <w:rPr/>
        <w:t>称量配料设备、橡胶塑料生产设备。</w:t>
      </w:r>
    </w:p>
    <w:p>
      <w:pPr>
        <w:pStyle w:val="BodyText"/>
        <w:spacing w:line="273" w:lineRule="auto" w:before="127"/>
        <w:ind w:right="101" w:firstLine="480"/>
        <w:jc w:val="both"/>
      </w:pPr>
      <w:r>
        <w:rPr>
          <w:spacing w:val="-6"/>
        </w:rPr>
        <w:t>一般经营项目：技术开发、技术推广、技术转让、技术咨询、技术服务；计算机系统服务；数据处理；</w:t>
      </w:r>
      <w:r>
        <w:rPr>
          <w:w w:val="100"/>
        </w:rPr>
        <w:t> </w:t>
      </w:r>
      <w:r>
        <w:rPr>
          <w:spacing w:val="-5"/>
        </w:rPr>
        <w:t>应用软件服务；销售机械设备；汽车尾气治理；烟气治理；废气治理；大气污染治理；固体废物污染治理； </w:t>
      </w:r>
      <w:r>
        <w:rPr>
          <w:spacing w:val="-5"/>
        </w:rPr>
      </w:r>
      <w:r>
        <w:rPr/>
        <w:t>噪音、光污染治理；货物进出口、技术进出口、代理进出口。（未取得行政许可的项目除外）</w:t>
      </w:r>
    </w:p>
    <w:p>
      <w:pPr>
        <w:pStyle w:val="BodyText"/>
        <w:spacing w:line="240" w:lineRule="auto" w:before="127"/>
        <w:ind w:left="633" w:right="116"/>
        <w:jc w:val="left"/>
      </w:pPr>
      <w:r>
        <w:rPr/>
        <w:t>财务报告批准报出日：本财务报表业经本公司董事会于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日决议批准报出。</w:t>
      </w:r>
    </w:p>
    <w:p>
      <w:pPr>
        <w:spacing w:line="240" w:lineRule="auto" w:before="0"/>
        <w:rPr>
          <w:rFonts w:ascii="宋体" w:hAnsi="宋体" w:cs="宋体" w:eastAsia="宋体" w:hint="default"/>
          <w:sz w:val="22"/>
          <w:szCs w:val="22"/>
        </w:rPr>
      </w:pPr>
    </w:p>
    <w:p>
      <w:pPr>
        <w:pStyle w:val="BodyText"/>
        <w:spacing w:line="240" w:lineRule="auto" w:before="166"/>
        <w:ind w:left="633" w:right="116"/>
        <w:jc w:val="left"/>
      </w:pPr>
      <w:r>
        <w:rPr>
          <w:rFonts w:ascii="Times New Roman" w:hAnsi="Times New Roman" w:cs="Times New Roman" w:eastAsia="Times New Roman" w:hint="default"/>
        </w:rPr>
        <w:t>(1)</w:t>
      </w:r>
      <w:r>
        <w:rPr/>
        <w:t>本报告期末纳入合并范围的子公司</w:t>
      </w:r>
    </w:p>
    <w:p>
      <w:pPr>
        <w:spacing w:line="240" w:lineRule="auto" w:before="10"/>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056"/>
        <w:gridCol w:w="3761"/>
        <w:gridCol w:w="1956"/>
        <w:gridCol w:w="1202"/>
        <w:gridCol w:w="1313"/>
      </w:tblGrid>
      <w:tr>
        <w:trPr>
          <w:trHeight w:val="350" w:hRule="exact"/>
        </w:trPr>
        <w:tc>
          <w:tcPr>
            <w:tcW w:w="1056" w:type="dxa"/>
            <w:vMerge w:val="restart"/>
            <w:tcBorders>
              <w:top w:val="single" w:sz="6" w:space="0" w:color="000000"/>
              <w:left w:val="single" w:sz="6" w:space="0" w:color="000000"/>
              <w:right w:val="single" w:sz="6" w:space="0" w:color="000000"/>
            </w:tcBorders>
          </w:tcPr>
          <w:p>
            <w:pPr>
              <w:pStyle w:val="TableParagraph"/>
              <w:spacing w:line="272"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761" w:type="dxa"/>
            <w:vMerge w:val="restart"/>
            <w:tcBorders>
              <w:top w:val="single" w:sz="6" w:space="0" w:color="000000"/>
              <w:left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子公司全称</w:t>
            </w:r>
            <w:r>
              <w:rPr>
                <w:rFonts w:ascii="宋体" w:hAnsi="宋体" w:cs="宋体" w:eastAsia="宋体" w:hint="default"/>
                <w:sz w:val="21"/>
                <w:szCs w:val="21"/>
              </w:rPr>
            </w:r>
          </w:p>
        </w:tc>
        <w:tc>
          <w:tcPr>
            <w:tcW w:w="1956" w:type="dxa"/>
            <w:vMerge w:val="restart"/>
            <w:tcBorders>
              <w:top w:val="single" w:sz="6" w:space="0" w:color="000000"/>
              <w:left w:val="single" w:sz="6" w:space="0" w:color="000000"/>
              <w:right w:val="single" w:sz="6" w:space="0" w:color="000000"/>
            </w:tcBorders>
          </w:tcPr>
          <w:p>
            <w:pPr>
              <w:pStyle w:val="TableParagraph"/>
              <w:spacing w:line="272" w:lineRule="exact"/>
              <w:ind w:left="443" w:right="0"/>
              <w:jc w:val="left"/>
              <w:rPr>
                <w:rFonts w:ascii="宋体" w:hAnsi="宋体" w:cs="宋体" w:eastAsia="宋体" w:hint="default"/>
                <w:sz w:val="21"/>
                <w:szCs w:val="21"/>
              </w:rPr>
            </w:pPr>
            <w:r>
              <w:rPr>
                <w:rFonts w:ascii="宋体" w:hAnsi="宋体" w:cs="宋体" w:eastAsia="宋体" w:hint="default"/>
                <w:b/>
                <w:bCs/>
                <w:sz w:val="21"/>
                <w:szCs w:val="21"/>
              </w:rPr>
              <w:t>子公司简称</w:t>
            </w:r>
            <w:r>
              <w:rPr>
                <w:rFonts w:ascii="宋体" w:hAnsi="宋体" w:cs="宋体" w:eastAsia="宋体" w:hint="default"/>
                <w:sz w:val="21"/>
                <w:szCs w:val="21"/>
              </w:rPr>
            </w:r>
          </w:p>
        </w:tc>
        <w:tc>
          <w:tcPr>
            <w:tcW w:w="2516" w:type="dxa"/>
            <w:gridSpan w:val="2"/>
            <w:tcBorders>
              <w:top w:val="single" w:sz="6" w:space="0" w:color="000000"/>
              <w:left w:val="single" w:sz="6" w:space="0" w:color="000000"/>
              <w:bottom w:val="single" w:sz="8" w:space="0" w:color="000000"/>
              <w:right w:val="nil" w:sz="6" w:space="0" w:color="auto"/>
            </w:tcBorders>
          </w:tcPr>
          <w:p>
            <w:pPr>
              <w:pStyle w:val="TableParagraph"/>
              <w:spacing w:line="288" w:lineRule="exact"/>
              <w:ind w:left="722"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46" w:hRule="exact"/>
        </w:trPr>
        <w:tc>
          <w:tcPr>
            <w:tcW w:w="1056" w:type="dxa"/>
            <w:vMerge/>
            <w:tcBorders>
              <w:left w:val="single" w:sz="6" w:space="0" w:color="000000"/>
              <w:bottom w:val="single" w:sz="8" w:space="0" w:color="000000"/>
              <w:right w:val="single" w:sz="6" w:space="0" w:color="000000"/>
            </w:tcBorders>
          </w:tcPr>
          <w:p>
            <w:pPr/>
          </w:p>
        </w:tc>
        <w:tc>
          <w:tcPr>
            <w:tcW w:w="3761" w:type="dxa"/>
            <w:vMerge/>
            <w:tcBorders>
              <w:left w:val="single" w:sz="6" w:space="0" w:color="000000"/>
              <w:bottom w:val="single" w:sz="8" w:space="0" w:color="000000"/>
              <w:right w:val="single" w:sz="6" w:space="0" w:color="000000"/>
            </w:tcBorders>
          </w:tcPr>
          <w:p>
            <w:pPr/>
          </w:p>
        </w:tc>
        <w:tc>
          <w:tcPr>
            <w:tcW w:w="1956" w:type="dxa"/>
            <w:vMerge/>
            <w:tcBorders>
              <w:left w:val="single" w:sz="6" w:space="0" w:color="000000"/>
              <w:bottom w:val="single" w:sz="8" w:space="0" w:color="000000"/>
              <w:right w:val="single" w:sz="6" w:space="0" w:color="000000"/>
            </w:tcBorders>
          </w:tcPr>
          <w:p>
            <w:pP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381"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3"/>
              <w:jc w:val="center"/>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r>
      <w:tr>
        <w:trPr>
          <w:trHeight w:val="348" w:hRule="exact"/>
        </w:trPr>
        <w:tc>
          <w:tcPr>
            <w:tcW w:w="105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①</w:t>
            </w:r>
          </w:p>
        </w:tc>
        <w:tc>
          <w:tcPr>
            <w:tcW w:w="37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北京四方同兴机电技术开发有限公司</w:t>
            </w:r>
          </w:p>
        </w:tc>
        <w:tc>
          <w:tcPr>
            <w:tcW w:w="195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四方同兴</w:t>
            </w: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100.00</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1"/>
                <w:szCs w:val="21"/>
              </w:rPr>
            </w:pPr>
            <w:r>
              <w:rPr>
                <w:rFonts w:ascii="Times New Roman"/>
                <w:w w:val="100"/>
                <w:sz w:val="21"/>
              </w:rPr>
              <w:t>-</w:t>
            </w:r>
          </w:p>
        </w:tc>
      </w:tr>
      <w:tr>
        <w:trPr>
          <w:trHeight w:val="346" w:hRule="exact"/>
        </w:trPr>
        <w:tc>
          <w:tcPr>
            <w:tcW w:w="105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②</w:t>
            </w:r>
          </w:p>
        </w:tc>
        <w:tc>
          <w:tcPr>
            <w:tcW w:w="3761"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北京万向新元工程技术有限公司</w:t>
            </w:r>
            <w:r>
              <w:rPr>
                <w:rFonts w:ascii="Times New Roman" w:hAnsi="Times New Roman" w:cs="Times New Roman" w:eastAsia="Times New Roman" w:hint="default"/>
                <w:sz w:val="21"/>
                <w:szCs w:val="21"/>
              </w:rPr>
              <w:t>*1</w:t>
            </w:r>
          </w:p>
        </w:tc>
        <w:tc>
          <w:tcPr>
            <w:tcW w:w="195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万向新元工程</w:t>
            </w: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60.00</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1"/>
                <w:szCs w:val="21"/>
              </w:rPr>
            </w:pPr>
            <w:r>
              <w:rPr>
                <w:rFonts w:ascii="Times New Roman"/>
                <w:sz w:val="21"/>
              </w:rPr>
              <w:t>40.00</w:t>
            </w:r>
          </w:p>
        </w:tc>
      </w:tr>
      <w:tr>
        <w:trPr>
          <w:trHeight w:val="348" w:hRule="exact"/>
        </w:trPr>
        <w:tc>
          <w:tcPr>
            <w:tcW w:w="105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③</w:t>
            </w:r>
          </w:p>
        </w:tc>
        <w:tc>
          <w:tcPr>
            <w:tcW w:w="376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芜湖万向新元环保科技有限公司</w:t>
            </w:r>
          </w:p>
        </w:tc>
        <w:tc>
          <w:tcPr>
            <w:tcW w:w="1956"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芜湖万向</w:t>
            </w: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100.00</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1"/>
                <w:szCs w:val="21"/>
              </w:rPr>
            </w:pPr>
            <w:r>
              <w:rPr>
                <w:rFonts w:ascii="Times New Roman"/>
                <w:w w:val="100"/>
                <w:sz w:val="21"/>
              </w:rPr>
              <w:t>-</w:t>
            </w:r>
          </w:p>
        </w:tc>
      </w:tr>
      <w:tr>
        <w:trPr>
          <w:trHeight w:val="348" w:hRule="exact"/>
        </w:trPr>
        <w:tc>
          <w:tcPr>
            <w:tcW w:w="105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④</w:t>
            </w:r>
          </w:p>
        </w:tc>
        <w:tc>
          <w:tcPr>
            <w:tcW w:w="376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天津京万科技有限公司</w:t>
            </w:r>
          </w:p>
        </w:tc>
        <w:tc>
          <w:tcPr>
            <w:tcW w:w="1956"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天津京万</w:t>
            </w:r>
          </w:p>
        </w:tc>
        <w:tc>
          <w:tcPr>
            <w:tcW w:w="12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100.00</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6"/>
        <w:rPr>
          <w:rFonts w:ascii="宋体" w:hAnsi="宋体" w:cs="宋体" w:eastAsia="宋体" w:hint="default"/>
          <w:sz w:val="5"/>
          <w:szCs w:val="5"/>
        </w:rPr>
      </w:pPr>
    </w:p>
    <w:p>
      <w:pPr>
        <w:pStyle w:val="BodyText"/>
        <w:spacing w:line="244" w:lineRule="auto" w:before="36"/>
        <w:ind w:right="116" w:firstLine="480"/>
        <w:jc w:val="left"/>
      </w:pPr>
      <w:r>
        <w:rPr>
          <w:spacing w:val="-3"/>
        </w:rPr>
        <w:t>注</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position w:val="-2"/>
          <w:sz w:val="14"/>
          <w:szCs w:val="14"/>
        </w:rPr>
        <w:t>1</w:t>
      </w:r>
      <w:r>
        <w:rPr>
          <w:spacing w:val="-3"/>
        </w:rPr>
        <w:t>：本公司持有万向新元工程</w:t>
      </w:r>
      <w:r>
        <w:rPr>
          <w:rFonts w:ascii="Times New Roman" w:hAnsi="Times New Roman" w:cs="Times New Roman" w:eastAsia="Times New Roman" w:hint="default"/>
          <w:spacing w:val="-3"/>
        </w:rPr>
        <w:t>60%</w:t>
      </w:r>
      <w:r>
        <w:rPr>
          <w:spacing w:val="-3"/>
        </w:rPr>
        <w:t>的股权，本公司之子公司四方同兴持有万向新元工程</w:t>
      </w:r>
      <w:r>
        <w:rPr>
          <w:rFonts w:ascii="Times New Roman" w:hAnsi="Times New Roman" w:cs="Times New Roman" w:eastAsia="Times New Roman" w:hint="default"/>
          <w:spacing w:val="-3"/>
        </w:rPr>
        <w:t>40%</w:t>
      </w:r>
      <w:r>
        <w:rPr>
          <w:spacing w:val="-3"/>
        </w:rPr>
        <w:t>的股权，</w:t>
      </w:r>
      <w:r>
        <w:rPr>
          <w:w w:val="100"/>
        </w:rPr>
        <w:t> </w:t>
      </w:r>
      <w:r>
        <w:rPr/>
        <w:t>合计持股</w:t>
      </w:r>
      <w:r>
        <w:rPr>
          <w:rFonts w:ascii="Times New Roman" w:hAnsi="Times New Roman" w:cs="Times New Roman" w:eastAsia="Times New Roman" w:hint="default"/>
        </w:rPr>
        <w:t>100%</w:t>
      </w:r>
      <w:r>
        <w:rPr/>
        <w:t>。</w:t>
      </w:r>
    </w:p>
    <w:p>
      <w:pPr>
        <w:pStyle w:val="BodyText"/>
        <w:spacing w:line="357" w:lineRule="auto" w:before="137"/>
        <w:ind w:left="633" w:right="3329"/>
        <w:jc w:val="left"/>
      </w:pPr>
      <w:r>
        <w:rPr>
          <w:spacing w:val="-2"/>
        </w:rPr>
        <w:t>上述子公司具体情况详见本附注七</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w:t>
      </w:r>
      <w:r>
        <w:rPr>
          <w:spacing w:val="-56"/>
        </w:rPr>
        <w:t> </w:t>
      </w:r>
      <w:r>
        <w:rPr>
          <w:rFonts w:ascii="Times New Roman" w:hAnsi="Times New Roman" w:cs="Times New Roman" w:eastAsia="Times New Roman" w:hint="default"/>
        </w:rPr>
        <w:t>(2)</w:t>
      </w:r>
      <w:r>
        <w:rPr/>
        <w:t>本公司本期合并财务报表范围变化</w:t>
      </w:r>
      <w:r>
        <w:rPr>
          <w:w w:val="100"/>
        </w:rPr>
        <w:t> </w:t>
      </w:r>
      <w:r>
        <w:rPr/>
        <w:t>本公司本期合并范围与上期相比未发生变化。</w:t>
      </w:r>
    </w:p>
    <w:p>
      <w:pPr>
        <w:spacing w:line="240" w:lineRule="auto" w:before="13"/>
        <w:rPr>
          <w:rFonts w:ascii="宋体" w:hAnsi="宋体" w:cs="宋体" w:eastAsia="宋体" w:hint="default"/>
          <w:sz w:val="15"/>
          <w:szCs w:val="15"/>
        </w:rPr>
      </w:pPr>
    </w:p>
    <w:p>
      <w:pPr>
        <w:pStyle w:val="Heading2"/>
        <w:spacing w:line="240" w:lineRule="auto"/>
        <w:ind w:right="116"/>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6"/>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6" w:firstLine="480"/>
        <w:jc w:val="left"/>
      </w:pPr>
      <w:r>
        <w:rPr>
          <w:spacing w:val="-4"/>
        </w:rPr>
        <w:t>本公司以持续经营为基础，根据实际发生的交易和事项，按照企业会计准则及其应用指南和准则解释</w:t>
      </w:r>
      <w:r>
        <w:rPr>
          <w:w w:val="100"/>
        </w:rPr>
        <w:t> </w:t>
      </w:r>
      <w:r>
        <w:rPr/>
        <w:t>的规定进行确认和计量，在此基础上编制财务报表。</w:t>
      </w:r>
    </w:p>
    <w:p>
      <w:pPr>
        <w:spacing w:line="240" w:lineRule="auto" w:before="7"/>
        <w:rPr>
          <w:rFonts w:ascii="宋体" w:hAnsi="宋体" w:cs="宋体" w:eastAsia="宋体" w:hint="default"/>
          <w:sz w:val="23"/>
          <w:szCs w:val="23"/>
        </w:rPr>
      </w:pPr>
    </w:p>
    <w:p>
      <w:pPr>
        <w:pStyle w:val="Heading4"/>
        <w:spacing w:line="240" w:lineRule="auto"/>
        <w:ind w:right="116"/>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6" w:firstLine="480"/>
        <w:jc w:val="left"/>
      </w:pPr>
      <w:r>
        <w:rPr>
          <w:spacing w:val="-2"/>
        </w:rPr>
        <w:t>本公司对自报告期末起</w:t>
      </w:r>
      <w:r>
        <w:rPr>
          <w:rFonts w:ascii="Times New Roman" w:hAnsi="Times New Roman" w:cs="Times New Roman" w:eastAsia="Times New Roman" w:hint="default"/>
          <w:spacing w:val="-2"/>
        </w:rPr>
        <w:t>12</w:t>
      </w:r>
      <w:r>
        <w:rPr>
          <w:spacing w:val="-2"/>
        </w:rPr>
        <w:t>个月的持续经营能力进行了评估，未发现影响本公司持续经营能力的事项，</w:t>
      </w:r>
      <w:r>
        <w:rPr>
          <w:w w:val="100"/>
        </w:rPr>
        <w:t> </w:t>
      </w:r>
      <w:r>
        <w:rPr/>
        <w:t>本公司以持续经营为基础编制财务报表是合理的。</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116"/>
        <w:jc w:val="left"/>
        <w:rPr>
          <w:b w:val="0"/>
          <w:bCs w:val="0"/>
        </w:rPr>
      </w:pPr>
      <w:r>
        <w:rPr/>
        <w:t>五、重要会计政策及会计估计</w:t>
      </w:r>
      <w:r>
        <w:rPr>
          <w:b w:val="0"/>
          <w:bCs w:val="0"/>
        </w:rPr>
      </w:r>
    </w:p>
    <w:p>
      <w:pPr>
        <w:spacing w:line="240" w:lineRule="auto" w:before="2"/>
        <w:rPr>
          <w:rFonts w:ascii="宋体" w:hAnsi="宋体" w:cs="宋体" w:eastAsia="宋体" w:hint="default"/>
          <w:b/>
          <w:bCs/>
          <w:sz w:val="14"/>
          <w:szCs w:val="14"/>
        </w:rPr>
      </w:pPr>
    </w:p>
    <w:p>
      <w:pPr>
        <w:pStyle w:val="BodyText"/>
        <w:spacing w:line="430" w:lineRule="atLeast"/>
        <w:ind w:left="633" w:right="116" w:hanging="481"/>
        <w:jc w:val="left"/>
      </w:pPr>
      <w:r>
        <w:rPr/>
        <w:t>具体会计政策和会计估计提示：</w:t>
      </w:r>
      <w:r>
        <w:rPr>
          <w:w w:val="100"/>
        </w:rPr>
        <w:t> </w:t>
      </w:r>
      <w:r>
        <w:rPr>
          <w:spacing w:val="-4"/>
        </w:rPr>
        <w:t>本公司下列重要会计政策、会计估计根据企业会计准则制定。未提及的业务按企业会计准则中相关会</w:t>
      </w:r>
    </w:p>
    <w:p>
      <w:pPr>
        <w:pStyle w:val="BodyText"/>
        <w:spacing w:line="240" w:lineRule="auto" w:before="37"/>
        <w:ind w:right="116"/>
        <w:jc w:val="left"/>
      </w:pPr>
      <w:r>
        <w:rPr/>
        <w:t>计政策执行。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4"/>
        <w:spacing w:line="240" w:lineRule="auto"/>
        <w:ind w:right="116"/>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6"/>
        <w:jc w:val="left"/>
      </w:pPr>
      <w:r>
        <w:rPr>
          <w:spacing w:val="-2"/>
        </w:rPr>
        <w:t>本公司所编制的财务报表符合企业会计准则的要求，真实、完整地反映了公司的财务状况、经营成果、所</w:t>
      </w:r>
      <w:r>
        <w:rPr>
          <w:spacing w:val="-44"/>
        </w:rPr>
        <w:t> </w:t>
      </w:r>
      <w:r>
        <w:rPr>
          <w:spacing w:val="-44"/>
        </w:rPr>
      </w:r>
      <w:r>
        <w:rPr/>
        <w:t>有者权益变动和现金流量等有关信息。</w:t>
      </w:r>
    </w:p>
    <w:p>
      <w:pPr>
        <w:spacing w:line="240" w:lineRule="auto" w:before="7"/>
        <w:rPr>
          <w:rFonts w:ascii="宋体" w:hAnsi="宋体" w:cs="宋体" w:eastAsia="宋体" w:hint="default"/>
          <w:sz w:val="23"/>
          <w:szCs w:val="23"/>
        </w:rPr>
      </w:pPr>
    </w:p>
    <w:p>
      <w:pPr>
        <w:spacing w:line="506" w:lineRule="auto" w:before="0"/>
        <w:ind w:left="152" w:right="43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本公司会计年度自公历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日起至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63"/>
        <w:ind w:left="633" w:right="116"/>
        <w:jc w:val="left"/>
      </w:pPr>
      <w:r>
        <w:rPr/>
        <w:t>本公司正常营业周期为一年。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6"/>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633" w:right="116"/>
        <w:jc w:val="left"/>
      </w:pPr>
      <w:r>
        <w:rPr/>
        <w:t>本公司的记账本位币为人民币。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spacing w:line="357" w:lineRule="auto" w:before="0"/>
        <w:ind w:left="633" w:right="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本公司在企业合并中取得的资产和负债，在合并日按取得被合并方在最终控制方合并财务报表中的账</w:t>
      </w:r>
    </w:p>
    <w:p>
      <w:pPr>
        <w:pStyle w:val="BodyText"/>
        <w:spacing w:line="209" w:lineRule="exact"/>
        <w:ind w:right="116"/>
        <w:jc w:val="left"/>
      </w:pPr>
      <w:r>
        <w:rPr/>
        <w:t>面价值计量。其中，对于被合并方与本公司在企业合并前采用的会计政策不同的，基于重要性原则统一会</w:t>
      </w:r>
    </w:p>
    <w:p>
      <w:pPr>
        <w:pStyle w:val="BodyText"/>
        <w:spacing w:line="273" w:lineRule="auto" w:before="37"/>
        <w:ind w:right="116"/>
        <w:jc w:val="left"/>
      </w:pPr>
      <w:r>
        <w:rPr>
          <w:spacing w:val="-2"/>
        </w:rPr>
        <w:t>计政策，即按照本公司的会计政策对被合并方资产、负债的账面价值进行调整。本公司在企业合并中取得</w:t>
      </w:r>
      <w:r>
        <w:rPr>
          <w:spacing w:val="-43"/>
        </w:rPr>
        <w:t> </w:t>
      </w:r>
      <w:r>
        <w:rPr>
          <w:spacing w:val="-43"/>
        </w:rPr>
      </w:r>
      <w:r>
        <w:rPr>
          <w:spacing w:val="-5"/>
        </w:rPr>
        <w:t>的净资产账面价值与所支付对价的账面价值之间存在差额的，首先调整资本公积（资本溢价或股本溢价）， </w:t>
      </w:r>
      <w:r>
        <w:rPr>
          <w:spacing w:val="-5"/>
        </w:rPr>
      </w:r>
      <w:r>
        <w:rPr/>
        <w:t>资本公积（资本溢价或股本溢价）的余额不足冲减的，依次冲减盈余公积和未分配利润。</w:t>
      </w:r>
    </w:p>
    <w:p>
      <w:pPr>
        <w:pStyle w:val="Heading4"/>
        <w:spacing w:line="240" w:lineRule="auto" w:before="127"/>
        <w:ind w:left="633" w:right="116"/>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pStyle w:val="BodyText"/>
        <w:spacing w:line="273" w:lineRule="auto" w:before="141"/>
        <w:ind w:right="206"/>
        <w:jc w:val="both"/>
      </w:pPr>
      <w:r>
        <w:rPr>
          <w:spacing w:val="-2"/>
        </w:rPr>
        <w:t>本公司在企业合并中取得的被购买方各项可辨认资产和负债，在购买日按其公允价值计量。其中，对于被</w:t>
      </w:r>
      <w:r>
        <w:rPr>
          <w:spacing w:val="-44"/>
        </w:rPr>
        <w:t> </w:t>
      </w:r>
      <w:r>
        <w:rPr>
          <w:spacing w:val="-44"/>
        </w:rPr>
      </w:r>
      <w:r>
        <w:rPr>
          <w:spacing w:val="-2"/>
        </w:rPr>
        <w:t>购买方与本公司在企业合并前采用的会计政策不同的，基于重要性原则统一会计政策，即按照本公司的会</w:t>
      </w:r>
      <w:r>
        <w:rPr>
          <w:spacing w:val="-43"/>
        </w:rPr>
        <w:t> </w:t>
      </w:r>
      <w:r>
        <w:rPr>
          <w:spacing w:val="-43"/>
        </w:rPr>
      </w:r>
      <w:r>
        <w:rPr>
          <w:spacing w:val="-2"/>
        </w:rPr>
        <w:t>计政策对被购买方资产、负债的账面价值进行调整。本公司在购买日的合并成本大于企业合并中取得的被</w:t>
      </w:r>
      <w:r>
        <w:rPr>
          <w:spacing w:val="-43"/>
        </w:rPr>
        <w:t> </w:t>
      </w:r>
      <w:r>
        <w:rPr>
          <w:spacing w:val="-43"/>
        </w:rPr>
      </w:r>
      <w:r>
        <w:rPr>
          <w:spacing w:val="-2"/>
        </w:rPr>
        <w:t>购买方可辨认资产、负债公允价值的差额，确认为商誉；如果合并成本小于企业合并中取得的被购买方可</w:t>
      </w:r>
      <w:r>
        <w:rPr>
          <w:spacing w:val="-44"/>
        </w:rPr>
        <w:t> </w:t>
      </w:r>
      <w:r>
        <w:rPr>
          <w:spacing w:val="-44"/>
        </w:rPr>
      </w:r>
      <w:r>
        <w:rPr>
          <w:spacing w:val="-2"/>
        </w:rPr>
        <w:t>辨认资产、负债公允价值的差额，首先对合并成本以及在企业合并中取得的被购买方可辨认资产、负债的</w:t>
      </w:r>
      <w:r>
        <w:rPr>
          <w:spacing w:val="-44"/>
        </w:rPr>
        <w:t> </w:t>
      </w:r>
      <w:r>
        <w:rPr>
          <w:spacing w:val="-44"/>
        </w:rPr>
      </w:r>
      <w:r>
        <w:rPr>
          <w:spacing w:val="-2"/>
        </w:rPr>
        <w:t>公允价值进行复核，经复核后合并成本仍小于取得的被购买方可辨认资产、负债公允价值的，其差额确认</w:t>
      </w:r>
      <w:r>
        <w:rPr>
          <w:spacing w:val="-43"/>
        </w:rPr>
        <w:t> </w:t>
      </w:r>
      <w:r>
        <w:rPr>
          <w:spacing w:val="-43"/>
        </w:rPr>
      </w:r>
      <w:r>
        <w:rPr/>
        <w:t>为合并当期损益。</w:t>
      </w:r>
    </w:p>
    <w:p>
      <w:pPr>
        <w:spacing w:after="0" w:line="273" w:lineRule="auto"/>
        <w:jc w:val="both"/>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633" w:right="153"/>
        <w:jc w:val="left"/>
        <w:rPr>
          <w:b w:val="0"/>
          <w:bCs w:val="0"/>
        </w:rPr>
      </w:pPr>
      <w:r>
        <w:rPr/>
        <w:t>（</w:t>
      </w:r>
      <w:r>
        <w:rPr>
          <w:rFonts w:ascii="Times New Roman" w:hAnsi="Times New Roman" w:cs="Times New Roman" w:eastAsia="Times New Roman" w:hint="default"/>
        </w:rPr>
        <w:t>1</w:t>
      </w:r>
      <w:r>
        <w:rPr/>
        <w:t>）合并范围的确定</w:t>
      </w:r>
      <w:r>
        <w:rPr>
          <w:b w:val="0"/>
          <w:bCs w:val="0"/>
        </w:rPr>
      </w:r>
    </w:p>
    <w:p>
      <w:pPr>
        <w:pStyle w:val="BodyText"/>
        <w:spacing w:line="256" w:lineRule="auto" w:before="141"/>
        <w:ind w:right="141" w:firstLine="480"/>
        <w:jc w:val="left"/>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不仅包括根据表决权（或类似表决权）本身或者结</w:t>
      </w:r>
      <w:r>
        <w:rPr>
          <w:w w:val="100"/>
        </w:rPr>
        <w:t> </w:t>
      </w:r>
      <w:r>
        <w:rPr/>
        <w:t>合其他安排确定的子公司，也包括基于一项或多项合同安排决定的结构化主体。</w:t>
      </w:r>
    </w:p>
    <w:p>
      <w:pPr>
        <w:pStyle w:val="BodyText"/>
        <w:spacing w:line="273" w:lineRule="auto" w:before="142"/>
        <w:ind w:right="146" w:firstLine="480"/>
        <w:jc w:val="both"/>
      </w:pPr>
      <w:r>
        <w:rPr>
          <w:spacing w:val="-4"/>
        </w:rPr>
        <w:t>控制是指本公司拥有对被投资方的权力，通过参与被投资方的相关活动而享有可变回报，并且有能力</w:t>
      </w:r>
      <w:r>
        <w:rPr>
          <w:w w:val="100"/>
        </w:rPr>
        <w:t> </w:t>
      </w:r>
      <w:r>
        <w:rPr>
          <w:spacing w:val="-2"/>
        </w:rPr>
        <w:t>运用对被投资方的权力影响其回报金额。子公司是指被本公司控制的主体（含企业、被投资单位中可分割</w:t>
      </w:r>
      <w:r>
        <w:rPr>
          <w:spacing w:val="-44"/>
        </w:rPr>
        <w:t> </w:t>
      </w:r>
      <w:r>
        <w:rPr>
          <w:spacing w:val="-44"/>
        </w:rPr>
      </w:r>
      <w:r>
        <w:rPr>
          <w:spacing w:val="-2"/>
        </w:rPr>
        <w:t>的部分，以及企业所控制的结构化主体等），结构化主体是指在确定其控制方时没有将表决权或类似权利</w:t>
      </w:r>
      <w:r>
        <w:rPr>
          <w:spacing w:val="-43"/>
        </w:rPr>
        <w:t> </w:t>
      </w:r>
      <w:r>
        <w:rPr>
          <w:spacing w:val="-43"/>
        </w:rPr>
      </w:r>
      <w:r>
        <w:rPr/>
        <w:t>作为决定性因素而设计的主体（注：有时也称为特殊目的主体）。</w:t>
      </w:r>
    </w:p>
    <w:p>
      <w:pPr>
        <w:pStyle w:val="BodyText"/>
        <w:spacing w:line="367" w:lineRule="auto" w:before="127"/>
        <w:ind w:left="633" w:right="153"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）合并财务报表的编制方法</w:t>
      </w:r>
      <w:r>
        <w:rPr>
          <w:rFonts w:ascii="宋体" w:hAnsi="宋体" w:cs="宋体" w:eastAsia="宋体" w:hint="default"/>
          <w:b/>
          <w:bCs/>
          <w:w w:val="100"/>
        </w:rPr>
        <w:t> </w:t>
      </w:r>
      <w:r>
        <w:rPr/>
        <w:t>本公司以自身和子公司的财务报表为基础，根据其他有关资料，编制合并财务报表。</w:t>
      </w:r>
      <w:r>
        <w:rPr>
          <w:w w:val="100"/>
        </w:rPr>
        <w:t> </w:t>
      </w:r>
      <w:r>
        <w:rPr>
          <w:spacing w:val="-4"/>
        </w:rPr>
        <w:t>本公司编制合并财务报表，将整个企业集团视为一个会计主体，依据相关企业会计准则的确认、计量</w:t>
      </w:r>
    </w:p>
    <w:p>
      <w:pPr>
        <w:pStyle w:val="BodyText"/>
        <w:spacing w:line="201" w:lineRule="exact"/>
        <w:ind w:right="153"/>
        <w:jc w:val="left"/>
      </w:pPr>
      <w:r>
        <w:rPr/>
        <w:t>和列报要求，按照统一的会计政策，反映企业集团整体财务状况、经营成果和现金流量。</w:t>
      </w:r>
    </w:p>
    <w:p>
      <w:pPr>
        <w:pStyle w:val="BodyText"/>
        <w:spacing w:line="240" w:lineRule="auto" w:before="157"/>
        <w:ind w:left="633" w:right="153"/>
        <w:jc w:val="left"/>
      </w:pPr>
      <w:r>
        <w:rPr/>
        <w:t>①合并母公司与子公司的资产、负债、所有者权益、收入、费用和现金流等项目。</w:t>
      </w:r>
    </w:p>
    <w:p>
      <w:pPr>
        <w:pStyle w:val="BodyText"/>
        <w:spacing w:line="240" w:lineRule="auto" w:before="157"/>
        <w:ind w:left="633" w:right="153"/>
        <w:jc w:val="left"/>
      </w:pPr>
      <w:r>
        <w:rPr/>
        <w:t>②抵销母公司对子公司的长期股权投资与母公司在子公司所有者权益中所享有的份额。</w:t>
      </w:r>
    </w:p>
    <w:p>
      <w:pPr>
        <w:pStyle w:val="BodyText"/>
        <w:spacing w:line="273" w:lineRule="auto" w:before="157"/>
        <w:ind w:right="153" w:firstLine="480"/>
        <w:jc w:val="left"/>
      </w:pPr>
      <w:r>
        <w:rPr>
          <w:spacing w:val="-4"/>
        </w:rPr>
        <w:t>③抵销母公司与子公司、子公司相互之间发生的内部交易的影响。内部交易表明相关资产发生减值损</w:t>
      </w:r>
      <w:r>
        <w:rPr>
          <w:w w:val="100"/>
        </w:rPr>
        <w:t> </w:t>
      </w:r>
      <w:r>
        <w:rPr/>
        <w:t>失的，应当全额确认该部分损失。</w:t>
      </w:r>
    </w:p>
    <w:p>
      <w:pPr>
        <w:pStyle w:val="BodyText"/>
        <w:spacing w:line="240" w:lineRule="auto" w:before="127"/>
        <w:ind w:left="633" w:right="153"/>
        <w:jc w:val="left"/>
      </w:pPr>
      <w:r>
        <w:rPr/>
        <w:t>④站在企业集团角度对特殊交易事项予以调整。</w:t>
      </w:r>
    </w:p>
    <w:p>
      <w:pPr>
        <w:spacing w:line="357" w:lineRule="auto" w:before="157"/>
        <w:ind w:left="633" w:right="15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）特殊交易的会计处理</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本公司购买子公司少数股东拥有的子公司股权，在个别财务报表中，购买少数股权新取得的长期股权</w:t>
      </w:r>
    </w:p>
    <w:p>
      <w:pPr>
        <w:pStyle w:val="BodyText"/>
        <w:spacing w:line="209" w:lineRule="exact"/>
        <w:ind w:right="0"/>
        <w:jc w:val="left"/>
      </w:pPr>
      <w:r>
        <w:rPr/>
        <w:t>投资的投资成本按照所支付对价的公允价值计量。在合并财务报表中，因购买少数股权新取得的长期股权</w:t>
      </w:r>
    </w:p>
    <w:p>
      <w:pPr>
        <w:pStyle w:val="BodyText"/>
        <w:spacing w:line="273" w:lineRule="auto" w:before="37"/>
        <w:ind w:right="153"/>
        <w:jc w:val="left"/>
      </w:pPr>
      <w:r>
        <w:rPr>
          <w:spacing w:val="-2"/>
        </w:rPr>
        <w:t>投资与按照新增持股比例计算应享有子公司自购买日或合并日开始持续计算的净资产份额之间的差额，应</w:t>
      </w:r>
      <w:r>
        <w:rPr>
          <w:spacing w:val="-43"/>
        </w:rPr>
        <w:t> </w:t>
      </w:r>
      <w:r>
        <w:rPr>
          <w:spacing w:val="-43"/>
        </w:rPr>
      </w:r>
      <w:r>
        <w:rPr/>
        <w:t>当调整资本公积（资本溢价或股本溢价），资本公积不足冲减的，依次冲减盈余公积和未分配利润。</w:t>
      </w:r>
    </w:p>
    <w:p>
      <w:pPr>
        <w:spacing w:line="240" w:lineRule="auto" w:before="6"/>
        <w:rPr>
          <w:rFonts w:ascii="宋体" w:hAnsi="宋体" w:cs="宋体" w:eastAsia="宋体" w:hint="default"/>
          <w:sz w:val="24"/>
          <w:szCs w:val="24"/>
        </w:rPr>
      </w:pPr>
    </w:p>
    <w:p>
      <w:pPr>
        <w:spacing w:line="590" w:lineRule="atLeast" w:before="0"/>
        <w:ind w:left="633" w:right="153" w:hanging="48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sz w:val="21"/>
          <w:szCs w:val="21"/>
        </w:rPr>
        <w:t>现金指企业库存现金及可以随时用于支付的存款。现金等价物指持有的期限短（一般是指从购买日起</w:t>
      </w:r>
    </w:p>
    <w:p>
      <w:pPr>
        <w:pStyle w:val="BodyText"/>
        <w:spacing w:line="240" w:lineRule="auto" w:before="37"/>
        <w:ind w:right="153"/>
        <w:jc w:val="left"/>
      </w:pPr>
      <w:r>
        <w:rPr/>
        <w:t>三个月内到期）、流动性强、易于转换为已知金额现金、价值变动风险很小的投资。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53"/>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spacing w:line="357" w:lineRule="auto" w:before="0"/>
        <w:ind w:left="633" w:right="15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）外币交易时折算汇率的确定方法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本公司外币交易初始确认时采用交易发生日的即期汇率或即期汇率的近似汇率折算为记账本位币。</w:t>
      </w:r>
    </w:p>
    <w:p>
      <w:pPr>
        <w:spacing w:line="357" w:lineRule="auto" w:before="54"/>
        <w:ind w:left="633" w:right="15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）资产负债表日外币货币性项目的折算方法</w:t>
      </w:r>
      <w:r>
        <w:rPr>
          <w:rFonts w:ascii="宋体" w:hAnsi="宋体" w:cs="宋体" w:eastAsia="宋体" w:hint="default"/>
          <w:b/>
          <w:bCs/>
          <w:w w:val="100"/>
          <w:sz w:val="21"/>
          <w:szCs w:val="21"/>
        </w:rPr>
        <w:t> </w:t>
      </w:r>
      <w:r>
        <w:rPr>
          <w:rFonts w:ascii="宋体" w:hAnsi="宋体" w:cs="宋体" w:eastAsia="宋体" w:hint="default"/>
          <w:spacing w:val="-4"/>
          <w:sz w:val="21"/>
          <w:szCs w:val="21"/>
        </w:rPr>
        <w:t>在资产负债表日，对于外币货币性项目，采用资产负债表日的即期汇率折算。因资产负债表日即期汇</w:t>
      </w:r>
    </w:p>
    <w:p>
      <w:pPr>
        <w:pStyle w:val="BodyText"/>
        <w:spacing w:line="209" w:lineRule="exact"/>
        <w:ind w:right="153"/>
        <w:jc w:val="left"/>
      </w:pPr>
      <w:r>
        <w:rPr/>
        <w:t>率与初始确认时或前一资产负债表日即期汇率不同而产生的汇兑差额，计入当期损益。</w:t>
      </w:r>
    </w:p>
    <w:p>
      <w:pPr>
        <w:pStyle w:val="Heading4"/>
        <w:spacing w:line="240" w:lineRule="auto" w:before="157"/>
        <w:ind w:left="635" w:right="153"/>
        <w:jc w:val="left"/>
        <w:rPr>
          <w:b w:val="0"/>
          <w:bCs w:val="0"/>
        </w:rPr>
      </w:pPr>
      <w:r>
        <w:rPr/>
        <w:t>（</w:t>
      </w:r>
      <w:r>
        <w:rPr>
          <w:rFonts w:ascii="Times New Roman" w:hAnsi="Times New Roman" w:cs="Times New Roman" w:eastAsia="Times New Roman" w:hint="default"/>
        </w:rPr>
        <w:t>3</w:t>
      </w:r>
      <w:r>
        <w:rPr/>
        <w:t>）外币报表折算方法</w:t>
      </w:r>
      <w:r>
        <w:rPr>
          <w:b w:val="0"/>
          <w:bCs w:val="0"/>
        </w:rPr>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BodyText"/>
        <w:spacing w:line="273" w:lineRule="auto" w:before="36"/>
        <w:ind w:right="116" w:firstLine="480"/>
        <w:jc w:val="left"/>
      </w:pPr>
      <w:r>
        <w:rPr>
          <w:spacing w:val="-4"/>
          <w:w w:val="100"/>
        </w:rPr>
        <w:t>对企业境外经营财务报表进行折算前先调整境外经营的会计期间和会计政策，使之与企业会计期间和</w:t>
      </w:r>
      <w:r>
        <w:rPr>
          <w:w w:val="100"/>
        </w:rPr>
        <w:t> </w:t>
      </w:r>
      <w:r>
        <w:rPr>
          <w:spacing w:val="-5"/>
        </w:rPr>
        <w:t>会计政策相一致，再根据调整后会计政策及会计期间编制相应货币（记账本位币以外的货币）的财务报表， </w:t>
      </w:r>
      <w:r>
        <w:rPr>
          <w:spacing w:val="-5"/>
        </w:rPr>
      </w:r>
      <w:r>
        <w:rPr/>
        <w:t>再按照以下方法对境外经营财务报表进行折算：</w:t>
      </w:r>
    </w:p>
    <w:p>
      <w:pPr>
        <w:pStyle w:val="BodyText"/>
        <w:spacing w:line="256" w:lineRule="auto" w:before="127"/>
        <w:ind w:right="116" w:firstLine="480"/>
        <w:jc w:val="left"/>
      </w:pPr>
      <w:r>
        <w:rPr>
          <w:spacing w:val="-1"/>
        </w:rPr>
        <w:t>①资产负债表中的资产和负债项目，采用资产负债表日的即期汇率折算，所有者权益项目除</w:t>
      </w:r>
      <w:r>
        <w:rPr>
          <w:rFonts w:ascii="Times New Roman" w:hAnsi="Times New Roman" w:cs="Times New Roman" w:eastAsia="Times New Roman" w:hint="default"/>
          <w:spacing w:val="-1"/>
        </w:rPr>
        <w:t>“</w:t>
      </w:r>
      <w:r>
        <w:rPr>
          <w:spacing w:val="-1"/>
        </w:rPr>
        <w:t>未分配</w:t>
      </w:r>
      <w:r>
        <w:rPr>
          <w:w w:val="100"/>
        </w:rPr>
        <w:t> </w:t>
      </w:r>
      <w:r>
        <w:rPr/>
        <w:t>利润</w:t>
      </w:r>
      <w:r>
        <w:rPr>
          <w:rFonts w:ascii="Times New Roman" w:hAnsi="Times New Roman" w:cs="Times New Roman" w:eastAsia="Times New Roman" w:hint="default"/>
        </w:rPr>
        <w:t>”</w:t>
      </w:r>
      <w:r>
        <w:rPr/>
        <w:t>项目外，其他项目采用发生时的即期汇率折算。</w:t>
      </w:r>
    </w:p>
    <w:p>
      <w:pPr>
        <w:pStyle w:val="BodyText"/>
        <w:spacing w:line="240" w:lineRule="auto" w:before="125"/>
        <w:ind w:left="633" w:right="116"/>
        <w:jc w:val="left"/>
      </w:pPr>
      <w:r>
        <w:rPr/>
        <w:t>②利润表中的收入和费用项目，采用交易发生日的即期汇率或即期汇率的近似汇率折算。</w:t>
      </w:r>
    </w:p>
    <w:p>
      <w:pPr>
        <w:pStyle w:val="BodyText"/>
        <w:spacing w:line="273" w:lineRule="auto" w:before="157"/>
        <w:ind w:right="116" w:firstLine="480"/>
        <w:jc w:val="left"/>
      </w:pPr>
      <w:r>
        <w:rPr>
          <w:spacing w:val="-4"/>
        </w:rPr>
        <w:t>③产生的外币财务报表折算差额，在编制合并财务报表时，在合并资产负债表中所有者权益项目下单</w:t>
      </w:r>
      <w:r>
        <w:rPr>
          <w:w w:val="100"/>
        </w:rPr>
        <w:t> </w:t>
      </w:r>
      <w:r>
        <w:rPr/>
        <w:t>独列示</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w:t>
      </w:r>
    </w:p>
    <w:p>
      <w:pPr>
        <w:pStyle w:val="BodyText"/>
        <w:spacing w:line="273" w:lineRule="auto" w:before="108"/>
        <w:ind w:right="224"/>
        <w:jc w:val="both"/>
      </w:pPr>
      <w:r>
        <w:rPr>
          <w:spacing w:val="2"/>
        </w:rPr>
        <w:t>④外币现金流量以及境外子公司的现金流量，采用现金流量发生日的即期汇率或即期汇率的近似汇率折</w:t>
      </w:r>
      <w:r>
        <w:rPr>
          <w:spacing w:val="-30"/>
        </w:rPr>
        <w:t> </w:t>
      </w:r>
      <w:r>
        <w:rPr>
          <w:spacing w:val="-30"/>
        </w:rPr>
      </w:r>
      <w:r>
        <w:rPr/>
        <w:t>算。汇率变动对现金的影响额应当作为调节项目，在现金流量表中单独列报。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635" w:right="116"/>
        <w:jc w:val="left"/>
        <w:rPr>
          <w:b w:val="0"/>
          <w:bCs w:val="0"/>
        </w:rPr>
      </w:pPr>
      <w:r>
        <w:rPr/>
        <w:t>（</w:t>
      </w:r>
      <w:r>
        <w:rPr>
          <w:rFonts w:ascii="Times New Roman" w:hAnsi="Times New Roman" w:cs="Times New Roman" w:eastAsia="Times New Roman" w:hint="default"/>
        </w:rPr>
        <w:t>1</w:t>
      </w:r>
      <w:r>
        <w:rPr/>
        <w:t>）金融资产的分类</w:t>
      </w:r>
      <w:r>
        <w:rPr>
          <w:b w:val="0"/>
          <w:bCs w:val="0"/>
        </w:rPr>
      </w:r>
    </w:p>
    <w:p>
      <w:pPr>
        <w:pStyle w:val="BodyText"/>
        <w:spacing w:line="432" w:lineRule="exact" w:before="41"/>
        <w:ind w:left="633" w:right="116"/>
        <w:jc w:val="left"/>
      </w:pPr>
      <w:r>
        <w:rPr/>
        <w:t>①以公允价值计量且其变动计入当期损益的金融资产</w:t>
      </w:r>
      <w:r>
        <w:rPr>
          <w:w w:val="100"/>
        </w:rPr>
        <w:t> </w:t>
      </w:r>
      <w:r>
        <w:rPr>
          <w:spacing w:val="-4"/>
        </w:rPr>
        <w:t>包括交易性金融资产和直接指定为以公允价值计量且其变动计入当期损益的金融资产，前者主要是指</w:t>
      </w:r>
    </w:p>
    <w:p>
      <w:pPr>
        <w:pStyle w:val="BodyText"/>
        <w:spacing w:line="255" w:lineRule="exact"/>
        <w:ind w:right="0"/>
        <w:jc w:val="both"/>
      </w:pPr>
      <w:r>
        <w:rPr/>
        <w:t>本公司为了近期内出售而持有的股票、债券、基金以及不作为有效套期工具的衍生工具投资。这类资产在</w:t>
      </w:r>
    </w:p>
    <w:p>
      <w:pPr>
        <w:pStyle w:val="BodyText"/>
        <w:spacing w:line="273" w:lineRule="auto" w:before="37"/>
        <w:ind w:right="206"/>
        <w:jc w:val="both"/>
      </w:pPr>
      <w:r>
        <w:rPr>
          <w:spacing w:val="-2"/>
        </w:rPr>
        <w:t>初始计量时按照取得时的公允价值作为初始确认金额，相关的交易费用在发生时计入当期损益。支付的价</w:t>
      </w:r>
      <w:r>
        <w:rPr>
          <w:spacing w:val="-43"/>
        </w:rPr>
        <w:t> </w:t>
      </w:r>
      <w:r>
        <w:rPr>
          <w:spacing w:val="-43"/>
        </w:rPr>
      </w:r>
      <w:r>
        <w:rPr>
          <w:spacing w:val="-2"/>
        </w:rPr>
        <w:t>款中包含已宣告但尚未发放的现金股利或已到付息但尚未领取的债券利息，单独确认为应收项目。在持有</w:t>
      </w:r>
      <w:r>
        <w:rPr>
          <w:spacing w:val="-43"/>
        </w:rPr>
        <w:t> </w:t>
      </w:r>
      <w:r>
        <w:rPr>
          <w:spacing w:val="-43"/>
        </w:rPr>
      </w:r>
      <w:r>
        <w:rPr>
          <w:spacing w:val="-2"/>
        </w:rPr>
        <w:t>期间取得利息或现金股利，确认为投资收益。资产负债表日，本公司将这类金融资产以公允价值计量且其</w:t>
      </w:r>
      <w:r>
        <w:rPr>
          <w:spacing w:val="-45"/>
        </w:rPr>
        <w:t> </w:t>
      </w:r>
      <w:r>
        <w:rPr>
          <w:spacing w:val="-45"/>
        </w:rPr>
      </w:r>
      <w:r>
        <w:rPr>
          <w:spacing w:val="-2"/>
        </w:rPr>
        <w:t>变动计入当期损益。这类金融资产在处置时，其公允价值与初始入账金额之间的差额确认为投资收益，同</w:t>
      </w:r>
      <w:r>
        <w:rPr>
          <w:spacing w:val="-42"/>
        </w:rPr>
        <w:t> </w:t>
      </w:r>
      <w:r>
        <w:rPr>
          <w:spacing w:val="-42"/>
        </w:rPr>
      </w:r>
      <w:r>
        <w:rPr/>
        <w:t>时调整公允价值变动损益。</w:t>
      </w:r>
    </w:p>
    <w:p>
      <w:pPr>
        <w:pStyle w:val="BodyText"/>
        <w:spacing w:line="432" w:lineRule="exact" w:before="28"/>
        <w:ind w:left="633" w:right="116"/>
        <w:jc w:val="left"/>
      </w:pPr>
      <w:r>
        <w:rPr/>
        <w:t>②持有至到期投资</w:t>
      </w:r>
      <w:r>
        <w:rPr>
          <w:w w:val="100"/>
        </w:rPr>
        <w:t> </w:t>
      </w:r>
      <w:r>
        <w:rPr>
          <w:spacing w:val="-4"/>
        </w:rPr>
        <w:t>主要是指到期日固定、回收金额固定或可确定，且本公司具有明确意图和能力持有至到期的国债、公</w:t>
      </w:r>
    </w:p>
    <w:p>
      <w:pPr>
        <w:pStyle w:val="BodyText"/>
        <w:spacing w:line="255" w:lineRule="exact"/>
        <w:ind w:right="0"/>
        <w:jc w:val="both"/>
      </w:pPr>
      <w:r>
        <w:rPr/>
        <w:t>司债券等。这类金融资产按照取得时的公允价值和相关交易费用之和作为初始确认金额。支付价款中包含</w:t>
      </w:r>
    </w:p>
    <w:p>
      <w:pPr>
        <w:pStyle w:val="BodyText"/>
        <w:spacing w:line="273" w:lineRule="auto" w:before="37"/>
        <w:ind w:right="206"/>
        <w:jc w:val="both"/>
      </w:pPr>
      <w:r>
        <w:rPr>
          <w:spacing w:val="-2"/>
        </w:rPr>
        <w:t>的已到付息期但尚未发放的债券利息，单独确认为应收项目。持有至到期投资在持有期间按照摊余成本和</w:t>
      </w:r>
      <w:r>
        <w:rPr>
          <w:spacing w:val="-43"/>
        </w:rPr>
        <w:t> </w:t>
      </w:r>
      <w:r>
        <w:rPr>
          <w:spacing w:val="-43"/>
        </w:rPr>
      </w:r>
      <w:r>
        <w:rPr>
          <w:spacing w:val="-2"/>
        </w:rPr>
        <w:t>实际利率计算确认利息收入，计入投资收益。处置持有至到期投资时，将所取得价款与该投资账面价值之</w:t>
      </w:r>
      <w:r>
        <w:rPr>
          <w:spacing w:val="-43"/>
        </w:rPr>
        <w:t> </w:t>
      </w:r>
      <w:r>
        <w:rPr>
          <w:spacing w:val="-43"/>
        </w:rPr>
      </w:r>
      <w:r>
        <w:rPr/>
        <w:t>间的差额计入投资收益。</w:t>
      </w:r>
    </w:p>
    <w:p>
      <w:pPr>
        <w:pStyle w:val="BodyText"/>
        <w:spacing w:line="432" w:lineRule="exact" w:before="27"/>
        <w:ind w:left="633" w:right="116"/>
        <w:jc w:val="left"/>
      </w:pPr>
      <w:r>
        <w:rPr/>
        <w:t>③应收款项</w:t>
      </w:r>
      <w:r>
        <w:rPr>
          <w:spacing w:val="-102"/>
        </w:rPr>
        <w:t> </w:t>
      </w:r>
      <w:r>
        <w:rPr>
          <w:spacing w:val="-102"/>
        </w:rPr>
      </w:r>
      <w:r>
        <w:rPr>
          <w:spacing w:val="-4"/>
        </w:rPr>
        <w:t>应收款项主要包括应收账款和其他应收款等。应收账款是指本公司销售商品或提供劳务形成的应收款</w:t>
      </w:r>
    </w:p>
    <w:p>
      <w:pPr>
        <w:pStyle w:val="BodyText"/>
        <w:spacing w:line="255" w:lineRule="exact"/>
        <w:ind w:right="0"/>
        <w:jc w:val="both"/>
      </w:pPr>
      <w:r>
        <w:rPr/>
        <w:t>项。应收账款按从购货方应收的合同或协议价款作为初始确认金额。</w:t>
      </w:r>
    </w:p>
    <w:p>
      <w:pPr>
        <w:pStyle w:val="BodyText"/>
        <w:spacing w:line="432" w:lineRule="exact" w:before="57"/>
        <w:ind w:left="633" w:right="116"/>
        <w:jc w:val="left"/>
      </w:pPr>
      <w:r>
        <w:rPr/>
        <w:t>④可供出售金融资产</w:t>
      </w:r>
      <w:r>
        <w:rPr>
          <w:w w:val="100"/>
        </w:rPr>
        <w:t> </w:t>
      </w:r>
      <w:r>
        <w:rPr>
          <w:spacing w:val="-4"/>
        </w:rPr>
        <w:t>主要是指本公司没有划分为以公允价值计量且其变动计入当期损益的金融资产、持有至到期投资、贷</w:t>
      </w:r>
    </w:p>
    <w:p>
      <w:pPr>
        <w:pStyle w:val="BodyText"/>
        <w:spacing w:line="255" w:lineRule="exact"/>
        <w:ind w:right="0"/>
        <w:jc w:val="both"/>
      </w:pPr>
      <w:r>
        <w:rPr/>
        <w:t>款和应收款项的金融资产。可供出售金融资产按照取得该金融资产的公允价值和相关交易费用之和作为初</w:t>
      </w:r>
    </w:p>
    <w:p>
      <w:pPr>
        <w:pStyle w:val="BodyText"/>
        <w:spacing w:line="271" w:lineRule="auto" w:before="37"/>
        <w:ind w:right="206"/>
        <w:jc w:val="both"/>
      </w:pPr>
      <w:r>
        <w:rPr>
          <w:spacing w:val="-2"/>
        </w:rPr>
        <w:t>始确认金额。支付的价款中包含的已到付息期但尚未领取的债券利息或已宣告但尚未发放的现金股利，单</w:t>
      </w:r>
      <w:r>
        <w:rPr>
          <w:spacing w:val="-44"/>
        </w:rPr>
        <w:t> </w:t>
      </w:r>
      <w:r>
        <w:rPr>
          <w:spacing w:val="-44"/>
        </w:rPr>
      </w:r>
      <w:r>
        <w:rPr/>
        <w:t>独确认为应收项目。可供出售金融资产持有期间取得的利息或现金股利计入投资收益。</w:t>
      </w:r>
    </w:p>
    <w:p>
      <w:pPr>
        <w:pStyle w:val="BodyText"/>
        <w:spacing w:line="273" w:lineRule="auto" w:before="130"/>
        <w:ind w:right="116" w:firstLine="480"/>
        <w:jc w:val="left"/>
      </w:pPr>
      <w:r>
        <w:rPr>
          <w:spacing w:val="-4"/>
        </w:rPr>
        <w:t>可供出售金融资产是外币货币性金融资产的，其形成的汇兑损益应当计入当期损益。采用实际利率法</w:t>
      </w:r>
      <w:r>
        <w:rPr>
          <w:w w:val="100"/>
        </w:rPr>
        <w:t> </w:t>
      </w:r>
      <w:r>
        <w:rPr>
          <w:spacing w:val="-2"/>
        </w:rPr>
        <w:t>计算的可供出售债务工具投资的利息，计入当期损益；可供出售权益工具投资的现金股利，在被投资单位</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25"/>
        <w:jc w:val="both"/>
      </w:pPr>
      <w:r>
        <w:rPr>
          <w:spacing w:val="-2"/>
        </w:rPr>
        <w:t>宣告发放股利时计入当期损益。资产负债表日，可供出售金融资产以公允价值计量，且其变动计入其他综</w:t>
      </w:r>
      <w:r>
        <w:rPr>
          <w:spacing w:val="-43"/>
        </w:rPr>
        <w:t> </w:t>
      </w:r>
      <w:r>
        <w:rPr>
          <w:spacing w:val="-43"/>
        </w:rPr>
      </w:r>
      <w:r>
        <w:rPr>
          <w:spacing w:val="-2"/>
        </w:rPr>
        <w:t>合收益。处置可供出售金融资产时，将取得的价款与该金融资产账面价值之间差额计入投资收益；同时，</w:t>
      </w:r>
      <w:r>
        <w:rPr>
          <w:spacing w:val="-21"/>
        </w:rPr>
        <w:t> </w:t>
      </w:r>
      <w:r>
        <w:rPr>
          <w:spacing w:val="-21"/>
        </w:rPr>
      </w:r>
      <w:r>
        <w:rPr/>
        <w:t>将原计入所有者权益的公允价值变动累计额对应处置部分的金额转出，计入投资收益。</w:t>
      </w:r>
    </w:p>
    <w:p>
      <w:pPr>
        <w:pStyle w:val="Heading4"/>
        <w:spacing w:line="240" w:lineRule="auto" w:before="127"/>
        <w:ind w:left="635" w:right="153"/>
        <w:jc w:val="left"/>
        <w:rPr>
          <w:b w:val="0"/>
          <w:bCs w:val="0"/>
        </w:rPr>
      </w:pPr>
      <w:r>
        <w:rPr/>
        <w:t>（</w:t>
      </w:r>
      <w:r>
        <w:rPr>
          <w:rFonts w:ascii="Times New Roman" w:hAnsi="Times New Roman" w:cs="Times New Roman" w:eastAsia="Times New Roman" w:hint="default"/>
        </w:rPr>
        <w:t>2</w:t>
      </w:r>
      <w:r>
        <w:rPr/>
        <w:t>）金融负债的分类</w:t>
      </w:r>
      <w:r>
        <w:rPr>
          <w:b w:val="0"/>
          <w:bCs w:val="0"/>
        </w:rPr>
      </w:r>
    </w:p>
    <w:p>
      <w:pPr>
        <w:pStyle w:val="BodyText"/>
        <w:spacing w:line="273" w:lineRule="auto" w:before="141"/>
        <w:ind w:right="146" w:firstLine="480"/>
        <w:jc w:val="both"/>
      </w:pPr>
      <w:r>
        <w:rPr>
          <w:spacing w:val="-4"/>
          <w:w w:val="100"/>
        </w:rPr>
        <w:t>①以公允价值计量且其变动计入当期损益的金融负债，包括交易性金融负债和指定为以公允价值计量</w:t>
      </w:r>
      <w:r>
        <w:rPr>
          <w:w w:val="100"/>
        </w:rPr>
        <w:t> </w:t>
      </w:r>
      <w:r>
        <w:rPr>
          <w:spacing w:val="-2"/>
        </w:rPr>
        <w:t>且其变动计入当期损益的金融负债；这类金融负债初始确认时以公允价值计量，相关交易费用直接计入当</w:t>
      </w:r>
      <w:r>
        <w:rPr>
          <w:spacing w:val="-43"/>
        </w:rPr>
        <w:t> </w:t>
      </w:r>
      <w:r>
        <w:rPr>
          <w:spacing w:val="-43"/>
        </w:rPr>
      </w:r>
      <w:r>
        <w:rPr/>
        <w:t>期损益，资产负债表日将公允价值变动计入当期损益。</w:t>
      </w:r>
    </w:p>
    <w:p>
      <w:pPr>
        <w:pStyle w:val="BodyText"/>
        <w:spacing w:line="240" w:lineRule="auto" w:before="127"/>
        <w:ind w:left="633" w:right="153"/>
        <w:jc w:val="left"/>
      </w:pPr>
      <w:r>
        <w:rPr/>
        <w:t>②其他金融负债，是指以公允价值计量且其变动计入当期损益的金融负债以外的金融负债。</w:t>
      </w:r>
    </w:p>
    <w:p>
      <w:pPr>
        <w:spacing w:line="357" w:lineRule="auto" w:before="157"/>
        <w:ind w:left="633" w:right="15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）金融资产的重分类</w:t>
      </w:r>
      <w:r>
        <w:rPr>
          <w:rFonts w:ascii="宋体" w:hAnsi="宋体" w:cs="宋体" w:eastAsia="宋体" w:hint="default"/>
          <w:b/>
          <w:bCs/>
          <w:w w:val="100"/>
          <w:sz w:val="21"/>
          <w:szCs w:val="21"/>
        </w:rPr>
        <w:t> </w:t>
      </w:r>
      <w:r>
        <w:rPr>
          <w:rFonts w:ascii="宋体" w:hAnsi="宋体" w:cs="宋体" w:eastAsia="宋体" w:hint="default"/>
          <w:spacing w:val="-4"/>
          <w:sz w:val="21"/>
          <w:szCs w:val="21"/>
        </w:rPr>
        <w:t>因持有意图或能力发生改变，使某项投资不再适合划分为持有至到期投资的，本公司将其重分类为可</w:t>
      </w:r>
    </w:p>
    <w:p>
      <w:pPr>
        <w:pStyle w:val="BodyText"/>
        <w:spacing w:line="209" w:lineRule="exact"/>
        <w:ind w:right="0"/>
        <w:jc w:val="both"/>
      </w:pPr>
      <w:r>
        <w:rPr/>
        <w:t>供出售金融资产，并以公允价值进行后续计量。持有至到期投资部分出售或重分类的金额较大，且不属于</w:t>
      </w:r>
    </w:p>
    <w:p>
      <w:pPr>
        <w:pStyle w:val="BodyText"/>
        <w:spacing w:line="264" w:lineRule="auto" w:before="37"/>
        <w:ind w:left="0" w:right="127"/>
        <w:jc w:val="right"/>
      </w:pPr>
      <w:r>
        <w:rPr>
          <w:spacing w:val="-2"/>
        </w:rPr>
        <w:t>《企业会计准则第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金融工具确认和计量》第十六条所指的例外情况，使该投资的剩余部分不再适</w:t>
      </w:r>
      <w:r>
        <w:rPr>
          <w:spacing w:val="-84"/>
        </w:rPr>
        <w:t> </w:t>
      </w:r>
      <w:r>
        <w:rPr>
          <w:spacing w:val="-84"/>
        </w:rPr>
      </w:r>
      <w:r>
        <w:rPr>
          <w:spacing w:val="-2"/>
        </w:rPr>
        <w:t>合划分为持有至到期投资的，本公司应当将该投资的剩余部分重分类为可供出售金融资产，并以公允价值</w:t>
      </w:r>
      <w:r>
        <w:rPr>
          <w:spacing w:val="-84"/>
        </w:rPr>
        <w:t> </w:t>
      </w:r>
      <w:r>
        <w:rPr>
          <w:spacing w:val="-84"/>
        </w:rPr>
      </w:r>
      <w:r>
        <w:rPr>
          <w:spacing w:val="-2"/>
        </w:rPr>
        <w:t>进行后续计量，但在本会计年度及以后两个完整的会计年度内不再将该金融资产划分为持有至到期投资。</w:t>
      </w:r>
    </w:p>
    <w:p>
      <w:pPr>
        <w:pStyle w:val="BodyText"/>
        <w:spacing w:line="273" w:lineRule="auto" w:before="136"/>
        <w:ind w:right="148" w:firstLine="480"/>
        <w:jc w:val="both"/>
      </w:pPr>
      <w:r>
        <w:rPr>
          <w:spacing w:val="-4"/>
        </w:rPr>
        <w:t>重分类日，该投资的账面价值与公允价值之间的差额计入其他综合收益，在该可供出售金融资产发生</w:t>
      </w:r>
      <w:r>
        <w:rPr>
          <w:w w:val="100"/>
        </w:rPr>
        <w:t> </w:t>
      </w:r>
      <w:r>
        <w:rPr/>
        <w:t>减值或终止确认时转出，计入当期损益。</w:t>
      </w:r>
    </w:p>
    <w:p>
      <w:pPr>
        <w:spacing w:line="357" w:lineRule="auto" w:before="127"/>
        <w:ind w:left="633" w:right="17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）金融负债与权益工具的区分</w:t>
      </w:r>
      <w:r>
        <w:rPr>
          <w:rFonts w:ascii="宋体" w:hAnsi="宋体" w:cs="宋体" w:eastAsia="宋体" w:hint="default"/>
          <w:b/>
          <w:bCs/>
          <w:w w:val="100"/>
          <w:sz w:val="21"/>
          <w:szCs w:val="21"/>
        </w:rPr>
        <w:t> </w:t>
      </w:r>
      <w:r>
        <w:rPr>
          <w:rFonts w:ascii="宋体" w:hAnsi="宋体" w:cs="宋体" w:eastAsia="宋体" w:hint="default"/>
          <w:spacing w:val="-2"/>
          <w:sz w:val="21"/>
          <w:szCs w:val="21"/>
        </w:rPr>
        <w:t>除特殊情况外，金融负债与权益工具按照下列原则进行区分：</w:t>
      </w:r>
    </w:p>
    <w:p>
      <w:pPr>
        <w:pStyle w:val="BodyText"/>
        <w:spacing w:line="273" w:lineRule="auto" w:before="54"/>
        <w:ind w:right="146" w:firstLine="480"/>
        <w:jc w:val="both"/>
      </w:pPr>
      <w:r>
        <w:rPr>
          <w:spacing w:val="-4"/>
        </w:rPr>
        <w:t>①如果本公司不能无条件地避免以交付现金或其他金融资产来履行一项合同义务，则该合同义务符合</w:t>
      </w:r>
      <w:r>
        <w:rPr>
          <w:w w:val="100"/>
        </w:rPr>
        <w:t> </w:t>
      </w:r>
      <w:r>
        <w:rPr>
          <w:spacing w:val="-2"/>
        </w:rPr>
        <w:t>金融负债的定义。有些金融工具虽然没有明确地包含交付现金或其他金融资产义务的条款和条件，但有可</w:t>
      </w:r>
      <w:r>
        <w:rPr>
          <w:spacing w:val="-44"/>
        </w:rPr>
        <w:t> </w:t>
      </w:r>
      <w:r>
        <w:rPr>
          <w:spacing w:val="-44"/>
        </w:rPr>
      </w:r>
      <w:r>
        <w:rPr/>
        <w:t>能通过其他条款和条件间接地形成合同义务。</w:t>
      </w:r>
    </w:p>
    <w:p>
      <w:pPr>
        <w:pStyle w:val="BodyText"/>
        <w:spacing w:line="273" w:lineRule="auto" w:before="127"/>
        <w:ind w:right="146" w:firstLine="480"/>
        <w:jc w:val="both"/>
      </w:pPr>
      <w:r>
        <w:rPr>
          <w:spacing w:val="-4"/>
          <w:w w:val="100"/>
        </w:rPr>
        <w:t>②如果一项金融工具须用或可用本公司自身权益工具进行结算，需要考虑用于结算该工具的本公司自</w:t>
      </w:r>
      <w:r>
        <w:rPr>
          <w:w w:val="100"/>
        </w:rPr>
        <w:t> </w:t>
      </w:r>
      <w:r>
        <w:rPr>
          <w:spacing w:val="-2"/>
        </w:rPr>
        <w:t>身权益工具，是作为现金或其他金融资产的替代品，还是为了使该工具持有方享有在发行方扣除所有负债</w:t>
      </w:r>
      <w:r>
        <w:rPr>
          <w:spacing w:val="-44"/>
        </w:rPr>
        <w:t> </w:t>
      </w:r>
      <w:r>
        <w:rPr>
          <w:spacing w:val="-44"/>
        </w:rPr>
      </w:r>
      <w:r>
        <w:rPr>
          <w:spacing w:val="-2"/>
        </w:rPr>
        <w:t>后的资产中的剩余权益。如果是前者，该工具是发行方的金融负债；如果是后者，该工具是发行方的权益</w:t>
      </w:r>
      <w:r>
        <w:rPr>
          <w:spacing w:val="-50"/>
        </w:rPr>
        <w:t> </w:t>
      </w:r>
      <w:r>
        <w:rPr>
          <w:spacing w:val="-50"/>
        </w:rPr>
      </w:r>
      <w:r>
        <w:rPr>
          <w:spacing w:val="-2"/>
        </w:rPr>
        <w:t>工具。在某些情况下，一项金融工具合同规定本公司须用或可用自身权益工具结算该金融工具，其中合同</w:t>
      </w:r>
      <w:r>
        <w:rPr>
          <w:spacing w:val="-43"/>
        </w:rPr>
        <w:t> </w:t>
      </w:r>
      <w:r>
        <w:rPr>
          <w:spacing w:val="-43"/>
        </w:rPr>
      </w:r>
      <w:r>
        <w:rPr>
          <w:spacing w:val="-2"/>
        </w:rPr>
        <w:t>权利或合同义务的金额等于可获取或需交付的自身权益工具的数量乘以其结算时的公允价值，则无论该合</w:t>
      </w:r>
      <w:r>
        <w:rPr>
          <w:spacing w:val="-43"/>
        </w:rPr>
        <w:t> </w:t>
      </w:r>
      <w:r>
        <w:rPr>
          <w:spacing w:val="-43"/>
        </w:rPr>
      </w:r>
      <w:r>
        <w:rPr>
          <w:spacing w:val="2"/>
        </w:rPr>
        <w:t>同权利或合同义务的金额是固定的，还是完全或部分地基于除本公司自身权益工具的市场价格以外变量</w:t>
      </w:r>
    </w:p>
    <w:p>
      <w:pPr>
        <w:pStyle w:val="BodyText"/>
        <w:spacing w:line="240" w:lineRule="auto" w:before="7"/>
        <w:ind w:right="0"/>
        <w:jc w:val="both"/>
      </w:pPr>
      <w:r>
        <w:rPr/>
        <w:t>（例如利率、某种商品的价格或某项金融工具的价格）的变动而变动，该合同分类为金融负债。</w:t>
      </w:r>
    </w:p>
    <w:p>
      <w:pPr>
        <w:spacing w:line="357" w:lineRule="auto" w:before="157"/>
        <w:ind w:left="633" w:right="452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）金融资产转移</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金融资产转移是指下列两种情形：</w:t>
      </w:r>
    </w:p>
    <w:p>
      <w:pPr>
        <w:pStyle w:val="BodyText"/>
        <w:spacing w:line="240" w:lineRule="auto" w:before="54"/>
        <w:ind w:left="633" w:right="153"/>
        <w:jc w:val="left"/>
      </w:pPr>
      <w:r>
        <w:rPr>
          <w:rFonts w:ascii="Times New Roman" w:hAnsi="Times New Roman" w:cs="Times New Roman" w:eastAsia="Times New Roman" w:hint="default"/>
        </w:rPr>
        <w:t>A.</w:t>
      </w:r>
      <w:r>
        <w:rPr/>
        <w:t>将收取金融资产现金流量的合同权利转移给另一方；</w:t>
      </w:r>
    </w:p>
    <w:p>
      <w:pPr>
        <w:pStyle w:val="BodyText"/>
        <w:spacing w:line="259" w:lineRule="auto" w:before="141"/>
        <w:ind w:right="148" w:firstLine="480"/>
        <w:jc w:val="both"/>
      </w:pPr>
      <w:r>
        <w:rPr>
          <w:rFonts w:ascii="Times New Roman" w:hAnsi="Times New Roman" w:cs="Times New Roman" w:eastAsia="Times New Roman" w:hint="default"/>
          <w:spacing w:val="-3"/>
        </w:rPr>
        <w:t>B.</w:t>
      </w:r>
      <w:r>
        <w:rPr>
          <w:spacing w:val="-3"/>
        </w:rPr>
        <w:t>将金融资产整体或部分转移给另一方，但保留收取金融资产现金流量的合同权利，并承担将收取的</w:t>
      </w:r>
      <w:r>
        <w:rPr>
          <w:w w:val="100"/>
        </w:rPr>
        <w:t> </w:t>
      </w:r>
      <w:r>
        <w:rPr/>
        <w:t>现金流量支付给一个或多个收款方的合同义务。</w:t>
      </w:r>
    </w:p>
    <w:p>
      <w:pPr>
        <w:pStyle w:val="BodyText"/>
        <w:spacing w:line="432" w:lineRule="exact" w:before="40"/>
        <w:ind w:left="633" w:right="153"/>
        <w:jc w:val="left"/>
      </w:pPr>
      <w:r>
        <w:rPr/>
        <w:t>①终止确认所转移的金融资产</w:t>
      </w:r>
      <w:r>
        <w:rPr>
          <w:w w:val="100"/>
        </w:rPr>
        <w:t> </w:t>
      </w:r>
      <w:r>
        <w:rPr>
          <w:spacing w:val="-4"/>
          <w:w w:val="100"/>
        </w:rPr>
        <w:t>已将金融资产所有权上几乎所有的风险和报酬转移给转入方的，或既没有转移也没有保留金融资产所</w:t>
      </w:r>
    </w:p>
    <w:p>
      <w:pPr>
        <w:pStyle w:val="BodyText"/>
        <w:spacing w:line="255" w:lineRule="exact"/>
        <w:ind w:right="0"/>
        <w:jc w:val="both"/>
      </w:pPr>
      <w:r>
        <w:rPr/>
        <w:t>有权上几乎所有的风险和报酬的，但放弃了对该金融资产控制的，终止确认该金融资产。</w:t>
      </w:r>
    </w:p>
    <w:p>
      <w:pPr>
        <w:pStyle w:val="BodyText"/>
        <w:spacing w:line="273" w:lineRule="auto" w:before="157"/>
        <w:ind w:right="146" w:firstLine="480"/>
        <w:jc w:val="both"/>
      </w:pPr>
      <w:r>
        <w:rPr>
          <w:spacing w:val="-4"/>
        </w:rPr>
        <w:t>在判断是否已放弃对所转移金融资产的控制时，注重转入方出售该金融资产的实际能力。转入方能够</w:t>
      </w:r>
      <w:r>
        <w:rPr>
          <w:w w:val="100"/>
        </w:rPr>
        <w:t> </w:t>
      </w:r>
      <w:r>
        <w:rPr>
          <w:spacing w:val="-2"/>
        </w:rPr>
        <w:t>单独将转入的金融资产整体出售给与其不存在关联方关系的第三方，且没有额外条件对此项出售加以限制</w:t>
      </w:r>
    </w:p>
    <w:p>
      <w:pPr>
        <w:spacing w:after="0" w:line="273"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376" w:lineRule="auto" w:before="36"/>
        <w:ind w:left="633" w:right="0" w:hanging="481"/>
        <w:jc w:val="left"/>
      </w:pPr>
      <w:r>
        <w:rPr/>
        <w:t>的，表明企业已放弃对该金融资产的控制。</w:t>
      </w:r>
      <w:r>
        <w:rPr>
          <w:w w:val="100"/>
        </w:rPr>
        <w:t> </w:t>
      </w:r>
      <w:r>
        <w:rPr/>
        <w:t>本公司在判断金融资产转移是否满足金融资产终止确认条件时，注重金融资产转移的实质。</w:t>
      </w:r>
      <w:r>
        <w:rPr>
          <w:w w:val="100"/>
        </w:rPr>
        <w:t> </w:t>
      </w:r>
      <w:r>
        <w:rPr/>
        <w:t>金融资产整体转移满足终止确认条件的，将下列两项金额的差额计入当期损益：</w:t>
      </w:r>
      <w:r>
        <w:rPr>
          <w:w w:val="100"/>
        </w:rPr>
        <w:t> </w:t>
      </w:r>
      <w:r>
        <w:rPr>
          <w:rFonts w:ascii="Times New Roman" w:hAnsi="Times New Roman" w:cs="Times New Roman" w:eastAsia="Times New Roman" w:hint="default"/>
        </w:rPr>
        <w:t>A.</w:t>
      </w:r>
      <w:r>
        <w:rPr/>
        <w:t>所转移金融资产的账面价值；</w:t>
      </w:r>
    </w:p>
    <w:p>
      <w:pPr>
        <w:pStyle w:val="BodyText"/>
        <w:spacing w:line="256" w:lineRule="auto" w:before="8"/>
        <w:ind w:right="186" w:firstLine="480"/>
        <w:jc w:val="both"/>
      </w:pPr>
      <w:r>
        <w:rPr>
          <w:rFonts w:ascii="Times New Roman" w:hAnsi="Times New Roman" w:cs="Times New Roman" w:eastAsia="Times New Roman" w:hint="default"/>
          <w:spacing w:val="-3"/>
        </w:rPr>
        <w:t>B.</w:t>
      </w:r>
      <w:r>
        <w:rPr>
          <w:spacing w:val="-3"/>
        </w:rPr>
        <w:t>因转移而收到的对价，与原直接计入所有者权益的公允价值变动累计额（涉及转移的金融资产为可</w:t>
      </w:r>
      <w:r>
        <w:rPr>
          <w:w w:val="100"/>
        </w:rPr>
        <w:t> </w:t>
      </w:r>
      <w:r>
        <w:rPr/>
        <w:t>供出售金融资产的情形）之和。</w:t>
      </w:r>
    </w:p>
    <w:p>
      <w:pPr>
        <w:pStyle w:val="BodyText"/>
        <w:spacing w:line="273" w:lineRule="auto" w:before="142"/>
        <w:ind w:right="188" w:firstLine="480"/>
        <w:jc w:val="both"/>
      </w:pPr>
      <w:r>
        <w:rPr>
          <w:spacing w:val="-4"/>
        </w:rPr>
        <w:t>金融资产部分转移满足终止确认条件的，将所转移金融资产整体的账面价值，在终止确认部分和未终</w:t>
      </w:r>
      <w:r>
        <w:rPr>
          <w:w w:val="100"/>
        </w:rPr>
        <w:t> </w:t>
      </w:r>
      <w:r>
        <w:rPr>
          <w:spacing w:val="-2"/>
        </w:rPr>
        <w:t>止确认部分（在此种情况下，所保留的服务资产视同未终止确认金融资产的一部分）之间，按照各自的相</w:t>
      </w:r>
      <w:r>
        <w:rPr>
          <w:spacing w:val="-47"/>
        </w:rPr>
        <w:t> </w:t>
      </w:r>
      <w:r>
        <w:rPr>
          <w:spacing w:val="-47"/>
        </w:rPr>
      </w:r>
      <w:r>
        <w:rPr/>
        <w:t>对公允价值进行分摊，并将下列两项金额的差额计入当期损益：</w:t>
      </w:r>
    </w:p>
    <w:p>
      <w:pPr>
        <w:pStyle w:val="BodyText"/>
        <w:spacing w:line="432" w:lineRule="exact" w:before="27"/>
        <w:ind w:left="633" w:right="0"/>
        <w:jc w:val="left"/>
      </w:pPr>
      <w:r>
        <w:rPr>
          <w:rFonts w:ascii="Times New Roman" w:hAnsi="Times New Roman" w:cs="Times New Roman" w:eastAsia="Times New Roman" w:hint="default"/>
        </w:rPr>
        <w:t>A.</w:t>
      </w:r>
      <w:r>
        <w:rPr/>
        <w:t>终止确认部分的账面价值；</w:t>
      </w:r>
      <w:r>
        <w:rPr>
          <w:w w:val="100"/>
        </w:rPr>
        <w:t> </w:t>
      </w:r>
      <w:r>
        <w:rPr>
          <w:rFonts w:ascii="Times New Roman" w:hAnsi="Times New Roman" w:cs="Times New Roman" w:eastAsia="Times New Roman" w:hint="default"/>
          <w:spacing w:val="-3"/>
        </w:rPr>
        <w:t>B.</w:t>
      </w:r>
      <w:r>
        <w:rPr>
          <w:spacing w:val="-3"/>
        </w:rPr>
        <w:t>终止确认部分的对价，与原直接计入所有者权益的公允价值变动累计额中对应终止确认部分的金额</w:t>
      </w:r>
    </w:p>
    <w:p>
      <w:pPr>
        <w:pStyle w:val="BodyText"/>
        <w:spacing w:line="256" w:lineRule="exact"/>
        <w:ind w:right="0"/>
        <w:jc w:val="left"/>
      </w:pPr>
      <w:r>
        <w:rPr/>
        <w:t>（涉及转移的金融资产为可供出售金融资产的情形）之和。</w:t>
      </w:r>
    </w:p>
    <w:p>
      <w:pPr>
        <w:pStyle w:val="BodyText"/>
        <w:spacing w:line="430" w:lineRule="atLeast" w:before="2"/>
        <w:ind w:left="633" w:right="0"/>
        <w:jc w:val="left"/>
      </w:pPr>
      <w:r>
        <w:rPr/>
        <w:t>②继续涉入所转移的金融资产</w:t>
      </w:r>
      <w:r>
        <w:rPr>
          <w:w w:val="100"/>
        </w:rPr>
        <w:t> </w:t>
      </w:r>
      <w:r>
        <w:rPr>
          <w:spacing w:val="-2"/>
        </w:rPr>
        <w:t>既没有转移也没有保留金融资产所有权上几乎所有的风险和报酬的，且未放弃对该金融资产控制的，</w:t>
      </w:r>
    </w:p>
    <w:p>
      <w:pPr>
        <w:pStyle w:val="BodyText"/>
        <w:spacing w:line="376" w:lineRule="auto" w:before="37"/>
        <w:ind w:left="633" w:right="0" w:hanging="481"/>
        <w:jc w:val="left"/>
      </w:pPr>
      <w:r>
        <w:rPr/>
        <w:t>应当按照其继续涉入所转移金融资产的程度确认有关金融资产，并相应确认有关负债。</w:t>
      </w:r>
      <w:r>
        <w:rPr>
          <w:w w:val="100"/>
        </w:rPr>
        <w:t> </w:t>
      </w:r>
      <w:r>
        <w:rPr>
          <w:spacing w:val="-2"/>
        </w:rPr>
        <w:t>继续涉入所转移金融资产的程度，是指该金融资产价值变动使企业面临的风险水平。</w:t>
      </w:r>
    </w:p>
    <w:p>
      <w:pPr>
        <w:pStyle w:val="BodyText"/>
        <w:spacing w:line="240" w:lineRule="auto" w:before="37"/>
        <w:ind w:left="633" w:right="0"/>
        <w:jc w:val="left"/>
      </w:pPr>
      <w:r>
        <w:rPr/>
        <w:t>③继续确认所转移的金融资产</w:t>
      </w:r>
    </w:p>
    <w:p>
      <w:pPr>
        <w:pStyle w:val="BodyText"/>
        <w:spacing w:line="273" w:lineRule="auto" w:before="157"/>
        <w:ind w:right="189" w:firstLine="480"/>
        <w:jc w:val="both"/>
      </w:pPr>
      <w:r>
        <w:rPr>
          <w:spacing w:val="-4"/>
        </w:rPr>
        <w:t>仍保留与所转移金融资产所有权上几乎所有的风险和报酬的，应当继续确认所转移金融资产整体，并</w:t>
      </w:r>
      <w:r>
        <w:rPr>
          <w:w w:val="100"/>
        </w:rPr>
        <w:t> </w:t>
      </w:r>
      <w:r>
        <w:rPr/>
        <w:t>将收到的对价确认为一项金融负债。</w:t>
      </w:r>
    </w:p>
    <w:p>
      <w:pPr>
        <w:pStyle w:val="BodyText"/>
        <w:spacing w:line="273" w:lineRule="auto" w:before="127"/>
        <w:ind w:right="186" w:firstLine="480"/>
        <w:jc w:val="both"/>
      </w:pPr>
      <w:r>
        <w:rPr>
          <w:spacing w:val="-4"/>
        </w:rPr>
        <w:t>该金融资产与确认的相关金融负债不得相互抵销。在随后的会计期间，企业应当继续确认该金融资产</w:t>
      </w:r>
      <w:r>
        <w:rPr>
          <w:w w:val="100"/>
        </w:rPr>
        <w:t> </w:t>
      </w:r>
      <w:r>
        <w:rPr>
          <w:spacing w:val="-2"/>
        </w:rPr>
        <w:t>产生的收入和该金融负债产生的费用。所转移的金融资产以摊余成本计量的，确认的相关负债不得指定为</w:t>
      </w:r>
      <w:r>
        <w:rPr>
          <w:spacing w:val="-44"/>
        </w:rPr>
        <w:t> </w:t>
      </w:r>
      <w:r>
        <w:rPr>
          <w:spacing w:val="-44"/>
        </w:rPr>
      </w:r>
      <w:r>
        <w:rPr/>
        <w:t>以公允价值计量且其变动计入当期损益的金融负债。</w:t>
      </w:r>
    </w:p>
    <w:p>
      <w:pPr>
        <w:pStyle w:val="BodyText"/>
        <w:spacing w:line="367" w:lineRule="auto" w:before="127"/>
        <w:ind w:left="633" w:right="0" w:firstLine="2"/>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）金融负债终止确认</w:t>
      </w:r>
      <w:r>
        <w:rPr>
          <w:rFonts w:ascii="宋体" w:hAnsi="宋体" w:cs="宋体" w:eastAsia="宋体" w:hint="default"/>
          <w:b/>
          <w:bCs/>
          <w:w w:val="100"/>
        </w:rPr>
        <w:t> </w:t>
      </w:r>
      <w:r>
        <w:rPr/>
        <w:t>金融负债的现时义务全部或部分已经解除的，终止确认该金融负债或其一部分。</w:t>
      </w:r>
      <w:r>
        <w:rPr>
          <w:w w:val="100"/>
        </w:rPr>
        <w:t> </w:t>
      </w:r>
      <w:r>
        <w:rPr>
          <w:spacing w:val="-4"/>
        </w:rPr>
        <w:t>将用于偿付金融负债的资产转入某个机构或设立信托，偿付债务的现时义务仍存在的，不终止确认该</w:t>
      </w:r>
    </w:p>
    <w:p>
      <w:pPr>
        <w:pStyle w:val="BodyText"/>
        <w:spacing w:line="201" w:lineRule="exact"/>
        <w:ind w:right="0"/>
        <w:jc w:val="left"/>
      </w:pPr>
      <w:r>
        <w:rPr/>
        <w:t>金融负债，也不终止确认转出的资产。</w:t>
      </w:r>
    </w:p>
    <w:p>
      <w:pPr>
        <w:pStyle w:val="BodyText"/>
        <w:spacing w:line="273" w:lineRule="auto" w:before="157"/>
        <w:ind w:right="189" w:firstLine="480"/>
        <w:jc w:val="both"/>
      </w:pPr>
      <w:r>
        <w:rPr>
          <w:spacing w:val="-4"/>
        </w:rPr>
        <w:t>与债权人之间签订协议，以承担新金融负债方式替换现存金融负债，且新金融负债与现存金融负债的</w:t>
      </w:r>
      <w:r>
        <w:rPr>
          <w:w w:val="100"/>
        </w:rPr>
        <w:t> </w:t>
      </w:r>
      <w:r>
        <w:rPr/>
        <w:t>合同条款实质上不同的，终止确认现存金融负债，并同时确认新金融负债。</w:t>
      </w:r>
    </w:p>
    <w:p>
      <w:pPr>
        <w:pStyle w:val="BodyText"/>
        <w:spacing w:line="273" w:lineRule="auto" w:before="127"/>
        <w:ind w:right="188" w:firstLine="480"/>
        <w:jc w:val="both"/>
      </w:pPr>
      <w:r>
        <w:rPr>
          <w:spacing w:val="-4"/>
        </w:rPr>
        <w:t>对现存金融负债全部或部分的合同条款作出实质性修改的，终止确认现存金融负债或其一部分，同时</w:t>
      </w:r>
      <w:r>
        <w:rPr>
          <w:w w:val="100"/>
        </w:rPr>
        <w:t> </w:t>
      </w:r>
      <w:r>
        <w:rPr/>
        <w:t>将修改条款后的金融负债确认为一项新金融负债。</w:t>
      </w:r>
    </w:p>
    <w:p>
      <w:pPr>
        <w:pStyle w:val="BodyText"/>
        <w:spacing w:line="273" w:lineRule="auto" w:before="128"/>
        <w:ind w:right="189" w:firstLine="480"/>
        <w:jc w:val="both"/>
      </w:pPr>
      <w:r>
        <w:rPr>
          <w:spacing w:val="-4"/>
        </w:rPr>
        <w:t>金融负债全部或部分终止确认的，将终止确认部分的账面价值与支付的对价（包括转出的非现金资产</w:t>
      </w:r>
      <w:r>
        <w:rPr>
          <w:w w:val="100"/>
        </w:rPr>
        <w:t> </w:t>
      </w:r>
      <w:r>
        <w:rPr/>
        <w:t>或承担的新金融负债）之间的差额，计入当期损益。</w:t>
      </w:r>
    </w:p>
    <w:p>
      <w:pPr>
        <w:spacing w:line="357" w:lineRule="auto" w:before="127"/>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）金融资产和金融负债的抵销</w:t>
      </w:r>
      <w:r>
        <w:rPr>
          <w:rFonts w:ascii="宋体" w:hAnsi="宋体" w:cs="宋体" w:eastAsia="宋体" w:hint="default"/>
          <w:b/>
          <w:bCs/>
          <w:w w:val="100"/>
          <w:sz w:val="21"/>
          <w:szCs w:val="21"/>
        </w:rPr>
        <w:t> </w:t>
      </w:r>
      <w:r>
        <w:rPr>
          <w:rFonts w:ascii="宋体" w:hAnsi="宋体" w:cs="宋体" w:eastAsia="宋体" w:hint="default"/>
          <w:spacing w:val="-4"/>
          <w:sz w:val="21"/>
          <w:szCs w:val="21"/>
        </w:rPr>
        <w:t>金融资产和金融负债应当在资产负债表内分别列示，不得相互抵销。但同时满足下列条件的，以相互</w:t>
      </w:r>
    </w:p>
    <w:p>
      <w:pPr>
        <w:pStyle w:val="BodyText"/>
        <w:spacing w:line="209" w:lineRule="exact"/>
        <w:ind w:right="0"/>
        <w:jc w:val="left"/>
      </w:pPr>
      <w:r>
        <w:rPr/>
        <w:t>抵销后的净额在资产负债表内列示：</w:t>
      </w:r>
    </w:p>
    <w:p>
      <w:pPr>
        <w:pStyle w:val="BodyText"/>
        <w:spacing w:line="240" w:lineRule="auto" w:before="157"/>
        <w:ind w:left="633" w:right="0"/>
        <w:jc w:val="left"/>
      </w:pPr>
      <w:r>
        <w:rPr/>
        <w:t>本公司具有抵销已确认金额的法定权利，且该种法定权利是当前可执行的；</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BodyText"/>
        <w:spacing w:line="376" w:lineRule="auto" w:before="36"/>
        <w:ind w:left="633" w:right="153"/>
        <w:jc w:val="left"/>
      </w:pPr>
      <w:r>
        <w:rPr/>
        <w:t>本公司计划以净额结算，或同时变现该金融资产和清偿该金融负债。</w:t>
      </w:r>
      <w:r>
        <w:rPr>
          <w:w w:val="100"/>
        </w:rPr>
        <w:t> </w:t>
      </w:r>
      <w:r>
        <w:rPr>
          <w:spacing w:val="-2"/>
        </w:rPr>
        <w:t>不满足终止确认条件的金融资产转移，转出方不得将已转移的金融资产和相关负债进行抵销。</w:t>
      </w:r>
    </w:p>
    <w:p>
      <w:pPr>
        <w:pStyle w:val="Heading4"/>
        <w:spacing w:line="240" w:lineRule="auto" w:before="37"/>
        <w:ind w:left="635" w:right="153"/>
        <w:jc w:val="left"/>
        <w:rPr>
          <w:b w:val="0"/>
          <w:bCs w:val="0"/>
        </w:rPr>
      </w:pPr>
      <w:r>
        <w:rPr/>
        <w:t>（</w:t>
      </w:r>
      <w:r>
        <w:rPr>
          <w:rFonts w:ascii="Times New Roman" w:hAnsi="Times New Roman" w:cs="Times New Roman" w:eastAsia="Times New Roman" w:hint="default"/>
        </w:rPr>
        <w:t>8</w:t>
      </w:r>
      <w:r>
        <w:rPr/>
        <w:t>）金融资产减值测试方法及减值准备计提方法</w:t>
      </w:r>
      <w:r>
        <w:rPr>
          <w:b w:val="0"/>
          <w:bCs w:val="0"/>
        </w:rPr>
      </w:r>
    </w:p>
    <w:p>
      <w:pPr>
        <w:pStyle w:val="BodyText"/>
        <w:spacing w:line="367" w:lineRule="auto" w:before="141"/>
        <w:ind w:left="633" w:right="3136"/>
        <w:jc w:val="left"/>
      </w:pPr>
      <w:r>
        <w:rPr/>
        <w:t>①金融资产发生减值的客观证据：</w:t>
      </w:r>
      <w:r>
        <w:rPr>
          <w:w w:val="100"/>
        </w:rPr>
        <w:t> </w:t>
      </w:r>
      <w:r>
        <w:rPr>
          <w:rFonts w:ascii="Times New Roman" w:hAnsi="Times New Roman" w:cs="Times New Roman" w:eastAsia="Times New Roman" w:hint="default"/>
        </w:rPr>
        <w:t>A.</w:t>
      </w:r>
      <w:r>
        <w:rPr/>
        <w:t>发行方或债务人发生严重财务困难；</w:t>
      </w:r>
      <w:r>
        <w:rPr>
          <w:w w:val="100"/>
        </w:rPr>
        <w:t> </w:t>
      </w:r>
      <w:r>
        <w:rPr>
          <w:rFonts w:ascii="Times New Roman" w:hAnsi="Times New Roman" w:cs="Times New Roman" w:eastAsia="Times New Roman" w:hint="default"/>
          <w:spacing w:val="-2"/>
        </w:rPr>
        <w:t>B.</w:t>
      </w:r>
      <w:r>
        <w:rPr>
          <w:spacing w:val="-2"/>
        </w:rPr>
        <w:t>债务人违反了合同条款，如偿付利息或本金发生违约或逾期等；</w:t>
      </w:r>
    </w:p>
    <w:p>
      <w:pPr>
        <w:pStyle w:val="BodyText"/>
        <w:spacing w:line="357" w:lineRule="auto" w:before="18"/>
        <w:ind w:left="633" w:right="153"/>
        <w:jc w:val="left"/>
      </w:pPr>
      <w:r>
        <w:rPr>
          <w:rFonts w:ascii="Times New Roman" w:hAnsi="Times New Roman" w:cs="Times New Roman" w:eastAsia="Times New Roman" w:hint="default"/>
        </w:rPr>
        <w:t>C.</w:t>
      </w:r>
      <w:r>
        <w:rPr/>
        <w:t>债权人出于经济或法律等方面的考虑，对发生财务困难的债务人作出让步；</w:t>
      </w:r>
      <w:r>
        <w:rPr>
          <w:w w:val="100"/>
        </w:rPr>
        <w:t> </w:t>
      </w:r>
      <w:r>
        <w:rPr>
          <w:rFonts w:ascii="Times New Roman" w:hAnsi="Times New Roman" w:cs="Times New Roman" w:eastAsia="Times New Roman" w:hint="default"/>
        </w:rPr>
        <w:t>D.</w:t>
      </w:r>
      <w:r>
        <w:rPr/>
        <w:t>债务人可能倒闭或进行其他财务重组；</w:t>
      </w:r>
      <w:r>
        <w:rPr>
          <w:w w:val="100"/>
        </w:rPr>
        <w:t>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259" w:lineRule="auto" w:before="27"/>
        <w:ind w:right="146" w:firstLine="480"/>
        <w:jc w:val="both"/>
      </w:pPr>
      <w:r>
        <w:rPr>
          <w:rFonts w:ascii="Times New Roman" w:hAnsi="Times New Roman" w:cs="Times New Roman" w:eastAsia="Times New Roman" w:hint="default"/>
          <w:spacing w:val="-3"/>
        </w:rPr>
        <w:t>F.</w:t>
      </w:r>
      <w:r>
        <w:rPr>
          <w:spacing w:val="-3"/>
        </w:rPr>
        <w:t>无法辨认一组金融资产中的某项资产的现金流量是否已经减少，但根据公开的数据对其进行总体评</w:t>
      </w:r>
      <w:r>
        <w:rPr>
          <w:w w:val="100"/>
        </w:rPr>
        <w:t> </w:t>
      </w:r>
      <w:r>
        <w:rPr/>
        <w:t>价后发现，该组金融资产自初始确认以来的预计未来现金流量确已减少且可计量；</w:t>
      </w:r>
    </w:p>
    <w:p>
      <w:pPr>
        <w:pStyle w:val="BodyText"/>
        <w:spacing w:line="256" w:lineRule="auto" w:before="140"/>
        <w:ind w:right="148" w:firstLine="480"/>
        <w:jc w:val="both"/>
      </w:pPr>
      <w:r>
        <w:rPr>
          <w:rFonts w:ascii="Times New Roman" w:hAnsi="Times New Roman" w:cs="Times New Roman" w:eastAsia="Times New Roman" w:hint="default"/>
          <w:spacing w:val="-4"/>
        </w:rPr>
        <w:t>G.</w:t>
      </w:r>
      <w:r>
        <w:rPr>
          <w:spacing w:val="-4"/>
        </w:rPr>
        <w:t>债务人经营所处的技术、市场、经济或法律环境等发生重大不利变化，使权益工具投资人可能无法</w:t>
      </w:r>
      <w:r>
        <w:rPr>
          <w:w w:val="100"/>
        </w:rPr>
        <w:t> </w:t>
      </w:r>
      <w:r>
        <w:rPr/>
        <w:t>收回投资成本；</w:t>
      </w:r>
    </w:p>
    <w:p>
      <w:pPr>
        <w:pStyle w:val="BodyText"/>
        <w:spacing w:line="357" w:lineRule="auto" w:before="142"/>
        <w:ind w:left="633" w:right="1704"/>
        <w:jc w:val="left"/>
      </w:pPr>
      <w:r>
        <w:rPr>
          <w:rFonts w:ascii="Times New Roman" w:hAnsi="Times New Roman" w:cs="Times New Roman" w:eastAsia="Times New Roman" w:hint="default"/>
          <w:spacing w:val="-2"/>
        </w:rPr>
        <w:t>H.</w:t>
      </w:r>
      <w:r>
        <w:rPr>
          <w:spacing w:val="-2"/>
        </w:rPr>
        <w:t>权益工具投资的公允价值发生严重或非暂时性下跌；</w:t>
      </w:r>
      <w:r>
        <w:rPr>
          <w:spacing w:val="-59"/>
        </w:rPr>
        <w:t> </w:t>
      </w:r>
      <w:r>
        <w:rPr>
          <w:spacing w:val="-59"/>
        </w:rPr>
      </w:r>
      <w:r>
        <w:rPr>
          <w:rFonts w:ascii="Times New Roman" w:hAnsi="Times New Roman" w:cs="Times New Roman" w:eastAsia="Times New Roman" w:hint="default"/>
        </w:rPr>
        <w:t>I.</w:t>
      </w:r>
      <w:r>
        <w:rPr/>
        <w:t>其他表明金融资产发生减值的客观证据。</w:t>
      </w:r>
    </w:p>
    <w:p>
      <w:pPr>
        <w:pStyle w:val="BodyText"/>
        <w:spacing w:line="240" w:lineRule="auto" w:before="27"/>
        <w:ind w:left="633" w:right="153"/>
        <w:jc w:val="left"/>
      </w:pPr>
      <w:r>
        <w:rPr/>
        <w:t>②金融资产的减值测试（不包括应收款项）</w:t>
      </w:r>
    </w:p>
    <w:p>
      <w:pPr>
        <w:pStyle w:val="BodyText"/>
        <w:spacing w:line="357" w:lineRule="auto" w:before="157"/>
        <w:ind w:left="633" w:right="153"/>
        <w:jc w:val="left"/>
      </w:pPr>
      <w:r>
        <w:rPr>
          <w:rFonts w:ascii="Times New Roman" w:hAnsi="Times New Roman" w:cs="Times New Roman" w:eastAsia="Times New Roman" w:hint="default"/>
        </w:rPr>
        <w:t>A.</w:t>
      </w:r>
      <w:r>
        <w:rPr/>
        <w:t>持有至到期投资减值测试</w:t>
      </w:r>
      <w:r>
        <w:rPr>
          <w:w w:val="100"/>
        </w:rPr>
        <w:t> </w:t>
      </w:r>
      <w:r>
        <w:rPr>
          <w:spacing w:val="-4"/>
        </w:rPr>
        <w:t>持有至到期投资发生减值时，将该持有至到期投资的账面价值减记至预计未来现金流量（不包括尚未</w:t>
      </w:r>
    </w:p>
    <w:p>
      <w:pPr>
        <w:pStyle w:val="BodyText"/>
        <w:spacing w:line="209" w:lineRule="exact"/>
        <w:ind w:right="0"/>
        <w:jc w:val="both"/>
      </w:pPr>
      <w:r>
        <w:rPr/>
        <w:t>发生的未来信用损失）现值，减记的金额确认为资产减值损失，计入当期损益。</w:t>
      </w:r>
    </w:p>
    <w:p>
      <w:pPr>
        <w:pStyle w:val="BodyText"/>
        <w:spacing w:line="273" w:lineRule="auto" w:before="157"/>
        <w:ind w:right="146" w:firstLine="480"/>
        <w:jc w:val="both"/>
      </w:pPr>
      <w:r>
        <w:rPr>
          <w:spacing w:val="-8"/>
          <w:w w:val="100"/>
        </w:rPr>
        <w:t>预计未来现金流量现值，按照该持有至到期投资的原实际利率折现确定，并考虑相关担保物的价值（取</w:t>
      </w:r>
      <w:r>
        <w:rPr>
          <w:w w:val="100"/>
        </w:rPr>
        <w:t> </w:t>
      </w:r>
      <w:r>
        <w:rPr>
          <w:spacing w:val="-2"/>
        </w:rPr>
        <w:t>得和出售该担保物发生的费用予以扣除）。原实际利率是初始确认该持有至到期投资时计算确定的实际利</w:t>
      </w:r>
      <w:r>
        <w:rPr>
          <w:spacing w:val="-43"/>
        </w:rPr>
        <w:t> </w:t>
      </w:r>
      <w:r>
        <w:rPr>
          <w:spacing w:val="-43"/>
        </w:rPr>
      </w:r>
      <w:r>
        <w:rPr>
          <w:spacing w:val="-2"/>
        </w:rPr>
        <w:t>率。对于浮动利率的持有至到期投资，在计算未来现金流量现值时可采用合同规定的现行实际利率作为折</w:t>
      </w:r>
      <w:r>
        <w:rPr>
          <w:spacing w:val="-44"/>
        </w:rPr>
        <w:t> </w:t>
      </w:r>
      <w:r>
        <w:rPr>
          <w:spacing w:val="-44"/>
        </w:rPr>
      </w:r>
      <w:r>
        <w:rPr/>
        <w:t>现率。</w:t>
      </w:r>
    </w:p>
    <w:p>
      <w:pPr>
        <w:pStyle w:val="BodyText"/>
        <w:spacing w:line="273" w:lineRule="auto" w:before="127"/>
        <w:ind w:right="148" w:firstLine="480"/>
        <w:jc w:val="both"/>
      </w:pPr>
      <w:r>
        <w:rPr>
          <w:spacing w:val="-4"/>
        </w:rPr>
        <w:t>即使合同条款因债务方或金融资产发行方发生财务困难而重新商定或修改，在确认减值损失时，仍用</w:t>
      </w:r>
      <w:r>
        <w:rPr>
          <w:w w:val="100"/>
        </w:rPr>
        <w:t> </w:t>
      </w:r>
      <w:r>
        <w:rPr/>
        <w:t>条款修改前所计算的该金融资产的原实际利率计算。</w:t>
      </w:r>
    </w:p>
    <w:p>
      <w:pPr>
        <w:pStyle w:val="BodyText"/>
        <w:spacing w:line="273" w:lineRule="auto" w:before="127"/>
        <w:ind w:right="148" w:firstLine="480"/>
        <w:jc w:val="both"/>
      </w:pPr>
      <w:r>
        <w:rPr>
          <w:spacing w:val="-4"/>
        </w:rPr>
        <w:t>对持有至到期投资确认减值损失后，如有客观证据表明该持有至到期投资价值已恢复，且客观上与确</w:t>
      </w:r>
      <w:r>
        <w:rPr>
          <w:w w:val="100"/>
        </w:rPr>
        <w:t> </w:t>
      </w:r>
      <w:r>
        <w:rPr>
          <w:spacing w:val="-2"/>
        </w:rPr>
        <w:t>认该损失后发生的事项有关（如债务人的信用评级已提高等），原确认的减值损失予以转回，计入当期损</w:t>
      </w:r>
      <w:r>
        <w:rPr>
          <w:spacing w:val="-47"/>
        </w:rPr>
        <w:t> </w:t>
      </w:r>
      <w:r>
        <w:rPr>
          <w:spacing w:val="-47"/>
        </w:rPr>
      </w:r>
      <w:r>
        <w:rPr/>
        <w:t>益。</w:t>
      </w:r>
    </w:p>
    <w:p>
      <w:pPr>
        <w:pStyle w:val="BodyText"/>
        <w:spacing w:line="273" w:lineRule="auto" w:before="127"/>
        <w:ind w:right="146" w:firstLine="480"/>
        <w:jc w:val="both"/>
      </w:pPr>
      <w:r>
        <w:rPr>
          <w:spacing w:val="-4"/>
          <w:w w:val="100"/>
        </w:rPr>
        <w:t>持有至到期投资发生减值后，利息收入按照确定减值损失时对未来现金流量进行折现采用的折现率作</w:t>
      </w:r>
      <w:r>
        <w:rPr>
          <w:w w:val="100"/>
        </w:rPr>
        <w:t> </w:t>
      </w:r>
      <w:r>
        <w:rPr/>
        <w:t>为利率计算确认。</w:t>
      </w:r>
    </w:p>
    <w:p>
      <w:pPr>
        <w:pStyle w:val="BodyText"/>
        <w:spacing w:line="357" w:lineRule="auto" w:before="128"/>
        <w:ind w:left="633" w:right="153"/>
        <w:jc w:val="left"/>
      </w:pPr>
      <w:r>
        <w:rPr>
          <w:rFonts w:ascii="Times New Roman" w:hAnsi="Times New Roman" w:cs="Times New Roman" w:eastAsia="Times New Roman" w:hint="default"/>
        </w:rPr>
        <w:t>B.</w:t>
      </w:r>
      <w:r>
        <w:rPr/>
        <w:t>可供出售金融资产减值测试</w:t>
      </w:r>
      <w:r>
        <w:rPr>
          <w:w w:val="100"/>
        </w:rPr>
        <w:t> </w:t>
      </w:r>
      <w:r>
        <w:rPr>
          <w:spacing w:val="-4"/>
        </w:rPr>
        <w:t>在资产负债表日本公司对可供出售金融资产的减值情况进行分析，判断该项金融资产公允价值是否持</w:t>
      </w:r>
      <w:r>
        <w:rPr/>
      </w:r>
    </w:p>
    <w:p>
      <w:pPr>
        <w:pStyle w:val="BodyText"/>
        <w:spacing w:line="225" w:lineRule="exact"/>
        <w:ind w:right="0"/>
        <w:jc w:val="both"/>
      </w:pPr>
      <w:r>
        <w:rPr/>
        <w:t>续下降。通常情况下，如果可供出售金融资产的期末公允价值相对于成本的下跌幅度已达到或超过</w:t>
      </w:r>
      <w:r>
        <w:rPr>
          <w:rFonts w:ascii="Times New Roman" w:hAnsi="Times New Roman" w:cs="Times New Roman" w:eastAsia="Times New Roman" w:hint="default"/>
        </w:rPr>
        <w:t>50%</w:t>
      </w:r>
      <w:r>
        <w:rPr/>
        <w:t>，</w:t>
      </w:r>
    </w:p>
    <w:p>
      <w:pPr>
        <w:pStyle w:val="BodyText"/>
        <w:spacing w:line="264" w:lineRule="auto" w:before="21"/>
        <w:ind w:right="151"/>
        <w:jc w:val="both"/>
      </w:pPr>
      <w:r>
        <w:rPr/>
        <w:t>或者持续下跌时间已达到或超过</w:t>
      </w:r>
      <w:r>
        <w:rPr>
          <w:rFonts w:ascii="Times New Roman" w:hAnsi="Times New Roman" w:cs="Times New Roman" w:eastAsia="Times New Roman" w:hint="default"/>
        </w:rPr>
        <w:t>12</w:t>
      </w:r>
      <w:r>
        <w:rPr/>
        <w:t>个月，在综合考虑各种相关因素后，</w:t>
      </w:r>
      <w:r>
        <w:rPr>
          <w:spacing w:val="70"/>
        </w:rPr>
        <w:t> </w:t>
      </w:r>
      <w:r>
        <w:rPr/>
        <w:t>预期这种下降趋势属于非暂时性</w:t>
      </w:r>
      <w:r>
        <w:rPr>
          <w:spacing w:val="-95"/>
        </w:rPr>
        <w:t> </w:t>
      </w:r>
      <w:r>
        <w:rPr>
          <w:spacing w:val="-95"/>
        </w:rPr>
      </w:r>
      <w:r>
        <w:rPr>
          <w:spacing w:val="-2"/>
        </w:rPr>
        <w:t>的，可以认定该可供出售金融资产已发生减值，确认减值损失。可供出售金融资产发生减值的，在确认减</w:t>
      </w:r>
      <w:r>
        <w:rPr>
          <w:spacing w:val="-50"/>
        </w:rPr>
        <w:t> </w:t>
      </w:r>
      <w:r>
        <w:rPr>
          <w:spacing w:val="-50"/>
        </w:rPr>
      </w:r>
      <w:r>
        <w:rPr/>
        <w:t>值损失时，将原直接计入所有者权益的公允价值下降形成的累计损失一并转出，计入资产减值损失。</w:t>
      </w:r>
    </w:p>
    <w:p>
      <w:pPr>
        <w:spacing w:after="0" w:line="264"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633" w:right="153"/>
        <w:jc w:val="left"/>
      </w:pPr>
      <w:r>
        <w:rPr/>
        <w:t>可供出售债务工具金融资产是否发生减值，可参照上述可供出售权益工具投资进行分析判断。</w:t>
      </w:r>
    </w:p>
    <w:p>
      <w:pPr>
        <w:pStyle w:val="BodyText"/>
        <w:spacing w:line="430" w:lineRule="atLeast" w:before="2"/>
        <w:ind w:left="633" w:right="153"/>
        <w:jc w:val="left"/>
      </w:pPr>
      <w:r>
        <w:rPr/>
        <w:t>可供出售权益工具投资发生的减值损失，不得通过损益转回。</w:t>
      </w:r>
      <w:r>
        <w:rPr>
          <w:w w:val="100"/>
        </w:rPr>
        <w:t> </w:t>
      </w:r>
      <w:r>
        <w:rPr>
          <w:spacing w:val="-4"/>
        </w:rPr>
        <w:t>可供出售债务工具金融资产发生减值后，利息收入按照确定减值损失时对未来现金流量进行折现采用</w:t>
      </w:r>
    </w:p>
    <w:p>
      <w:pPr>
        <w:pStyle w:val="BodyText"/>
        <w:spacing w:line="240" w:lineRule="auto" w:before="37"/>
        <w:ind w:right="0"/>
        <w:jc w:val="both"/>
      </w:pPr>
      <w:r>
        <w:rPr/>
        <w:t>的折现率作为利率计算确认。</w:t>
      </w:r>
    </w:p>
    <w:p>
      <w:pPr>
        <w:pStyle w:val="BodyText"/>
        <w:spacing w:line="273" w:lineRule="auto" w:before="157"/>
        <w:ind w:right="146" w:firstLine="480"/>
        <w:jc w:val="both"/>
      </w:pPr>
      <w:r>
        <w:rPr>
          <w:spacing w:val="-4"/>
          <w:w w:val="100"/>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spacing w:line="357" w:lineRule="auto" w:before="127"/>
        <w:ind w:left="633" w:right="15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本公司以主要市场的价格计量相关资产或负债的公允价值，不存在主要市场的，本公司以最有利市场</w:t>
      </w:r>
    </w:p>
    <w:p>
      <w:pPr>
        <w:pStyle w:val="BodyText"/>
        <w:spacing w:line="209" w:lineRule="exact"/>
        <w:ind w:right="0"/>
        <w:jc w:val="both"/>
      </w:pPr>
      <w:r>
        <w:rPr/>
        <w:t>的价格计量相关资产或负债的公允价值。</w:t>
      </w:r>
    </w:p>
    <w:p>
      <w:pPr>
        <w:pStyle w:val="BodyText"/>
        <w:spacing w:line="273" w:lineRule="auto" w:before="157"/>
        <w:ind w:right="146" w:firstLine="480"/>
        <w:jc w:val="both"/>
      </w:pPr>
      <w:r>
        <w:rPr>
          <w:spacing w:val="-4"/>
        </w:rPr>
        <w:t>主要市场，是指相关资产或负债交易量最大和交易活跃程度最高的市场；最有利市场，是指在考虑交</w:t>
      </w:r>
      <w:r>
        <w:rPr>
          <w:w w:val="100"/>
        </w:rPr>
        <w:t> </w:t>
      </w:r>
      <w:r>
        <w:rPr>
          <w:spacing w:val="-2"/>
        </w:rPr>
        <w:t>易费用和运输费用后，能够以最高金额出售相关资产或者以最低金额转移相关负债的市场。本公司采用市</w:t>
      </w:r>
      <w:r>
        <w:rPr>
          <w:spacing w:val="-43"/>
        </w:rPr>
        <w:t> </w:t>
      </w:r>
      <w:r>
        <w:rPr>
          <w:spacing w:val="-43"/>
        </w:rPr>
      </w:r>
      <w:r>
        <w:rPr/>
        <w:t>场参与者在对该资产或负债定价时为实现其经济利益最大化所使用的假设。</w:t>
      </w:r>
    </w:p>
    <w:p>
      <w:pPr>
        <w:pStyle w:val="BodyText"/>
        <w:spacing w:line="432" w:lineRule="exact" w:before="27"/>
        <w:ind w:left="633" w:right="153"/>
        <w:jc w:val="left"/>
      </w:pPr>
      <w:r>
        <w:rPr/>
        <w:t>①估值技术</w:t>
      </w:r>
      <w:r>
        <w:rPr>
          <w:spacing w:val="-102"/>
        </w:rPr>
        <w:t> </w:t>
      </w:r>
      <w:r>
        <w:rPr>
          <w:spacing w:val="-102"/>
        </w:rPr>
      </w:r>
      <w:r>
        <w:rPr>
          <w:spacing w:val="-4"/>
        </w:rPr>
        <w:t>本公司采用在当期情况下适用并且有足够可利用数据和其他信息支持的估值技术，使用的估值技术主</w:t>
      </w:r>
    </w:p>
    <w:p>
      <w:pPr>
        <w:pStyle w:val="BodyText"/>
        <w:spacing w:line="255" w:lineRule="exact"/>
        <w:ind w:right="0"/>
        <w:jc w:val="both"/>
      </w:pPr>
      <w:r>
        <w:rPr/>
        <w:t>要包括市场法、收益法和成本法。本公司使用与其中一种或多种估值技术相一致的方法计量公允价值，使</w:t>
      </w:r>
    </w:p>
    <w:p>
      <w:pPr>
        <w:pStyle w:val="BodyText"/>
        <w:spacing w:line="273" w:lineRule="auto" w:before="37"/>
        <w:ind w:right="146"/>
        <w:jc w:val="both"/>
      </w:pPr>
      <w:r>
        <w:rPr>
          <w:spacing w:val="-2"/>
        </w:rPr>
        <w:t>用多种估值技术计量公允价值的，考虑各估值结果的合理性，选取在当期情况下最能代表公允价值的金额</w:t>
      </w:r>
      <w:r>
        <w:rPr>
          <w:spacing w:val="-43"/>
        </w:rPr>
        <w:t> </w:t>
      </w:r>
      <w:r>
        <w:rPr>
          <w:spacing w:val="-43"/>
        </w:rPr>
      </w:r>
      <w:r>
        <w:rPr/>
        <w:t>作为公允价值。</w:t>
      </w:r>
    </w:p>
    <w:p>
      <w:pPr>
        <w:pStyle w:val="BodyText"/>
        <w:spacing w:line="273" w:lineRule="auto" w:before="127"/>
        <w:ind w:right="146" w:firstLine="480"/>
        <w:jc w:val="both"/>
      </w:pPr>
      <w:r>
        <w:rPr>
          <w:spacing w:val="-4"/>
        </w:rPr>
        <w:t>本公司在估值技术的应用中，优先使用相关可观察输入值，只有在相关可观察输入值无法取得或取得</w:t>
      </w:r>
      <w:r>
        <w:rPr>
          <w:w w:val="100"/>
        </w:rPr>
        <w:t> </w:t>
      </w:r>
      <w:r>
        <w:rPr>
          <w:spacing w:val="-2"/>
        </w:rPr>
        <w:t>不切实可行的情况下，才使用不可观察输入值。可观察输入值，是指能够从市场数据中取得的输入值。该</w:t>
      </w:r>
      <w:r>
        <w:rPr>
          <w:spacing w:val="-47"/>
        </w:rPr>
        <w:t> </w:t>
      </w:r>
      <w:r>
        <w:rPr>
          <w:spacing w:val="-47"/>
        </w:rPr>
      </w:r>
      <w:r>
        <w:rPr>
          <w:spacing w:val="-2"/>
        </w:rPr>
        <w:t>输入值反映了市场参与者在对相关资产或负债定价时所使用的假设。不可观察输入值，是指不能从市场数</w:t>
      </w:r>
      <w:r>
        <w:rPr>
          <w:spacing w:val="-43"/>
        </w:rPr>
        <w:t> </w:t>
      </w:r>
      <w:r>
        <w:rPr>
          <w:spacing w:val="-43"/>
        </w:rPr>
      </w:r>
      <w:r>
        <w:rPr>
          <w:spacing w:val="-2"/>
        </w:rPr>
        <w:t>据中取得的输入值。该输入值根据可获得的市场参与者在对相关资产或负债定价时所使用假设的最佳信息</w:t>
      </w:r>
      <w:r>
        <w:rPr>
          <w:spacing w:val="-43"/>
        </w:rPr>
        <w:t> </w:t>
      </w:r>
      <w:r>
        <w:rPr>
          <w:spacing w:val="-43"/>
        </w:rPr>
      </w:r>
      <w:r>
        <w:rPr/>
        <w:t>取得。</w:t>
      </w:r>
    </w:p>
    <w:p>
      <w:pPr>
        <w:pStyle w:val="BodyText"/>
        <w:spacing w:line="240" w:lineRule="auto" w:before="128"/>
        <w:ind w:left="633" w:right="153"/>
        <w:jc w:val="left"/>
      </w:pPr>
      <w:r>
        <w:rPr/>
        <w:t>②公允价值层次</w:t>
      </w:r>
    </w:p>
    <w:p>
      <w:pPr>
        <w:pStyle w:val="BodyText"/>
        <w:spacing w:line="273" w:lineRule="auto" w:before="157"/>
        <w:ind w:right="146"/>
        <w:jc w:val="both"/>
      </w:pPr>
      <w:r>
        <w:rPr>
          <w:spacing w:val="-2"/>
        </w:rPr>
        <w:t>本公司将公允价值计量所使用的输入值划分为三个层次，并首先使用第一层次输入值，其次使用第二层次</w:t>
      </w:r>
      <w:r>
        <w:rPr>
          <w:spacing w:val="-42"/>
        </w:rPr>
        <w:t> </w:t>
      </w:r>
      <w:r>
        <w:rPr>
          <w:spacing w:val="-42"/>
        </w:rPr>
      </w:r>
      <w:r>
        <w:rPr>
          <w:spacing w:val="-2"/>
        </w:rPr>
        <w:t>输入值，最后使用第三层次输入值。第一层次输入值是在计量日能够取得的相同资产或负债在活跃市场上</w:t>
      </w:r>
      <w:r>
        <w:rPr>
          <w:spacing w:val="-42"/>
        </w:rPr>
        <w:t> </w:t>
      </w:r>
      <w:r>
        <w:rPr>
          <w:spacing w:val="-42"/>
        </w:rPr>
      </w:r>
      <w:r>
        <w:rPr>
          <w:spacing w:val="-2"/>
        </w:rPr>
        <w:t>未经调整的报价。第二层次输入值是除第一层次输入值外相关资产或负债直接或间接可观察的输入值。第</w:t>
      </w:r>
      <w:r>
        <w:rPr>
          <w:spacing w:val="-44"/>
        </w:rPr>
        <w:t> </w:t>
      </w:r>
      <w:r>
        <w:rPr>
          <w:spacing w:val="-44"/>
        </w:rPr>
      </w:r>
      <w:r>
        <w:rPr/>
        <w:t>三层次输入值是相关资产或负债的不可观察输入值。</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BodyText"/>
        <w:spacing w:line="240" w:lineRule="auto" w:before="36"/>
        <w:ind w:left="0" w:right="141"/>
        <w:jc w:val="right"/>
      </w:pPr>
      <w:r>
        <w:rPr/>
        <w:pict>
          <v:shape style="position:absolute;margin-left:56.459999pt;margin-top:-35.886311pt;width:479.2pt;height:116.8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9"/>
                          <w:ind w:left="23" w:right="17"/>
                          <w:jc w:val="left"/>
                          <w:rPr>
                            <w:rFonts w:ascii="宋体" w:hAnsi="宋体" w:cs="宋体" w:eastAsia="宋体" w:hint="default"/>
                            <w:sz w:val="21"/>
                            <w:szCs w:val="21"/>
                          </w:rPr>
                        </w:pPr>
                        <w:r>
                          <w:rPr>
                            <w:rFonts w:ascii="宋体" w:hAnsi="宋体" w:cs="宋体" w:eastAsia="宋体" w:hint="default"/>
                            <w:sz w:val="21"/>
                            <w:szCs w:val="21"/>
                          </w:rPr>
                          <w:t>本公司将</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万元以上应收账款，</w:t>
                        </w:r>
                        <w:r>
                          <w:rPr>
                            <w:rFonts w:ascii="Times New Roman" w:hAnsi="Times New Roman" w:cs="Times New Roman" w:eastAsia="Times New Roman" w:hint="default"/>
                            <w:spacing w:val="-6"/>
                            <w:sz w:val="21"/>
                            <w:szCs w:val="21"/>
                          </w:rPr>
                          <w:t>200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万元以上其他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应收款确定为单项金额重大。</w:t>
                        </w:r>
                      </w:p>
                    </w:tc>
                  </w:tr>
                  <w:tr>
                    <w:trPr>
                      <w:trHeight w:val="161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对于单项金额重大的应收款项，单独进行减值测试</w:t>
                        </w:r>
                        <w:r>
                          <w:rPr>
                            <w:rFonts w:ascii="宋体" w:hAnsi="宋体" w:cs="宋体" w:eastAsia="宋体" w:hint="default"/>
                            <w:w w:val="100"/>
                            <w:sz w:val="21"/>
                            <w:szCs w:val="21"/>
                          </w:rPr>
                          <w:t> </w:t>
                        </w:r>
                        <w:r>
                          <w:rPr>
                            <w:rFonts w:ascii="宋体" w:hAnsi="宋体" w:cs="宋体" w:eastAsia="宋体" w:hint="default"/>
                            <w:spacing w:val="-6"/>
                            <w:w w:val="100"/>
                            <w:sz w:val="21"/>
                            <w:szCs w:val="21"/>
                          </w:rPr>
                          <w:t>有客观证据表明其发生了减值的，根据其未来现金流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6"/>
                            <w:sz w:val="21"/>
                            <w:szCs w:val="21"/>
                          </w:rPr>
                          <w:t>量现值低于其账面价值的差额，确认减值损失，并据</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6"/>
                            <w:w w:val="100"/>
                            <w:sz w:val="21"/>
                            <w:szCs w:val="21"/>
                          </w:rPr>
                          <w:t>此计提相应的坏账准备。短期应收款项的预计未来现</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金流量与其现值相差很小的，在确定相关减值损失</w:t>
                        </w:r>
                      </w:p>
                    </w:tc>
                  </w:tr>
                </w:tbl>
                <w:p>
                  <w:pPr/>
                </w:p>
              </w:txbxContent>
            </v:textbox>
            <w10:wrap type="none"/>
          </v:shape>
        </w:pict>
      </w:r>
      <w:r>
        <w:rPr>
          <w:w w:val="100"/>
        </w:rPr>
        <w:t>。</w:t>
      </w:r>
    </w:p>
    <w:p>
      <w:pPr>
        <w:spacing w:after="0" w:line="240" w:lineRule="auto"/>
        <w:jc w:val="right"/>
        <w:sectPr>
          <w:pgSz w:w="11910" w:h="16840"/>
          <w:pgMar w:header="745" w:footer="980" w:top="1060" w:bottom="1160" w:left="980" w:right="980"/>
        </w:sectPr>
      </w:pPr>
    </w:p>
    <w:p>
      <w:pPr>
        <w:spacing w:line="240" w:lineRule="auto" w:before="2"/>
        <w:rPr>
          <w:rFonts w:ascii="宋体" w:hAnsi="宋体" w:cs="宋体" w:eastAsia="宋体" w:hint="default"/>
          <w:sz w:val="28"/>
          <w:szCs w:val="28"/>
        </w:rPr>
      </w:pPr>
    </w:p>
    <w:p>
      <w:pPr>
        <w:spacing w:line="381"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4775;height:353" coordorigin="12,14" coordsize="4775,353">
              <v:shape style="position:absolute;left:12;top:14;width:4775;height:353" coordorigin="12,14" coordsize="4775,353" path="m12,367l4787,367,4787,14,12,14,12,367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5;height:2" coordorigin="10,372" coordsize="4775,2">
              <v:shape style="position:absolute;left:10;top:372;width:4775;height:2" coordorigin="10,372" coordsize="4775,0" path="m10,372l4784,372e" filled="false" stroked="true" strokeweight=".48pt" strokecolor="#000000">
                <v:path arrowok="t"/>
              </v:shape>
            </v:group>
            <v:group style="position:absolute;left:4789;top:5;width:2;height:372" coordorigin="4789,5" coordsize="2,372">
              <v:shape style="position:absolute;left:4789;top:5;width:2;height:372" coordorigin="4789,5" coordsize="0,372" path="m4789,5l4789,377e" filled="false" stroked="true" strokeweight=".48001pt" strokecolor="#000000">
                <v:path arrowok="t"/>
              </v:shape>
            </v:group>
            <v:group style="position:absolute;left:4794;top:372;width:4777;height:2" coordorigin="4794,372" coordsize="4777,2">
              <v:shape style="position:absolute;left:4794;top:372;width:4777;height:2" coordorigin="4794,372" coordsize="4777,0" path="m4794,372l9571,372e" filled="false" stroked="true" strokeweight=".48pt" strokecolor="#000000">
                <v:path arrowok="t"/>
              </v:shape>
            </v:group>
            <v:group style="position:absolute;left:9576;top:5;width:2;height:372" coordorigin="9576,5" coordsize="2,372">
              <v:shape style="position:absolute;left:9576;top:5;width:2;height:372" coordorigin="9576,5" coordsize="0,372" path="m9576,5l9576,377e" filled="false" stroked="true" strokeweight=".47998pt" strokecolor="#000000">
                <v:path arrowok="t"/>
              </v:shape>
              <v:shape style="position:absolute;left:4789;top:10;width:4787;height:363" type="#_x0000_t202" filled="false" stroked="false">
                <v:textbox inset="0,0,0,0">
                  <w:txbxContent>
                    <w:p>
                      <w:pPr>
                        <w:spacing w:line="267" w:lineRule="exact"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时，可不对其预计未来现金流量进行折现。</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18"/>
          <w:szCs w:val="1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48" w:right="0"/>
              <w:jc w:val="left"/>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30"/>
                <w:sz w:val="21"/>
                <w:szCs w:val="21"/>
              </w:rPr>
              <w:t> </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：合并范围内各公司之间应收款项、押金（或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w w:val="100"/>
                <w:sz w:val="21"/>
                <w:szCs w:val="21"/>
              </w:rPr>
              <w:t>定金）、员工备用金及上市费用。</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：除组合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之外的应收款项。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40" w:lineRule="auto" w:before="28"/>
        <w:ind w:right="0"/>
        <w:jc w:val="left"/>
      </w:pPr>
      <w:r>
        <w:rPr/>
        <w:t>组合中，采用账龄分析法计提坏账准备的：</w:t>
      </w:r>
    </w:p>
    <w:p>
      <w:pPr>
        <w:pStyle w:val="BodyText"/>
        <w:spacing w:line="240" w:lineRule="auto" w:before="7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1"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28"/>
        <w:ind w:right="0"/>
        <w:jc w:val="left"/>
      </w:pPr>
      <w:r>
        <w:rPr/>
        <w:t>组合中，采用余额百分比法计提坏账准备的：</w:t>
      </w:r>
    </w:p>
    <w:p>
      <w:pPr>
        <w:pStyle w:val="BodyText"/>
        <w:spacing w:line="290" w:lineRule="auto" w:before="75"/>
        <w:ind w:right="46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w:t>
      </w:r>
    </w:p>
    <w:p>
      <w:pPr>
        <w:pStyle w:val="BodyText"/>
        <w:spacing w:line="240" w:lineRule="auto" w:before="3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对单项金额不重大但已有客观证据表明其发生了减</w:t>
            </w:r>
            <w:r>
              <w:rPr>
                <w:rFonts w:ascii="宋体" w:hAnsi="宋体" w:cs="宋体" w:eastAsia="宋体" w:hint="default"/>
                <w:w w:val="100"/>
                <w:sz w:val="21"/>
                <w:szCs w:val="21"/>
              </w:rPr>
              <w:t> </w:t>
            </w:r>
            <w:r>
              <w:rPr>
                <w:rFonts w:ascii="宋体" w:hAnsi="宋体" w:cs="宋体" w:eastAsia="宋体" w:hint="default"/>
                <w:spacing w:val="-6"/>
                <w:w w:val="100"/>
                <w:sz w:val="21"/>
                <w:szCs w:val="21"/>
              </w:rPr>
              <w:t>值的应收款项，按账龄分析法计提的坏账准备不能反</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映实际情况，因此单独进行减值测试。</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7"/>
              <w:jc w:val="left"/>
              <w:rPr>
                <w:rFonts w:ascii="宋体" w:hAnsi="宋体" w:cs="宋体" w:eastAsia="宋体" w:hint="default"/>
                <w:sz w:val="21"/>
                <w:szCs w:val="21"/>
              </w:rPr>
            </w:pPr>
            <w:r>
              <w:rPr>
                <w:rFonts w:ascii="宋体" w:hAnsi="宋体" w:cs="宋体" w:eastAsia="宋体" w:hint="default"/>
                <w:spacing w:val="-6"/>
                <w:w w:val="100"/>
                <w:sz w:val="21"/>
                <w:szCs w:val="21"/>
              </w:rPr>
              <w:t>根据其未来现金流量现值低于其账面价值的差额，确</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认减值损失，并据此计提相应的坏账准备。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BodyText"/>
        <w:spacing w:line="357" w:lineRule="auto"/>
        <w:ind w:left="633" w:right="0"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100"/>
        </w:rPr>
        <w:t> </w:t>
      </w:r>
      <w:r>
        <w:rPr>
          <w:spacing w:val="-4"/>
        </w:rPr>
        <w:t>存货是指本公司在日常活动中持有以备出售的产成品或商品、处在生产过程中的在产品、在生产过程</w:t>
      </w:r>
    </w:p>
    <w:p>
      <w:pPr>
        <w:pStyle w:val="BodyText"/>
        <w:spacing w:line="209" w:lineRule="exact"/>
        <w:ind w:right="0"/>
        <w:jc w:val="left"/>
      </w:pPr>
      <w:r>
        <w:rPr/>
        <w:t>或提供劳务过程中耗用的材料和物料等，包括原材料、在产品、产成品、库存商品等。</w:t>
      </w:r>
    </w:p>
    <w:p>
      <w:pPr>
        <w:spacing w:line="357" w:lineRule="auto" w:before="157"/>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本公司原材料发出时采用加权平均法；在产品、产品成本按订单归集，产成品发出采用个别计价法。</w:t>
      </w:r>
    </w:p>
    <w:p>
      <w:pPr>
        <w:pStyle w:val="Heading4"/>
        <w:spacing w:line="240" w:lineRule="auto" w:before="54"/>
        <w:ind w:left="635" w:right="0"/>
        <w:jc w:val="left"/>
        <w:rPr>
          <w:b w:val="0"/>
          <w:bCs w:val="0"/>
        </w:rPr>
      </w:pPr>
      <w:r>
        <w:rPr/>
        <w:t>（</w:t>
      </w:r>
      <w:r>
        <w:rPr>
          <w:rFonts w:ascii="Times New Roman" w:hAnsi="Times New Roman" w:cs="Times New Roman" w:eastAsia="Times New Roman" w:hint="default"/>
        </w:rPr>
        <w:t>3</w:t>
      </w:r>
      <w:r>
        <w:rPr/>
        <w:t>）存货的盘存制度</w:t>
      </w:r>
      <w:r>
        <w:rPr>
          <w:b w:val="0"/>
          <w:bCs w:val="0"/>
        </w:rPr>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b/>
          <w:bCs/>
          <w:sz w:val="24"/>
          <w:szCs w:val="24"/>
        </w:rPr>
      </w:pPr>
    </w:p>
    <w:p>
      <w:pPr>
        <w:pStyle w:val="BodyText"/>
        <w:spacing w:line="240" w:lineRule="auto" w:before="36"/>
        <w:ind w:left="633" w:right="153"/>
        <w:jc w:val="left"/>
      </w:pPr>
      <w:r>
        <w:rPr/>
        <w:t>本公司存货采用永续盘存制，每年至少盘点一次，盘盈及盘亏金额计入当年度损益。</w:t>
      </w:r>
    </w:p>
    <w:p>
      <w:pPr>
        <w:spacing w:line="357" w:lineRule="auto" w:before="157"/>
        <w:ind w:left="633" w:right="15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）存货跌价准备的计提方法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资产负债表日按成本与可变现净值孰低计量，存货成本高于其可变现净值的，计提存货跌价准备，计</w:t>
      </w:r>
    </w:p>
    <w:p>
      <w:pPr>
        <w:pStyle w:val="BodyText"/>
        <w:spacing w:line="209" w:lineRule="exact"/>
        <w:ind w:right="153"/>
        <w:jc w:val="left"/>
      </w:pPr>
      <w:r>
        <w:rPr/>
        <w:t>入当期损益。</w:t>
      </w:r>
    </w:p>
    <w:p>
      <w:pPr>
        <w:pStyle w:val="BodyText"/>
        <w:spacing w:line="273" w:lineRule="auto" w:before="157"/>
        <w:ind w:right="148" w:firstLine="480"/>
        <w:jc w:val="both"/>
      </w:pPr>
      <w:r>
        <w:rPr>
          <w:spacing w:val="-4"/>
        </w:rPr>
        <w:t>在确定存货的可变现净值时，以取得的可靠证据为基础，并且考虑持有存货的目的、资产负债表日后</w:t>
      </w:r>
      <w:r>
        <w:rPr>
          <w:w w:val="100"/>
        </w:rPr>
        <w:t> </w:t>
      </w:r>
      <w:r>
        <w:rPr/>
        <w:t>事项的影响等因素。</w:t>
      </w:r>
    </w:p>
    <w:p>
      <w:pPr>
        <w:pStyle w:val="BodyText"/>
        <w:spacing w:line="273" w:lineRule="auto" w:before="127"/>
        <w:ind w:right="146" w:firstLine="480"/>
        <w:jc w:val="both"/>
      </w:pPr>
      <w:r>
        <w:rPr>
          <w:spacing w:val="-4"/>
        </w:rPr>
        <w:t>①产成品、库存商品和用于出售的材料等直接用于出售的存货，在正常生产经营过程中，以该存货的</w:t>
      </w:r>
      <w:r>
        <w:rPr>
          <w:w w:val="100"/>
        </w:rPr>
        <w:t> </w:t>
      </w:r>
      <w:r>
        <w:rPr>
          <w:spacing w:val="-2"/>
        </w:rPr>
        <w:t>估计售价减去估计的销售费用和相关税费后的金额确定其可变现净值。为执行销售合同或者劳务合同而持</w:t>
      </w:r>
      <w:r>
        <w:rPr>
          <w:spacing w:val="-43"/>
        </w:rPr>
        <w:t> </w:t>
      </w:r>
      <w:r>
        <w:rPr>
          <w:spacing w:val="-43"/>
        </w:rPr>
      </w:r>
      <w:r>
        <w:rPr>
          <w:spacing w:val="-2"/>
        </w:rPr>
        <w:t>有的存货，以合同价格作为其可变现净值的计量基础；如果持有存货的数量多于销售合同订购数量，超出</w:t>
      </w:r>
      <w:r>
        <w:rPr>
          <w:spacing w:val="-43"/>
        </w:rPr>
        <w:t> </w:t>
      </w:r>
      <w:r>
        <w:rPr>
          <w:spacing w:val="-43"/>
        </w:rPr>
      </w:r>
      <w:r>
        <w:rPr>
          <w:spacing w:val="-2"/>
        </w:rPr>
        <w:t>部分的存货可变现净值以一般销售价格为计量基础。用于出售的材料等，以市场价格作为其可变现净值的</w:t>
      </w:r>
      <w:r>
        <w:rPr>
          <w:spacing w:val="-43"/>
        </w:rPr>
        <w:t> </w:t>
      </w:r>
      <w:r>
        <w:rPr>
          <w:spacing w:val="-43"/>
        </w:rPr>
      </w:r>
      <w:r>
        <w:rPr/>
        <w:t>计量基础。</w:t>
      </w:r>
    </w:p>
    <w:p>
      <w:pPr>
        <w:pStyle w:val="BodyText"/>
        <w:spacing w:line="273" w:lineRule="auto" w:before="128"/>
        <w:ind w:right="146" w:firstLine="480"/>
        <w:jc w:val="both"/>
      </w:pPr>
      <w:r>
        <w:rPr>
          <w:spacing w:val="-4"/>
        </w:rPr>
        <w:t>②需要经过加工的材料存货，在正常生产经营过程中，以所生产的产成品的估计售价减去至完工时估</w:t>
      </w:r>
      <w:r>
        <w:rPr>
          <w:w w:val="100"/>
        </w:rPr>
        <w:t> </w:t>
      </w:r>
      <w:r>
        <w:rPr>
          <w:spacing w:val="-2"/>
        </w:rPr>
        <w:t>计将要发生的成本、估计的销售费用和相关税费后的金额确定其可变现净值。如果用其生产的产成品的可</w:t>
      </w:r>
      <w:r>
        <w:rPr>
          <w:spacing w:val="-43"/>
        </w:rPr>
        <w:t> </w:t>
      </w:r>
      <w:r>
        <w:rPr>
          <w:spacing w:val="-43"/>
        </w:rPr>
      </w:r>
      <w:r>
        <w:rPr>
          <w:spacing w:val="-2"/>
        </w:rPr>
        <w:t>变现净值高于成本，则该材料按成本计量；如果材料价格的下降表明产成品的可变现净值低于成本，则该</w:t>
      </w:r>
      <w:r>
        <w:rPr>
          <w:spacing w:val="-43"/>
        </w:rPr>
        <w:t> </w:t>
      </w:r>
      <w:r>
        <w:rPr>
          <w:spacing w:val="-43"/>
        </w:rPr>
      </w:r>
      <w:r>
        <w:rPr/>
        <w:t>材料按可变现净值计量，按其差额计提存货跌价准备。</w:t>
      </w:r>
    </w:p>
    <w:p>
      <w:pPr>
        <w:pStyle w:val="BodyText"/>
        <w:spacing w:line="240" w:lineRule="auto" w:before="127"/>
        <w:ind w:left="633" w:right="153"/>
        <w:jc w:val="left"/>
      </w:pPr>
      <w:r>
        <w:rPr/>
        <w:t>③存货跌价准备一般按单个存货项目计提。</w:t>
      </w:r>
    </w:p>
    <w:p>
      <w:pPr>
        <w:pStyle w:val="BodyText"/>
        <w:spacing w:line="273" w:lineRule="auto" w:before="157"/>
        <w:ind w:right="148" w:firstLine="480"/>
        <w:jc w:val="both"/>
      </w:pPr>
      <w:r>
        <w:rPr>
          <w:spacing w:val="-4"/>
        </w:rPr>
        <w:t>④资产负债表日如果以前减记存货价值的影响因素已经消失，则减记的金额予以恢复，并在原已计提</w:t>
      </w:r>
      <w:r>
        <w:rPr>
          <w:w w:val="100"/>
        </w:rPr>
        <w:t> </w:t>
      </w:r>
      <w:r>
        <w:rPr/>
        <w:t>的存货跌价准备的金额内转回，转回的金额计入当期损益。</w:t>
      </w:r>
    </w:p>
    <w:p>
      <w:pPr>
        <w:pStyle w:val="Heading4"/>
        <w:spacing w:line="240" w:lineRule="auto" w:before="127"/>
        <w:ind w:left="635" w:right="153"/>
        <w:jc w:val="left"/>
        <w:rPr>
          <w:b w:val="0"/>
          <w:bCs w:val="0"/>
        </w:rPr>
      </w:pPr>
      <w:r>
        <w:rPr/>
        <w:t>（</w:t>
      </w:r>
      <w:r>
        <w:rPr>
          <w:rFonts w:ascii="Times New Roman" w:hAnsi="Times New Roman" w:cs="Times New Roman" w:eastAsia="Times New Roman" w:hint="default"/>
        </w:rPr>
        <w:t>5</w:t>
      </w:r>
      <w:r>
        <w:rPr/>
        <w:t>）周转材料的摊销方法</w:t>
      </w:r>
      <w:r>
        <w:rPr>
          <w:b w:val="0"/>
          <w:bCs w:val="0"/>
        </w:rPr>
      </w:r>
    </w:p>
    <w:p>
      <w:pPr>
        <w:pStyle w:val="Heading3"/>
        <w:spacing w:line="240" w:lineRule="auto" w:before="113"/>
        <w:ind w:left="633" w:right="153" w:firstLine="0"/>
        <w:jc w:val="left"/>
      </w:pPr>
      <w:r>
        <w:rPr/>
        <w:t>①低值易耗品摊销方法：在领用时采用一次转销法。</w:t>
      </w:r>
    </w:p>
    <w:p>
      <w:pPr>
        <w:pStyle w:val="Heading3"/>
        <w:spacing w:line="240" w:lineRule="auto" w:before="118"/>
        <w:ind w:right="153" w:firstLine="0"/>
        <w:jc w:val="left"/>
      </w:pPr>
      <w:r>
        <w:rPr/>
        <w:t>②包装物的摊销方法：在领用时采用一次转销法。</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12</w:t>
      </w:r>
      <w:r>
        <w:rPr/>
        <w:t>、划分为持有待售资产</w:t>
      </w:r>
      <w:r>
        <w:rPr>
          <w:b w:val="0"/>
          <w:bCs w:val="0"/>
        </w:rPr>
      </w:r>
    </w:p>
    <w:p>
      <w:pPr>
        <w:spacing w:line="240" w:lineRule="auto" w:before="8"/>
        <w:rPr>
          <w:rFonts w:ascii="宋体" w:hAnsi="宋体" w:cs="宋体" w:eastAsia="宋体" w:hint="default"/>
          <w:b/>
          <w:bCs/>
          <w:sz w:val="22"/>
          <w:szCs w:val="22"/>
        </w:rPr>
      </w:pPr>
    </w:p>
    <w:p>
      <w:pPr>
        <w:pStyle w:val="Heading3"/>
        <w:spacing w:line="240" w:lineRule="auto" w:before="0"/>
        <w:ind w:left="633" w:right="153" w:firstLine="0"/>
        <w:jc w:val="left"/>
      </w:pPr>
      <w:r>
        <w:rPr/>
        <w:t>本公司将同时满足下列条件的本公司组成部分（或非流动资产）确认为持有待售：</w:t>
      </w:r>
    </w:p>
    <w:p>
      <w:pPr>
        <w:pStyle w:val="Heading3"/>
        <w:spacing w:line="312" w:lineRule="exact" w:before="148"/>
        <w:ind w:right="160"/>
        <w:jc w:val="both"/>
      </w:pPr>
      <w:r>
        <w:rPr/>
        <w:t>①该组成部分必须在其当前状况下仅根据出售此类组成部分的通常和惯用条款即可立即 出售；</w:t>
      </w:r>
    </w:p>
    <w:p>
      <w:pPr>
        <w:pStyle w:val="Heading3"/>
        <w:spacing w:line="312" w:lineRule="exact"/>
        <w:ind w:right="160"/>
        <w:jc w:val="both"/>
      </w:pPr>
      <w:r>
        <w:rPr/>
        <w:t>②本公司已经就处置该组成部分作出决议，如按规定需得到股东批准的，已经取得了股 东大会或相应权力机构的批准；</w:t>
      </w:r>
    </w:p>
    <w:p>
      <w:pPr>
        <w:pStyle w:val="Heading3"/>
        <w:spacing w:line="240" w:lineRule="auto" w:before="89"/>
        <w:ind w:left="633" w:right="153" w:firstLine="0"/>
        <w:jc w:val="left"/>
      </w:pPr>
      <w:r>
        <w:rPr/>
        <w:t>③本公司已经与受让方签订了不可撤销的转让协议；</w:t>
      </w:r>
    </w:p>
    <w:p>
      <w:pPr>
        <w:pStyle w:val="Heading3"/>
        <w:spacing w:line="240" w:lineRule="auto" w:before="118"/>
        <w:ind w:right="153" w:firstLine="0"/>
        <w:jc w:val="left"/>
      </w:pPr>
      <w:r>
        <w:rPr/>
        <w:t>④该项转让将在一年内完成。</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312" w:lineRule="exact" w:before="0"/>
        <w:ind w:right="160"/>
        <w:jc w:val="both"/>
      </w:pPr>
      <w:r>
        <w:rPr/>
        <w:t>本公司长期股权投资包括对被投资单位实施控制、重大影响的权益性投资，以及对合营 企业的权益性投资。本公司能够对被投资单位施加重大影响的，为本公司的联营企业。</w:t>
      </w:r>
    </w:p>
    <w:p>
      <w:pPr>
        <w:pStyle w:val="Heading2"/>
        <w:spacing w:line="240" w:lineRule="auto" w:before="89"/>
        <w:ind w:left="578" w:right="153"/>
        <w:jc w:val="left"/>
        <w:rPr>
          <w:b w:val="0"/>
          <w:bCs w:val="0"/>
        </w:rPr>
      </w:pPr>
      <w:r>
        <w:rPr/>
        <w:t>（</w:t>
      </w:r>
      <w:r>
        <w:rPr>
          <w:rFonts w:ascii="Times New Roman" w:hAnsi="Times New Roman" w:cs="Times New Roman" w:eastAsia="Times New Roman" w:hint="default"/>
        </w:rPr>
        <w:t>1</w:t>
      </w:r>
      <w:r>
        <w:rPr/>
        <w:t>）确定对被投资单位具有共同控制、重大影响的依据</w:t>
      </w:r>
      <w:r>
        <w:rPr>
          <w:b w:val="0"/>
          <w:bCs w:val="0"/>
        </w:rPr>
      </w:r>
    </w:p>
    <w:p>
      <w:pPr>
        <w:spacing w:after="0" w:line="240" w:lineRule="auto"/>
        <w:jc w:val="left"/>
        <w:sectPr>
          <w:footerReference w:type="default" r:id="rId13"/>
          <w:pgSz w:w="11910" w:h="16840"/>
          <w:pgMar w:footer="980" w:header="745" w:top="1060" w:bottom="1160" w:left="980" w:right="980"/>
          <w:pgNumType w:start="87"/>
        </w:sectPr>
      </w:pPr>
    </w:p>
    <w:p>
      <w:pPr>
        <w:spacing w:line="240" w:lineRule="auto" w:before="6"/>
        <w:rPr>
          <w:rFonts w:ascii="宋体" w:hAnsi="宋体" w:cs="宋体" w:eastAsia="宋体" w:hint="default"/>
          <w:b/>
          <w:bCs/>
          <w:sz w:val="23"/>
          <w:szCs w:val="23"/>
        </w:rPr>
      </w:pPr>
    </w:p>
    <w:p>
      <w:pPr>
        <w:pStyle w:val="Heading3"/>
        <w:spacing w:line="237" w:lineRule="auto" w:before="28"/>
        <w:ind w:right="96"/>
        <w:jc w:val="left"/>
      </w:pPr>
      <w:r>
        <w:rPr/>
        <w:t>共同控制，是指按照相关约定对某项安排所共有的控制，并且该安排的相关活动必须经 过分享控制权的参与方一致同意后才能决策。在判断是否存在共同控制时，首先判断所有参</w:t>
      </w:r>
      <w:r>
        <w:rPr>
          <w:spacing w:val="-91"/>
        </w:rPr>
        <w:t> </w:t>
      </w:r>
      <w:r>
        <w:rPr>
          <w:spacing w:val="-91"/>
        </w:rPr>
      </w:r>
      <w:r>
        <w:rPr/>
        <w:t>与方或参与方组合是否集体控制该安排，如果所有参与方或一组参与方必须一致行动才能决</w:t>
      </w:r>
      <w:r>
        <w:rPr>
          <w:spacing w:val="-89"/>
        </w:rPr>
        <w:t> </w:t>
      </w:r>
      <w:r>
        <w:rPr>
          <w:spacing w:val="-89"/>
        </w:rPr>
      </w:r>
      <w:r>
        <w:rPr/>
        <w:t>定某项安排的相关活动，则认为所有参与方或一组参与方集体控制该安排。其次再判断该安</w:t>
      </w:r>
      <w:r>
        <w:rPr>
          <w:spacing w:val="-91"/>
        </w:rPr>
        <w:t> </w:t>
      </w:r>
      <w:r>
        <w:rPr>
          <w:spacing w:val="-91"/>
        </w:rPr>
      </w:r>
      <w:r>
        <w:rPr/>
        <w:t>排相关活动的决策是否必须经过这些集体控制该安排的参与方一致同意。如果存在两个或两</w:t>
      </w:r>
      <w:r>
        <w:rPr>
          <w:spacing w:val="-91"/>
        </w:rPr>
        <w:t> </w:t>
      </w:r>
      <w:r>
        <w:rPr>
          <w:spacing w:val="-91"/>
        </w:rPr>
      </w:r>
      <w:r>
        <w:rPr>
          <w:spacing w:val="-2"/>
        </w:rPr>
        <w:t>个以上的参与方组合能够集体控制某项安排的，不构成共同控制。判断是否存在共同控制时，</w:t>
      </w:r>
      <w:r>
        <w:rPr/>
        <w:t> 不考虑享有的保护性权利。</w:t>
      </w:r>
    </w:p>
    <w:p>
      <w:pPr>
        <w:pStyle w:val="Heading3"/>
        <w:spacing w:line="312" w:lineRule="exact" w:before="149"/>
        <w:ind w:right="96"/>
        <w:jc w:val="left"/>
      </w:pPr>
      <w:r>
        <w:rPr/>
        <w:t>重大影响，是指投资方对被投资单位的财务和经营政策有参与决策的权力，但并不能够 </w:t>
      </w:r>
      <w:r>
        <w:rPr>
          <w:spacing w:val="-2"/>
        </w:rPr>
        <w:t>控制或者与其他方一起共同控制这些政策的制定。在确定能否对被投资单位施加重大影响时，</w:t>
      </w:r>
      <w:r>
        <w:rPr/>
        <w:t> 考虑投资方直接或间接持有被投资单位的表决权股份以及投资方及其他方持有的当期可执行</w:t>
      </w:r>
      <w:r>
        <w:rPr>
          <w:spacing w:val="-89"/>
        </w:rPr>
        <w:t> </w:t>
      </w:r>
      <w:r>
        <w:rPr>
          <w:spacing w:val="-89"/>
        </w:rPr>
      </w:r>
      <w:r>
        <w:rPr/>
        <w:t>潜在表决权在假定转换为对被投资方单位的股权后产生的影响，包括被投资单位发行的当期</w:t>
      </w:r>
      <w:r>
        <w:rPr>
          <w:spacing w:val="-91"/>
        </w:rPr>
        <w:t> </w:t>
      </w:r>
      <w:r>
        <w:rPr>
          <w:spacing w:val="-91"/>
        </w:rPr>
      </w:r>
      <w:r>
        <w:rPr/>
        <w:t>可转换的认股权证、股份期权及可转换公司债券等的影响。</w:t>
      </w:r>
    </w:p>
    <w:p>
      <w:pPr>
        <w:pStyle w:val="Heading3"/>
        <w:spacing w:line="312" w:lineRule="exact"/>
        <w:ind w:right="231"/>
        <w:jc w:val="both"/>
      </w:pPr>
      <w:r>
        <w:rPr>
          <w:spacing w:val="-2"/>
        </w:rPr>
        <w:t>当本公司直接或通过子公司间接拥有被投资单位</w:t>
      </w:r>
      <w:r>
        <w:rPr>
          <w:rFonts w:ascii="Times New Roman" w:hAnsi="Times New Roman" w:cs="Times New Roman" w:eastAsia="Times New Roman" w:hint="default"/>
          <w:spacing w:val="-2"/>
        </w:rPr>
        <w:t>20%</w:t>
      </w:r>
      <w:r>
        <w:rPr>
          <w:spacing w:val="-2"/>
        </w:rPr>
        <w:t>（含</w:t>
      </w:r>
      <w:r>
        <w:rPr>
          <w:rFonts w:ascii="Times New Roman" w:hAnsi="Times New Roman" w:cs="Times New Roman" w:eastAsia="Times New Roman" w:hint="default"/>
          <w:spacing w:val="-2"/>
        </w:rPr>
        <w:t>20%</w:t>
      </w:r>
      <w:r>
        <w:rPr>
          <w:spacing w:val="-2"/>
        </w:rPr>
        <w:t>）以上但低于</w:t>
      </w:r>
      <w:r>
        <w:rPr>
          <w:rFonts w:ascii="Times New Roman" w:hAnsi="Times New Roman" w:cs="Times New Roman" w:eastAsia="Times New Roman" w:hint="default"/>
          <w:spacing w:val="-2"/>
        </w:rPr>
        <w:t>50%</w:t>
      </w:r>
      <w:r>
        <w:rPr>
          <w:spacing w:val="-2"/>
        </w:rPr>
        <w:t>的表决权</w:t>
      </w:r>
      <w:r>
        <w:rPr/>
        <w:t> 股份时，一般认为对被投资单位具有重大影响，除非有明确证据表明该种情况下不能参与被</w:t>
      </w:r>
      <w:r>
        <w:rPr>
          <w:spacing w:val="-91"/>
        </w:rPr>
        <w:t> </w:t>
      </w:r>
      <w:r>
        <w:rPr>
          <w:spacing w:val="-91"/>
        </w:rPr>
      </w:r>
      <w:r>
        <w:rPr/>
        <w:t>投资单位的生产经营决策，不形成重大影响。</w:t>
      </w:r>
    </w:p>
    <w:p>
      <w:pPr>
        <w:pStyle w:val="Heading2"/>
        <w:spacing w:line="240" w:lineRule="auto" w:before="89"/>
        <w:ind w:left="578" w:right="96"/>
        <w:jc w:val="left"/>
        <w:rPr>
          <w:b w:val="0"/>
          <w:bCs w:val="0"/>
        </w:rPr>
      </w:pPr>
      <w:r>
        <w:rPr/>
        <w:t>（</w:t>
      </w:r>
      <w:r>
        <w:rPr>
          <w:rFonts w:ascii="Times New Roman" w:hAnsi="Times New Roman" w:cs="Times New Roman" w:eastAsia="Times New Roman" w:hint="default"/>
        </w:rPr>
        <w:t>2</w:t>
      </w:r>
      <w:r>
        <w:rPr/>
        <w:t>）初始投资成本确定</w:t>
      </w:r>
      <w:r>
        <w:rPr>
          <w:b w:val="0"/>
          <w:bCs w:val="0"/>
        </w:rPr>
      </w:r>
    </w:p>
    <w:p>
      <w:pPr>
        <w:pStyle w:val="Heading3"/>
        <w:spacing w:line="240" w:lineRule="auto" w:before="99"/>
        <w:ind w:left="993" w:right="96" w:firstLine="0"/>
        <w:jc w:val="left"/>
      </w:pPr>
      <w:r>
        <w:rPr>
          <w:rFonts w:ascii="宋体" w:hAnsi="宋体" w:cs="宋体" w:eastAsia="宋体" w:hint="default"/>
        </w:rPr>
        <w:t>1.</w:t>
      </w:r>
      <w:r>
        <w:rPr>
          <w:rFonts w:ascii="宋体" w:hAnsi="宋体" w:cs="宋体" w:eastAsia="宋体" w:hint="default"/>
          <w:spacing w:val="-1"/>
        </w:rPr>
        <w:t> </w:t>
      </w:r>
      <w:r>
        <w:rPr/>
        <w:t>企业合并形成的长期股权投资，按照下列规定确定其投资成本：</w:t>
      </w:r>
    </w:p>
    <w:p>
      <w:pPr>
        <w:pStyle w:val="Heading3"/>
        <w:spacing w:line="312" w:lineRule="exact" w:before="148"/>
        <w:ind w:left="513" w:right="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同一控制下的企业合并，合并方以支付现金、转让非现金资产或承担债务方式作 </w:t>
      </w:r>
      <w:r>
        <w:rPr>
          <w:spacing w:val="-3"/>
        </w:rPr>
        <w:t>为合并对价的，在合并日按照被合并方所有者权益在最终控制方合并财务报表中的账面价</w:t>
      </w:r>
      <w:r>
        <w:rPr>
          <w:spacing w:val="-85"/>
        </w:rPr>
        <w:t> </w:t>
      </w:r>
      <w:r>
        <w:rPr>
          <w:spacing w:val="-85"/>
        </w:rPr>
      </w:r>
      <w:r>
        <w:rPr/>
        <w:t>值的份额作为长期股权投资的初始投资成本。长期股权投资初始投资成本与支付的现金、 </w:t>
      </w:r>
      <w:r>
        <w:rPr>
          <w:spacing w:val="-3"/>
        </w:rPr>
        <w:t>转让的非现金资产以及所承担债务账面价值之间的差额，调整资本公积；资本公积不足冲</w:t>
      </w:r>
      <w:r>
        <w:rPr>
          <w:spacing w:val="-85"/>
        </w:rPr>
        <w:t> </w:t>
      </w:r>
      <w:r>
        <w:rPr>
          <w:spacing w:val="-85"/>
        </w:rPr>
      </w:r>
      <w:r>
        <w:rPr/>
        <w:t>减的，调整留存收益；</w:t>
      </w:r>
    </w:p>
    <w:p>
      <w:pPr>
        <w:pStyle w:val="Heading3"/>
        <w:spacing w:line="235" w:lineRule="auto" w:before="95"/>
        <w:ind w:left="513" w:right="228"/>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37"/>
        </w:rPr>
        <w:t> </w:t>
      </w:r>
      <w:r>
        <w:rPr>
          <w:spacing w:val="2"/>
        </w:rPr>
        <w:t>同一控制下的企业合并，合并方以发行权益性证券作为合并对价的，在合并日按 </w:t>
      </w:r>
      <w:r>
        <w:rPr>
          <w:spacing w:val="3"/>
        </w:rPr>
        <w:t>照被合并方所有者权益在最终控制方合并财务报表中的账面价值的份额作为长期股权投</w:t>
      </w:r>
      <w:r>
        <w:rPr>
          <w:spacing w:val="-99"/>
        </w:rPr>
        <w:t> </w:t>
      </w:r>
      <w:r>
        <w:rPr>
          <w:spacing w:val="-99"/>
        </w:rPr>
      </w:r>
      <w:r>
        <w:rPr>
          <w:spacing w:val="-3"/>
        </w:rPr>
        <w:t>资的初始投资成本。按照发行股份的面值总额作为股本，长期股权投资初始投资成本与所</w:t>
      </w:r>
      <w:r>
        <w:rPr>
          <w:spacing w:val="-85"/>
        </w:rPr>
        <w:t> </w:t>
      </w:r>
      <w:r>
        <w:rPr>
          <w:spacing w:val="-85"/>
        </w:rPr>
      </w:r>
      <w:r>
        <w:rPr/>
        <w:t>发行股份面值总额之间的差额，调整资本公积；资本公积不足冲减的，调整留存收益；</w:t>
      </w:r>
    </w:p>
    <w:p>
      <w:pPr>
        <w:pStyle w:val="Heading3"/>
        <w:spacing w:line="312" w:lineRule="exact" w:before="149"/>
        <w:ind w:left="513" w:right="229"/>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35"/>
        </w:rPr>
        <w:t> </w:t>
      </w:r>
      <w:r>
        <w:rPr/>
        <w:t>非同一控制下的企业合并，以购买日为取得对被购买方的控制权而付出的资产、</w:t>
      </w:r>
      <w:r>
        <w:rPr>
          <w:spacing w:val="2"/>
        </w:rPr>
        <w:t> </w:t>
      </w:r>
      <w:r>
        <w:rPr>
          <w:spacing w:val="3"/>
        </w:rPr>
        <w:t>发生或承担的负债以及发行的权益性证券的公允价值确定为合并成本作为长期股权投资</w:t>
      </w:r>
      <w:r>
        <w:rPr>
          <w:spacing w:val="-99"/>
        </w:rPr>
        <w:t> </w:t>
      </w:r>
      <w:r>
        <w:rPr>
          <w:spacing w:val="-99"/>
        </w:rPr>
      </w:r>
      <w:r>
        <w:rPr>
          <w:spacing w:val="-3"/>
        </w:rPr>
        <w:t>的初始投资成本。合并方为企业合并发生的审计、法律服务、评估咨询等中介费用以及其</w:t>
      </w:r>
      <w:r>
        <w:rPr>
          <w:spacing w:val="-87"/>
        </w:rPr>
        <w:t> </w:t>
      </w:r>
      <w:r>
        <w:rPr>
          <w:spacing w:val="-87"/>
        </w:rPr>
      </w:r>
      <w:r>
        <w:rPr/>
        <w:t>他相关管理费用，于发生时计入当期损益。</w:t>
      </w:r>
    </w:p>
    <w:p>
      <w:pPr>
        <w:pStyle w:val="Heading3"/>
        <w:spacing w:line="312" w:lineRule="exact"/>
        <w:ind w:left="513" w:right="219" w:hanging="361"/>
        <w:jc w:val="left"/>
      </w:pPr>
      <w:r>
        <w:rPr>
          <w:rFonts w:ascii="宋体" w:hAnsi="宋体" w:cs="宋体" w:eastAsia="宋体" w:hint="default"/>
        </w:rPr>
        <w:t>1.</w:t>
      </w:r>
      <w:r>
        <w:rPr>
          <w:rFonts w:ascii="宋体" w:hAnsi="宋体" w:cs="宋体" w:eastAsia="宋体" w:hint="default"/>
          <w:spacing w:val="32"/>
        </w:rPr>
        <w:t> </w:t>
      </w:r>
      <w:r>
        <w:rPr>
          <w:spacing w:val="-3"/>
        </w:rPr>
        <w:t>除企业合并形成的长期股权投资以外，其他方式取得的长期股权投资，按照下列规定确定</w:t>
      </w:r>
      <w:r>
        <w:rPr>
          <w:spacing w:val="-118"/>
        </w:rPr>
        <w:t> </w:t>
      </w:r>
      <w:r>
        <w:rPr>
          <w:spacing w:val="-118"/>
        </w:rPr>
      </w:r>
      <w:r>
        <w:rPr/>
        <w:t>其投资成本：</w:t>
      </w:r>
    </w:p>
    <w:p>
      <w:pPr>
        <w:pStyle w:val="Heading3"/>
        <w:spacing w:line="312" w:lineRule="exact"/>
        <w:ind w:right="215"/>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以支付现金取得的长期股权投资，按照实际支付的购买价款作为投资成本。初始投资 成本包括与取得长期股权投资直接相关的费用、税金及其他必要支出；</w:t>
      </w:r>
    </w:p>
    <w:p>
      <w:pPr>
        <w:pStyle w:val="Heading3"/>
        <w:spacing w:line="312" w:lineRule="exact"/>
        <w:ind w:right="214"/>
        <w:jc w:val="left"/>
      </w:pPr>
      <w:r>
        <w:rPr>
          <w:rFonts w:ascii="Times New Roman" w:hAnsi="Times New Roman" w:cs="Times New Roman" w:eastAsia="Times New Roman" w:hint="default"/>
        </w:rPr>
        <w:t>B. </w:t>
      </w:r>
      <w:r>
        <w:rPr/>
        <w:t>以发行权益性证券取得的长期股权投资，按照发行权益性证券的公允价值作为初始投 资成本；</w:t>
      </w:r>
    </w:p>
    <w:p>
      <w:pPr>
        <w:pStyle w:val="Heading3"/>
        <w:spacing w:line="312" w:lineRule="exact"/>
        <w:ind w:right="96"/>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19"/>
        </w:rPr>
        <w:t> </w:t>
      </w:r>
      <w:r>
        <w:rPr/>
        <w:t>通过非货币性资产交换取得的长期股权投资，如果该项交换具有商业实质且换入资产 </w:t>
      </w:r>
      <w:r>
        <w:rPr>
          <w:spacing w:val="-2"/>
        </w:rPr>
        <w:t>或换出资产的公允价值能可靠计量，则以换出资产的公允价值和相关税费作为初始投资成本，</w:t>
      </w:r>
      <w:r>
        <w:rPr/>
        <w:t> 换出资产的公允价值与账面价值之间的差额计入当期损益；若非货币资产交换不同时具备上</w:t>
      </w:r>
      <w:r>
        <w:rPr>
          <w:spacing w:val="-91"/>
        </w:rPr>
        <w:t> </w:t>
      </w:r>
      <w:r>
        <w:rPr>
          <w:spacing w:val="-91"/>
        </w:rPr>
      </w:r>
      <w:r>
        <w:rPr/>
        <w:t>述两个条件，则按换出资产的账面价值和相关税费作为初始投资成本。</w:t>
      </w:r>
    </w:p>
    <w:p>
      <w:pPr>
        <w:spacing w:after="0" w:line="312" w:lineRule="exact"/>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312" w:lineRule="exact" w:before="56"/>
        <w:ind w:right="155"/>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15"/>
        </w:rPr>
        <w:t> </w:t>
      </w:r>
      <w:r>
        <w:rPr/>
        <w:t>通过债务重组取得的长期股权投资，按取得的股权的公允价值作为初始投资成本，初 始投资成本与债权账面价值之间的差额计入当期损益。</w:t>
      </w:r>
    </w:p>
    <w:p>
      <w:pPr>
        <w:spacing w:line="312" w:lineRule="auto" w:before="89"/>
        <w:ind w:left="633" w:right="153" w:hanging="56"/>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）后续计量及损益确认方法</w:t>
      </w:r>
      <w:r>
        <w:rPr>
          <w:rFonts w:ascii="宋体" w:hAnsi="宋体" w:cs="宋体" w:eastAsia="宋体" w:hint="default"/>
          <w:b/>
          <w:bCs/>
          <w:w w:val="99"/>
          <w:sz w:val="24"/>
          <w:szCs w:val="24"/>
        </w:rPr>
        <w:t> </w:t>
      </w:r>
      <w:r>
        <w:rPr>
          <w:rFonts w:ascii="宋体" w:hAnsi="宋体" w:cs="宋体" w:eastAsia="宋体" w:hint="default"/>
          <w:sz w:val="24"/>
          <w:szCs w:val="24"/>
        </w:rPr>
        <w:t>本公司能够对被投资单位实施控制的长期股权投资采用成本法核算；对联营企业和合营</w:t>
      </w:r>
    </w:p>
    <w:p>
      <w:pPr>
        <w:pStyle w:val="Heading3"/>
        <w:spacing w:line="240" w:lineRule="exact" w:before="0"/>
        <w:ind w:right="153" w:firstLine="0"/>
        <w:jc w:val="left"/>
      </w:pPr>
      <w:r>
        <w:rPr/>
        <w:t>企业的长期股权投资采用权益法核算。</w:t>
      </w:r>
    </w:p>
    <w:p>
      <w:pPr>
        <w:pStyle w:val="Heading3"/>
        <w:spacing w:line="331" w:lineRule="auto" w:before="118"/>
        <w:ind w:left="633" w:right="153" w:firstLine="0"/>
        <w:jc w:val="left"/>
      </w:pPr>
      <w:r>
        <w:rPr/>
        <w:t>①成本法 采用成本法核算的长期股权投资，追加或收回投资时调整长期股权投资的成本；被投资</w:t>
      </w:r>
    </w:p>
    <w:p>
      <w:pPr>
        <w:pStyle w:val="Heading3"/>
        <w:spacing w:line="221" w:lineRule="exact" w:before="0"/>
        <w:ind w:right="153" w:firstLine="0"/>
        <w:jc w:val="left"/>
      </w:pPr>
      <w:r>
        <w:rPr/>
        <w:t>单位宣告分派的现金股利或利润，确认为当期投资收益。</w:t>
      </w:r>
    </w:p>
    <w:p>
      <w:pPr>
        <w:pStyle w:val="Heading3"/>
        <w:spacing w:line="331" w:lineRule="auto" w:before="118"/>
        <w:ind w:left="633" w:right="3773" w:firstLine="0"/>
        <w:jc w:val="left"/>
      </w:pPr>
      <w:r>
        <w:rPr/>
        <w:t>②权益法 按照权益法核算的长期股权投资，一般会计处理为：</w:t>
      </w:r>
    </w:p>
    <w:p>
      <w:pPr>
        <w:pStyle w:val="Heading3"/>
        <w:spacing w:line="237" w:lineRule="auto" w:before="29"/>
        <w:ind w:right="156"/>
        <w:jc w:val="both"/>
      </w:pPr>
      <w:r>
        <w:rPr/>
        <w:t>本公司长期股权投资的投资成本大于投资时应享有被投资单位可辨认净资产公允价值份 额的，不调整长期股权投资的初始投资成本；长期股权投资的初始投资成本小于投资时应享</w:t>
      </w:r>
      <w:r>
        <w:rPr>
          <w:spacing w:val="-91"/>
        </w:rPr>
        <w:t> </w:t>
      </w:r>
      <w:r>
        <w:rPr>
          <w:spacing w:val="-91"/>
        </w:rPr>
      </w:r>
      <w:r>
        <w:rPr/>
        <w:t>有被投资单位可辨认净资产公允价值份额的，其差额计入当期损益，同时调整长期股权投资</w:t>
      </w:r>
      <w:r>
        <w:rPr>
          <w:spacing w:val="-91"/>
        </w:rPr>
        <w:t> </w:t>
      </w:r>
      <w:r>
        <w:rPr>
          <w:spacing w:val="-91"/>
        </w:rPr>
      </w:r>
      <w:r>
        <w:rPr/>
        <w:t>的成本。</w:t>
      </w:r>
    </w:p>
    <w:p>
      <w:pPr>
        <w:pStyle w:val="Heading3"/>
        <w:spacing w:line="237" w:lineRule="auto" w:before="121"/>
        <w:ind w:right="151"/>
        <w:jc w:val="both"/>
      </w:pPr>
      <w:r>
        <w:rPr/>
        <w:t>本公司按照应享有或应分担的被投资单位实现的净损益和其他综合收益的份额，分别确 认投资收益和其他综合收益，同时调整长期股权投资的账面价值；本公司按照被投资单位宣</w:t>
      </w:r>
      <w:r>
        <w:rPr>
          <w:spacing w:val="-91"/>
        </w:rPr>
        <w:t> </w:t>
      </w:r>
      <w:r>
        <w:rPr>
          <w:spacing w:val="-91"/>
        </w:rPr>
      </w:r>
      <w:r>
        <w:rPr/>
        <w:t>告分派的利润或现金股利计算应享有的部分，相应减少长期股权投资的账面价值；被投资单</w:t>
      </w:r>
      <w:r>
        <w:rPr>
          <w:spacing w:val="-91"/>
        </w:rPr>
        <w:t> </w:t>
      </w:r>
      <w:r>
        <w:rPr>
          <w:spacing w:val="-91"/>
        </w:rPr>
      </w:r>
      <w:r>
        <w:rPr/>
        <w:t>位除净损益、其他综合收益和利润分配以外所有者权益的其他变动，调整长期股权投资的账</w:t>
      </w:r>
      <w:r>
        <w:rPr>
          <w:spacing w:val="-91"/>
        </w:rPr>
        <w:t> </w:t>
      </w:r>
      <w:r>
        <w:rPr>
          <w:spacing w:val="-91"/>
        </w:rPr>
      </w:r>
      <w:r>
        <w:rPr/>
        <w:t>面价值并计入所有者权益。在确认应享有被投资单位净损益的份额时，以取得投资时被投资</w:t>
      </w:r>
      <w:r>
        <w:rPr>
          <w:spacing w:val="-91"/>
        </w:rPr>
        <w:t> </w:t>
      </w:r>
      <w:r>
        <w:rPr>
          <w:spacing w:val="-91"/>
        </w:rPr>
      </w:r>
      <w:r>
        <w:rPr/>
        <w:t>单位可辨认净资产的公允价值为基础，对被投资单位的净利润进行调整后确认。被投资单位</w:t>
      </w:r>
      <w:r>
        <w:rPr>
          <w:spacing w:val="-91"/>
        </w:rPr>
        <w:t> </w:t>
      </w:r>
      <w:r>
        <w:rPr>
          <w:spacing w:val="-91"/>
        </w:rPr>
      </w:r>
      <w:r>
        <w:rPr/>
        <w:t>采用的会计政策及会计期间与本公司不一致的，应按照本公司的会计政策及会计期间对被投</w:t>
      </w:r>
      <w:r>
        <w:rPr>
          <w:spacing w:val="-91"/>
        </w:rPr>
        <w:t> </w:t>
      </w:r>
      <w:r>
        <w:rPr>
          <w:spacing w:val="-91"/>
        </w:rPr>
      </w:r>
      <w:r>
        <w:rPr/>
        <w:t>资单位的财务报表进行调整，并据以确认投资收益和其他综合收益等。本公司与联营企业及</w:t>
      </w:r>
      <w:r>
        <w:rPr>
          <w:spacing w:val="-91"/>
        </w:rPr>
        <w:t> </w:t>
      </w:r>
      <w:r>
        <w:rPr>
          <w:spacing w:val="-91"/>
        </w:rPr>
      </w:r>
      <w:r>
        <w:rPr>
          <w:spacing w:val="6"/>
        </w:rPr>
        <w:t>合营企业之间发生的未实现内部交易损益按照享有的比例计算归属于本公司的部分予以抵</w:t>
      </w:r>
      <w:r>
        <w:rPr>
          <w:spacing w:val="-84"/>
        </w:rPr>
        <w:t> </w:t>
      </w:r>
      <w:r>
        <w:rPr>
          <w:spacing w:val="-84"/>
        </w:rPr>
      </w:r>
      <w:r>
        <w:rPr/>
        <w:t>销，在此基础上确认投资损益。本公司与被投资单位发生的未实现内部交易损失属于资产减</w:t>
      </w:r>
      <w:r>
        <w:rPr>
          <w:spacing w:val="-91"/>
        </w:rPr>
        <w:t> </w:t>
      </w:r>
      <w:r>
        <w:rPr>
          <w:spacing w:val="-91"/>
        </w:rPr>
      </w:r>
      <w:r>
        <w:rPr/>
        <w:t>值损失的，应全额确认。</w:t>
      </w:r>
    </w:p>
    <w:p>
      <w:pPr>
        <w:pStyle w:val="Heading3"/>
        <w:spacing w:line="312" w:lineRule="exact" w:before="149"/>
        <w:ind w:right="159"/>
        <w:jc w:val="both"/>
      </w:pPr>
      <w:r>
        <w:rPr/>
        <w:t>因追加投资等原因能够对被投资单位施加重大影响或实施共同控制但不构成控制的，按 照原持有的股权投资的公允价值加上新增投资成本之和，作为改按权益法核算的初始投资成</w:t>
      </w:r>
      <w:r>
        <w:rPr>
          <w:spacing w:val="-91"/>
        </w:rPr>
        <w:t> </w:t>
      </w:r>
      <w:r>
        <w:rPr>
          <w:spacing w:val="-91"/>
        </w:rPr>
      </w:r>
      <w:r>
        <w:rPr/>
        <w:t>本。原持有的股权投资分类为可供出售金融资产的，其公允价值与账面价值之间的差额，以</w:t>
      </w:r>
      <w:r>
        <w:rPr>
          <w:spacing w:val="-91"/>
        </w:rPr>
        <w:t> </w:t>
      </w:r>
      <w:r>
        <w:rPr>
          <w:spacing w:val="-91"/>
        </w:rPr>
      </w:r>
      <w:r>
        <w:rPr/>
        <w:t>及原计入其他综合收益的累计公允价值变动应当转入改按权益法核算的当期损益。</w:t>
      </w:r>
    </w:p>
    <w:p>
      <w:pPr>
        <w:pStyle w:val="Heading3"/>
        <w:spacing w:line="312" w:lineRule="exact"/>
        <w:ind w:right="154"/>
        <w:jc w:val="both"/>
      </w:pPr>
      <w:r>
        <w:rPr/>
        <w:t>因处置部分股权投资等原因丧失了对被投资单位的共同控制或重大影响的，处置后的剩 余股权改按公允价值计量，其在丧失共同控制或重大影响之日的公允价值与账面价值之间的</w:t>
      </w:r>
      <w:r>
        <w:rPr>
          <w:spacing w:val="-91"/>
        </w:rPr>
        <w:t> </w:t>
      </w:r>
      <w:r>
        <w:rPr>
          <w:spacing w:val="-91"/>
        </w:rPr>
      </w:r>
      <w:r>
        <w:rPr/>
        <w:t>差额计入当期损益。原股权投资因采用权益法核算而确认的其他综合收益，在终止采用权益</w:t>
      </w:r>
      <w:r>
        <w:rPr>
          <w:spacing w:val="-86"/>
        </w:rPr>
        <w:t> </w:t>
      </w:r>
      <w:r>
        <w:rPr>
          <w:spacing w:val="-86"/>
        </w:rPr>
      </w:r>
      <w:r>
        <w:rPr/>
        <w:t>法核算时采用与被投资单位直接处置相关资产或负债相同的基础进行会计处理。</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pStyle w:val="Heading4"/>
        <w:spacing w:line="240" w:lineRule="auto"/>
        <w:ind w:right="15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固定资产在同时满足下列条件时，按取得时的实际成本予以确认：①与该固定资产有关的经济利益很可能流入企业。②该固</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19" w:lineRule="auto" w:before="44"/>
        <w:ind w:left="152" w:right="149" w:firstLine="0"/>
        <w:jc w:val="left"/>
        <w:rPr>
          <w:rFonts w:ascii="宋体" w:hAnsi="宋体" w:cs="宋体" w:eastAsia="宋体" w:hint="default"/>
          <w:sz w:val="18"/>
          <w:szCs w:val="18"/>
        </w:rPr>
      </w:pPr>
      <w:r>
        <w:rPr>
          <w:rFonts w:ascii="宋体" w:hAnsi="宋体" w:cs="宋体" w:eastAsia="宋体" w:hint="default"/>
          <w:spacing w:val="-2"/>
          <w:sz w:val="18"/>
          <w:szCs w:val="18"/>
        </w:rPr>
        <w:t>定资产的成本能够可靠地计量。固定资产发生的后续支出，符合固定资产确认条件的计入固定资产成本；不符合固定资产确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认条件的在发生时计入当期损益。</w:t>
      </w:r>
    </w:p>
    <w:p>
      <w:pPr>
        <w:spacing w:line="240" w:lineRule="auto" w:before="9"/>
        <w:rPr>
          <w:rFonts w:ascii="宋体" w:hAnsi="宋体" w:cs="宋体" w:eastAsia="宋体" w:hint="default"/>
          <w:sz w:val="22"/>
          <w:szCs w:val="22"/>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2.38-4.75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pStyle w:val="Heading3"/>
        <w:spacing w:line="240" w:lineRule="auto" w:before="79"/>
        <w:ind w:left="633" w:right="153" w:firstLine="0"/>
        <w:jc w:val="left"/>
      </w:pPr>
      <w:r>
        <w:rPr/>
        <w:t>对于已经计提减值准备的固定资产，在计提折旧时扣除已计提的固定资产减值准备。</w:t>
      </w:r>
    </w:p>
    <w:p>
      <w:pPr>
        <w:pStyle w:val="Heading3"/>
        <w:spacing w:line="312" w:lineRule="exact" w:before="149"/>
        <w:ind w:right="159" w:firstLine="0"/>
        <w:jc w:val="both"/>
      </w:pPr>
      <w:r>
        <w:rPr/>
        <w:t>每年年度终了，公司对固定资产的使用寿命、预计净残值和折旧方法进行复核。使用寿命预</w:t>
      </w:r>
      <w:r>
        <w:rPr>
          <w:spacing w:val="-91"/>
        </w:rPr>
        <w:t> </w:t>
      </w:r>
      <w:r>
        <w:rPr>
          <w:spacing w:val="-91"/>
        </w:rPr>
      </w:r>
      <w:r>
        <w:rPr/>
        <w:t>计数与原先估计数有差异的，调整固定资产使用寿命。</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52" w:firstLine="0"/>
        <w:jc w:val="both"/>
        <w:rPr>
          <w:rFonts w:ascii="宋体" w:hAnsi="宋体" w:cs="宋体" w:eastAsia="宋体" w:hint="default"/>
          <w:sz w:val="18"/>
          <w:szCs w:val="18"/>
        </w:rPr>
      </w:pPr>
      <w:r>
        <w:rPr>
          <w:rFonts w:ascii="宋体" w:hAnsi="宋体" w:cs="宋体" w:eastAsia="宋体" w:hint="default"/>
          <w:spacing w:val="-2"/>
          <w:sz w:val="18"/>
          <w:szCs w:val="18"/>
        </w:rPr>
        <w:t>本公司在租入的固定资产实质上转移了与资产有关的全部风险和报酬时确认该项固定资产的租赁为融资租赁。融资租赁取得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的固定资产的成本，按租赁开始日租赁资产公允价值与最低租赁付款额现值两者中较低者确定。融资租入的固定资产采用与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自有固定资产相一致的折旧政策计提租赁资产折旧。能够合理确定租赁期届满时将会取得租赁资产所有权的，在租赁资产使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用年限内计提折旧；无法合理确定租赁期届满时能够取得租赁资产所有权的，在租赁期与租赁资产使用寿命两者中较短的期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间内计提折旧。</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2"/>
          <w:szCs w:val="22"/>
        </w:rPr>
      </w:pPr>
    </w:p>
    <w:p>
      <w:pPr>
        <w:pStyle w:val="Heading3"/>
        <w:spacing w:line="240" w:lineRule="auto" w:before="0"/>
        <w:ind w:left="633" w:right="153" w:firstLine="0"/>
        <w:jc w:val="left"/>
      </w:pPr>
      <w:r>
        <w:rPr/>
        <w:t>（</w:t>
      </w:r>
      <w:r>
        <w:rPr>
          <w:rFonts w:ascii="Times New Roman" w:hAnsi="Times New Roman" w:cs="Times New Roman" w:eastAsia="Times New Roman" w:hint="default"/>
        </w:rPr>
        <w:t>1</w:t>
      </w:r>
      <w:r>
        <w:rPr/>
        <w:t>）在建工程以立项项目分类核算。</w:t>
      </w:r>
    </w:p>
    <w:p>
      <w:pPr>
        <w:pStyle w:val="Heading3"/>
        <w:spacing w:line="312" w:lineRule="auto" w:before="99"/>
        <w:ind w:left="633" w:right="173" w:firstLine="0"/>
        <w:jc w:val="left"/>
      </w:pPr>
      <w:r>
        <w:rPr/>
        <w:t>（</w:t>
      </w:r>
      <w:r>
        <w:rPr>
          <w:rFonts w:ascii="Times New Roman" w:hAnsi="Times New Roman" w:cs="Times New Roman" w:eastAsia="Times New Roman" w:hint="default"/>
        </w:rPr>
        <w:t>2</w:t>
      </w:r>
      <w:r>
        <w:rPr/>
        <w:t>）在建工程结转为固定资产的标准和时点 在建工程项目按建造该项资产达到预定可使用状态前所发生的全部支出，作为固定资产</w:t>
      </w:r>
    </w:p>
    <w:p>
      <w:pPr>
        <w:pStyle w:val="Heading3"/>
        <w:spacing w:line="239" w:lineRule="exact" w:before="0"/>
        <w:ind w:right="0" w:firstLine="0"/>
        <w:jc w:val="both"/>
      </w:pPr>
      <w:r>
        <w:rPr/>
        <w:t>的入账价值。包括建筑费用、机器设备原价、其他为使在建工程达到预定可使用状态所发生</w:t>
      </w:r>
    </w:p>
    <w:p>
      <w:pPr>
        <w:pStyle w:val="Heading3"/>
        <w:spacing w:line="312" w:lineRule="exact" w:before="29"/>
        <w:ind w:right="191" w:firstLine="0"/>
        <w:jc w:val="both"/>
      </w:pPr>
      <w:r>
        <w:rPr/>
        <w:t>的必要支出以及在资产达到预定可使用状态之前为该项目专门借款所发生的借款费用及占用 的一般借款发生的借款费用。本公司在工程安装或建设完成达到预定可使用状态时将在建工 程转入固定资产。所建造的已达到预定可使用状态、但尚未办理竣工决算的固定资产，自达 到预定可使用状态之日起，根据工程预算、造价或者工程实际成本等，按估计的价值转入固 定资产，并按本公司固定资产折旧政策计提固定资产的折旧，待办理竣工决算后，再按实际 成本调整原来的暂估价值，但不调整原已计提的折旧额。</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spacing w:line="357" w:lineRule="auto" w:before="0"/>
        <w:ind w:left="633" w:right="15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）借款费用资本化的确认原则和资本化期间</w:t>
      </w:r>
      <w:r>
        <w:rPr>
          <w:rFonts w:ascii="宋体" w:hAnsi="宋体" w:cs="宋体" w:eastAsia="宋体" w:hint="default"/>
          <w:b/>
          <w:bCs/>
          <w:w w:val="100"/>
          <w:sz w:val="21"/>
          <w:szCs w:val="21"/>
        </w:rPr>
        <w:t> </w:t>
      </w:r>
      <w:r>
        <w:rPr>
          <w:rFonts w:ascii="宋体" w:hAnsi="宋体" w:cs="宋体" w:eastAsia="宋体" w:hint="default"/>
          <w:sz w:val="21"/>
          <w:szCs w:val="21"/>
        </w:rPr>
        <w:t>本公司发生的可直接归属于符合资本化条件的资产的购建或生产的借款费用在同时满足下列条件时</w:t>
      </w:r>
    </w:p>
    <w:p>
      <w:pPr>
        <w:spacing w:after="0" w:line="357"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53"/>
        <w:jc w:val="left"/>
      </w:pPr>
      <w:r>
        <w:rPr/>
        <w:t>予以资本化计入相关资产成本：</w:t>
      </w:r>
    </w:p>
    <w:p>
      <w:pPr>
        <w:pStyle w:val="BodyText"/>
        <w:spacing w:line="240" w:lineRule="auto" w:before="157"/>
        <w:ind w:left="633" w:right="153"/>
        <w:jc w:val="left"/>
      </w:pPr>
      <w:r>
        <w:rPr/>
        <w:t>①资产支出已经发生；</w:t>
      </w:r>
    </w:p>
    <w:p>
      <w:pPr>
        <w:pStyle w:val="BodyText"/>
        <w:spacing w:line="240" w:lineRule="auto" w:before="157"/>
        <w:ind w:left="633" w:right="153"/>
        <w:jc w:val="left"/>
      </w:pPr>
      <w:r>
        <w:rPr/>
        <w:t>②借款费用已经发生；</w:t>
      </w:r>
    </w:p>
    <w:p>
      <w:pPr>
        <w:pStyle w:val="BodyText"/>
        <w:spacing w:line="432" w:lineRule="exact" w:before="57"/>
        <w:ind w:left="633" w:right="153"/>
        <w:jc w:val="left"/>
      </w:pPr>
      <w:r>
        <w:rPr/>
        <w:t>③为使资产达到预定可使用状态所必要的购建或者生产活动已经开始。</w:t>
      </w:r>
      <w:r>
        <w:rPr>
          <w:w w:val="100"/>
        </w:rPr>
        <w:t> </w:t>
      </w:r>
      <w:r>
        <w:rPr/>
        <w:t>其他的借款利息、折价或溢价和汇兑差额，计入发生当期的损益。</w:t>
      </w:r>
      <w:r>
        <w:rPr>
          <w:w w:val="100"/>
        </w:rPr>
        <w:t> </w:t>
      </w:r>
      <w:r>
        <w:rPr>
          <w:spacing w:val="-1"/>
        </w:rPr>
        <w:t>符合资本化条件的资产在购建或者生产过程中发生非正常中断，且中断时间连续超过</w:t>
      </w:r>
      <w:r>
        <w:rPr>
          <w:rFonts w:ascii="Times New Roman" w:hAnsi="Times New Roman" w:cs="Times New Roman" w:eastAsia="Times New Roman" w:hint="default"/>
          <w:spacing w:val="-1"/>
        </w:rPr>
        <w:t>3</w:t>
      </w:r>
      <w:r>
        <w:rPr>
          <w:spacing w:val="-1"/>
        </w:rPr>
        <w:t>个月的，暂停</w:t>
      </w:r>
    </w:p>
    <w:p>
      <w:pPr>
        <w:pStyle w:val="BodyText"/>
        <w:spacing w:line="255" w:lineRule="exact"/>
        <w:ind w:right="153"/>
        <w:jc w:val="left"/>
      </w:pPr>
      <w:r>
        <w:rPr/>
        <w:t>借款费用的资本化。</w:t>
      </w:r>
    </w:p>
    <w:p>
      <w:pPr>
        <w:pStyle w:val="BodyText"/>
        <w:spacing w:line="273" w:lineRule="auto" w:before="157"/>
        <w:ind w:right="150" w:firstLine="480"/>
        <w:jc w:val="both"/>
      </w:pPr>
      <w:r>
        <w:rPr/>
        <w:t>当购建或者生产符合资本化条件的资产达到预定可使用或者可销售状态时，停止其借款费用的资本</w:t>
      </w:r>
      <w:r>
        <w:rPr>
          <w:w w:val="100"/>
        </w:rPr>
        <w:t> </w:t>
      </w:r>
      <w:r>
        <w:rPr/>
        <w:t>化；以后发生的借款费用于发生当期确认为费用。</w:t>
      </w:r>
    </w:p>
    <w:p>
      <w:pPr>
        <w:spacing w:line="357" w:lineRule="auto" w:before="127"/>
        <w:ind w:left="633" w:right="15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）借款费用资本化率以及资本化金额的计算方法</w:t>
      </w:r>
      <w:r>
        <w:rPr>
          <w:rFonts w:ascii="宋体" w:hAnsi="宋体" w:cs="宋体" w:eastAsia="宋体" w:hint="default"/>
          <w:b/>
          <w:bCs/>
          <w:w w:val="100"/>
          <w:sz w:val="21"/>
          <w:szCs w:val="21"/>
        </w:rPr>
        <w:t> </w:t>
      </w:r>
      <w:r>
        <w:rPr>
          <w:rFonts w:ascii="宋体" w:hAnsi="宋体" w:cs="宋体" w:eastAsia="宋体" w:hint="default"/>
          <w:spacing w:val="-4"/>
          <w:sz w:val="21"/>
          <w:szCs w:val="21"/>
        </w:rPr>
        <w:t>为购建或者生产符合资本化条件的资产而借入专门借款的，以专门借款当期实际发生的利息费用，减</w:t>
      </w:r>
    </w:p>
    <w:p>
      <w:pPr>
        <w:pStyle w:val="BodyText"/>
        <w:spacing w:line="209" w:lineRule="exact"/>
        <w:ind w:right="0"/>
        <w:jc w:val="left"/>
      </w:pPr>
      <w:r>
        <w:rPr/>
        <w:t>去将尚未动用的借款资金存入银行取得的利息收入或者进行暂时性投资取得的投资收益后的金额，确定为</w:t>
      </w:r>
    </w:p>
    <w:p>
      <w:pPr>
        <w:pStyle w:val="BodyText"/>
        <w:spacing w:line="240" w:lineRule="auto" w:before="37"/>
        <w:ind w:right="153"/>
        <w:jc w:val="left"/>
      </w:pPr>
      <w:r>
        <w:rPr/>
        <w:t>专门借款利息费用的资本化金额。</w:t>
      </w:r>
    </w:p>
    <w:p>
      <w:pPr>
        <w:pStyle w:val="BodyText"/>
        <w:spacing w:line="273" w:lineRule="auto" w:before="157"/>
        <w:ind w:right="146" w:firstLine="480"/>
        <w:jc w:val="both"/>
      </w:pPr>
      <w:r>
        <w:rPr>
          <w:spacing w:val="-4"/>
        </w:rPr>
        <w:t>购建或者生产符合资本化条件的资产占用了一般借款的，一般借款应予资本化的利息金额按累计资产</w:t>
      </w:r>
      <w:r>
        <w:rPr>
          <w:w w:val="100"/>
        </w:rPr>
        <w:t> </w:t>
      </w:r>
      <w:r>
        <w:rPr>
          <w:spacing w:val="-2"/>
        </w:rPr>
        <w:t>支出超过专门借款部分的资产支出加权平均数乘以所占用一般借款的资本化率，计算确定一般借款应予资</w:t>
      </w:r>
      <w:r>
        <w:rPr>
          <w:spacing w:val="-42"/>
        </w:rPr>
        <w:t> </w:t>
      </w:r>
      <w:r>
        <w:rPr>
          <w:spacing w:val="-42"/>
        </w:rPr>
      </w:r>
      <w:r>
        <w:rPr/>
        <w:t>本化的利息金额。资本化率根据一般借款加权平均利率计算确定。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53"/>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4"/>
          <w:szCs w:val="24"/>
        </w:rPr>
      </w:pPr>
    </w:p>
    <w:p>
      <w:pPr>
        <w:spacing w:line="376" w:lineRule="auto" w:before="0"/>
        <w:ind w:left="633" w:right="5816" w:firstLine="2"/>
        <w:jc w:val="left"/>
        <w:rPr>
          <w:rFonts w:ascii="宋体" w:hAnsi="宋体" w:cs="宋体" w:eastAsia="宋体" w:hint="default"/>
          <w:sz w:val="21"/>
          <w:szCs w:val="21"/>
        </w:rPr>
      </w:pP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按取得时的实际成本入账。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无形资产使用寿命及摊销</w:t>
      </w:r>
      <w:r>
        <w:rPr>
          <w:rFonts w:ascii="宋体" w:hAnsi="宋体" w:cs="宋体" w:eastAsia="宋体" w:hint="default"/>
          <w:sz w:val="21"/>
          <w:szCs w:val="21"/>
        </w:rPr>
      </w:r>
    </w:p>
    <w:p>
      <w:pPr>
        <w:pStyle w:val="BodyText"/>
        <w:spacing w:line="240" w:lineRule="auto" w:before="37"/>
        <w:ind w:left="633" w:right="153"/>
        <w:jc w:val="left"/>
      </w:pPr>
      <w:r>
        <w:rPr/>
        <w:t>①使用寿命有限的无形资产的使用寿命估计情况：</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492"/>
        <w:gridCol w:w="1933"/>
        <w:gridCol w:w="4866"/>
      </w:tblGrid>
      <w:tr>
        <w:trPr>
          <w:trHeight w:val="350" w:hRule="exact"/>
        </w:trPr>
        <w:tc>
          <w:tcPr>
            <w:tcW w:w="2492"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9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33"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预计使用寿命</w:t>
            </w:r>
            <w:r>
              <w:rPr>
                <w:rFonts w:ascii="宋体" w:hAnsi="宋体" w:cs="宋体" w:eastAsia="宋体" w:hint="default"/>
                <w:sz w:val="21"/>
                <w:szCs w:val="21"/>
              </w:rPr>
            </w:r>
          </w:p>
        </w:tc>
        <w:tc>
          <w:tcPr>
            <w:tcW w:w="4866"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4"/>
              <w:jc w:val="center"/>
              <w:rPr>
                <w:rFonts w:ascii="宋体" w:hAnsi="宋体" w:cs="宋体" w:eastAsia="宋体" w:hint="default"/>
                <w:sz w:val="21"/>
                <w:szCs w:val="21"/>
              </w:rPr>
            </w:pPr>
            <w:r>
              <w:rPr>
                <w:rFonts w:ascii="宋体" w:hAnsi="宋体" w:cs="宋体" w:eastAsia="宋体" w:hint="default"/>
                <w:b/>
                <w:bCs/>
                <w:sz w:val="21"/>
                <w:szCs w:val="21"/>
              </w:rPr>
              <w:t>依据</w:t>
            </w:r>
            <w:r>
              <w:rPr>
                <w:rFonts w:ascii="宋体" w:hAnsi="宋体" w:cs="宋体" w:eastAsia="宋体" w:hint="default"/>
                <w:sz w:val="21"/>
                <w:szCs w:val="21"/>
              </w:rPr>
            </w:r>
          </w:p>
        </w:tc>
      </w:tr>
      <w:tr>
        <w:trPr>
          <w:trHeight w:val="346" w:hRule="exact"/>
        </w:trPr>
        <w:tc>
          <w:tcPr>
            <w:tcW w:w="249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33"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4866"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法定使用权</w:t>
            </w:r>
          </w:p>
        </w:tc>
      </w:tr>
      <w:tr>
        <w:trPr>
          <w:trHeight w:val="348" w:hRule="exact"/>
        </w:trPr>
        <w:tc>
          <w:tcPr>
            <w:tcW w:w="2492"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933"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宋体" w:hAnsi="宋体" w:cs="宋体" w:eastAsia="宋体" w:hint="default"/>
                <w:sz w:val="21"/>
                <w:szCs w:val="21"/>
              </w:rPr>
              <w:t>年</w:t>
            </w:r>
          </w:p>
        </w:tc>
        <w:tc>
          <w:tcPr>
            <w:tcW w:w="4866"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参考能为公司带来经济利益的期限确定使用寿命</w:t>
            </w:r>
          </w:p>
        </w:tc>
      </w:tr>
    </w:tbl>
    <w:p>
      <w:pPr>
        <w:spacing w:line="240" w:lineRule="auto" w:before="6"/>
        <w:rPr>
          <w:rFonts w:ascii="宋体" w:hAnsi="宋体" w:cs="宋体" w:eastAsia="宋体" w:hint="default"/>
          <w:sz w:val="5"/>
          <w:szCs w:val="5"/>
        </w:rPr>
      </w:pPr>
    </w:p>
    <w:p>
      <w:pPr>
        <w:pStyle w:val="BodyText"/>
        <w:spacing w:line="273" w:lineRule="auto" w:before="36"/>
        <w:ind w:right="146" w:firstLine="480"/>
        <w:jc w:val="both"/>
      </w:pPr>
      <w:r>
        <w:rPr>
          <w:spacing w:val="-4"/>
        </w:rPr>
        <w:t>每年年度终了，公司对使用寿命有限的无形资产的使用寿命及摊销方法进行复核。经复核，本期末无</w:t>
      </w:r>
      <w:r>
        <w:rPr>
          <w:w w:val="100"/>
        </w:rPr>
        <w:t> </w:t>
      </w:r>
      <w:r>
        <w:rPr/>
        <w:t>形资产的使用寿命及摊销方法与以前估计未有不同。</w:t>
      </w:r>
    </w:p>
    <w:p>
      <w:pPr>
        <w:pStyle w:val="BodyText"/>
        <w:spacing w:line="273" w:lineRule="auto" w:before="127"/>
        <w:ind w:right="146" w:firstLine="480"/>
        <w:jc w:val="both"/>
      </w:pPr>
      <w:r>
        <w:rPr>
          <w:spacing w:val="-4"/>
        </w:rPr>
        <w:t>②无法预见无形资产为企业带来经济利益期限的，视为使用寿命不确定的无形资产。对于使用寿命不</w:t>
      </w:r>
      <w:r>
        <w:rPr>
          <w:w w:val="100"/>
        </w:rPr>
        <w:t> </w:t>
      </w:r>
      <w:r>
        <w:rPr>
          <w:spacing w:val="-2"/>
        </w:rPr>
        <w:t>确定的无形资产，公司在每年年度终了对使用寿命不确定的无形资产的使用寿命进行复核，如果重新复核</w:t>
      </w:r>
      <w:r>
        <w:rPr>
          <w:spacing w:val="-43"/>
        </w:rPr>
        <w:t> </w:t>
      </w:r>
      <w:r>
        <w:rPr>
          <w:spacing w:val="-43"/>
        </w:rPr>
      </w:r>
      <w:r>
        <w:rPr/>
        <w:t>后仍为不确定的，于在资产负债表日进行减值测试。</w:t>
      </w:r>
    </w:p>
    <w:p>
      <w:pPr>
        <w:pStyle w:val="BodyText"/>
        <w:spacing w:line="432" w:lineRule="exact" w:before="27"/>
        <w:ind w:left="633" w:right="153" w:firstLine="64"/>
        <w:jc w:val="left"/>
      </w:pPr>
      <w:r>
        <w:rPr/>
        <w:t>③无形资产的摊销</w:t>
      </w:r>
      <w:r>
        <w:rPr>
          <w:w w:val="100"/>
        </w:rPr>
        <w:t> </w:t>
      </w:r>
      <w:r>
        <w:rPr>
          <w:spacing w:val="-4"/>
        </w:rPr>
        <w:t>对于使用寿命有限的无形资产，本公司在取得时判定其使用寿命，在使用寿命内采用直线法系统合理</w:t>
      </w:r>
    </w:p>
    <w:p>
      <w:pPr>
        <w:pStyle w:val="BodyText"/>
        <w:spacing w:line="255" w:lineRule="exact"/>
        <w:ind w:right="0"/>
        <w:jc w:val="left"/>
      </w:pPr>
      <w:r>
        <w:rPr/>
        <w:t>摊销，摊销金额按受益项目计入当期损益。具体应摊销金额为其成本扣除预计残值后的金额。已计提减值</w:t>
      </w:r>
    </w:p>
    <w:p>
      <w:pPr>
        <w:pStyle w:val="BodyText"/>
        <w:spacing w:line="240" w:lineRule="auto" w:before="37"/>
        <w:ind w:right="0"/>
        <w:jc w:val="left"/>
      </w:pPr>
      <w:r>
        <w:rPr/>
        <w:t>准备的无形资产，还应扣除已计提的无形资产减值准备累计金额，残值为零。但下列情况除外：有第三方</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16"/>
        <w:jc w:val="left"/>
      </w:pPr>
      <w:r>
        <w:rPr>
          <w:spacing w:val="-2"/>
        </w:rPr>
        <w:t>承诺在无形资产使用寿命结束时购买该无形资产或可以根据活跃市场得到预计残值信息，并且该市场在无</w:t>
      </w:r>
      <w:r>
        <w:rPr>
          <w:spacing w:val="-43"/>
        </w:rPr>
        <w:t> </w:t>
      </w:r>
      <w:r>
        <w:rPr>
          <w:spacing w:val="-43"/>
        </w:rPr>
      </w:r>
      <w:r>
        <w:rPr/>
        <w:t>形资产使用寿命结束时很可能存在。</w:t>
      </w:r>
    </w:p>
    <w:p>
      <w:pPr>
        <w:pStyle w:val="BodyText"/>
        <w:spacing w:line="273" w:lineRule="auto" w:before="127"/>
        <w:ind w:right="206" w:firstLine="480"/>
        <w:jc w:val="both"/>
      </w:pPr>
      <w:r>
        <w:rPr>
          <w:spacing w:val="-4"/>
        </w:rPr>
        <w:t>对使用寿命不确定的无形资产，不予摊销。每年年度终了对使用寿命不确定的无形资产的使用寿命进</w:t>
      </w:r>
      <w:r>
        <w:rPr>
          <w:w w:val="100"/>
        </w:rPr>
        <w:t> </w:t>
      </w:r>
      <w:r>
        <w:rPr>
          <w:spacing w:val="-2"/>
        </w:rPr>
        <w:t>行复核，如果有证据表明无形资产的使用寿命是有限的，估计其使用寿命并在预计使用年限内系统合理摊</w:t>
      </w:r>
      <w:r>
        <w:rPr>
          <w:spacing w:val="-43"/>
        </w:rPr>
        <w:t> </w:t>
      </w:r>
      <w:r>
        <w:rPr>
          <w:spacing w:val="-43"/>
        </w:rPr>
      </w:r>
      <w:r>
        <w:rPr/>
        <w:t>销。</w:t>
      </w:r>
    </w:p>
    <w:p>
      <w:pPr>
        <w:spacing w:line="240" w:lineRule="auto" w:before="10"/>
        <w:rPr>
          <w:rFonts w:ascii="宋体" w:hAnsi="宋体" w:cs="宋体" w:eastAsia="宋体" w:hint="default"/>
          <w:sz w:val="23"/>
          <w:szCs w:val="23"/>
        </w:rPr>
      </w:pPr>
    </w:p>
    <w:p>
      <w:pPr>
        <w:pStyle w:val="Heading4"/>
        <w:spacing w:line="600" w:lineRule="atLeast"/>
        <w:ind w:left="635" w:right="4034" w:hanging="483"/>
        <w:jc w:val="left"/>
        <w:rPr>
          <w:b w:val="0"/>
          <w:bCs w:val="0"/>
        </w:rPr>
      </w:pPr>
      <w:r>
        <w:rPr/>
        <w:t>（</w:t>
      </w:r>
      <w:r>
        <w:rPr>
          <w:rFonts w:ascii="Times New Roman" w:hAnsi="Times New Roman" w:cs="Times New Roman" w:eastAsia="Times New Roman" w:hint="default"/>
        </w:rPr>
        <w:t>2</w:t>
      </w:r>
      <w:r>
        <w:rPr/>
        <w:t>）内部研究开发支出会计政策</w:t>
      </w:r>
      <w:r>
        <w:rPr>
          <w:w w:val="100"/>
        </w:rPr>
        <w:t> </w:t>
      </w:r>
      <w:r>
        <w:rPr>
          <w:spacing w:val="-1"/>
        </w:rPr>
        <w:t>划分内部研究开发项目的研究阶段和开发阶段具体标准</w:t>
      </w:r>
      <w:r>
        <w:rPr>
          <w:b w:val="0"/>
          <w:bCs w:val="0"/>
          <w:spacing w:val="-1"/>
        </w:rPr>
      </w:r>
    </w:p>
    <w:p>
      <w:pPr>
        <w:pStyle w:val="BodyText"/>
        <w:spacing w:line="273" w:lineRule="auto" w:before="157"/>
        <w:ind w:right="206" w:firstLine="480"/>
        <w:jc w:val="both"/>
      </w:pPr>
      <w:r>
        <w:rPr>
          <w:spacing w:val="-4"/>
          <w:w w:val="100"/>
        </w:rPr>
        <w:t>①本公司将为进一步开发活动进行的资料及相关方面的准备活动作为研究阶段，无形资产研究阶段的</w:t>
      </w:r>
      <w:r>
        <w:rPr>
          <w:w w:val="100"/>
        </w:rPr>
        <w:t> </w:t>
      </w:r>
      <w:r>
        <w:rPr/>
        <w:t>支出在发生时计入当期损益。</w:t>
      </w:r>
    </w:p>
    <w:p>
      <w:pPr>
        <w:pStyle w:val="BodyText"/>
        <w:spacing w:line="372" w:lineRule="auto" w:before="128"/>
        <w:ind w:left="633" w:right="958"/>
        <w:jc w:val="left"/>
      </w:pPr>
      <w:r>
        <w:rPr>
          <w:spacing w:val="-2"/>
        </w:rPr>
        <w:t>②在本公司已完成研究阶段的工作后再进行的开发活动作为开发阶段。</w:t>
      </w:r>
      <w:r>
        <w:rPr>
          <w:spacing w:val="-45"/>
        </w:rPr>
        <w:t> </w:t>
      </w:r>
      <w:r>
        <w:rPr>
          <w:spacing w:val="-45"/>
        </w:rPr>
      </w:r>
      <w:r>
        <w:rPr>
          <w:rFonts w:ascii="宋体" w:hAnsi="宋体" w:cs="宋体" w:eastAsia="宋体" w:hint="default"/>
          <w:b/>
          <w:bCs/>
        </w:rPr>
        <w:t>开发阶段支出资本化的具体条件</w:t>
      </w:r>
      <w:r>
        <w:rPr>
          <w:rFonts w:ascii="宋体" w:hAnsi="宋体" w:cs="宋体" w:eastAsia="宋体" w:hint="default"/>
          <w:b/>
          <w:bCs/>
          <w:w w:val="100"/>
        </w:rPr>
        <w:t> </w:t>
      </w:r>
      <w:r>
        <w:rPr/>
        <w:t>开发阶段的支出同时满足下列条件时，才能确认为无形资产：</w:t>
      </w:r>
      <w:r>
        <w:rPr>
          <w:w w:val="100"/>
        </w:rPr>
        <w:t> </w:t>
      </w:r>
      <w:r>
        <w:rPr>
          <w:rFonts w:ascii="Times New Roman" w:hAnsi="Times New Roman" w:cs="Times New Roman" w:eastAsia="Times New Roman" w:hint="default"/>
        </w:rPr>
        <w:t>A.</w:t>
      </w:r>
      <w:r>
        <w:rPr/>
        <w:t>完成该无形资产以使其能够使用或出售在技术上具有可行性；</w:t>
      </w:r>
      <w:r>
        <w:rPr>
          <w:w w:val="100"/>
        </w:rPr>
        <w:t> </w:t>
      </w:r>
      <w:r>
        <w:rPr>
          <w:rFonts w:ascii="Times New Roman" w:hAnsi="Times New Roman" w:cs="Times New Roman" w:eastAsia="Times New Roman" w:hint="default"/>
        </w:rPr>
        <w:t>B.</w:t>
      </w:r>
      <w:r>
        <w:rPr/>
        <w:t>具有完成该无形资产并使用或出售的意图；</w:t>
      </w:r>
    </w:p>
    <w:p>
      <w:pPr>
        <w:pStyle w:val="BodyText"/>
        <w:spacing w:line="256" w:lineRule="auto" w:before="13"/>
        <w:ind w:right="208" w:firstLine="480"/>
        <w:jc w:val="both"/>
      </w:pPr>
      <w:r>
        <w:rPr>
          <w:rFonts w:ascii="Times New Roman" w:hAnsi="Times New Roman" w:cs="Times New Roman" w:eastAsia="Times New Roman" w:hint="default"/>
          <w:spacing w:val="-3"/>
        </w:rPr>
        <w:t>C.</w:t>
      </w:r>
      <w:r>
        <w:rPr>
          <w:spacing w:val="-3"/>
        </w:rPr>
        <w:t>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256" w:lineRule="auto" w:before="142"/>
        <w:ind w:right="206" w:firstLine="480"/>
        <w:jc w:val="both"/>
      </w:pPr>
      <w:r>
        <w:rPr>
          <w:rFonts w:ascii="Times New Roman" w:hAnsi="Times New Roman" w:cs="Times New Roman" w:eastAsia="Times New Roman" w:hint="default"/>
          <w:spacing w:val="-4"/>
        </w:rPr>
        <w:t>D.</w:t>
      </w:r>
      <w:r>
        <w:rPr>
          <w:spacing w:val="-4"/>
        </w:rPr>
        <w:t>有足够的技术、财务资源和其他资源支持，以完成该无形资产的开发，并有能力使用或出售该无形</w:t>
      </w:r>
      <w:r>
        <w:rPr>
          <w:w w:val="100"/>
        </w:rPr>
        <w:t> </w:t>
      </w:r>
      <w:r>
        <w:rPr/>
        <w:t>资产；</w:t>
      </w:r>
    </w:p>
    <w:p>
      <w:pPr>
        <w:pStyle w:val="BodyText"/>
        <w:spacing w:line="240" w:lineRule="auto" w:before="142"/>
        <w:ind w:right="116"/>
        <w:jc w:val="left"/>
      </w:pPr>
      <w:r>
        <w:rPr>
          <w:rFonts w:ascii="Times New Roman" w:hAnsi="Times New Roman" w:cs="Times New Roman" w:eastAsia="Times New Roman" w:hint="default"/>
        </w:rPr>
        <w:t>E.</w:t>
      </w:r>
      <w:r>
        <w:rPr/>
        <w:t>归属于该无形资产开发阶段的支出能够可靠地计量。</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16"/>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7"/>
        <w:rPr>
          <w:rFonts w:ascii="宋体" w:hAnsi="宋体" w:cs="宋体" w:eastAsia="宋体" w:hint="default"/>
          <w:b/>
          <w:bCs/>
          <w:sz w:val="24"/>
          <w:szCs w:val="24"/>
        </w:rPr>
      </w:pPr>
    </w:p>
    <w:p>
      <w:pPr>
        <w:spacing w:line="357" w:lineRule="auto" w:before="0"/>
        <w:ind w:left="633" w:right="116" w:hanging="5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）长期股权投资减值测试方法及会计处理方法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本公司在资产负债表日对长期股权投资进行逐项检查，根据被投资单位经营政策、法律环境、市场需</w:t>
      </w:r>
    </w:p>
    <w:p>
      <w:pPr>
        <w:pStyle w:val="BodyText"/>
        <w:spacing w:line="209" w:lineRule="exact"/>
        <w:ind w:right="116"/>
        <w:jc w:val="left"/>
      </w:pPr>
      <w:r>
        <w:rPr/>
        <w:t>求、行业及盈利能力等的各种变化判断长期股权投资是否存在减值迹象。当长期股权投资可收回金额低于</w:t>
      </w:r>
    </w:p>
    <w:p>
      <w:pPr>
        <w:pStyle w:val="BodyText"/>
        <w:spacing w:line="273" w:lineRule="auto" w:before="37"/>
        <w:ind w:right="116"/>
        <w:jc w:val="left"/>
      </w:pPr>
      <w:r>
        <w:rPr>
          <w:spacing w:val="-2"/>
        </w:rPr>
        <w:t>账面价值时，将可收回金额低于长期股权投资账面价值的差额作为长期股权投资减值准备予以计提。资产</w:t>
      </w:r>
      <w:r>
        <w:rPr>
          <w:spacing w:val="-43"/>
        </w:rPr>
        <w:t> </w:t>
      </w:r>
      <w:r>
        <w:rPr>
          <w:spacing w:val="-43"/>
        </w:rPr>
      </w:r>
      <w:r>
        <w:rPr/>
        <w:t>减值损失一经确认，在以后会计期间不再转回。</w:t>
      </w:r>
    </w:p>
    <w:p>
      <w:pPr>
        <w:spacing w:line="357" w:lineRule="auto" w:before="127"/>
        <w:ind w:left="633" w:right="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）投资性房地产减值测试方法及会计处理方法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资产负债表日按投资性房产的成本与可收回金额孰低计价，可收回金额低于成本的，按两者的差额计</w:t>
      </w:r>
    </w:p>
    <w:p>
      <w:pPr>
        <w:pStyle w:val="BodyText"/>
        <w:spacing w:line="210" w:lineRule="exact"/>
        <w:ind w:right="116"/>
        <w:jc w:val="left"/>
      </w:pPr>
      <w:r>
        <w:rPr>
          <w:spacing w:val="-5"/>
        </w:rPr>
        <w:t>提减值准备。如果已经计提减值准备的投资性房地产的价值又得以恢复，前期已计提的减值准备不得转回。</w:t>
      </w:r>
    </w:p>
    <w:p>
      <w:pPr>
        <w:spacing w:line="357" w:lineRule="auto" w:before="157"/>
        <w:ind w:left="633" w:right="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）固定资产的减值测试方法及会计处理方法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本公司在资产负债表日对各项固定资产进行判断，当存在减值迹象，估计可收回金额低于其账面价值</w:t>
      </w:r>
    </w:p>
    <w:p>
      <w:pPr>
        <w:pStyle w:val="BodyText"/>
        <w:spacing w:line="209" w:lineRule="exact"/>
        <w:ind w:right="116"/>
        <w:jc w:val="left"/>
      </w:pPr>
      <w:r>
        <w:rPr/>
        <w:t>时，账面价值减记至可收回金额，减记的金额确认为资产减值损失，计入当期损益，同时计提相应的资产</w:t>
      </w:r>
    </w:p>
    <w:p>
      <w:pPr>
        <w:pStyle w:val="BodyText"/>
        <w:spacing w:line="273" w:lineRule="auto" w:before="37"/>
        <w:ind w:right="116"/>
        <w:jc w:val="left"/>
      </w:pPr>
      <w:r>
        <w:rPr>
          <w:spacing w:val="-2"/>
        </w:rPr>
        <w:t>减值准备。资产减值损失一经确认，在以后会计期间不再转回。当存在下列迹象的，按固定资产单项项目</w:t>
      </w:r>
      <w:r>
        <w:rPr>
          <w:spacing w:val="-50"/>
        </w:rPr>
        <w:t> </w:t>
      </w:r>
      <w:r>
        <w:rPr>
          <w:spacing w:val="-50"/>
        </w:rPr>
      </w:r>
      <w:r>
        <w:rPr/>
        <w:t>全额计提减值准备：</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left="633" w:right="116"/>
        <w:jc w:val="left"/>
      </w:pPr>
      <w:r>
        <w:rPr/>
        <w:t>①</w:t>
      </w:r>
      <w:r>
        <w:rPr>
          <w:spacing w:val="-26"/>
        </w:rPr>
        <w:t> </w:t>
      </w:r>
      <w:r>
        <w:rPr/>
        <w:t>长期闲置不用，在可预见的未来不会再使用，且已无转让价值的固定资产；</w:t>
      </w:r>
    </w:p>
    <w:p>
      <w:pPr>
        <w:pStyle w:val="BodyText"/>
        <w:spacing w:line="240" w:lineRule="auto" w:before="157"/>
        <w:ind w:left="633" w:right="116"/>
        <w:jc w:val="left"/>
      </w:pPr>
      <w:r>
        <w:rPr/>
        <w:t>②</w:t>
      </w:r>
      <w:r>
        <w:rPr>
          <w:spacing w:val="-22"/>
        </w:rPr>
        <w:t> </w:t>
      </w:r>
      <w:r>
        <w:rPr/>
        <w:t>由于技术进步等原因，已不可使用的固定资产；</w:t>
      </w:r>
    </w:p>
    <w:p>
      <w:pPr>
        <w:pStyle w:val="BodyText"/>
        <w:spacing w:line="240" w:lineRule="auto" w:before="157"/>
        <w:ind w:left="633" w:right="116"/>
        <w:jc w:val="left"/>
      </w:pPr>
      <w:r>
        <w:rPr>
          <w:rFonts w:ascii="宋体" w:hAnsi="宋体" w:cs="宋体" w:eastAsia="宋体" w:hint="default"/>
        </w:rPr>
        <w:t>1.</w:t>
      </w:r>
      <w:r>
        <w:rPr>
          <w:rFonts w:ascii="宋体" w:hAnsi="宋体" w:cs="宋体" w:eastAsia="宋体" w:hint="default"/>
          <w:spacing w:val="43"/>
        </w:rPr>
        <w:t> </w:t>
      </w:r>
      <w:r>
        <w:rPr/>
        <w:t>虽然固定资产尚可使用，但使用后产生大量不合格品的固定资产；</w:t>
      </w:r>
    </w:p>
    <w:p>
      <w:pPr>
        <w:pStyle w:val="BodyText"/>
        <w:spacing w:line="240" w:lineRule="auto" w:before="157"/>
        <w:ind w:left="633" w:right="116"/>
        <w:jc w:val="left"/>
      </w:pPr>
      <w:r>
        <w:rPr>
          <w:rFonts w:ascii="宋体" w:hAnsi="宋体" w:cs="宋体" w:eastAsia="宋体" w:hint="default"/>
        </w:rPr>
        <w:t>2.</w:t>
      </w:r>
      <w:r>
        <w:rPr>
          <w:rFonts w:ascii="宋体" w:hAnsi="宋体" w:cs="宋体" w:eastAsia="宋体" w:hint="default"/>
          <w:spacing w:val="43"/>
        </w:rPr>
        <w:t> </w:t>
      </w:r>
      <w:r>
        <w:rPr/>
        <w:t>已遭毁损，以至于不再具有使用价值和转让价值的固定资产；</w:t>
      </w:r>
    </w:p>
    <w:p>
      <w:pPr>
        <w:pStyle w:val="BodyText"/>
        <w:spacing w:line="240" w:lineRule="auto" w:before="157"/>
        <w:ind w:left="633" w:right="116"/>
        <w:jc w:val="left"/>
      </w:pPr>
      <w:r>
        <w:rPr>
          <w:rFonts w:ascii="宋体" w:hAnsi="宋体" w:cs="宋体" w:eastAsia="宋体" w:hint="default"/>
        </w:rPr>
        <w:t>3.</w:t>
      </w:r>
      <w:r>
        <w:rPr>
          <w:rFonts w:ascii="宋体" w:hAnsi="宋体" w:cs="宋体" w:eastAsia="宋体" w:hint="default"/>
          <w:spacing w:val="44"/>
        </w:rPr>
        <w:t> </w:t>
      </w:r>
      <w:r>
        <w:rPr/>
        <w:t>其他实质上已经不能再给公司带来经济利益的固定资产。</w:t>
      </w:r>
    </w:p>
    <w:p>
      <w:pPr>
        <w:spacing w:line="355" w:lineRule="auto" w:before="159"/>
        <w:ind w:left="633" w:right="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）在建工程减值测试方法及会计处理方法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本公司于资产负债表日对在建工程进行全面检查，如果有证据表明在建工程已经发生了减值，估计可</w:t>
      </w:r>
    </w:p>
    <w:p>
      <w:pPr>
        <w:pStyle w:val="BodyText"/>
        <w:spacing w:line="211" w:lineRule="exact"/>
        <w:ind w:right="116"/>
        <w:jc w:val="left"/>
      </w:pPr>
      <w:r>
        <w:rPr/>
        <w:t>收回金额低于其账面价值时，账面价值减记至可收回金额，减记的金额确认为资产减值损失，计入当期损</w:t>
      </w:r>
    </w:p>
    <w:p>
      <w:pPr>
        <w:pStyle w:val="BodyText"/>
        <w:spacing w:line="273" w:lineRule="auto" w:before="37"/>
        <w:ind w:right="116"/>
        <w:jc w:val="left"/>
      </w:pPr>
      <w:r>
        <w:rPr>
          <w:spacing w:val="-2"/>
        </w:rPr>
        <w:t>益，同时计提相应的资产减值准备。资产减值损失一经确认，在以后会计期间不再转回。存在下列一项或</w:t>
      </w:r>
      <w:r>
        <w:rPr>
          <w:spacing w:val="-50"/>
        </w:rPr>
        <w:t> </w:t>
      </w:r>
      <w:r>
        <w:rPr>
          <w:spacing w:val="-50"/>
        </w:rPr>
      </w:r>
      <w:r>
        <w:rPr/>
        <w:t>若干项情况的，对在建工程进行减值测试：</w:t>
      </w:r>
    </w:p>
    <w:p>
      <w:pPr>
        <w:pStyle w:val="BodyText"/>
        <w:spacing w:line="240" w:lineRule="auto" w:before="127"/>
        <w:ind w:left="633" w:right="116"/>
        <w:jc w:val="left"/>
      </w:pPr>
      <w:r>
        <w:rPr/>
        <w:t>①长期停建并且预计在未来</w:t>
      </w:r>
      <w:r>
        <w:rPr>
          <w:rFonts w:ascii="Times New Roman" w:hAnsi="Times New Roman" w:cs="Times New Roman" w:eastAsia="Times New Roman" w:hint="default"/>
        </w:rPr>
        <w:t>3</w:t>
      </w:r>
      <w:r>
        <w:rPr/>
        <w:t>年内不会重新开工的在建工程；</w:t>
      </w:r>
    </w:p>
    <w:p>
      <w:pPr>
        <w:pStyle w:val="BodyText"/>
        <w:spacing w:line="240" w:lineRule="auto" w:before="142"/>
        <w:ind w:left="633" w:right="0"/>
        <w:jc w:val="left"/>
      </w:pPr>
      <w:r>
        <w:rPr>
          <w:w w:val="100"/>
        </w:rPr>
        <w:t>②所</w:t>
      </w:r>
      <w:r>
        <w:rPr>
          <w:spacing w:val="-3"/>
          <w:w w:val="100"/>
        </w:rPr>
        <w:t>建</w:t>
      </w:r>
      <w:r>
        <w:rPr>
          <w:w w:val="100"/>
        </w:rPr>
        <w:t>项</w:t>
      </w:r>
      <w:r>
        <w:rPr>
          <w:spacing w:val="-3"/>
          <w:w w:val="100"/>
        </w:rPr>
        <w:t>目</w:t>
      </w:r>
      <w:r>
        <w:rPr>
          <w:w w:val="100"/>
        </w:rPr>
        <w:t>无</w:t>
      </w:r>
      <w:r>
        <w:rPr>
          <w:spacing w:val="-3"/>
          <w:w w:val="100"/>
        </w:rPr>
        <w:t>论</w:t>
      </w:r>
      <w:r>
        <w:rPr>
          <w:w w:val="100"/>
        </w:rPr>
        <w:t>在</w:t>
      </w:r>
      <w:r>
        <w:rPr>
          <w:spacing w:val="-3"/>
          <w:w w:val="100"/>
        </w:rPr>
        <w:t>性</w:t>
      </w:r>
      <w:r>
        <w:rPr>
          <w:w w:val="100"/>
        </w:rPr>
        <w:t>能</w:t>
      </w:r>
      <w:r>
        <w:rPr>
          <w:spacing w:val="-3"/>
          <w:w w:val="100"/>
        </w:rPr>
        <w:t>上</w:t>
      </w:r>
      <w:r>
        <w:rPr>
          <w:spacing w:val="-97"/>
          <w:w w:val="100"/>
        </w:rPr>
        <w:t>，</w:t>
      </w:r>
      <w:r>
        <w:rPr>
          <w:w w:val="100"/>
        </w:rPr>
        <w:t>还是</w:t>
      </w:r>
      <w:r>
        <w:rPr>
          <w:spacing w:val="-3"/>
          <w:w w:val="100"/>
        </w:rPr>
        <w:t>在</w:t>
      </w:r>
      <w:r>
        <w:rPr>
          <w:w w:val="100"/>
        </w:rPr>
        <w:t>技</w:t>
      </w:r>
      <w:r>
        <w:rPr>
          <w:spacing w:val="-3"/>
          <w:w w:val="100"/>
        </w:rPr>
        <w:t>术</w:t>
      </w:r>
      <w:r>
        <w:rPr>
          <w:w w:val="100"/>
        </w:rPr>
        <w:t>上</w:t>
      </w:r>
      <w:r>
        <w:rPr>
          <w:spacing w:val="-3"/>
          <w:w w:val="100"/>
        </w:rPr>
        <w:t>已</w:t>
      </w:r>
      <w:r>
        <w:rPr>
          <w:w w:val="100"/>
        </w:rPr>
        <w:t>经</w:t>
      </w:r>
      <w:r>
        <w:rPr>
          <w:spacing w:val="-3"/>
          <w:w w:val="100"/>
        </w:rPr>
        <w:t>落</w:t>
      </w:r>
      <w:r>
        <w:rPr>
          <w:w w:val="100"/>
        </w:rPr>
        <w:t>后</w:t>
      </w:r>
      <w:r>
        <w:rPr>
          <w:spacing w:val="-97"/>
          <w:w w:val="100"/>
        </w:rPr>
        <w:t>，</w:t>
      </w:r>
      <w:r>
        <w:rPr>
          <w:spacing w:val="-3"/>
          <w:w w:val="100"/>
        </w:rPr>
        <w:t>并</w:t>
      </w:r>
      <w:r>
        <w:rPr>
          <w:w w:val="100"/>
        </w:rPr>
        <w:t>且给</w:t>
      </w:r>
      <w:r>
        <w:rPr>
          <w:spacing w:val="-3"/>
          <w:w w:val="100"/>
        </w:rPr>
        <w:t>企</w:t>
      </w:r>
      <w:r>
        <w:rPr>
          <w:w w:val="100"/>
        </w:rPr>
        <w:t>业</w:t>
      </w:r>
      <w:r>
        <w:rPr>
          <w:spacing w:val="-3"/>
          <w:w w:val="100"/>
        </w:rPr>
        <w:t>带</w:t>
      </w:r>
      <w:r>
        <w:rPr>
          <w:w w:val="100"/>
        </w:rPr>
        <w:t>来</w:t>
      </w:r>
      <w:r>
        <w:rPr>
          <w:spacing w:val="-3"/>
          <w:w w:val="100"/>
        </w:rPr>
        <w:t>的</w:t>
      </w:r>
      <w:r>
        <w:rPr>
          <w:w w:val="100"/>
        </w:rPr>
        <w:t>经</w:t>
      </w:r>
      <w:r>
        <w:rPr>
          <w:spacing w:val="-3"/>
          <w:w w:val="100"/>
        </w:rPr>
        <w:t>济</w:t>
      </w:r>
      <w:r>
        <w:rPr>
          <w:w w:val="100"/>
        </w:rPr>
        <w:t>利</w:t>
      </w:r>
      <w:r>
        <w:rPr>
          <w:spacing w:val="-3"/>
          <w:w w:val="100"/>
        </w:rPr>
        <w:t>益</w:t>
      </w:r>
      <w:r>
        <w:rPr>
          <w:w w:val="100"/>
        </w:rPr>
        <w:t>具有</w:t>
      </w:r>
      <w:r>
        <w:rPr>
          <w:spacing w:val="-3"/>
          <w:w w:val="100"/>
        </w:rPr>
        <w:t>很</w:t>
      </w:r>
      <w:r>
        <w:rPr>
          <w:w w:val="100"/>
        </w:rPr>
        <w:t>大</w:t>
      </w:r>
      <w:r>
        <w:rPr>
          <w:spacing w:val="-3"/>
          <w:w w:val="100"/>
        </w:rPr>
        <w:t>的</w:t>
      </w:r>
      <w:r>
        <w:rPr>
          <w:w w:val="100"/>
        </w:rPr>
        <w:t>不</w:t>
      </w:r>
      <w:r>
        <w:rPr>
          <w:spacing w:val="-3"/>
          <w:w w:val="100"/>
        </w:rPr>
        <w:t>确</w:t>
      </w:r>
      <w:r>
        <w:rPr>
          <w:w w:val="100"/>
        </w:rPr>
        <w:t>定</w:t>
      </w:r>
      <w:r>
        <w:rPr>
          <w:spacing w:val="-3"/>
          <w:w w:val="100"/>
        </w:rPr>
        <w:t>性</w:t>
      </w:r>
      <w:r>
        <w:rPr>
          <w:w w:val="100"/>
        </w:rPr>
        <w:t>；</w:t>
      </w:r>
    </w:p>
    <w:p>
      <w:pPr>
        <w:pStyle w:val="BodyText"/>
        <w:spacing w:line="240" w:lineRule="auto" w:before="157"/>
        <w:ind w:left="633" w:right="116"/>
        <w:jc w:val="left"/>
      </w:pPr>
      <w:r>
        <w:rPr/>
        <w:t>③其他足以证明在建工程已经发生减值的情形。</w:t>
      </w:r>
    </w:p>
    <w:p>
      <w:pPr>
        <w:spacing w:line="357" w:lineRule="auto" w:before="157"/>
        <w:ind w:left="633" w:right="116" w:hanging="12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）无形资产减值测试方法及会计处理方法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4"/>
          <w:sz w:val="21"/>
          <w:szCs w:val="21"/>
        </w:rPr>
        <w:t>当无形资产的可收回金额低于其账面价值时，将资产的账面价值减记至可收回金额，减记的金额确认</w:t>
      </w:r>
    </w:p>
    <w:p>
      <w:pPr>
        <w:pStyle w:val="BodyText"/>
        <w:spacing w:line="209" w:lineRule="exact"/>
        <w:ind w:right="116"/>
        <w:jc w:val="left"/>
      </w:pPr>
      <w:r>
        <w:rPr/>
        <w:t>为资产减值损失，计入当期损益，同时计提相应的无形资产减值准备。无形资产减值损失一经确认，在以</w:t>
      </w:r>
    </w:p>
    <w:p>
      <w:pPr>
        <w:pStyle w:val="BodyText"/>
        <w:spacing w:line="240" w:lineRule="auto" w:before="37"/>
        <w:ind w:right="116"/>
        <w:jc w:val="left"/>
      </w:pPr>
      <w:r>
        <w:rPr/>
        <w:t>后会计期间不再转回。存在下列一项或多项以下情况的，对无形资产进行减值测试：</w:t>
      </w:r>
    </w:p>
    <w:p>
      <w:pPr>
        <w:pStyle w:val="BodyText"/>
        <w:spacing w:line="240" w:lineRule="auto" w:before="157"/>
        <w:ind w:left="753" w:right="116"/>
        <w:jc w:val="left"/>
      </w:pPr>
      <w:r>
        <w:rPr/>
        <w:t>①该无形资产已被其他新技术等所替代，使其为企业创造经济利益的能力受到重大不利影响；</w:t>
      </w:r>
    </w:p>
    <w:p>
      <w:pPr>
        <w:pStyle w:val="BodyText"/>
        <w:spacing w:line="240" w:lineRule="auto" w:before="157"/>
        <w:ind w:left="753" w:right="116"/>
        <w:jc w:val="left"/>
      </w:pPr>
      <w:r>
        <w:rPr/>
        <w:t>②该无形资产的市价在当期大幅下跌，并在剩余年限内可能不会回升；</w:t>
      </w:r>
    </w:p>
    <w:p>
      <w:pPr>
        <w:pStyle w:val="BodyText"/>
        <w:spacing w:line="240" w:lineRule="auto" w:before="157"/>
        <w:ind w:left="753" w:right="116"/>
        <w:jc w:val="left"/>
      </w:pPr>
      <w:r>
        <w:rPr/>
        <w:t>③其他足以表明该无形资产的账面价值已超过可收回金额的情况。</w:t>
      </w:r>
    </w:p>
    <w:p>
      <w:pPr>
        <w:pStyle w:val="BodyText"/>
        <w:spacing w:line="357" w:lineRule="auto" w:before="157"/>
        <w:ind w:left="633" w:right="116" w:hanging="125"/>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）商誉减值测试</w:t>
      </w:r>
      <w:r>
        <w:rPr>
          <w:rFonts w:ascii="宋体" w:hAnsi="宋体" w:cs="宋体" w:eastAsia="宋体" w:hint="default"/>
          <w:b/>
          <w:bCs/>
          <w:spacing w:val="-101"/>
        </w:rPr>
        <w:t> </w:t>
      </w:r>
      <w:r>
        <w:rPr>
          <w:spacing w:val="-4"/>
        </w:rPr>
        <w:t>企业合并形成的商誉，至少在每年年度终了进行减值测试。本公司在对包含商誉的相关资产组或者资</w:t>
      </w:r>
    </w:p>
    <w:p>
      <w:pPr>
        <w:pStyle w:val="BodyText"/>
        <w:spacing w:line="209" w:lineRule="exact"/>
        <w:ind w:right="116"/>
        <w:jc w:val="left"/>
      </w:pPr>
      <w:r>
        <w:rPr/>
        <w:t>产组组合进行减值测试时，如与商誉相关的资产组或者资产组组合存在减值迹象的，按以下步骤处理：</w:t>
      </w:r>
    </w:p>
    <w:p>
      <w:pPr>
        <w:pStyle w:val="BodyText"/>
        <w:spacing w:line="273" w:lineRule="auto" w:before="157"/>
        <w:ind w:right="116"/>
        <w:jc w:val="left"/>
      </w:pPr>
      <w:r>
        <w:rPr>
          <w:spacing w:val="-5"/>
        </w:rPr>
        <w:t>首先对不包含商誉的资产组或者资产组组合进行减值测试，计算可收回金额，并与相关资产账面价值比较，</w:t>
      </w:r>
      <w:r>
        <w:rPr>
          <w:spacing w:val="-4"/>
        </w:rPr>
        <w:t> </w:t>
      </w:r>
      <w:r>
        <w:rPr>
          <w:spacing w:val="-4"/>
        </w:rPr>
      </w:r>
      <w:r>
        <w:rPr>
          <w:spacing w:val="-2"/>
        </w:rPr>
        <w:t>确认相应的减值损失；然后再对包含商誉的资产组或者资产组这组合进行减值测试，比较这些相关资产组</w:t>
      </w:r>
      <w:r>
        <w:rPr>
          <w:spacing w:val="-44"/>
        </w:rPr>
        <w:t> </w:t>
      </w:r>
      <w:r>
        <w:rPr>
          <w:spacing w:val="-44"/>
        </w:rPr>
      </w:r>
      <w:r>
        <w:rPr>
          <w:spacing w:val="-2"/>
        </w:rPr>
        <w:t>或者资产组组合的账面价值（包括所分摊的商誉的账面价值部分）与其可收回金额，如相关资产组或者资</w:t>
      </w:r>
      <w:r>
        <w:rPr>
          <w:spacing w:val="-44"/>
        </w:rPr>
        <w:t> </w:t>
      </w:r>
      <w:r>
        <w:rPr>
          <w:spacing w:val="-44"/>
        </w:rPr>
      </w:r>
      <w:r>
        <w:rPr>
          <w:spacing w:val="-2"/>
        </w:rPr>
        <w:t>产组组合的可收回金额低于其账面价值的，就其差额确认减值损失。减值损失金额首先抵减分摊至资产组</w:t>
      </w:r>
      <w:r>
        <w:rPr>
          <w:spacing w:val="-44"/>
        </w:rPr>
        <w:t> </w:t>
      </w:r>
      <w:r>
        <w:rPr>
          <w:spacing w:val="-44"/>
        </w:rPr>
      </w:r>
      <w:r>
        <w:rPr>
          <w:spacing w:val="-2"/>
        </w:rPr>
        <w:t>或者资产组组合中商誉的账面价值；再根据资产组或者资产组组合中除商誉之外的其他各项资产的账面价</w:t>
      </w:r>
      <w:r>
        <w:rPr>
          <w:spacing w:val="-43"/>
        </w:rPr>
        <w:t> </w:t>
      </w:r>
      <w:r>
        <w:rPr>
          <w:spacing w:val="-43"/>
        </w:rPr>
      </w:r>
      <w:r>
        <w:rPr/>
        <w:t>值所占比重，按比例抵减其他各项资产的账面价值。</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6"/>
        <w:jc w:val="left"/>
        <w:rPr>
          <w:b w:val="0"/>
          <w:bCs w:val="0"/>
        </w:rPr>
      </w:pPr>
      <w:r>
        <w:rPr>
          <w:rFonts w:ascii="Times New Roman" w:hAnsi="Times New Roman" w:cs="Times New Roman" w:eastAsia="Times New Roman" w:hint="default"/>
        </w:rPr>
        <w:t>19</w:t>
      </w:r>
      <w:r>
        <w:rPr/>
        <w:t>、长期待摊费用</w:t>
      </w:r>
      <w:r>
        <w:rPr>
          <w:b w:val="0"/>
          <w:bCs w:val="0"/>
        </w:rPr>
      </w:r>
    </w:p>
    <w:p>
      <w:pPr>
        <w:pStyle w:val="BodyText"/>
        <w:spacing w:line="430" w:lineRule="atLeast" w:before="168"/>
        <w:ind w:left="633" w:right="116"/>
        <w:jc w:val="left"/>
      </w:pPr>
      <w:r>
        <w:rPr/>
        <w:t>长期待摊费用核算本公司已经发生但应由本期和以后各期负担的分摊期限在一年以上的各项费用。</w:t>
      </w:r>
      <w:r>
        <w:rPr>
          <w:w w:val="100"/>
        </w:rPr>
        <w:t> </w:t>
      </w:r>
      <w:r>
        <w:rPr>
          <w:spacing w:val="-4"/>
        </w:rPr>
        <w:t>本公司长期待摊费用在受益期内平均摊销，其中经营租赁方式租入的固定资产改良支出，按最佳预期</w:t>
      </w:r>
    </w:p>
    <w:p>
      <w:pPr>
        <w:pStyle w:val="BodyText"/>
        <w:spacing w:line="240" w:lineRule="auto" w:before="37"/>
        <w:ind w:right="116"/>
        <w:jc w:val="left"/>
      </w:pPr>
      <w:r>
        <w:rPr/>
        <w:t>经济利益实现方式合理摊销。</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430" w:lineRule="atLeast" w:before="166"/>
        <w:ind w:left="633" w:right="153"/>
        <w:jc w:val="left"/>
      </w:pPr>
      <w:r>
        <w:rPr/>
        <w:t>①职工基本薪酬（工资、奖金、津贴、补贴）</w:t>
      </w:r>
      <w:r>
        <w:rPr>
          <w:w w:val="100"/>
        </w:rPr>
        <w:t> </w:t>
      </w:r>
      <w:r>
        <w:rPr>
          <w:spacing w:val="-4"/>
        </w:rPr>
        <w:t>本公司在职工为其提供服务的会计期间，将实际发生的短期薪酬确认为负债，并计入当期损益，其他</w:t>
      </w:r>
    </w:p>
    <w:p>
      <w:pPr>
        <w:pStyle w:val="BodyText"/>
        <w:spacing w:line="240" w:lineRule="auto" w:before="37"/>
        <w:ind w:right="153"/>
        <w:jc w:val="left"/>
      </w:pPr>
      <w:r>
        <w:rPr/>
        <w:t>会计准则要求或允许计入资产成本的除外。</w:t>
      </w:r>
    </w:p>
    <w:p>
      <w:pPr>
        <w:pStyle w:val="BodyText"/>
        <w:spacing w:line="430" w:lineRule="atLeast" w:before="2"/>
        <w:ind w:left="633" w:right="153"/>
        <w:jc w:val="left"/>
      </w:pPr>
      <w:r>
        <w:rPr/>
        <w:t>②职工福利费</w:t>
      </w:r>
      <w:r>
        <w:rPr>
          <w:w w:val="100"/>
        </w:rPr>
        <w:t> </w:t>
      </w:r>
      <w:r>
        <w:rPr>
          <w:spacing w:val="-4"/>
        </w:rPr>
        <w:t>本公司发生的职工福利费，在实际发生时根据实际发生额计入当期损益或相关资产成本。职工福利费</w:t>
      </w:r>
    </w:p>
    <w:p>
      <w:pPr>
        <w:pStyle w:val="BodyText"/>
        <w:spacing w:line="240" w:lineRule="auto" w:before="37"/>
        <w:ind w:right="153"/>
        <w:jc w:val="left"/>
      </w:pPr>
      <w:r>
        <w:rPr/>
        <w:t>为非货币性福利的，按照公允价值计量。</w:t>
      </w:r>
    </w:p>
    <w:p>
      <w:pPr>
        <w:pStyle w:val="BodyText"/>
        <w:spacing w:line="240" w:lineRule="auto" w:before="157"/>
        <w:ind w:left="0" w:right="146"/>
        <w:jc w:val="right"/>
      </w:pPr>
      <w:r>
        <w:rPr>
          <w:spacing w:val="-4"/>
        </w:rPr>
        <w:t>③医疗保险费、工伤保险费、生育保险费等社会保险费和住房公积金，以及工会经费和职工教育经费</w:t>
      </w:r>
    </w:p>
    <w:p>
      <w:pPr>
        <w:pStyle w:val="BodyText"/>
        <w:spacing w:line="273" w:lineRule="auto" w:before="157"/>
        <w:ind w:right="146" w:firstLine="480"/>
        <w:jc w:val="both"/>
      </w:pPr>
      <w:r>
        <w:rPr>
          <w:spacing w:val="-4"/>
        </w:rPr>
        <w:t>本公司为职工缴纳的医疗保险费、工伤保险费、生育保险费等社会保险费和住房公积金，以及按规定</w:t>
      </w:r>
      <w:r>
        <w:rPr>
          <w:w w:val="100"/>
        </w:rPr>
        <w:t> </w:t>
      </w:r>
      <w:r>
        <w:rPr>
          <w:spacing w:val="-2"/>
        </w:rPr>
        <w:t>提取的工会经费和职工教育经费，在职工为其提供服务的会计期间，根据规定的计提基础和计提比例计算</w:t>
      </w:r>
      <w:r>
        <w:rPr>
          <w:spacing w:val="-44"/>
        </w:rPr>
        <w:t> </w:t>
      </w:r>
      <w:r>
        <w:rPr>
          <w:spacing w:val="-44"/>
        </w:rPr>
      </w:r>
      <w:r>
        <w:rPr/>
        <w:t>确定相应的职工薪酬金额，并确认相应负债，计入当期损益或相关资产成本。</w:t>
      </w:r>
    </w:p>
    <w:p>
      <w:pPr>
        <w:pStyle w:val="BodyText"/>
        <w:spacing w:line="432" w:lineRule="exact" w:before="27"/>
        <w:ind w:left="633" w:right="153"/>
        <w:jc w:val="left"/>
      </w:pPr>
      <w:r>
        <w:rPr/>
        <w:t>④短期带薪缺勤</w:t>
      </w:r>
      <w:r>
        <w:rPr>
          <w:spacing w:val="-103"/>
        </w:rPr>
        <w:t> </w:t>
      </w:r>
      <w:r>
        <w:rPr>
          <w:spacing w:val="-103"/>
        </w:rPr>
      </w:r>
      <w:r>
        <w:rPr>
          <w:spacing w:val="-4"/>
        </w:rPr>
        <w:t>本公司在职工提供服务从而增加了其未来享有的带薪缺勤权利时，确认与累积带薪缺勤相关的职工薪</w:t>
      </w:r>
    </w:p>
    <w:p>
      <w:pPr>
        <w:pStyle w:val="BodyText"/>
        <w:spacing w:line="255" w:lineRule="exact"/>
        <w:ind w:right="0"/>
        <w:jc w:val="left"/>
      </w:pPr>
      <w:r>
        <w:rPr/>
        <w:t>酬，并以累积未行使权利而增加的预期支付金额计量。本公司在职工实际发生缺勤的会计期间确认与非累</w:t>
      </w:r>
    </w:p>
    <w:p>
      <w:pPr>
        <w:pStyle w:val="BodyText"/>
        <w:spacing w:line="240" w:lineRule="auto" w:before="37"/>
        <w:ind w:right="153"/>
        <w:jc w:val="left"/>
      </w:pPr>
      <w:r>
        <w:rPr/>
        <w:t>积带薪缺勤相关的职工薪酬。</w:t>
      </w:r>
    </w:p>
    <w:p>
      <w:pPr>
        <w:pStyle w:val="BodyText"/>
        <w:spacing w:line="376" w:lineRule="auto" w:before="157"/>
        <w:ind w:left="633" w:right="1704"/>
        <w:jc w:val="left"/>
      </w:pPr>
      <w:r>
        <w:rPr/>
        <w:t>⑤短期利润分享计划</w:t>
      </w:r>
      <w:r>
        <w:rPr>
          <w:w w:val="100"/>
        </w:rPr>
        <w:t> </w:t>
      </w:r>
      <w:r>
        <w:rPr>
          <w:spacing w:val="-2"/>
        </w:rPr>
        <w:t>利润分享计划同时满足下列条件的，本公司确认相关的应付职工薪酬：</w:t>
      </w:r>
      <w:r>
        <w:rPr>
          <w:spacing w:val="-45"/>
        </w:rPr>
        <w:t> </w:t>
      </w:r>
      <w:r>
        <w:rPr>
          <w:spacing w:val="-45"/>
        </w:rPr>
      </w:r>
      <w:r>
        <w:rPr>
          <w:rFonts w:ascii="Times New Roman" w:hAnsi="Times New Roman" w:cs="Times New Roman" w:eastAsia="Times New Roman" w:hint="default"/>
          <w:spacing w:val="-2"/>
        </w:rPr>
        <w:t>A.</w:t>
      </w:r>
      <w:r>
        <w:rPr>
          <w:spacing w:val="-2"/>
        </w:rPr>
        <w:t>企业因过去事项导致现在具有支付职工薪酬的法定义务或推定义务；</w:t>
      </w:r>
    </w:p>
    <w:p>
      <w:pPr>
        <w:pStyle w:val="BodyText"/>
        <w:spacing w:line="240" w:lineRule="auto" w:before="9"/>
        <w:ind w:right="153"/>
        <w:jc w:val="left"/>
      </w:pPr>
      <w:r>
        <w:rPr>
          <w:rFonts w:ascii="Times New Roman" w:hAnsi="Times New Roman" w:cs="Times New Roman" w:eastAsia="Times New Roman" w:hint="default"/>
        </w:rPr>
        <w:t>B.</w:t>
      </w:r>
      <w:r>
        <w:rPr/>
        <w:t>因利润分享计划所产生的应付职工薪酬义务金额能够可靠估计。</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30" w:lineRule="atLeast" w:before="168"/>
        <w:ind w:left="633" w:right="153"/>
        <w:jc w:val="left"/>
      </w:pPr>
      <w:r>
        <w:rPr/>
        <w:t>①设定提存计划</w:t>
      </w:r>
      <w:r>
        <w:rPr>
          <w:spacing w:val="-103"/>
        </w:rPr>
        <w:t> </w:t>
      </w:r>
      <w:r>
        <w:rPr>
          <w:spacing w:val="-103"/>
        </w:rPr>
      </w:r>
      <w:r>
        <w:rPr>
          <w:spacing w:val="-4"/>
        </w:rPr>
        <w:t>本公司在职工为其提供服务的会计期间，将根据设定提存计划计算的应缴存金额确认为负债，并计入</w:t>
      </w:r>
    </w:p>
    <w:p>
      <w:pPr>
        <w:pStyle w:val="BodyText"/>
        <w:spacing w:line="240" w:lineRule="auto" w:before="37"/>
        <w:ind w:right="153"/>
        <w:jc w:val="left"/>
      </w:pPr>
      <w:r>
        <w:rPr/>
        <w:t>当期损益或相关资产成本。</w:t>
      </w:r>
    </w:p>
    <w:p>
      <w:pPr>
        <w:pStyle w:val="BodyText"/>
        <w:spacing w:line="273" w:lineRule="auto" w:before="157"/>
        <w:ind w:right="146" w:firstLine="480"/>
        <w:jc w:val="both"/>
      </w:pPr>
      <w:r>
        <w:rPr>
          <w:spacing w:val="-4"/>
        </w:rPr>
        <w:t>根据设定提存计划，预期不会在职工提供相关服务的年度报告期结束后十二个月内支付全部应缴存金</w:t>
      </w:r>
      <w:r>
        <w:rPr>
          <w:w w:val="100"/>
        </w:rPr>
        <w:t> </w:t>
      </w:r>
      <w:r>
        <w:rPr>
          <w:spacing w:val="-2"/>
        </w:rPr>
        <w:t>额的，本公司参照相应的折现率（根据资产负债表日与设定受益计划义务期限和币种相匹配的国债或活跃</w:t>
      </w:r>
      <w:r>
        <w:rPr>
          <w:spacing w:val="-42"/>
        </w:rPr>
        <w:t> </w:t>
      </w:r>
      <w:r>
        <w:rPr>
          <w:spacing w:val="-42"/>
        </w:rPr>
      </w:r>
      <w:r>
        <w:rPr/>
        <w:t>市场上的高质量公司债券的市场收益率确定），将全部应缴存金额以折现后的金额计量应付职工薪酬。</w:t>
      </w:r>
    </w:p>
    <w:p>
      <w:pPr>
        <w:pStyle w:val="BodyText"/>
        <w:spacing w:line="240" w:lineRule="auto" w:before="128"/>
        <w:ind w:left="633" w:right="153"/>
        <w:jc w:val="left"/>
      </w:pPr>
      <w:r>
        <w:rPr/>
        <w:t>②设定受益计划</w:t>
      </w:r>
    </w:p>
    <w:p>
      <w:pPr>
        <w:pStyle w:val="BodyText"/>
        <w:spacing w:line="357" w:lineRule="auto" w:before="157"/>
        <w:ind w:left="633" w:right="153"/>
        <w:jc w:val="left"/>
      </w:pPr>
      <w:r>
        <w:rPr>
          <w:rFonts w:ascii="Times New Roman" w:hAnsi="Times New Roman" w:cs="Times New Roman" w:eastAsia="Times New Roman" w:hint="default"/>
        </w:rPr>
        <w:t>A.</w:t>
      </w:r>
      <w:r>
        <w:rPr/>
        <w:t>确定设定受益计划义务的现值和当期服务成本</w:t>
      </w:r>
      <w:r>
        <w:rPr>
          <w:w w:val="100"/>
        </w:rPr>
        <w:t> </w:t>
      </w:r>
      <w:r>
        <w:rPr>
          <w:spacing w:val="-4"/>
          <w:w w:val="100"/>
        </w:rPr>
        <w:t>根据预期累计福利单位法，采用无偏且相互一致的精算假设对有关人口统计变量和财务变量等做出估</w:t>
      </w:r>
    </w:p>
    <w:p>
      <w:pPr>
        <w:pStyle w:val="BodyText"/>
        <w:spacing w:line="209" w:lineRule="exact"/>
        <w:ind w:right="0"/>
        <w:jc w:val="left"/>
      </w:pPr>
      <w:r>
        <w:rPr/>
        <w:t>计，计量设定受益计划所产生的义务，并确定相关义务的归属期间。本公司按照相应的折现率（根据资产</w:t>
      </w:r>
    </w:p>
    <w:p>
      <w:pPr>
        <w:pStyle w:val="BodyText"/>
        <w:spacing w:line="273" w:lineRule="auto" w:before="37"/>
        <w:ind w:right="153"/>
        <w:jc w:val="left"/>
      </w:pPr>
      <w:r>
        <w:rPr>
          <w:spacing w:val="2"/>
        </w:rPr>
        <w:t>负债表日与设定受益计划义务期限和币种相匹配的国债或活跃市场上的高质量公司债券的市场收益率确</w:t>
      </w:r>
      <w:r>
        <w:rPr>
          <w:spacing w:val="-29"/>
        </w:rPr>
        <w:t> </w:t>
      </w:r>
      <w:r>
        <w:rPr>
          <w:spacing w:val="-29"/>
        </w:rPr>
      </w:r>
      <w:r>
        <w:rPr/>
        <w:t>定）将设定受益计划所产生的义务予以折现，以确定设定受益计划义务的现值和当期服务成本。</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357" w:lineRule="auto" w:before="36"/>
        <w:ind w:left="633" w:right="153"/>
        <w:jc w:val="left"/>
      </w:pPr>
      <w:r>
        <w:rPr>
          <w:rFonts w:ascii="Times New Roman" w:hAnsi="Times New Roman" w:cs="Times New Roman" w:eastAsia="Times New Roman" w:hint="default"/>
        </w:rPr>
        <w:t>B.</w:t>
      </w:r>
      <w:r>
        <w:rPr/>
        <w:t>确认设定受益计划净负债或净资产</w:t>
      </w:r>
      <w:r>
        <w:rPr>
          <w:w w:val="100"/>
        </w:rPr>
        <w:t> </w:t>
      </w:r>
      <w:r>
        <w:rPr>
          <w:spacing w:val="-4"/>
          <w:w w:val="100"/>
        </w:rPr>
        <w:t>设定受益计划存在资产的，本公司将设定受益计划义务现值减去设定受益计划资产公允价值所形成的</w:t>
      </w:r>
    </w:p>
    <w:p>
      <w:pPr>
        <w:pStyle w:val="BodyText"/>
        <w:spacing w:line="209" w:lineRule="exact"/>
        <w:ind w:right="153"/>
        <w:jc w:val="left"/>
      </w:pPr>
      <w:r>
        <w:rPr/>
        <w:t>赤字或盈余确认为一项设定受益计划净负债或净资产。</w:t>
      </w:r>
    </w:p>
    <w:p>
      <w:pPr>
        <w:pStyle w:val="BodyText"/>
        <w:spacing w:line="273" w:lineRule="auto" w:before="157"/>
        <w:ind w:right="153" w:firstLine="480"/>
        <w:jc w:val="left"/>
      </w:pPr>
      <w:r>
        <w:rPr>
          <w:spacing w:val="-4"/>
          <w:w w:val="100"/>
        </w:rPr>
        <w:t>设定受益计划存在盈余的，本公司以设定受益计划的盈余和资产上限两项的孰低者计量设定受益计划</w:t>
      </w:r>
      <w:r>
        <w:rPr>
          <w:w w:val="100"/>
        </w:rPr>
        <w:t> </w:t>
      </w:r>
      <w:r>
        <w:rPr/>
        <w:t>净资产。</w:t>
      </w:r>
    </w:p>
    <w:p>
      <w:pPr>
        <w:pStyle w:val="BodyText"/>
        <w:spacing w:line="357" w:lineRule="auto" w:before="127"/>
        <w:ind w:left="633" w:right="153"/>
        <w:jc w:val="left"/>
      </w:pPr>
      <w:r>
        <w:rPr>
          <w:rFonts w:ascii="Times New Roman" w:hAnsi="Times New Roman" w:cs="Times New Roman" w:eastAsia="Times New Roman" w:hint="default"/>
        </w:rPr>
        <w:t>C.</w:t>
      </w:r>
      <w:r>
        <w:rPr/>
        <w:t>确定应计入资产成本或当期损益的金额</w:t>
      </w:r>
      <w:r>
        <w:rPr>
          <w:w w:val="100"/>
        </w:rPr>
        <w:t> </w:t>
      </w:r>
      <w:r>
        <w:rPr>
          <w:spacing w:val="-4"/>
        </w:rPr>
        <w:t>服务成本，包括当期服务成本、过去服务成本和结算利得或损失。其中，除了其他会计准则要求或允</w:t>
      </w:r>
    </w:p>
    <w:p>
      <w:pPr>
        <w:pStyle w:val="BodyText"/>
        <w:spacing w:line="209" w:lineRule="exact"/>
        <w:ind w:right="153"/>
        <w:jc w:val="left"/>
      </w:pPr>
      <w:r>
        <w:rPr/>
        <w:t>许计入资产成本的当期服务成本之外，其他服务成本均计入当期损益。</w:t>
      </w:r>
    </w:p>
    <w:p>
      <w:pPr>
        <w:pStyle w:val="BodyText"/>
        <w:spacing w:line="273" w:lineRule="auto" w:before="157"/>
        <w:ind w:right="153" w:firstLine="480"/>
        <w:jc w:val="left"/>
      </w:pPr>
      <w:r>
        <w:rPr>
          <w:spacing w:val="-4"/>
        </w:rPr>
        <w:t>设定受益计划净负债或净资产的利息净额，包括计划资产的利息收益、设定受益计划义务的利息费用</w:t>
      </w:r>
      <w:r>
        <w:rPr>
          <w:w w:val="100"/>
        </w:rPr>
        <w:t> </w:t>
      </w:r>
      <w:r>
        <w:rPr/>
        <w:t>以及资产上限影响的利息，均计入当期损益。</w:t>
      </w:r>
    </w:p>
    <w:p>
      <w:pPr>
        <w:pStyle w:val="BodyText"/>
        <w:spacing w:line="357" w:lineRule="auto" w:before="127"/>
        <w:ind w:left="633" w:right="1704"/>
        <w:jc w:val="left"/>
      </w:pPr>
      <w:r>
        <w:rPr>
          <w:rFonts w:ascii="Times New Roman" w:hAnsi="Times New Roman" w:cs="Times New Roman" w:eastAsia="Times New Roman" w:hint="default"/>
        </w:rPr>
        <w:t>D.</w:t>
      </w:r>
      <w:r>
        <w:rPr/>
        <w:t>确定应计入其他综合收益的金额</w:t>
      </w:r>
      <w:r>
        <w:rPr>
          <w:w w:val="100"/>
        </w:rPr>
        <w:t> </w:t>
      </w:r>
      <w:r>
        <w:rPr>
          <w:spacing w:val="-2"/>
        </w:rPr>
        <w:t>重新计量设定受益计划净负债或净资产所产生的变动，包括：</w:t>
      </w:r>
    </w:p>
    <w:p>
      <w:pPr>
        <w:pStyle w:val="BodyText"/>
        <w:spacing w:line="256" w:lineRule="auto" w:before="54"/>
        <w:ind w:right="153" w:firstLine="480"/>
        <w:jc w:val="left"/>
      </w:pPr>
      <w:r>
        <w:rPr>
          <w:spacing w:val="-1"/>
        </w:rPr>
        <w:t>（</w:t>
      </w:r>
      <w:r>
        <w:rPr>
          <w:rFonts w:ascii="Times New Roman" w:hAnsi="Times New Roman" w:cs="Times New Roman" w:eastAsia="Times New Roman" w:hint="default"/>
          <w:spacing w:val="-1"/>
        </w:rPr>
        <w:t>a</w:t>
      </w:r>
      <w:r>
        <w:rPr>
          <w:spacing w:val="-1"/>
        </w:rPr>
        <w:t>）精算利得或损失，即由于精算假设和经验调整导致之前所计量的设定受益计划义务现值的增加</w:t>
      </w:r>
      <w:r>
        <w:rPr>
          <w:w w:val="100"/>
        </w:rPr>
        <w:t> </w:t>
      </w:r>
      <w:r>
        <w:rPr/>
        <w:t>或减少；</w:t>
      </w:r>
    </w:p>
    <w:p>
      <w:pPr>
        <w:pStyle w:val="BodyText"/>
        <w:spacing w:line="240" w:lineRule="auto" w:before="142"/>
        <w:ind w:left="633" w:right="153"/>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）计划资产回报，扣除包括在设定受益计划净负债或净资产的利息净额中的金额</w:t>
      </w:r>
      <w:r>
        <w:rPr>
          <w:rFonts w:ascii="Times New Roman" w:hAnsi="Times New Roman" w:cs="Times New Roman" w:eastAsia="Times New Roman" w:hint="default"/>
        </w:rPr>
        <w:t>;</w:t>
      </w:r>
    </w:p>
    <w:p>
      <w:pPr>
        <w:pStyle w:val="BodyText"/>
        <w:spacing w:line="430" w:lineRule="atLeast" w:before="2"/>
        <w:ind w:left="633" w:right="0"/>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w:t>
      </w:r>
      <w:r>
        <w:rPr>
          <w:w w:val="100"/>
        </w:rPr>
        <w:t> </w:t>
      </w:r>
      <w:r>
        <w:rPr>
          <w:spacing w:val="2"/>
        </w:rPr>
        <w:t>上述重新计量设定受益计划净负债或净资产所产生的变动直接计入其他综合收益</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4"/>
        </w:rPr>
        <w:t> </w:t>
      </w:r>
      <w:r>
        <w:rPr>
          <w:spacing w:val="2"/>
        </w:rPr>
        <w:t>并且在后续会计</w:t>
      </w:r>
    </w:p>
    <w:p>
      <w:pPr>
        <w:pStyle w:val="BodyText"/>
        <w:spacing w:line="240" w:lineRule="auto" w:before="21"/>
        <w:ind w:right="153"/>
        <w:jc w:val="left"/>
      </w:pPr>
      <w:r>
        <w:rPr/>
        <w:t>期间不允许转回至损益，但本公司可以在权益范围内转移这些在其他综合收益中确认的金额。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633" w:right="153"/>
        <w:jc w:val="left"/>
      </w:pPr>
      <w:r>
        <w:rPr>
          <w:spacing w:val="-4"/>
        </w:rPr>
        <w:t>本公司向职工提供辞退福利的，在下列两者孰早日确认辞退福利产生的职工薪酬负债，并计入当期损</w:t>
      </w:r>
    </w:p>
    <w:p>
      <w:pPr>
        <w:pStyle w:val="BodyText"/>
        <w:spacing w:line="240" w:lineRule="auto" w:before="37"/>
        <w:ind w:right="153"/>
        <w:jc w:val="left"/>
      </w:pPr>
      <w:r>
        <w:rPr/>
        <w:t>益：</w:t>
      </w:r>
    </w:p>
    <w:p>
      <w:pPr>
        <w:spacing w:line="240" w:lineRule="auto" w:before="3"/>
        <w:rPr>
          <w:rFonts w:ascii="宋体" w:hAnsi="宋体" w:cs="宋体" w:eastAsia="宋体" w:hint="default"/>
          <w:sz w:val="9"/>
          <w:szCs w:val="9"/>
        </w:rPr>
      </w:pPr>
    </w:p>
    <w:p>
      <w:pPr>
        <w:pStyle w:val="BodyText"/>
        <w:spacing w:line="240" w:lineRule="auto" w:before="36"/>
        <w:ind w:left="633" w:right="153"/>
        <w:jc w:val="left"/>
      </w:pPr>
      <w:r>
        <w:rPr/>
        <w:t>①企业不能单方面撤回因解除劳动关系计划或裁减建议所提供的辞退福利时；</w:t>
      </w:r>
    </w:p>
    <w:p>
      <w:pPr>
        <w:pStyle w:val="BodyText"/>
        <w:spacing w:line="430" w:lineRule="atLeast" w:before="2"/>
        <w:ind w:left="633" w:right="153"/>
        <w:jc w:val="left"/>
      </w:pPr>
      <w:r>
        <w:rPr/>
        <w:t>②企业确认与涉及支付辞退福利的重组相关的成本或费用时。</w:t>
      </w:r>
      <w:r>
        <w:rPr>
          <w:w w:val="100"/>
        </w:rPr>
        <w:t> </w:t>
      </w:r>
      <w:r>
        <w:rPr>
          <w:spacing w:val="-4"/>
        </w:rPr>
        <w:t>辞退福利预期在年度报告期结束后十二个月内不能完全支付的，参照相应的折现率（根据资产负债表</w:t>
      </w:r>
    </w:p>
    <w:p>
      <w:pPr>
        <w:pStyle w:val="BodyText"/>
        <w:spacing w:line="273" w:lineRule="auto" w:before="37"/>
        <w:ind w:right="153"/>
        <w:jc w:val="left"/>
      </w:pPr>
      <w:r>
        <w:rPr>
          <w:spacing w:val="-2"/>
        </w:rPr>
        <w:t>日与设定受益计划义务期限和币种相匹配的国债或活跃市场上的高质量公司债券的市场收益率确定）将辞</w:t>
      </w:r>
      <w:r>
        <w:rPr>
          <w:spacing w:val="-43"/>
        </w:rPr>
        <w:t> </w:t>
      </w:r>
      <w:r>
        <w:rPr>
          <w:spacing w:val="-43"/>
        </w:rPr>
      </w:r>
      <w:r>
        <w:rPr/>
        <w:t>退福利金额予以折现，以折现后的金额计量应付职工薪酬。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4"/>
        <w:spacing w:line="240" w:lineRule="auto"/>
        <w:ind w:right="15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pStyle w:val="BodyText"/>
        <w:spacing w:line="430" w:lineRule="atLeast" w:before="166"/>
        <w:ind w:left="633" w:right="153"/>
        <w:jc w:val="left"/>
      </w:pPr>
      <w:r>
        <w:rPr/>
        <w:t>①符合设定提存计划条件的</w:t>
      </w:r>
      <w:r>
        <w:rPr>
          <w:w w:val="100"/>
        </w:rPr>
        <w:t> </w:t>
      </w:r>
      <w:r>
        <w:rPr>
          <w:spacing w:val="-4"/>
        </w:rPr>
        <w:t>本公司向职工提供的其他长期职工福利，符合设定提存计划条件的，将全部应缴存金额以折现后的金</w:t>
      </w:r>
    </w:p>
    <w:p>
      <w:pPr>
        <w:pStyle w:val="BodyText"/>
        <w:spacing w:line="240" w:lineRule="auto" w:before="37"/>
        <w:ind w:right="153"/>
        <w:jc w:val="left"/>
      </w:pPr>
      <w:r>
        <w:rPr/>
        <w:t>额计量应付职工薪酬。</w:t>
      </w:r>
    </w:p>
    <w:p>
      <w:pPr>
        <w:pStyle w:val="BodyText"/>
        <w:spacing w:line="376" w:lineRule="auto" w:before="157"/>
        <w:ind w:left="633" w:right="153"/>
        <w:jc w:val="left"/>
      </w:pPr>
      <w:r>
        <w:rPr/>
        <w:t>②符合设定受益计划条件的</w:t>
      </w:r>
      <w:r>
        <w:rPr>
          <w:w w:val="100"/>
        </w:rPr>
        <w:t> </w:t>
      </w:r>
      <w:r>
        <w:rPr>
          <w:spacing w:val="-2"/>
        </w:rPr>
        <w:t>在报告期末，本公司将其他长期职工福利产生的职工薪酬成本确认为下列组成部分：</w:t>
      </w:r>
      <w:r>
        <w:rPr/>
      </w:r>
    </w:p>
    <w:p>
      <w:pPr>
        <w:spacing w:after="0" w:line="37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357" w:lineRule="auto" w:before="36"/>
        <w:ind w:left="633" w:right="3536"/>
        <w:jc w:val="left"/>
      </w:pPr>
      <w:r>
        <w:rPr>
          <w:rFonts w:ascii="Times New Roman" w:hAnsi="Times New Roman" w:cs="Times New Roman" w:eastAsia="Times New Roman" w:hint="default"/>
        </w:rPr>
        <w:t>A.</w:t>
      </w:r>
      <w:r>
        <w:rPr/>
        <w:t>服务成本；</w:t>
      </w:r>
      <w:r>
        <w:rPr>
          <w:spacing w:val="-103"/>
        </w:rPr>
        <w:t> </w:t>
      </w:r>
      <w:r>
        <w:rPr>
          <w:spacing w:val="-103"/>
        </w:rPr>
      </w:r>
      <w:r>
        <w:rPr>
          <w:rFonts w:ascii="Times New Roman" w:hAnsi="Times New Roman" w:cs="Times New Roman" w:eastAsia="Times New Roman" w:hint="default"/>
        </w:rPr>
        <w:t>B.</w:t>
      </w:r>
      <w:r>
        <w:rPr/>
        <w:t>其他长期职工福利净负债或净资产的利息净额；</w:t>
      </w:r>
      <w:r>
        <w:rPr>
          <w:w w:val="100"/>
        </w:rPr>
        <w:t> </w:t>
      </w:r>
      <w:r>
        <w:rPr>
          <w:rFonts w:ascii="Times New Roman" w:hAnsi="Times New Roman" w:cs="Times New Roman" w:eastAsia="Times New Roman" w:hint="default"/>
          <w:spacing w:val="-2"/>
        </w:rPr>
        <w:t>C.</w:t>
      </w:r>
      <w:r>
        <w:rPr>
          <w:spacing w:val="-2"/>
        </w:rPr>
        <w:t>重新计量其他长期职工福利净负债或净资产所产生的变动。</w:t>
      </w:r>
    </w:p>
    <w:p>
      <w:pPr>
        <w:pStyle w:val="BodyText"/>
        <w:spacing w:line="240" w:lineRule="auto" w:before="27"/>
        <w:ind w:left="633" w:right="116"/>
        <w:jc w:val="left"/>
      </w:pPr>
      <w:r>
        <w:rPr/>
        <w:t>为简化相关会计处理，上述项目的总净额计入当期损益或相关资产成本。</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6"/>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10"/>
        <w:rPr>
          <w:rFonts w:ascii="宋体" w:hAnsi="宋体" w:cs="宋体" w:eastAsia="宋体" w:hint="default"/>
          <w:b/>
          <w:bCs/>
          <w:sz w:val="24"/>
          <w:szCs w:val="24"/>
        </w:rPr>
      </w:pPr>
    </w:p>
    <w:p>
      <w:pPr>
        <w:spacing w:line="357" w:lineRule="auto" w:before="0"/>
        <w:ind w:left="633" w:right="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如果与或有事项相关的义务同时符合以下条件，本公司将其确认为预计负债：</w:t>
      </w:r>
    </w:p>
    <w:p>
      <w:pPr>
        <w:pStyle w:val="BodyText"/>
        <w:spacing w:line="240" w:lineRule="auto" w:before="54"/>
        <w:ind w:left="633" w:right="116"/>
        <w:jc w:val="left"/>
      </w:pPr>
      <w:r>
        <w:rPr/>
        <w:t>①该义务是本公司承担的现时义务；</w:t>
      </w:r>
    </w:p>
    <w:p>
      <w:pPr>
        <w:pStyle w:val="BodyText"/>
        <w:spacing w:line="240" w:lineRule="auto" w:before="157"/>
        <w:ind w:left="633" w:right="116"/>
        <w:jc w:val="left"/>
      </w:pPr>
      <w:r>
        <w:rPr/>
        <w:t>②该义务的履行很可能导致经济利益流出本公司；</w:t>
      </w:r>
    </w:p>
    <w:p>
      <w:pPr>
        <w:pStyle w:val="BodyText"/>
        <w:spacing w:line="240" w:lineRule="auto" w:before="157"/>
        <w:ind w:left="633" w:right="116"/>
        <w:jc w:val="left"/>
      </w:pPr>
      <w:r>
        <w:rPr/>
        <w:t>③该义务的金额能够可靠地计量。</w:t>
      </w:r>
    </w:p>
    <w:p>
      <w:pPr>
        <w:spacing w:line="357" w:lineRule="auto" w:before="157"/>
        <w:ind w:left="633" w:right="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4"/>
          <w:sz w:val="21"/>
          <w:szCs w:val="21"/>
        </w:rPr>
        <w:t>预计负债按照履行相关现时义务所需支出的最佳估计数进行初始计量，并综合考虑与或事项有关的风</w:t>
      </w:r>
    </w:p>
    <w:p>
      <w:pPr>
        <w:pStyle w:val="BodyText"/>
        <w:spacing w:line="209" w:lineRule="exact"/>
        <w:ind w:right="116"/>
        <w:jc w:val="left"/>
      </w:pPr>
      <w:r>
        <w:rPr/>
        <w:t>险、不确定性和货币时间价值等因素。每个资产负债表日对预计负债的账面价值进行复核。有确凿证据表</w:t>
      </w:r>
    </w:p>
    <w:p>
      <w:pPr>
        <w:pStyle w:val="BodyText"/>
        <w:spacing w:line="240" w:lineRule="auto" w:before="37"/>
        <w:ind w:right="116"/>
        <w:jc w:val="left"/>
      </w:pPr>
      <w:r>
        <w:rPr/>
        <w:t>明该账面价值不能反映当前最佳估计数的，按照当前最佳估计数对该账面价值进行调整。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6"/>
        <w:jc w:val="left"/>
        <w:rPr>
          <w:b w:val="0"/>
          <w:bCs w:val="0"/>
        </w:rPr>
      </w:pPr>
      <w:r>
        <w:rPr>
          <w:rFonts w:ascii="Times New Roman" w:hAnsi="Times New Roman" w:cs="Times New Roman" w:eastAsia="Times New Roman" w:hint="default"/>
        </w:rPr>
        <w:t>22</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357" w:lineRule="auto"/>
        <w:ind w:left="633" w:right="116" w:hanging="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）销售商品收入</w:t>
      </w:r>
      <w:r>
        <w:rPr>
          <w:rFonts w:ascii="宋体" w:hAnsi="宋体" w:cs="宋体" w:eastAsia="宋体" w:hint="default"/>
          <w:b/>
          <w:bCs/>
          <w:spacing w:val="-104"/>
        </w:rPr>
        <w:t> </w:t>
      </w:r>
      <w:r>
        <w:rPr>
          <w:spacing w:val="-4"/>
        </w:rPr>
        <w:t>公司已将商品所有权上的主要风险和报酬转移给购买方；公司既没有保留与所有权相联系的继续管理</w:t>
      </w:r>
    </w:p>
    <w:p>
      <w:pPr>
        <w:pStyle w:val="BodyText"/>
        <w:spacing w:line="209" w:lineRule="exact"/>
        <w:ind w:right="116"/>
        <w:jc w:val="left"/>
      </w:pPr>
      <w:r>
        <w:rPr>
          <w:spacing w:val="-5"/>
        </w:rPr>
        <w:t>权，也没有对已售出的商品实施有效控制；收入的金额能够可靠地计量；相关的经济利益很可能流入企业；</w:t>
      </w:r>
    </w:p>
    <w:p>
      <w:pPr>
        <w:pStyle w:val="BodyText"/>
        <w:spacing w:line="376" w:lineRule="auto" w:before="37"/>
        <w:ind w:left="633" w:right="116" w:hanging="481"/>
        <w:jc w:val="left"/>
      </w:pPr>
      <w:r>
        <w:rPr>
          <w:spacing w:val="-2"/>
        </w:rPr>
        <w:t>相关的已发生或将发生的成本能够可靠地计量时，确认商品销售收入实现。</w:t>
      </w:r>
      <w:r>
        <w:rPr>
          <w:spacing w:val="-42"/>
        </w:rPr>
        <w:t> </w:t>
      </w:r>
      <w:r>
        <w:rPr>
          <w:spacing w:val="-42"/>
        </w:rPr>
      </w:r>
      <w:r>
        <w:rPr/>
        <w:t>本公司销售商品收入确认的具体方法为：</w:t>
      </w:r>
    </w:p>
    <w:p>
      <w:pPr>
        <w:pStyle w:val="BodyText"/>
        <w:spacing w:line="240" w:lineRule="auto" w:before="37"/>
        <w:ind w:left="940" w:right="116"/>
        <w:jc w:val="left"/>
      </w:pPr>
      <w:r>
        <w:rPr>
          <w:rFonts w:ascii="宋体" w:hAnsi="宋体" w:cs="宋体" w:eastAsia="宋体" w:hint="default"/>
        </w:rPr>
        <w:t>2.</w:t>
      </w:r>
      <w:r>
        <w:rPr>
          <w:rFonts w:ascii="宋体" w:hAnsi="宋体" w:cs="宋体" w:eastAsia="宋体" w:hint="default"/>
          <w:spacing w:val="41"/>
        </w:rPr>
        <w:t> </w:t>
      </w:r>
      <w:r>
        <w:rPr/>
        <w:t>上辅机系统、小料配料称量系统、气力输送系统、其他类产品：</w:t>
      </w:r>
    </w:p>
    <w:p>
      <w:pPr>
        <w:pStyle w:val="BodyText"/>
        <w:spacing w:line="273" w:lineRule="auto" w:before="157"/>
        <w:ind w:left="513" w:right="116" w:firstLine="420"/>
        <w:jc w:val="left"/>
      </w:pPr>
      <w:r>
        <w:rPr>
          <w:spacing w:val="-1"/>
        </w:rPr>
        <w:t>公司负责安装调试的产品，于设备安装完成并取得经客户确认的验收合格单后确认收入；公司不</w:t>
      </w:r>
      <w:r>
        <w:rPr>
          <w:w w:val="100"/>
        </w:rPr>
        <w:t> </w:t>
      </w:r>
      <w:r>
        <w:rPr/>
        <w:t>负责安装调试的产品，于设备交付客户后确认收入。</w:t>
      </w:r>
    </w:p>
    <w:p>
      <w:pPr>
        <w:pStyle w:val="BodyText"/>
        <w:spacing w:line="432" w:lineRule="exact" w:before="27"/>
        <w:ind w:left="993" w:right="116" w:hanging="53"/>
        <w:jc w:val="left"/>
      </w:pPr>
      <w:r>
        <w:rPr>
          <w:rFonts w:ascii="宋体" w:hAnsi="宋体" w:cs="宋体" w:eastAsia="宋体" w:hint="default"/>
        </w:rPr>
        <w:t>3.</w:t>
      </w:r>
      <w:r>
        <w:rPr>
          <w:rFonts w:ascii="宋体" w:hAnsi="宋体" w:cs="宋体" w:eastAsia="宋体" w:hint="default"/>
          <w:spacing w:val="43"/>
        </w:rPr>
        <w:t> </w:t>
      </w:r>
      <w:r>
        <w:rPr/>
        <w:t>软件产品：</w:t>
      </w:r>
      <w:r>
        <w:rPr>
          <w:spacing w:val="-101"/>
        </w:rPr>
        <w:t> </w:t>
      </w:r>
      <w:r>
        <w:rPr>
          <w:spacing w:val="-101"/>
        </w:rPr>
      </w:r>
      <w:r>
        <w:rPr>
          <w:spacing w:val="-2"/>
        </w:rPr>
        <w:t>软件产品随上辅机系统、小料配料称量系统、气力输送系统销售的，于设备安装完成并取得经客</w:t>
      </w:r>
    </w:p>
    <w:p>
      <w:pPr>
        <w:pStyle w:val="BodyText"/>
        <w:spacing w:line="255" w:lineRule="exact"/>
        <w:ind w:left="513" w:right="116"/>
        <w:jc w:val="left"/>
      </w:pPr>
      <w:r>
        <w:rPr/>
        <w:t>户确认的验收合格单后确认收入。软件产品直接对外销售的，于软件产品安装完成并取得经客户确认</w:t>
      </w:r>
    </w:p>
    <w:p>
      <w:pPr>
        <w:pStyle w:val="BodyText"/>
        <w:spacing w:line="240" w:lineRule="auto" w:before="37"/>
        <w:ind w:left="513" w:right="116"/>
        <w:jc w:val="left"/>
      </w:pPr>
      <w:r>
        <w:rPr/>
        <w:t>的验收合格单后确认收入。</w:t>
      </w:r>
    </w:p>
    <w:p>
      <w:pPr>
        <w:spacing w:line="357" w:lineRule="auto" w:before="157"/>
        <w:ind w:left="993" w:right="1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）提供劳务收入</w:t>
      </w:r>
      <w:r>
        <w:rPr>
          <w:rFonts w:ascii="宋体" w:hAnsi="宋体" w:cs="宋体" w:eastAsia="宋体" w:hint="default"/>
          <w:b/>
          <w:bCs/>
          <w:spacing w:val="-104"/>
          <w:sz w:val="21"/>
          <w:szCs w:val="21"/>
        </w:rPr>
        <w:t> </w:t>
      </w:r>
      <w:r>
        <w:rPr>
          <w:rFonts w:ascii="宋体" w:hAnsi="宋体" w:cs="宋体" w:eastAsia="宋体" w:hint="default"/>
          <w:spacing w:val="-2"/>
          <w:sz w:val="21"/>
          <w:szCs w:val="21"/>
        </w:rPr>
        <w:t>在资产负债表日提供劳务交易的结果能够可靠估计的，采用完工百分比法确认提供</w:t>
      </w:r>
    </w:p>
    <w:p>
      <w:pPr>
        <w:pStyle w:val="BodyText"/>
        <w:spacing w:line="273" w:lineRule="auto" w:before="54"/>
        <w:ind w:left="513" w:right="116"/>
        <w:jc w:val="left"/>
      </w:pPr>
      <w:r>
        <w:rPr>
          <w:spacing w:val="-1"/>
        </w:rPr>
        <w:t>劳务收入。提供劳务交易的完工进度，依据已完工作的测量（或已经提供的劳务占应提供劳务总量的</w:t>
      </w:r>
      <w:r>
        <w:rPr>
          <w:spacing w:val="-21"/>
        </w:rPr>
        <w:t> </w:t>
      </w:r>
      <w:r>
        <w:rPr>
          <w:spacing w:val="-21"/>
        </w:rPr>
      </w:r>
      <w:r>
        <w:rPr/>
        <w:t>比例，或已经发生的成本占估计总成本的比例）确定。</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56" w:lineRule="auto" w:before="36"/>
        <w:ind w:left="513" w:right="206" w:firstLine="480"/>
        <w:jc w:val="both"/>
      </w:pPr>
      <w:r>
        <w:rPr>
          <w:spacing w:val="-4"/>
        </w:rPr>
        <w:t>提供劳务交易的结果能够可靠估计是指同时满足：</w:t>
      </w:r>
      <w:r>
        <w:rPr>
          <w:rFonts w:ascii="Times New Roman" w:hAnsi="Times New Roman" w:cs="Times New Roman" w:eastAsia="Times New Roman" w:hint="default"/>
          <w:spacing w:val="-4"/>
        </w:rPr>
        <w:t>A</w:t>
      </w:r>
      <w:r>
        <w:rPr>
          <w:spacing w:val="-4"/>
        </w:rPr>
        <w:t>、收入的金额能够可靠地计量；</w:t>
      </w:r>
      <w:r>
        <w:rPr>
          <w:rFonts w:ascii="Times New Roman" w:hAnsi="Times New Roman" w:cs="Times New Roman" w:eastAsia="Times New Roman" w:hint="default"/>
          <w:spacing w:val="-4"/>
        </w:rPr>
        <w:t>B</w:t>
      </w:r>
      <w:r>
        <w:rPr>
          <w:spacing w:val="-4"/>
        </w:rPr>
        <w:t>、相关的经</w:t>
      </w:r>
      <w:r>
        <w:rPr>
          <w:w w:val="100"/>
        </w:rPr>
        <w:t> </w:t>
      </w:r>
      <w:r>
        <w:rPr>
          <w:spacing w:val="-3"/>
        </w:rPr>
        <w:t>济利益很可能流入企业；</w:t>
      </w:r>
      <w:r>
        <w:rPr>
          <w:rFonts w:ascii="Times New Roman" w:hAnsi="Times New Roman" w:cs="Times New Roman" w:eastAsia="Times New Roman" w:hint="default"/>
          <w:spacing w:val="-3"/>
        </w:rPr>
        <w:t>C</w:t>
      </w:r>
      <w:r>
        <w:rPr>
          <w:spacing w:val="-3"/>
        </w:rPr>
        <w:t>、交易的完工程度能够可靠地确定；</w:t>
      </w:r>
      <w:r>
        <w:rPr>
          <w:rFonts w:ascii="Times New Roman" w:hAnsi="Times New Roman" w:cs="Times New Roman" w:eastAsia="Times New Roman" w:hint="default"/>
          <w:spacing w:val="-3"/>
        </w:rPr>
        <w:t>D</w:t>
      </w:r>
      <w:r>
        <w:rPr>
          <w:spacing w:val="-3"/>
        </w:rPr>
        <w:t>、交易中已发生和将发生的成本能够</w:t>
      </w:r>
      <w:r>
        <w:rPr>
          <w:spacing w:val="-24"/>
        </w:rPr>
        <w:t> </w:t>
      </w:r>
      <w:r>
        <w:rPr>
          <w:spacing w:val="-24"/>
        </w:rPr>
      </w:r>
      <w:r>
        <w:rPr/>
        <w:t>可靠地计量。</w:t>
      </w:r>
    </w:p>
    <w:p>
      <w:pPr>
        <w:pStyle w:val="BodyText"/>
        <w:spacing w:line="273" w:lineRule="auto" w:before="142"/>
        <w:ind w:left="513" w:right="206" w:firstLine="480"/>
        <w:jc w:val="both"/>
      </w:pPr>
      <w:r>
        <w:rPr>
          <w:spacing w:val="-2"/>
        </w:rPr>
        <w:t>本公司按照已收或应收的合同或协议价款确定提供劳务收入总额，但已收或应收的合同或协议价</w:t>
      </w:r>
      <w:r>
        <w:rPr>
          <w:w w:val="100"/>
        </w:rPr>
        <w:t> </w:t>
      </w:r>
      <w:r>
        <w:rPr>
          <w:spacing w:val="-1"/>
        </w:rPr>
        <w:t>款不公允的除外。资产负债表日按照提供劳务收入总额乘以完工进度扣除以前会计期间累计已确认提</w:t>
      </w:r>
      <w:r>
        <w:rPr>
          <w:spacing w:val="-21"/>
        </w:rPr>
        <w:t> </w:t>
      </w:r>
      <w:r>
        <w:rPr>
          <w:spacing w:val="-21"/>
        </w:rPr>
      </w:r>
      <w:r>
        <w:rPr>
          <w:spacing w:val="-1"/>
        </w:rPr>
        <w:t>供劳务收入后的金额，确认当期提供劳务收入；同时，按照提供劳务估计总成本乘以完工进度扣除以</w:t>
      </w:r>
      <w:r>
        <w:rPr>
          <w:spacing w:val="-22"/>
        </w:rPr>
        <w:t> </w:t>
      </w:r>
      <w:r>
        <w:rPr>
          <w:spacing w:val="-22"/>
        </w:rPr>
      </w:r>
      <w:r>
        <w:rPr/>
        <w:t>前会计期间累计已确认劳务成本后的金额，结转当期劳务成本。</w:t>
      </w:r>
    </w:p>
    <w:p>
      <w:pPr>
        <w:pStyle w:val="BodyText"/>
        <w:spacing w:line="376" w:lineRule="auto" w:before="127"/>
        <w:ind w:right="1960" w:firstLine="840"/>
        <w:jc w:val="left"/>
      </w:pPr>
      <w:r>
        <w:rPr>
          <w:spacing w:val="-2"/>
        </w:rPr>
        <w:t>在资产负债表日提供劳务交易结果不能够可靠估计的，分别下列情况处理：</w:t>
      </w:r>
      <w:r>
        <w:rPr>
          <w:w w:val="100"/>
        </w:rPr>
        <w:t> </w:t>
      </w:r>
      <w:r>
        <w:rPr>
          <w:rFonts w:ascii="宋体" w:hAnsi="宋体" w:cs="宋体" w:eastAsia="宋体" w:hint="default"/>
        </w:rPr>
        <w:t>4.</w:t>
      </w:r>
      <w:r>
        <w:rPr>
          <w:rFonts w:ascii="宋体" w:hAnsi="宋体" w:cs="宋体" w:eastAsia="宋体" w:hint="default"/>
          <w:spacing w:val="41"/>
        </w:rPr>
        <w:t> </w:t>
      </w:r>
      <w:r>
        <w:rPr/>
        <w:t>已经发生的劳务成本预计能够得到补偿的，按照已经发生的劳务成本金额确认</w:t>
      </w:r>
    </w:p>
    <w:p>
      <w:pPr>
        <w:pStyle w:val="BodyText"/>
        <w:spacing w:line="240" w:lineRule="auto" w:before="37"/>
        <w:ind w:left="993" w:right="116"/>
        <w:jc w:val="left"/>
      </w:pPr>
      <w:r>
        <w:rPr/>
        <w:t>提供劳务收入，并按相同金额结转劳务成本。</w:t>
      </w:r>
    </w:p>
    <w:p>
      <w:pPr>
        <w:pStyle w:val="BodyText"/>
        <w:spacing w:line="273" w:lineRule="auto" w:before="157"/>
        <w:ind w:left="513" w:right="196" w:hanging="361"/>
        <w:jc w:val="left"/>
      </w:pPr>
      <w:r>
        <w:rPr>
          <w:rFonts w:ascii="宋体" w:hAnsi="宋体" w:cs="宋体" w:eastAsia="宋体" w:hint="default"/>
        </w:rPr>
        <w:t>5.</w:t>
      </w:r>
      <w:r>
        <w:rPr>
          <w:rFonts w:ascii="宋体" w:hAnsi="宋体" w:cs="宋体" w:eastAsia="宋体" w:hint="default"/>
          <w:spacing w:val="83"/>
        </w:rPr>
        <w:t> </w:t>
      </w:r>
      <w:r>
        <w:rPr/>
        <w:t>已经发生的劳务成本预计不能够得到补偿的，将已经发生的劳务成本计入当期损益，不确认提供劳务</w:t>
      </w:r>
      <w:r>
        <w:rPr>
          <w:spacing w:val="-103"/>
        </w:rPr>
        <w:t> </w:t>
      </w:r>
      <w:r>
        <w:rPr>
          <w:spacing w:val="-103"/>
        </w:rPr>
      </w:r>
      <w:r>
        <w:rPr/>
        <w:t>收入。</w:t>
      </w:r>
    </w:p>
    <w:p>
      <w:pPr>
        <w:spacing w:line="357" w:lineRule="auto" w:before="127"/>
        <w:ind w:left="633" w:right="116" w:hanging="5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）让渡资产使用权收入</w:t>
      </w:r>
      <w:r>
        <w:rPr>
          <w:rFonts w:ascii="宋体" w:hAnsi="宋体" w:cs="宋体" w:eastAsia="宋体" w:hint="default"/>
          <w:b/>
          <w:bCs/>
          <w:w w:val="100"/>
          <w:sz w:val="21"/>
          <w:szCs w:val="21"/>
        </w:rPr>
        <w:t> </w:t>
      </w:r>
      <w:r>
        <w:rPr>
          <w:rFonts w:ascii="宋体" w:hAnsi="宋体" w:cs="宋体" w:eastAsia="宋体" w:hint="default"/>
          <w:spacing w:val="-4"/>
          <w:sz w:val="21"/>
          <w:szCs w:val="21"/>
        </w:rPr>
        <w:t>与交易相关的经济利益很可能流入企业，收入的金额能够可靠地计量时，分别下列情况确定让渡资产</w:t>
      </w:r>
    </w:p>
    <w:p>
      <w:pPr>
        <w:pStyle w:val="BodyText"/>
        <w:spacing w:line="209" w:lineRule="exact"/>
        <w:ind w:right="116"/>
        <w:jc w:val="left"/>
      </w:pPr>
      <w:r>
        <w:rPr/>
        <w:t>使用权收入金额：</w:t>
      </w:r>
    </w:p>
    <w:p>
      <w:pPr>
        <w:pStyle w:val="BodyText"/>
        <w:spacing w:line="240" w:lineRule="auto" w:before="157"/>
        <w:ind w:left="693" w:right="116"/>
        <w:jc w:val="left"/>
      </w:pPr>
      <w:r>
        <w:rPr>
          <w:rFonts w:ascii="宋体" w:hAnsi="宋体" w:cs="宋体" w:eastAsia="宋体" w:hint="default"/>
        </w:rPr>
        <w:t>1.</w:t>
      </w:r>
      <w:r>
        <w:rPr>
          <w:rFonts w:ascii="宋体" w:hAnsi="宋体" w:cs="宋体" w:eastAsia="宋体" w:hint="default"/>
          <w:spacing w:val="41"/>
        </w:rPr>
        <w:t> </w:t>
      </w:r>
      <w:r>
        <w:rPr/>
        <w:t>利息收入金额，按照他人使用本企业货币资金的时间和实际利率计算确定。</w:t>
      </w:r>
    </w:p>
    <w:p>
      <w:pPr>
        <w:pStyle w:val="BodyText"/>
        <w:spacing w:line="240" w:lineRule="auto" w:before="157"/>
        <w:ind w:right="116"/>
        <w:jc w:val="left"/>
      </w:pPr>
      <w:r>
        <w:rPr>
          <w:rFonts w:ascii="宋体" w:hAnsi="宋体" w:cs="宋体" w:eastAsia="宋体" w:hint="default"/>
        </w:rPr>
        <w:t>2.</w:t>
      </w:r>
      <w:r>
        <w:rPr>
          <w:rFonts w:ascii="宋体" w:hAnsi="宋体" w:cs="宋体" w:eastAsia="宋体" w:hint="default"/>
          <w:spacing w:val="43"/>
        </w:rPr>
        <w:t> </w:t>
      </w:r>
      <w:r>
        <w:rPr/>
        <w:t>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6"/>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6"/>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pStyle w:val="BodyText"/>
        <w:spacing w:line="430" w:lineRule="atLeast" w:before="166"/>
        <w:ind w:left="633" w:right="116"/>
        <w:jc w:val="left"/>
      </w:pPr>
      <w:r>
        <w:rPr>
          <w:spacing w:val="-2"/>
        </w:rPr>
        <w:t>本公司从政府取得的、用于购建或以其他方式形成长期资产的补助，确认为与资产相关的政府补助。</w:t>
      </w:r>
      <w:r>
        <w:rPr>
          <w:spacing w:val="-27"/>
        </w:rPr>
        <w:t> </w:t>
      </w:r>
      <w:r>
        <w:rPr>
          <w:spacing w:val="-27"/>
        </w:rPr>
      </w:r>
      <w:r>
        <w:rPr>
          <w:spacing w:val="-6"/>
        </w:rPr>
        <w:t>与资产相关的政府补助，确认为递延收益，并在相关资产使用寿命内平均分配，计入当期损益。但是，</w:t>
      </w:r>
    </w:p>
    <w:p>
      <w:pPr>
        <w:pStyle w:val="BodyText"/>
        <w:spacing w:line="240" w:lineRule="auto" w:before="37"/>
        <w:ind w:right="116"/>
        <w:jc w:val="left"/>
      </w:pPr>
      <w:r>
        <w:rPr/>
        <w:t>以名义金额计量的政府补助，直接计入当期损益。</w:t>
      </w:r>
    </w:p>
    <w:p>
      <w:pPr>
        <w:spacing w:line="240" w:lineRule="auto" w:before="13"/>
        <w:rPr>
          <w:rFonts w:ascii="宋体" w:hAnsi="宋体" w:cs="宋体" w:eastAsia="宋体" w:hint="default"/>
          <w:sz w:val="25"/>
          <w:szCs w:val="25"/>
        </w:rPr>
      </w:pPr>
    </w:p>
    <w:p>
      <w:pPr>
        <w:spacing w:line="600" w:lineRule="atLeast" w:before="0"/>
        <w:ind w:left="633" w:right="116" w:hanging="48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本公司将从政府取得的各种奖励、定额补贴、财政贴息、拨付的研发经费（不包括购建固定资产）等</w:t>
      </w:r>
    </w:p>
    <w:p>
      <w:pPr>
        <w:pStyle w:val="BodyText"/>
        <w:spacing w:line="376" w:lineRule="auto" w:before="37"/>
        <w:ind w:left="633" w:right="116" w:hanging="481"/>
        <w:jc w:val="left"/>
      </w:pPr>
      <w:r>
        <w:rPr>
          <w:spacing w:val="-2"/>
        </w:rPr>
        <w:t>与资产相关的政府补助之外的政府补助，确认为与收益相关的政府补助。</w:t>
      </w:r>
      <w:r>
        <w:rPr>
          <w:spacing w:val="-45"/>
        </w:rPr>
        <w:t> </w:t>
      </w:r>
      <w:r>
        <w:rPr>
          <w:spacing w:val="-45"/>
        </w:rPr>
      </w:r>
      <w:r>
        <w:rPr/>
        <w:t>与收益相关的政府补助，分别下列情况处理：</w:t>
      </w:r>
    </w:p>
    <w:p>
      <w:pPr>
        <w:pStyle w:val="BodyText"/>
        <w:spacing w:line="273" w:lineRule="auto" w:before="38"/>
        <w:ind w:right="116" w:firstLine="480"/>
        <w:jc w:val="left"/>
      </w:pPr>
      <w:r>
        <w:rPr>
          <w:spacing w:val="-4"/>
        </w:rPr>
        <w:t>①用于补偿公司以后期间的相关费用或损失的，确认为递延收益，并在确认相关费用的期间，计入当</w:t>
      </w:r>
      <w:r>
        <w:rPr>
          <w:w w:val="100"/>
        </w:rPr>
        <w:t> </w:t>
      </w:r>
      <w:r>
        <w:rPr/>
        <w:t>期损益；</w:t>
      </w:r>
    </w:p>
    <w:p>
      <w:pPr>
        <w:pStyle w:val="BodyText"/>
        <w:spacing w:line="240" w:lineRule="auto" w:before="127"/>
        <w:ind w:left="633" w:right="116"/>
        <w:jc w:val="left"/>
      </w:pPr>
      <w:r>
        <w:rPr/>
        <w:t>②用于补偿公司已发生的相关费用或损失的，计入当期损益。</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86" w:firstLine="480"/>
        <w:jc w:val="both"/>
      </w:pPr>
      <w:r>
        <w:rPr>
          <w:spacing w:val="-4"/>
        </w:rPr>
        <w:t>本公司通常根据资产与负债在资产负债表日的账面价值与计税基础之间的暂时性差异，采用资产负债</w:t>
      </w:r>
      <w:r>
        <w:rPr>
          <w:w w:val="100"/>
        </w:rPr>
        <w:t> </w:t>
      </w:r>
      <w:r>
        <w:rPr>
          <w:spacing w:val="2"/>
        </w:rPr>
        <w:t>表债务法将应纳税暂时性差异或可抵扣暂时性差异对所得税的影响额确认和计量递延所得税负债或递延</w:t>
      </w:r>
      <w:r>
        <w:rPr>
          <w:spacing w:val="-30"/>
        </w:rPr>
        <w:t> </w:t>
      </w:r>
      <w:r>
        <w:rPr>
          <w:spacing w:val="-30"/>
        </w:rPr>
      </w:r>
      <w:r>
        <w:rPr/>
        <w:t>所得税资产。本公司不对递延所得税资产和递延所得税负债进行折现。</w:t>
      </w:r>
    </w:p>
    <w:p>
      <w:pPr>
        <w:spacing w:line="357" w:lineRule="auto" w:before="127"/>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）递延所得税资产的确认</w:t>
      </w:r>
      <w:r>
        <w:rPr>
          <w:rFonts w:ascii="宋体" w:hAnsi="宋体" w:cs="宋体" w:eastAsia="宋体" w:hint="default"/>
          <w:b/>
          <w:bCs/>
          <w:w w:val="100"/>
          <w:sz w:val="21"/>
          <w:szCs w:val="21"/>
        </w:rPr>
        <w:t> </w:t>
      </w:r>
      <w:r>
        <w:rPr>
          <w:rFonts w:ascii="宋体" w:hAnsi="宋体" w:cs="宋体" w:eastAsia="宋体" w:hint="default"/>
          <w:spacing w:val="-4"/>
          <w:sz w:val="21"/>
          <w:szCs w:val="21"/>
        </w:rPr>
        <w:t>对于可抵扣暂时性差异，其对所得税的影响额按预计转回期间的所得税税率计算，并将该影响额确认</w:t>
      </w:r>
    </w:p>
    <w:p>
      <w:pPr>
        <w:pStyle w:val="BodyText"/>
        <w:spacing w:line="209" w:lineRule="exact"/>
        <w:ind w:right="0"/>
        <w:jc w:val="left"/>
      </w:pPr>
      <w:r>
        <w:rPr/>
        <w:t>为递延所得税资产，但是以本公司很可能取得用来抵扣可抵扣暂时性差异、可抵扣亏损和税款抵减的未来</w:t>
      </w:r>
    </w:p>
    <w:p>
      <w:pPr>
        <w:pStyle w:val="BodyText"/>
        <w:spacing w:line="240" w:lineRule="auto" w:before="37"/>
        <w:ind w:right="0"/>
        <w:jc w:val="left"/>
      </w:pPr>
      <w:r>
        <w:rPr/>
        <w:t>应纳税所得额为限。</w:t>
      </w:r>
    </w:p>
    <w:p>
      <w:pPr>
        <w:pStyle w:val="BodyText"/>
        <w:spacing w:line="273" w:lineRule="auto" w:before="157"/>
        <w:ind w:right="197" w:firstLine="480"/>
        <w:jc w:val="both"/>
      </w:pPr>
      <w:r>
        <w:rPr/>
        <w:t>同时具有下列特征的交易或事项中因资产或负债的初始确认所产生的可抵扣暂时性差异对所得税的</w:t>
      </w:r>
      <w:r>
        <w:rPr>
          <w:w w:val="100"/>
        </w:rPr>
        <w:t> </w:t>
      </w:r>
      <w:r>
        <w:rPr/>
        <w:t>影响额不确认为递延所得税资产：</w:t>
      </w:r>
    </w:p>
    <w:p>
      <w:pPr>
        <w:pStyle w:val="BodyText"/>
        <w:spacing w:line="240" w:lineRule="auto" w:before="127"/>
        <w:ind w:left="633"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该项交易不是企业合并；</w:t>
      </w:r>
    </w:p>
    <w:p>
      <w:pPr>
        <w:pStyle w:val="BodyText"/>
        <w:spacing w:line="357" w:lineRule="auto" w:before="142"/>
        <w:ind w:left="633"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交易发生时既不影响会计利润也不影响应纳税所得额（或可抵扣亏损）。</w:t>
      </w:r>
      <w:r>
        <w:rPr>
          <w:w w:val="100"/>
        </w:rPr>
        <w:t> </w:t>
      </w:r>
      <w:r>
        <w:rPr>
          <w:spacing w:val="-2"/>
        </w:rPr>
        <w:t>本公司对与子公司、联营公司及合营企业投资相关的可抵扣暂时性差异，同时满足下列两项条件的，</w:t>
      </w:r>
    </w:p>
    <w:p>
      <w:pPr>
        <w:pStyle w:val="BodyText"/>
        <w:spacing w:line="209" w:lineRule="exact"/>
        <w:ind w:left="633" w:right="0" w:hanging="481"/>
        <w:jc w:val="left"/>
      </w:pPr>
      <w:r>
        <w:rPr/>
        <w:t>其对所得税的影响额（才能）确认为递延所得税资产：</w:t>
      </w:r>
    </w:p>
    <w:p>
      <w:pPr>
        <w:pStyle w:val="BodyText"/>
        <w:spacing w:line="240" w:lineRule="auto" w:before="157"/>
        <w:ind w:left="633"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暂时性差异在可预见的未来很可能转回；</w:t>
      </w:r>
    </w:p>
    <w:p>
      <w:pPr>
        <w:pStyle w:val="BodyText"/>
        <w:spacing w:line="357" w:lineRule="auto" w:before="141"/>
        <w:ind w:left="633"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未来很可能获得用来抵扣可抵扣暂时性差异的应纳税所得额；</w:t>
      </w:r>
      <w:r>
        <w:rPr>
          <w:w w:val="100"/>
        </w:rPr>
        <w:t> </w:t>
      </w:r>
      <w:r>
        <w:rPr>
          <w:spacing w:val="-4"/>
        </w:rPr>
        <w:t>资产负债表日，有确凿证据表明未来期间很可能获得足够的应纳税所得额用来抵扣可抵扣暂时性差异</w:t>
      </w:r>
    </w:p>
    <w:p>
      <w:pPr>
        <w:pStyle w:val="BodyText"/>
        <w:spacing w:line="209" w:lineRule="exact"/>
        <w:ind w:right="0"/>
        <w:jc w:val="left"/>
      </w:pPr>
      <w:r>
        <w:rPr/>
        <w:t>的，确认以前期间未确认的递延所得税资产。</w:t>
      </w:r>
    </w:p>
    <w:p>
      <w:pPr>
        <w:pStyle w:val="BodyText"/>
        <w:spacing w:line="273" w:lineRule="auto" w:before="157"/>
        <w:ind w:right="186" w:firstLine="480"/>
        <w:jc w:val="both"/>
      </w:pPr>
      <w:r>
        <w:rPr>
          <w:spacing w:val="-4"/>
        </w:rPr>
        <w:t>在资产负债表日，本公司对递延所得税资产的账面价值进行复核。如果未来期间很可能无法获得足够</w:t>
      </w:r>
      <w:r>
        <w:rPr>
          <w:w w:val="100"/>
        </w:rPr>
        <w:t> </w:t>
      </w:r>
      <w:r>
        <w:rPr>
          <w:spacing w:val="-2"/>
        </w:rPr>
        <w:t>的应纳税所得额用以抵扣递延所得税资产的利益，减记递延所得税资产的账面价值。在很可能获得足够的</w:t>
      </w:r>
      <w:r>
        <w:rPr>
          <w:spacing w:val="-43"/>
        </w:rPr>
        <w:t> </w:t>
      </w:r>
      <w:r>
        <w:rPr>
          <w:spacing w:val="-43"/>
        </w:rPr>
      </w:r>
      <w:r>
        <w:rPr/>
        <w:t>应纳税所得额时，减记的金额予以转回。</w:t>
      </w:r>
    </w:p>
    <w:p>
      <w:pPr>
        <w:spacing w:line="357" w:lineRule="auto" w:before="128"/>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）递延所得税负债的确认</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本公司所有应纳税暂时性差异均按预计转回期间的所得税税率计量对所得税的影响，并将该影响额确</w:t>
      </w:r>
    </w:p>
    <w:p>
      <w:pPr>
        <w:pStyle w:val="BodyText"/>
        <w:spacing w:line="209" w:lineRule="exact"/>
        <w:ind w:right="0"/>
        <w:jc w:val="left"/>
      </w:pPr>
      <w:r>
        <w:rPr/>
        <w:t>认为递延所得税负债，但下列情况的除外：</w:t>
      </w:r>
    </w:p>
    <w:p>
      <w:pPr>
        <w:pStyle w:val="BodyText"/>
        <w:spacing w:line="432" w:lineRule="exact" w:before="57"/>
        <w:ind w:left="633" w:right="0"/>
        <w:jc w:val="left"/>
      </w:pPr>
      <w:r>
        <w:rPr/>
        <w:t>①因下列交易或事项中产生的应纳税暂时性差异对所得税的影响不确认为递延所得税负债：</w:t>
      </w:r>
      <w:r>
        <w:rPr>
          <w:w w:val="100"/>
        </w:rPr>
        <w:t> </w:t>
      </w:r>
      <w:r>
        <w:rPr>
          <w:rFonts w:ascii="Times New Roman" w:hAnsi="Times New Roman" w:cs="Times New Roman" w:eastAsia="Times New Roman" w:hint="default"/>
        </w:rPr>
        <w:t>A.</w:t>
      </w:r>
      <w:r>
        <w:rPr/>
        <w:t>商誉的初始确认；</w:t>
      </w:r>
      <w:r>
        <w:rPr>
          <w:w w:val="100"/>
        </w:rPr>
        <w:t> </w:t>
      </w:r>
      <w:r>
        <w:rPr>
          <w:rFonts w:ascii="Times New Roman" w:hAnsi="Times New Roman" w:cs="Times New Roman" w:eastAsia="Times New Roman" w:hint="default"/>
          <w:spacing w:val="-3"/>
        </w:rPr>
        <w:t>B.</w:t>
      </w:r>
      <w:r>
        <w:rPr>
          <w:spacing w:val="-3"/>
        </w:rPr>
        <w:t>具有以下特征的交易中产生的资产或负债的初始确认：该交易不是企业合并，并且交易发生时既不</w:t>
      </w:r>
    </w:p>
    <w:p>
      <w:pPr>
        <w:pStyle w:val="BodyText"/>
        <w:spacing w:line="255" w:lineRule="exact"/>
        <w:ind w:right="0"/>
        <w:jc w:val="left"/>
      </w:pPr>
      <w:r>
        <w:rPr/>
        <w:t>影响会计利润也不影响应纳税所得额或可抵扣亏损。</w:t>
      </w:r>
    </w:p>
    <w:p>
      <w:pPr>
        <w:pStyle w:val="BodyText"/>
        <w:spacing w:line="273" w:lineRule="auto" w:before="157"/>
        <w:ind w:right="189" w:firstLine="480"/>
        <w:jc w:val="both"/>
      </w:pPr>
      <w:r>
        <w:rPr>
          <w:spacing w:val="-4"/>
        </w:rPr>
        <w:t>②本公司对与子公司、合营企业及联营企业投资相关的应纳税暂时性差异，其对所得税的影响额一般</w:t>
      </w:r>
      <w:r>
        <w:rPr>
          <w:w w:val="100"/>
        </w:rPr>
        <w:t> </w:t>
      </w:r>
      <w:r>
        <w:rPr/>
        <w:t>确认为递延所得税负债，但同时满足以下两项条件的除外：</w:t>
      </w:r>
    </w:p>
    <w:p>
      <w:pPr>
        <w:pStyle w:val="BodyText"/>
        <w:spacing w:line="357" w:lineRule="auto" w:before="128"/>
        <w:ind w:left="633" w:right="4608"/>
        <w:jc w:val="left"/>
      </w:pPr>
      <w:r>
        <w:rPr>
          <w:rFonts w:ascii="Times New Roman" w:hAnsi="Times New Roman" w:cs="Times New Roman" w:eastAsia="Times New Roman" w:hint="default"/>
        </w:rPr>
        <w:t>A.</w:t>
      </w:r>
      <w:r>
        <w:rPr/>
        <w:t>本公司能够控制暂时性差异转回的时间；</w:t>
      </w:r>
      <w:r>
        <w:rPr>
          <w:w w:val="100"/>
        </w:rPr>
        <w:t> </w:t>
      </w:r>
      <w:r>
        <w:rPr>
          <w:rFonts w:ascii="Times New Roman" w:hAnsi="Times New Roman" w:cs="Times New Roman" w:eastAsia="Times New Roman" w:hint="default"/>
          <w:spacing w:val="-2"/>
        </w:rPr>
        <w:t>B.</w:t>
      </w:r>
      <w:r>
        <w:rPr>
          <w:spacing w:val="-2"/>
        </w:rPr>
        <w:t>该暂时性差异在可预见的未来很可能不会转回。</w:t>
      </w:r>
    </w:p>
    <w:p>
      <w:pPr>
        <w:pStyle w:val="Heading4"/>
        <w:spacing w:line="240" w:lineRule="auto" w:before="27"/>
        <w:ind w:left="506" w:right="0"/>
        <w:jc w:val="left"/>
        <w:rPr>
          <w:b w:val="0"/>
          <w:bCs w:val="0"/>
        </w:rPr>
      </w:pP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pStyle w:val="BodyText"/>
        <w:spacing w:line="374" w:lineRule="auto" w:before="141"/>
        <w:ind w:left="633" w:right="0"/>
        <w:jc w:val="left"/>
      </w:pPr>
      <w:r>
        <w:rPr/>
        <w:t>①与企业合并相关的递延所得税负债或资产</w:t>
      </w:r>
      <w:r>
        <w:rPr>
          <w:w w:val="100"/>
        </w:rPr>
        <w:t> </w:t>
      </w:r>
      <w:r>
        <w:rPr>
          <w:spacing w:val="-4"/>
        </w:rPr>
        <w:t>非同一控制下企业合并产生的应纳税暂时性差异或可抵扣暂时性差异，在确认递延所得税负债或递延</w:t>
      </w:r>
    </w:p>
    <w:p>
      <w:pPr>
        <w:spacing w:after="0" w:line="374"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所得税资产的同时，相关的递延所得税费用（或收益），通常调整企业合并中所确认的商誉。</w:t>
      </w:r>
    </w:p>
    <w:p>
      <w:pPr>
        <w:pStyle w:val="BodyText"/>
        <w:spacing w:line="430" w:lineRule="atLeast" w:before="2"/>
        <w:ind w:left="633" w:right="116"/>
        <w:jc w:val="left"/>
      </w:pPr>
      <w:r>
        <w:rPr/>
        <w:t>②直接计入所有者权益的项目</w:t>
      </w:r>
      <w:r>
        <w:rPr>
          <w:w w:val="100"/>
        </w:rPr>
        <w:t> </w:t>
      </w:r>
      <w:r>
        <w:rPr>
          <w:spacing w:val="-4"/>
        </w:rPr>
        <w:t>与直接计入所有者权益的交易或者事项相关的当期所得税和递延所得税，计入所有者权益。暂时性差</w:t>
      </w:r>
    </w:p>
    <w:p>
      <w:pPr>
        <w:pStyle w:val="BodyText"/>
        <w:spacing w:line="273" w:lineRule="auto" w:before="37"/>
        <w:ind w:right="185"/>
        <w:jc w:val="both"/>
      </w:pPr>
      <w:r>
        <w:rPr>
          <w:spacing w:val="-2"/>
        </w:rPr>
        <w:t>异对所得税的影响计入所有者权益的交易或事项包括：可供出售金融资产公允价值变动等形成的其他综合</w:t>
      </w:r>
      <w:r>
        <w:rPr>
          <w:spacing w:val="-43"/>
        </w:rPr>
        <w:t> </w:t>
      </w:r>
      <w:r>
        <w:rPr>
          <w:spacing w:val="-43"/>
        </w:rPr>
      </w:r>
      <w:r>
        <w:rPr>
          <w:spacing w:val="-2"/>
        </w:rPr>
        <w:t>收益、会计政策变更采用追溯调整法或对前期（重要）会计差错更正差异追溯重述法调整期初留存收益、</w:t>
      </w:r>
      <w:r>
        <w:rPr>
          <w:spacing w:val="-21"/>
        </w:rPr>
        <w:t> </w:t>
      </w:r>
      <w:r>
        <w:rPr>
          <w:spacing w:val="-21"/>
        </w:rPr>
      </w:r>
      <w:r>
        <w:rPr/>
        <w:t>同时包含负债成份及权益成份的混合金融工具在初始确认时计入所有者权益等。</w:t>
      </w:r>
    </w:p>
    <w:p>
      <w:pPr>
        <w:pStyle w:val="BodyText"/>
        <w:spacing w:line="240" w:lineRule="auto" w:before="127"/>
        <w:ind w:left="633" w:right="116"/>
        <w:jc w:val="left"/>
      </w:pPr>
      <w:r>
        <w:rPr/>
        <w:t>③可弥补亏损和税款抵减</w:t>
      </w:r>
    </w:p>
    <w:p>
      <w:pPr>
        <w:pStyle w:val="BodyText"/>
        <w:spacing w:line="357" w:lineRule="auto" w:before="157"/>
        <w:ind w:left="633" w:right="116"/>
        <w:jc w:val="left"/>
      </w:pPr>
      <w:r>
        <w:rPr>
          <w:rFonts w:ascii="Times New Roman" w:hAnsi="Times New Roman" w:cs="Times New Roman" w:eastAsia="Times New Roman" w:hint="default"/>
        </w:rPr>
        <w:t>A.</w:t>
      </w:r>
      <w:r>
        <w:rPr/>
        <w:t>本公司自身经营产生的可弥补亏损以及税款抵减</w:t>
      </w:r>
      <w:r>
        <w:rPr>
          <w:w w:val="100"/>
        </w:rPr>
        <w:t> </w:t>
      </w:r>
      <w:r>
        <w:rPr>
          <w:spacing w:val="-4"/>
        </w:rPr>
        <w:t>可抵扣亏损是指按照税法规定计算确定的准予用以后年度的应纳税所得额弥补的亏损。对于按照税法</w:t>
      </w:r>
    </w:p>
    <w:p>
      <w:pPr>
        <w:pStyle w:val="BodyText"/>
        <w:spacing w:line="209" w:lineRule="exact"/>
        <w:ind w:right="0"/>
        <w:jc w:val="both"/>
      </w:pPr>
      <w:r>
        <w:rPr/>
        <w:t>规定可以结转以后年度的未弥补亏损（可抵扣亏损）和税款抵减，视同可抵扣暂时性差异处理。在预计可</w:t>
      </w:r>
    </w:p>
    <w:p>
      <w:pPr>
        <w:pStyle w:val="BodyText"/>
        <w:spacing w:line="273" w:lineRule="auto" w:before="37"/>
        <w:ind w:right="206"/>
        <w:jc w:val="both"/>
      </w:pPr>
      <w:r>
        <w:rPr>
          <w:spacing w:val="-2"/>
        </w:rPr>
        <w:t>利用可弥补亏损或税款抵减的未来期间内很可能取得足够的应纳税所得额时，以很可能取得的应纳税所得</w:t>
      </w:r>
      <w:r>
        <w:rPr>
          <w:spacing w:val="-43"/>
        </w:rPr>
        <w:t> </w:t>
      </w:r>
      <w:r>
        <w:rPr>
          <w:spacing w:val="-43"/>
        </w:rPr>
      </w:r>
      <w:r>
        <w:rPr/>
        <w:t>额为限，确认相应的递延所得税资产，同时减少当期利润表中的所得税费用。</w:t>
      </w:r>
    </w:p>
    <w:p>
      <w:pPr>
        <w:pStyle w:val="BodyText"/>
        <w:spacing w:line="357" w:lineRule="auto" w:before="127"/>
        <w:ind w:left="633" w:right="116"/>
        <w:jc w:val="left"/>
      </w:pPr>
      <w:r>
        <w:rPr>
          <w:rFonts w:ascii="Times New Roman" w:hAnsi="Times New Roman" w:cs="Times New Roman" w:eastAsia="Times New Roman" w:hint="default"/>
        </w:rPr>
        <w:t>B.</w:t>
      </w:r>
      <w:r>
        <w:rPr/>
        <w:t>因企业合并而形成的可弥补的被合并企业的未弥补亏损</w:t>
      </w:r>
      <w:r>
        <w:rPr>
          <w:w w:val="100"/>
        </w:rPr>
        <w:t> </w:t>
      </w:r>
      <w:r>
        <w:rPr>
          <w:spacing w:val="-4"/>
        </w:rPr>
        <w:t>在企业合并中，本公司取得被购买方的可抵扣暂时性差异，在购买日不符合递延所得税资产确认条件</w:t>
      </w:r>
    </w:p>
    <w:p>
      <w:pPr>
        <w:pStyle w:val="BodyText"/>
        <w:spacing w:line="225" w:lineRule="exact"/>
        <w:ind w:right="0"/>
        <w:jc w:val="both"/>
      </w:pPr>
      <w:r>
        <w:rPr/>
        <w:t>的，不予以确认。购买日后</w:t>
      </w:r>
      <w:r>
        <w:rPr>
          <w:rFonts w:ascii="Times New Roman" w:hAnsi="Times New Roman" w:cs="Times New Roman" w:eastAsia="Times New Roman" w:hint="default"/>
        </w:rPr>
        <w:t>12</w:t>
      </w:r>
      <w:r>
        <w:rPr/>
        <w:t>个月内，如取得新的或进一步的信息表明购买日的相关情况已经存在，预期</w:t>
      </w:r>
    </w:p>
    <w:p>
      <w:pPr>
        <w:pStyle w:val="BodyText"/>
        <w:spacing w:line="273" w:lineRule="auto" w:before="21"/>
        <w:ind w:right="206"/>
        <w:jc w:val="both"/>
      </w:pPr>
      <w:r>
        <w:rPr>
          <w:spacing w:val="-2"/>
        </w:rPr>
        <w:t>被购买方在购买日可抵扣暂时性差异带来的经济利益能够实现的，确认相关的递延所得税资产，同时减少</w:t>
      </w:r>
      <w:r>
        <w:rPr>
          <w:spacing w:val="-42"/>
        </w:rPr>
        <w:t> </w:t>
      </w:r>
      <w:r>
        <w:rPr>
          <w:spacing w:val="-42"/>
        </w:rPr>
      </w:r>
      <w:r>
        <w:rPr>
          <w:spacing w:val="-2"/>
        </w:rPr>
        <w:t>商誉，商誉不足冲减的，差额部分确认为当期损益；除上述情况以外，确认与企业合并相关的递延所得税</w:t>
      </w:r>
      <w:r>
        <w:rPr>
          <w:spacing w:val="-44"/>
        </w:rPr>
        <w:t> </w:t>
      </w:r>
      <w:r>
        <w:rPr>
          <w:spacing w:val="-44"/>
        </w:rPr>
      </w:r>
      <w:r>
        <w:rPr/>
        <w:t>资产，计入当期损益。</w:t>
      </w:r>
    </w:p>
    <w:p>
      <w:pPr>
        <w:pStyle w:val="BodyText"/>
        <w:spacing w:line="432" w:lineRule="exact" w:before="27"/>
        <w:ind w:left="633" w:right="116"/>
        <w:jc w:val="left"/>
      </w:pPr>
      <w:r>
        <w:rPr/>
        <w:t>④合并抵销形成的暂时性差异</w:t>
      </w:r>
      <w:r>
        <w:rPr>
          <w:w w:val="100"/>
        </w:rPr>
        <w:t> </w:t>
      </w:r>
      <w:r>
        <w:rPr>
          <w:spacing w:val="-4"/>
        </w:rPr>
        <w:t>本公司在编制合并财务报表时，因抵销未实现内部销售损益导致合并资产负债表中资产、负债的账面</w:t>
      </w:r>
    </w:p>
    <w:p>
      <w:pPr>
        <w:pStyle w:val="BodyText"/>
        <w:spacing w:line="255" w:lineRule="exact"/>
        <w:ind w:right="0"/>
        <w:jc w:val="both"/>
      </w:pPr>
      <w:r>
        <w:rPr/>
        <w:t>价值与其在所属纳税主体的计税基础之间产生暂时性差异的，在合并资产负债表中确认递延所得税资产或</w:t>
      </w:r>
    </w:p>
    <w:p>
      <w:pPr>
        <w:pStyle w:val="BodyText"/>
        <w:spacing w:line="273" w:lineRule="auto" w:before="37"/>
        <w:ind w:right="206"/>
        <w:jc w:val="both"/>
      </w:pPr>
      <w:r>
        <w:rPr>
          <w:spacing w:val="-2"/>
        </w:rPr>
        <w:t>递延所得税负债，同时调整合并利润表中的所得税费用，但与直接计入所有者权益的交易或事项及企业合</w:t>
      </w:r>
      <w:r>
        <w:rPr>
          <w:spacing w:val="-42"/>
        </w:rPr>
        <w:t> </w:t>
      </w:r>
      <w:r>
        <w:rPr>
          <w:spacing w:val="-42"/>
        </w:rPr>
      </w:r>
      <w:r>
        <w:rPr/>
        <w:t>并相关的递延所得税除外。</w:t>
      </w:r>
    </w:p>
    <w:p>
      <w:pPr>
        <w:pStyle w:val="BodyText"/>
        <w:spacing w:line="432" w:lineRule="exact" w:before="27"/>
        <w:ind w:left="633" w:right="116"/>
        <w:jc w:val="left"/>
      </w:pPr>
      <w:r>
        <w:rPr/>
        <w:t>⑤以权益结算的股份支付</w:t>
      </w:r>
      <w:r>
        <w:rPr>
          <w:w w:val="100"/>
        </w:rPr>
        <w:t> </w:t>
      </w:r>
      <w:r>
        <w:rPr>
          <w:spacing w:val="-4"/>
        </w:rPr>
        <w:t>如果税法规定与股份支付相关的支出允许税前扣除，在按照会计准则规定确认成本费用的期间内，本</w:t>
      </w:r>
    </w:p>
    <w:p>
      <w:pPr>
        <w:pStyle w:val="BodyText"/>
        <w:spacing w:line="255" w:lineRule="exact"/>
        <w:ind w:right="0"/>
        <w:jc w:val="both"/>
      </w:pPr>
      <w:r>
        <w:rPr/>
        <w:t>公司根据会计期末取得信息估计可税前扣除的金额计算确定其计税基础及由此产生的暂时性差异，符合确</w:t>
      </w:r>
    </w:p>
    <w:p>
      <w:pPr>
        <w:pStyle w:val="BodyText"/>
        <w:spacing w:line="273" w:lineRule="auto" w:before="37"/>
        <w:ind w:right="206"/>
        <w:jc w:val="both"/>
      </w:pPr>
      <w:r>
        <w:rPr>
          <w:spacing w:val="-2"/>
        </w:rPr>
        <w:t>认条件的情况下确认相关的递延所得税。其中预计未来期间可税前扣除的金额超过按照会计准则规定确认</w:t>
      </w:r>
      <w:r>
        <w:rPr>
          <w:spacing w:val="-43"/>
        </w:rPr>
        <w:t> </w:t>
      </w:r>
      <w:r>
        <w:rPr>
          <w:spacing w:val="-43"/>
        </w:rPr>
      </w:r>
      <w:r>
        <w:rPr/>
        <w:t>的与股份支付相关的成本费用，超过部分的所得税影响应直接计入所得税权益。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25</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6" w:firstLine="480"/>
        <w:jc w:val="left"/>
      </w:pPr>
      <w:r>
        <w:rPr>
          <w:spacing w:val="-4"/>
        </w:rPr>
        <w:t>①本公司作为经营租赁承租人时，将经营租赁的租金支出，在租赁期内各个期间按照直线法或根据租</w:t>
      </w:r>
      <w:r>
        <w:rPr>
          <w:w w:val="100"/>
        </w:rPr>
        <w:t> </w:t>
      </w:r>
      <w:r>
        <w:rPr>
          <w:spacing w:val="-5"/>
        </w:rPr>
        <w:t>赁资产的使用量计入当期损益。出租人提供免租期的，本公司将租金总额在不扣除免租期的整个租赁期内， </w:t>
      </w:r>
      <w:r>
        <w:rPr>
          <w:spacing w:val="-5"/>
        </w:rPr>
      </w:r>
      <w:r>
        <w:rPr>
          <w:spacing w:val="-2"/>
        </w:rPr>
        <w:t>按直线法或其他合理的方法进行分摊，免租期内确认租金费用及相应的负债。出租人承担了承租人某些费</w:t>
      </w:r>
      <w:r>
        <w:rPr>
          <w:spacing w:val="-44"/>
        </w:rPr>
        <w:t> </w:t>
      </w:r>
      <w:r>
        <w:rPr>
          <w:spacing w:val="-44"/>
        </w:rPr>
      </w:r>
      <w:r>
        <w:rPr/>
        <w:t>用的，本公司按该费用从租金费用总额中扣除后的租金费用余额在租赁期内进行分摊。</w:t>
      </w:r>
    </w:p>
    <w:p>
      <w:pPr>
        <w:pStyle w:val="BodyText"/>
        <w:spacing w:line="240" w:lineRule="auto" w:before="127"/>
        <w:ind w:left="633" w:right="116"/>
        <w:jc w:val="left"/>
      </w:pPr>
      <w:r>
        <w:rPr/>
        <w:t>初始直接费用，计入当期损益。如协议约定或有租金的在实际发生时计入当期损益。</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206" w:firstLine="480"/>
        <w:jc w:val="both"/>
      </w:pPr>
      <w:r>
        <w:rPr>
          <w:spacing w:val="-4"/>
        </w:rPr>
        <w:t>②本公司作为经营租赁出租人时，采用直线法将收到的租金在租赁期内确认为收益。出租人提供免租</w:t>
      </w:r>
      <w:r>
        <w:rPr>
          <w:w w:val="100"/>
        </w:rPr>
        <w:t> </w:t>
      </w:r>
      <w:r>
        <w:rPr>
          <w:spacing w:val="-2"/>
        </w:rPr>
        <w:t>期的，出租人将租金总额在不扣除免租期的整个租赁期内，按直线法或其他合理的方法进行分配，免租期</w:t>
      </w:r>
      <w:r>
        <w:rPr>
          <w:spacing w:val="-43"/>
        </w:rPr>
        <w:t> </w:t>
      </w:r>
      <w:r>
        <w:rPr>
          <w:spacing w:val="-43"/>
        </w:rPr>
      </w:r>
      <w:r>
        <w:rPr>
          <w:spacing w:val="-2"/>
        </w:rPr>
        <w:t>内出租人也确认租金收入。承担了承租人某些费用的，本公司按该费用自租金收入总额中扣除后的租金收</w:t>
      </w:r>
      <w:r>
        <w:rPr>
          <w:spacing w:val="-44"/>
        </w:rPr>
        <w:t> </w:t>
      </w:r>
      <w:r>
        <w:rPr>
          <w:spacing w:val="-44"/>
        </w:rPr>
      </w:r>
      <w:r>
        <w:rPr/>
        <w:t>入余额在租赁期内进行分配。</w:t>
      </w:r>
    </w:p>
    <w:p>
      <w:pPr>
        <w:pStyle w:val="BodyText"/>
        <w:spacing w:line="273" w:lineRule="auto" w:before="127"/>
        <w:ind w:right="208" w:firstLine="480"/>
        <w:jc w:val="both"/>
      </w:pPr>
      <w:r>
        <w:rPr>
          <w:spacing w:val="-4"/>
        </w:rPr>
        <w:t>初始直接费用，计入当期损益。金额较大的予以资本化，在整个经营租赁期内按照与确认租金收入相</w:t>
      </w:r>
      <w:r>
        <w:rPr>
          <w:w w:val="100"/>
        </w:rPr>
        <w:t> </w:t>
      </w:r>
      <w:r>
        <w:rPr/>
        <w:t>同的基础分期计入当期损益。如协议约定或有租金的在实际发生时计入当期收益。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3" w:firstLine="480"/>
        <w:jc w:val="both"/>
      </w:pPr>
      <w:r>
        <w:rPr>
          <w:spacing w:val="-4"/>
        </w:rPr>
        <w:t>①本公司作为融资租赁承租人时，在租赁期开始日，将租赁开始日租赁资产公允价值与最低租赁付款</w:t>
      </w:r>
      <w:r>
        <w:rPr>
          <w:w w:val="100"/>
        </w:rPr>
        <w:t> </w:t>
      </w:r>
      <w:r>
        <w:rPr>
          <w:spacing w:val="-2"/>
        </w:rPr>
        <w:t>额现值两者中较低者作为租入资产的入账价值，将最低租赁付款额作为长期应付款的入账价值，其差额作</w:t>
      </w:r>
      <w:r>
        <w:rPr>
          <w:spacing w:val="-43"/>
        </w:rPr>
        <w:t> </w:t>
      </w:r>
      <w:r>
        <w:rPr>
          <w:spacing w:val="-43"/>
        </w:rPr>
      </w:r>
      <w:r>
        <w:rPr>
          <w:spacing w:val="-5"/>
        </w:rPr>
        <w:t>为未确认融资费用。在租赁期内各个期间采用实际利率法进行分摊，确认为当期融资费用，计入财务费用。</w:t>
      </w:r>
    </w:p>
    <w:p>
      <w:pPr>
        <w:pStyle w:val="BodyText"/>
        <w:spacing w:line="432" w:lineRule="exact" w:before="28"/>
        <w:ind w:left="633" w:right="116"/>
        <w:jc w:val="left"/>
      </w:pPr>
      <w:r>
        <w:rPr/>
        <w:t>发生的初始直接费用，计入租入资产价值。</w:t>
      </w:r>
      <w:r>
        <w:rPr>
          <w:w w:val="100"/>
        </w:rPr>
        <w:t> </w:t>
      </w:r>
      <w:r>
        <w:rPr>
          <w:spacing w:val="-4"/>
        </w:rPr>
        <w:t>在计提融资租赁资产折旧时，本公司采用与自有应折旧资产相一致的折旧政策，折旧期间以租赁合同</w:t>
      </w:r>
    </w:p>
    <w:p>
      <w:pPr>
        <w:pStyle w:val="BodyText"/>
        <w:spacing w:line="255" w:lineRule="exact"/>
        <w:ind w:right="0"/>
        <w:jc w:val="both"/>
      </w:pPr>
      <w:r>
        <w:rPr/>
        <w:t>而定。如果能够合理确定租赁期届满时本公司将会取得租赁资产所有权，以租赁期开始日租赁资产的寿命</w:t>
      </w:r>
    </w:p>
    <w:p>
      <w:pPr>
        <w:pStyle w:val="BodyText"/>
        <w:spacing w:line="273" w:lineRule="auto" w:before="37"/>
        <w:ind w:right="206"/>
        <w:jc w:val="both"/>
      </w:pPr>
      <w:r>
        <w:rPr>
          <w:spacing w:val="-2"/>
        </w:rPr>
        <w:t>作为折旧期间；如果无法合理确定租赁期届满后本公司是否能够取得租赁资产的所有权，以租赁期与租赁</w:t>
      </w:r>
      <w:r>
        <w:rPr>
          <w:spacing w:val="-43"/>
        </w:rPr>
        <w:t> </w:t>
      </w:r>
      <w:r>
        <w:rPr>
          <w:spacing w:val="-43"/>
        </w:rPr>
      </w:r>
      <w:r>
        <w:rPr/>
        <w:t>资产寿命两者中较短者作为折旧期间。</w:t>
      </w:r>
    </w:p>
    <w:p>
      <w:pPr>
        <w:pStyle w:val="BodyText"/>
        <w:spacing w:line="273" w:lineRule="auto" w:before="127"/>
        <w:ind w:right="206"/>
        <w:jc w:val="both"/>
      </w:pPr>
      <w:r>
        <w:rPr>
          <w:spacing w:val="-2"/>
        </w:rPr>
        <w:t>②本公司作为融资租赁出租人时，于租赁期开始日将租赁开始日最低租赁应收款额与初始直接费用之和作</w:t>
      </w:r>
      <w:r>
        <w:rPr>
          <w:spacing w:val="-43"/>
        </w:rPr>
        <w:t> </w:t>
      </w:r>
      <w:r>
        <w:rPr>
          <w:spacing w:val="-43"/>
        </w:rPr>
      </w:r>
      <w:r>
        <w:rPr>
          <w:spacing w:val="-2"/>
        </w:rPr>
        <w:t>为应收融资租赁款的入账价值，计入资产负债表的长期应收款，同时记录未担保余值；将最低租赁应收款</w:t>
      </w:r>
      <w:r>
        <w:rPr>
          <w:spacing w:val="-44"/>
        </w:rPr>
        <w:t> </w:t>
      </w:r>
      <w:r>
        <w:rPr>
          <w:spacing w:val="-44"/>
        </w:rPr>
      </w:r>
      <w:r>
        <w:rPr>
          <w:spacing w:val="-2"/>
        </w:rPr>
        <w:t>额、初始直接费用及未担保余值之和与其现值之和的差额作为未实现融资收益，在租赁期内各个期间采用</w:t>
      </w:r>
      <w:r>
        <w:rPr>
          <w:spacing w:val="-44"/>
        </w:rPr>
        <w:t> </w:t>
      </w:r>
      <w:r>
        <w:rPr>
          <w:spacing w:val="-44"/>
        </w:rPr>
      </w:r>
      <w:r>
        <w:rPr/>
        <w:t>实际利率法确认为租赁收入，计入租赁收入</w:t>
      </w:r>
      <w:r>
        <w:rPr>
          <w:rFonts w:ascii="Times New Roman" w:hAnsi="Times New Roman" w:cs="Times New Roman" w:eastAsia="Times New Roman" w:hint="default"/>
        </w:rPr>
        <w:t>/</w:t>
      </w:r>
      <w:r>
        <w:rPr/>
        <w:t>业务业务收入。</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1"/>
          <w:szCs w:val="21"/>
        </w:rPr>
      </w:pPr>
    </w:p>
    <w:p>
      <w:pPr>
        <w:pStyle w:val="Heading2"/>
        <w:spacing w:line="240" w:lineRule="auto"/>
        <w:ind w:right="0"/>
        <w:jc w:val="both"/>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销项税和进项税的差额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bl>
    <w:p>
      <w:pPr>
        <w:pStyle w:val="BodyText"/>
        <w:spacing w:line="240" w:lineRule="auto" w:before="28"/>
        <w:ind w:right="116"/>
        <w:jc w:val="left"/>
      </w:pPr>
      <w:r>
        <w:rPr/>
        <w:t>存在不同企业所得税税率纳税主体的，披露情况说明</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四方同兴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天津京万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25%</w:t>
            </w:r>
          </w:p>
        </w:tc>
      </w:tr>
    </w:tbl>
    <w:p>
      <w:pPr>
        <w:spacing w:line="240" w:lineRule="auto" w:before="3"/>
        <w:rPr>
          <w:rFonts w:ascii="宋体" w:hAnsi="宋体" w:cs="宋体" w:eastAsia="宋体" w:hint="default"/>
          <w:sz w:val="19"/>
          <w:szCs w:val="19"/>
        </w:rPr>
      </w:pPr>
    </w:p>
    <w:p>
      <w:pPr>
        <w:pStyle w:val="Heading4"/>
        <w:spacing w:line="240" w:lineRule="auto" w:before="36"/>
        <w:ind w:right="116"/>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635" w:right="116"/>
        <w:jc w:val="left"/>
        <w:rPr>
          <w:b w:val="0"/>
          <w:bCs w:val="0"/>
        </w:rPr>
      </w:pPr>
      <w:r>
        <w:rPr>
          <w:rFonts w:ascii="Times New Roman" w:hAnsi="Times New Roman" w:cs="Times New Roman" w:eastAsia="Times New Roman" w:hint="default"/>
        </w:rPr>
        <w:t>(1)</w:t>
      </w:r>
      <w:r>
        <w:rPr/>
        <w:t>增值税</w:t>
      </w:r>
      <w:r>
        <w:rPr>
          <w:b w:val="0"/>
          <w:bCs w:val="0"/>
        </w:rPr>
      </w:r>
    </w:p>
    <w:p>
      <w:pPr>
        <w:spacing w:after="0" w:line="240" w:lineRule="auto"/>
        <w:jc w:val="left"/>
        <w:sectPr>
          <w:footerReference w:type="default" r:id="rId14"/>
          <w:pgSz w:w="11910" w:h="16840"/>
          <w:pgMar w:footer="980" w:header="745" w:top="1060" w:bottom="1160" w:left="980" w:right="920"/>
        </w:sectPr>
      </w:pPr>
    </w:p>
    <w:p>
      <w:pPr>
        <w:spacing w:line="240" w:lineRule="auto" w:before="10"/>
        <w:rPr>
          <w:rFonts w:ascii="宋体" w:hAnsi="宋体" w:cs="宋体" w:eastAsia="宋体" w:hint="default"/>
          <w:b/>
          <w:bCs/>
          <w:sz w:val="24"/>
          <w:szCs w:val="24"/>
        </w:rPr>
      </w:pPr>
    </w:p>
    <w:p>
      <w:pPr>
        <w:pStyle w:val="BodyText"/>
        <w:spacing w:line="256" w:lineRule="auto" w:before="36"/>
        <w:ind w:right="116" w:firstLine="480"/>
        <w:jc w:val="left"/>
      </w:pPr>
      <w:r>
        <w:rPr/>
        <w:t>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日财政部、国家税务总局《关于软件产品增值税政策的通知》（财税【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rFonts w:ascii="Times New Roman" w:hAnsi="Times New Roman" w:cs="Times New Roman" w:eastAsia="Times New Roman" w:hint="default"/>
          <w:w w:val="100"/>
        </w:rPr>
        <w:t> </w:t>
      </w:r>
      <w:r>
        <w:rPr>
          <w:spacing w:val="-6"/>
          <w:w w:val="100"/>
        </w:rPr>
        <w:t>号）的规定，本公司自</w:t>
      </w:r>
      <w:r>
        <w:rPr>
          <w:rFonts w:ascii="Times New Roman" w:hAnsi="Times New Roman" w:cs="Times New Roman" w:eastAsia="Times New Roman" w:hint="default"/>
          <w:spacing w:val="-6"/>
          <w:w w:val="100"/>
        </w:rPr>
        <w:t>2012</w:t>
      </w:r>
      <w:r>
        <w:rPr>
          <w:spacing w:val="-6"/>
          <w:w w:val="100"/>
        </w:rPr>
        <w:t>年</w:t>
      </w:r>
      <w:r>
        <w:rPr>
          <w:rFonts w:ascii="Times New Roman" w:hAnsi="Times New Roman" w:cs="Times New Roman" w:eastAsia="Times New Roman" w:hint="default"/>
          <w:spacing w:val="-6"/>
          <w:w w:val="100"/>
        </w:rPr>
        <w:t>1</w:t>
      </w:r>
      <w:r>
        <w:rPr>
          <w:spacing w:val="-6"/>
          <w:w w:val="100"/>
        </w:rPr>
        <w:t>月</w:t>
      </w:r>
      <w:r>
        <w:rPr>
          <w:rFonts w:ascii="Times New Roman" w:hAnsi="Times New Roman" w:cs="Times New Roman" w:eastAsia="Times New Roman" w:hint="default"/>
          <w:spacing w:val="-6"/>
          <w:w w:val="100"/>
        </w:rPr>
        <w:t>1</w:t>
      </w:r>
      <w:r>
        <w:rPr>
          <w:spacing w:val="-6"/>
          <w:w w:val="100"/>
        </w:rPr>
        <w:t>日起继续享受软件产品增值税实际税负超过</w:t>
      </w:r>
      <w:r>
        <w:rPr>
          <w:rFonts w:ascii="Times New Roman" w:hAnsi="Times New Roman" w:cs="Times New Roman" w:eastAsia="Times New Roman" w:hint="default"/>
          <w:spacing w:val="-6"/>
          <w:w w:val="100"/>
        </w:rPr>
        <w:t>3%</w:t>
      </w:r>
      <w:r>
        <w:rPr>
          <w:spacing w:val="-6"/>
          <w:w w:val="100"/>
        </w:rPr>
        <w:t>的部分即征即退优惠政策。</w:t>
      </w:r>
    </w:p>
    <w:p>
      <w:pPr>
        <w:pStyle w:val="Heading4"/>
        <w:spacing w:line="240" w:lineRule="auto" w:before="125"/>
        <w:ind w:left="635" w:right="116"/>
        <w:jc w:val="left"/>
        <w:rPr>
          <w:b w:val="0"/>
          <w:bCs w:val="0"/>
        </w:rPr>
      </w:pPr>
      <w:r>
        <w:rPr>
          <w:rFonts w:ascii="Times New Roman" w:hAnsi="Times New Roman" w:cs="Times New Roman" w:eastAsia="Times New Roman" w:hint="default"/>
        </w:rPr>
        <w:t>(2)</w:t>
      </w:r>
      <w:r>
        <w:rPr/>
        <w:t>企业所得税</w:t>
      </w:r>
      <w:r>
        <w:rPr>
          <w:b w:val="0"/>
          <w:bCs w:val="0"/>
        </w:rPr>
      </w:r>
    </w:p>
    <w:p>
      <w:pPr>
        <w:pStyle w:val="BodyText"/>
        <w:spacing w:line="256" w:lineRule="auto" w:before="141"/>
        <w:ind w:right="206" w:firstLine="480"/>
        <w:jc w:val="both"/>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月经北京市科学技术委员会、北京市财政局、北京市国家税务局、北京市地方税务局认定为</w:t>
      </w:r>
      <w:r>
        <w:rPr>
          <w:w w:val="100"/>
        </w:rPr>
        <w:t> </w:t>
      </w:r>
      <w:r>
        <w:rPr/>
        <w:t>高新技术企业，证书编号：</w:t>
      </w:r>
      <w:r>
        <w:rPr>
          <w:rFonts w:ascii="Times New Roman" w:hAnsi="Times New Roman" w:cs="Times New Roman" w:eastAsia="Times New Roman" w:hint="default"/>
        </w:rPr>
        <w:t>GR201411000136</w:t>
      </w:r>
      <w:r>
        <w:rPr/>
        <w:t>，有效期三年。</w:t>
      </w:r>
      <w:r>
        <w:rPr>
          <w:rFonts w:ascii="Times New Roman" w:hAnsi="Times New Roman" w:cs="Times New Roman" w:eastAsia="Times New Roman" w:hint="default"/>
        </w:rPr>
        <w:t>2014-2016</w:t>
      </w:r>
      <w:r>
        <w:rPr/>
        <w:t>年度享受</w:t>
      </w:r>
      <w:r>
        <w:rPr>
          <w:rFonts w:ascii="Times New Roman" w:hAnsi="Times New Roman" w:cs="Times New Roman" w:eastAsia="Times New Roman" w:hint="default"/>
        </w:rPr>
        <w:t>15%</w:t>
      </w:r>
      <w:r>
        <w:rPr/>
        <w:t>的企业所得税优惠税</w:t>
      </w:r>
      <w:r>
        <w:rPr>
          <w:spacing w:val="-39"/>
        </w:rPr>
        <w:t> </w:t>
      </w:r>
      <w:r>
        <w:rPr>
          <w:spacing w:val="-39"/>
        </w:rPr>
      </w:r>
      <w:r>
        <w:rPr/>
        <w:t>率。</w:t>
      </w:r>
    </w:p>
    <w:p>
      <w:pPr>
        <w:pStyle w:val="BodyText"/>
        <w:spacing w:line="261" w:lineRule="auto" w:before="142"/>
        <w:ind w:right="206" w:firstLine="480"/>
        <w:jc w:val="both"/>
      </w:pPr>
      <w:r>
        <w:rPr>
          <w:spacing w:val="-4"/>
        </w:rPr>
        <w:t>根据《国家税务总局关于高新技术企业资格复审期间企业所得税预缴问题的公告》（国家税务总局公</w:t>
      </w:r>
      <w:r>
        <w:rPr>
          <w:w w:val="100"/>
        </w:rPr>
        <w:t> </w:t>
      </w:r>
      <w:r>
        <w:rPr/>
        <w:t>告</w:t>
      </w:r>
      <w:r>
        <w:rPr>
          <w:rFonts w:ascii="Times New Roman" w:hAnsi="Times New Roman" w:cs="Times New Roman" w:eastAsia="Times New Roman" w:hint="default"/>
        </w:rPr>
        <w:t>2011</w:t>
      </w:r>
      <w:r>
        <w:rPr/>
        <w:t>年第</w:t>
      </w:r>
      <w:r>
        <w:rPr>
          <w:rFonts w:ascii="Times New Roman" w:hAnsi="Times New Roman" w:cs="Times New Roman" w:eastAsia="Times New Roman" w:hint="default"/>
        </w:rPr>
        <w:t>4</w:t>
      </w:r>
      <w:r>
        <w:rPr/>
        <w:t>号）规定，高新技术企业应在资格期满前三个月内提出复审申请，在通过复审之前，在其高</w:t>
      </w:r>
      <w:r>
        <w:rPr>
          <w:spacing w:val="-30"/>
        </w:rPr>
        <w:t> </w:t>
      </w:r>
      <w:r>
        <w:rPr>
          <w:spacing w:val="-30"/>
        </w:rPr>
      </w:r>
      <w:r>
        <w:rPr>
          <w:spacing w:val="-2"/>
        </w:rPr>
        <w:t>新技术企业资格有效期内，其当年企业所得税暂按</w:t>
      </w:r>
      <w:r>
        <w:rPr>
          <w:rFonts w:ascii="Times New Roman" w:hAnsi="Times New Roman" w:cs="Times New Roman" w:eastAsia="Times New Roman" w:hint="default"/>
          <w:spacing w:val="-2"/>
        </w:rPr>
        <w:t>15%</w:t>
      </w:r>
      <w:r>
        <w:rPr>
          <w:spacing w:val="-2"/>
        </w:rPr>
        <w:t>税率预缴。本公司之子公司万向新元工程已经过复</w:t>
      </w:r>
      <w:r>
        <w:rPr>
          <w:spacing w:val="-5"/>
        </w:rPr>
        <w:t> </w:t>
      </w:r>
      <w:r>
        <w:rPr>
          <w:spacing w:val="-5"/>
        </w:rPr>
      </w:r>
      <w:r>
        <w:rPr/>
        <w:t>审公示期，</w:t>
      </w:r>
      <w:r>
        <w:rPr>
          <w:rFonts w:ascii="Times New Roman" w:hAnsi="Times New Roman" w:cs="Times New Roman" w:eastAsia="Times New Roman" w:hint="default"/>
        </w:rPr>
        <w:t>2015</w:t>
      </w:r>
      <w:r>
        <w:rPr/>
        <w:t>年度暂执行</w:t>
      </w:r>
      <w:r>
        <w:rPr>
          <w:rFonts w:ascii="Times New Roman" w:hAnsi="Times New Roman" w:cs="Times New Roman" w:eastAsia="Times New Roman" w:hint="default"/>
        </w:rPr>
        <w:t>15%</w:t>
      </w:r>
      <w:r>
        <w:rPr/>
        <w:t>的所得税优惠税率。</w:t>
      </w:r>
    </w:p>
    <w:p>
      <w:pPr>
        <w:pStyle w:val="BodyText"/>
        <w:spacing w:line="256" w:lineRule="auto" w:before="120"/>
        <w:ind w:right="209" w:firstLine="48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月本公司之子公司芜湖万向经安徽省科学技术厅、安徽省财政局、安徽省国家税务局、安徽</w:t>
      </w:r>
      <w:r>
        <w:rPr>
          <w:w w:val="100"/>
        </w:rPr>
        <w:t> </w:t>
      </w:r>
      <w:r>
        <w:rPr/>
        <w:t>省地方税务局认定为高新技术企业，证书编号：</w:t>
      </w:r>
      <w:r>
        <w:rPr>
          <w:rFonts w:ascii="Times New Roman" w:hAnsi="Times New Roman" w:cs="Times New Roman" w:eastAsia="Times New Roman" w:hint="default"/>
        </w:rPr>
        <w:t>GR201434000215</w:t>
      </w:r>
      <w:r>
        <w:rPr/>
        <w:t>，有效期三年。</w:t>
      </w:r>
      <w:r>
        <w:rPr>
          <w:rFonts w:ascii="Times New Roman" w:hAnsi="Times New Roman" w:cs="Times New Roman" w:eastAsia="Times New Roman" w:hint="default"/>
        </w:rPr>
        <w:t>2014-2016</w:t>
      </w:r>
      <w:r>
        <w:rPr/>
        <w:t>年度享受</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的企业所得税优惠税率。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487" w:lineRule="auto" w:before="0"/>
        <w:ind w:left="152" w:right="69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84"/>
        <w:ind w:left="0" w:right="2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197,418.20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41,698.72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84,369,344.86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58,788,147.20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7,992,681.71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7,865,020.59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92,559,444.77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66,694,866.51</w:t>
            </w:r>
          </w:p>
        </w:tc>
      </w:tr>
    </w:tbl>
    <w:p>
      <w:pPr>
        <w:pStyle w:val="BodyText"/>
        <w:spacing w:line="240" w:lineRule="auto" w:before="28"/>
        <w:ind w:right="116"/>
        <w:jc w:val="left"/>
      </w:pPr>
      <w:r>
        <w:rPr/>
        <w:t>其他说明</w:t>
      </w:r>
    </w:p>
    <w:p>
      <w:pPr>
        <w:pStyle w:val="BodyText"/>
        <w:spacing w:line="256" w:lineRule="auto" w:before="157"/>
        <w:ind w:right="116" w:firstLine="480"/>
        <w:jc w:val="left"/>
      </w:pPr>
      <w:r>
        <w:rPr>
          <w:rFonts w:ascii="Times New Roman" w:hAnsi="Times New Roman" w:cs="Times New Roman" w:eastAsia="Times New Roman" w:hint="default"/>
          <w:spacing w:val="-1"/>
        </w:rPr>
        <w:t>(1)</w:t>
      </w:r>
      <w:r>
        <w:rPr>
          <w:spacing w:val="-1"/>
        </w:rPr>
        <w:t>其他货币资金中</w:t>
      </w:r>
      <w:r>
        <w:rPr>
          <w:rFonts w:ascii="Times New Roman" w:hAnsi="Times New Roman" w:cs="Times New Roman" w:eastAsia="Times New Roman" w:hint="default"/>
          <w:spacing w:val="-1"/>
        </w:rPr>
        <w:t>7,992,681.71</w:t>
      </w:r>
      <w:r>
        <w:rPr>
          <w:spacing w:val="-1"/>
        </w:rPr>
        <w:t>元系本公司为开具银行承兑汇票存入的保证金，除此之外，期末货币</w:t>
      </w:r>
      <w:r>
        <w:rPr>
          <w:w w:val="100"/>
        </w:rPr>
        <w:t> </w:t>
      </w:r>
      <w:r>
        <w:rPr/>
        <w:t>资金中无其他因抵押、质押或冻结等对使用有限制、有潜在回收风险的款项。</w:t>
      </w:r>
    </w:p>
    <w:p>
      <w:pPr>
        <w:pStyle w:val="BodyText"/>
        <w:spacing w:line="240" w:lineRule="auto" w:before="142"/>
        <w:ind w:left="633" w:right="116"/>
        <w:jc w:val="left"/>
      </w:pPr>
      <w:r>
        <w:rPr>
          <w:rFonts w:ascii="Times New Roman" w:hAnsi="Times New Roman" w:cs="Times New Roman" w:eastAsia="Times New Roman" w:hint="default"/>
        </w:rPr>
        <w:t>(2)</w:t>
      </w:r>
      <w:r>
        <w:rPr/>
        <w:t>货币资金期末较期初增长</w:t>
      </w:r>
      <w:r>
        <w:rPr>
          <w:rFonts w:ascii="Times New Roman" w:hAnsi="Times New Roman" w:cs="Times New Roman" w:eastAsia="Times New Roman" w:hint="default"/>
        </w:rPr>
        <w:t>38.78%</w:t>
      </w:r>
      <w:r>
        <w:rPr/>
        <w:t>，主要系公司收到募集资金所致。</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116"/>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2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99"/>
              <w:jc w:val="left"/>
              <w:rPr>
                <w:rFonts w:ascii="宋体" w:hAnsi="宋体" w:cs="宋体" w:eastAsia="宋体" w:hint="default"/>
                <w:sz w:val="21"/>
                <w:szCs w:val="21"/>
              </w:rPr>
            </w:pPr>
            <w:r>
              <w:rPr>
                <w:rFonts w:ascii="宋体" w:hAnsi="宋体" w:cs="宋体" w:eastAsia="宋体" w:hint="default"/>
                <w:spacing w:val="-2"/>
                <w:sz w:val="21"/>
                <w:szCs w:val="21"/>
              </w:rPr>
              <w:t>指定以公允价值计量且其变动计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入当期损益的金融资产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51" w:right="0"/>
              <w:jc w:val="left"/>
              <w:rPr>
                <w:rFonts w:ascii="Times New Roman" w:hAnsi="Times New Roman" w:cs="Times New Roman" w:eastAsia="Times New Roman" w:hint="default"/>
                <w:sz w:val="21"/>
                <w:szCs w:val="21"/>
              </w:rPr>
            </w:pPr>
            <w:r>
              <w:rPr>
                <w:rFonts w:ascii="Times New Roman"/>
                <w:sz w:val="21"/>
              </w:rPr>
              <w:t>60,646,416.67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80" w:header="745" w:top="1060" w:bottom="1160" w:left="980" w:right="920"/>
          <w:pgNumType w:start="101"/>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1" w:right="0"/>
              <w:jc w:val="left"/>
              <w:rPr>
                <w:rFonts w:ascii="Times New Roman" w:hAnsi="Times New Roman" w:cs="Times New Roman" w:eastAsia="Times New Roman" w:hint="default"/>
                <w:sz w:val="21"/>
                <w:szCs w:val="21"/>
              </w:rPr>
            </w:pPr>
            <w:r>
              <w:rPr>
                <w:rFonts w:ascii="Times New Roman"/>
                <w:sz w:val="21"/>
              </w:rPr>
              <w:t>60,646,416.67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53"/>
        <w:jc w:val="left"/>
      </w:pPr>
      <w:r>
        <w:rPr/>
        <w:t>其他说明：</w:t>
      </w:r>
    </w:p>
    <w:p>
      <w:pPr>
        <w:pStyle w:val="BodyText"/>
        <w:spacing w:line="256" w:lineRule="auto" w:before="157"/>
        <w:ind w:right="153" w:firstLine="480"/>
        <w:jc w:val="left"/>
      </w:pPr>
      <w:r>
        <w:rPr>
          <w:spacing w:val="-1"/>
        </w:rPr>
        <w:t>以公允价值计量且其变动计入当期损益的金融资产系本公司购买中信理财之智赢系列（对公）</w:t>
      </w:r>
      <w:r>
        <w:rPr>
          <w:rFonts w:ascii="Times New Roman" w:hAnsi="Times New Roman" w:cs="Times New Roman" w:eastAsia="Times New Roman" w:hint="default"/>
          <w:spacing w:val="-1"/>
        </w:rPr>
        <w:t>15252</w:t>
      </w:r>
      <w:r>
        <w:rPr>
          <w:rFonts w:ascii="Times New Roman" w:hAnsi="Times New Roman" w:cs="Times New Roman" w:eastAsia="Times New Roman" w:hint="default"/>
          <w:w w:val="100"/>
        </w:rPr>
        <w:t> </w:t>
      </w:r>
      <w:r>
        <w:rPr/>
        <w:t>期及</w:t>
      </w:r>
      <w:r>
        <w:rPr>
          <w:rFonts w:ascii="Times New Roman" w:hAnsi="Times New Roman" w:cs="Times New Roman" w:eastAsia="Times New Roman" w:hint="default"/>
        </w:rPr>
        <w:t>15264</w:t>
      </w:r>
      <w:r>
        <w:rPr/>
        <w:t>期人民币结构性理财产品，产品类型为保本浮动收益型。</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9,128,650.26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27,158,238.85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9,128,650.26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27,158,238.85</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61"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5"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9,973,246.60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9,973,246.60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4"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71" w:right="55"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7" w:type="dxa"/>
            <w:vMerge/>
            <w:tcBorders>
              <w:left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10" w:space="0" w:color="D2D2D2"/>
              <w:right w:val="single" w:sz="12" w:space="0" w:color="D2D2D2"/>
            </w:tcBorders>
          </w:tcPr>
          <w:p>
            <w:pPr>
              <w:pStyle w:val="TableParagraph"/>
              <w:spacing w:line="260" w:lineRule="exact"/>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36"/>
                <w:w w:val="100"/>
                <w:sz w:val="21"/>
                <w:szCs w:val="21"/>
                <w:shd w:fill="D2D2D2" w:color="auto" w:val="clear"/>
              </w:rPr>
              <w:t> </w:t>
            </w:r>
            <w:r>
              <w:rPr>
                <w:rFonts w:ascii="宋体" w:hAnsi="宋体" w:cs="宋体" w:eastAsia="宋体" w:hint="default"/>
                <w:spacing w:val="3"/>
                <w:sz w:val="21"/>
                <w:szCs w:val="21"/>
                <w:shd w:fill="D2D2D2" w:color="auto" w:val="clear"/>
              </w:rPr>
              <w:t>账面价值</w:t>
            </w:r>
            <w:r>
              <w:rPr>
                <w:rFonts w:ascii="宋体" w:hAnsi="宋体" w:cs="宋体" w:eastAsia="宋体" w:hint="default"/>
                <w:spacing w:val="3"/>
                <w:sz w:val="21"/>
                <w:szCs w:val="21"/>
              </w:rPr>
            </w:r>
            <w:r>
              <w:rPr>
                <w:rFonts w:ascii="宋体" w:hAnsi="宋体" w:cs="宋体" w:eastAsia="宋体" w:hint="default"/>
                <w:sz w:val="21"/>
                <w:szCs w:val="21"/>
              </w:rPr>
            </w:r>
          </w:p>
        </w:tc>
      </w:tr>
      <w:tr>
        <w:trPr>
          <w:trHeight w:val="195"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1" w:type="dxa"/>
            <w:vMerge/>
            <w:tcBorders>
              <w:left w:val="single" w:sz="10" w:space="0" w:color="D2D2D2"/>
              <w:bottom w:val="nil" w:sz="6" w:space="0" w:color="auto"/>
              <w:right w:val="single" w:sz="12" w:space="0" w:color="D2D2D2"/>
            </w:tcBorders>
          </w:tcPr>
          <w:p>
            <w:pPr/>
          </w:p>
        </w:tc>
      </w:tr>
      <w:tr>
        <w:trPr>
          <w:trHeight w:val="200"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14"/>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163,779</w:t>
            </w:r>
          </w:p>
          <w:p>
            <w:pPr>
              <w:pStyle w:val="TableParagraph"/>
              <w:spacing w:line="240" w:lineRule="auto" w:before="68"/>
              <w:ind w:left="105" w:right="0"/>
              <w:jc w:val="left"/>
              <w:rPr>
                <w:rFonts w:ascii="Times New Roman" w:hAnsi="Times New Roman" w:cs="Times New Roman" w:eastAsia="Times New Roman" w:hint="default"/>
                <w:sz w:val="21"/>
                <w:szCs w:val="21"/>
              </w:rPr>
            </w:pPr>
            <w:r>
              <w:rPr>
                <w:rFonts w:ascii="Times New Roman"/>
                <w:sz w:val="21"/>
              </w:rPr>
              <w:t>,050.98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21,616,</w:t>
            </w:r>
          </w:p>
          <w:p>
            <w:pPr>
              <w:pStyle w:val="TableParagraph"/>
              <w:spacing w:line="240" w:lineRule="auto" w:before="68"/>
              <w:ind w:left="151" w:right="0"/>
              <w:jc w:val="left"/>
              <w:rPr>
                <w:rFonts w:ascii="Times New Roman" w:hAnsi="Times New Roman" w:cs="Times New Roman" w:eastAsia="Times New Roman" w:hint="default"/>
                <w:sz w:val="21"/>
                <w:szCs w:val="21"/>
              </w:rPr>
            </w:pPr>
            <w:r>
              <w:rPr>
                <w:rFonts w:ascii="Times New Roman"/>
                <w:sz w:val="21"/>
              </w:rPr>
              <w:t>605.73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13.20%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142,162</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,445.25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86,162</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,446.6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12,728,3</w:t>
            </w:r>
          </w:p>
          <w:p>
            <w:pPr>
              <w:pStyle w:val="TableParagraph"/>
              <w:spacing w:line="240" w:lineRule="auto" w:before="68"/>
              <w:ind w:left="309" w:right="0"/>
              <w:jc w:val="left"/>
              <w:rPr>
                <w:rFonts w:ascii="Times New Roman" w:hAnsi="Times New Roman" w:cs="Times New Roman" w:eastAsia="Times New Roman" w:hint="default"/>
                <w:sz w:val="21"/>
                <w:szCs w:val="21"/>
              </w:rPr>
            </w:pPr>
            <w:r>
              <w:rPr>
                <w:rFonts w:ascii="Times New Roman"/>
                <w:sz w:val="21"/>
              </w:rPr>
              <w:t>91.18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14.77%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73,434,05</w:t>
            </w:r>
          </w:p>
          <w:p>
            <w:pPr>
              <w:pStyle w:val="TableParagraph"/>
              <w:spacing w:line="240" w:lineRule="auto" w:before="68"/>
              <w:ind w:left="532" w:right="0"/>
              <w:jc w:val="left"/>
              <w:rPr>
                <w:rFonts w:ascii="Times New Roman" w:hAnsi="Times New Roman" w:cs="Times New Roman" w:eastAsia="Times New Roman" w:hint="default"/>
                <w:sz w:val="21"/>
                <w:szCs w:val="21"/>
              </w:rPr>
            </w:pPr>
            <w:r>
              <w:rPr>
                <w:rFonts w:ascii="Times New Roman"/>
                <w:sz w:val="21"/>
              </w:rPr>
              <w:t>5.49</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75"/>
              <w:ind w:left="55" w:right="0"/>
              <w:jc w:val="left"/>
              <w:rPr>
                <w:rFonts w:ascii="Times New Roman" w:hAnsi="Times New Roman" w:cs="Times New Roman" w:eastAsia="Times New Roman" w:hint="default"/>
                <w:sz w:val="21"/>
                <w:szCs w:val="21"/>
              </w:rPr>
            </w:pPr>
            <w:r>
              <w:rPr>
                <w:rFonts w:ascii="Times New Roman"/>
                <w:sz w:val="21"/>
              </w:rPr>
              <w:t>163,779</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,050.98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75"/>
              <w:ind w:left="98" w:right="0"/>
              <w:jc w:val="left"/>
              <w:rPr>
                <w:rFonts w:ascii="Times New Roman" w:hAnsi="Times New Roman" w:cs="Times New Roman" w:eastAsia="Times New Roman" w:hint="default"/>
                <w:sz w:val="21"/>
                <w:szCs w:val="21"/>
              </w:rPr>
            </w:pPr>
            <w:r>
              <w:rPr>
                <w:rFonts w:ascii="Times New Roman"/>
                <w:sz w:val="21"/>
              </w:rPr>
              <w:t>21,616,</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605.73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13.20%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142,162</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,445.25</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21"/>
                <w:szCs w:val="21"/>
              </w:rPr>
            </w:pPr>
            <w:r>
              <w:rPr>
                <w:rFonts w:ascii="Times New Roman"/>
                <w:sz w:val="21"/>
              </w:rPr>
              <w:t>86,162</w:t>
            </w:r>
          </w:p>
          <w:p>
            <w:pPr>
              <w:pStyle w:val="TableParagraph"/>
              <w:spacing w:line="240" w:lineRule="auto" w:before="70"/>
              <w:ind w:left="98" w:right="0"/>
              <w:jc w:val="left"/>
              <w:rPr>
                <w:rFonts w:ascii="Times New Roman" w:hAnsi="Times New Roman" w:cs="Times New Roman" w:eastAsia="Times New Roman" w:hint="default"/>
                <w:sz w:val="21"/>
                <w:szCs w:val="21"/>
              </w:rPr>
            </w:pPr>
            <w:r>
              <w:rPr>
                <w:rFonts w:ascii="Times New Roman"/>
                <w:sz w:val="21"/>
              </w:rPr>
              <w:t>,446.6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75"/>
              <w:ind w:left="48" w:right="0"/>
              <w:jc w:val="left"/>
              <w:rPr>
                <w:rFonts w:ascii="Times New Roman" w:hAnsi="Times New Roman" w:cs="Times New Roman" w:eastAsia="Times New Roman" w:hint="default"/>
                <w:sz w:val="21"/>
                <w:szCs w:val="21"/>
              </w:rPr>
            </w:pPr>
            <w:r>
              <w:rPr>
                <w:rFonts w:ascii="Times New Roman"/>
                <w:sz w:val="21"/>
              </w:rPr>
              <w:t>12,728,3</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91.18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14.77%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75"/>
              <w:ind w:left="60" w:right="0"/>
              <w:jc w:val="left"/>
              <w:rPr>
                <w:rFonts w:ascii="Times New Roman" w:hAnsi="Times New Roman" w:cs="Times New Roman" w:eastAsia="Times New Roman" w:hint="default"/>
                <w:sz w:val="21"/>
                <w:szCs w:val="21"/>
              </w:rPr>
            </w:pPr>
            <w:r>
              <w:rPr>
                <w:rFonts w:ascii="Times New Roman"/>
                <w:sz w:val="21"/>
              </w:rPr>
              <w:t>73,434,05</w:t>
            </w:r>
          </w:p>
          <w:p>
            <w:pPr>
              <w:pStyle w:val="TableParagraph"/>
              <w:spacing w:line="240" w:lineRule="auto" w:before="70"/>
              <w:ind w:left="532" w:right="0"/>
              <w:jc w:val="left"/>
              <w:rPr>
                <w:rFonts w:ascii="Times New Roman" w:hAnsi="Times New Roman" w:cs="Times New Roman" w:eastAsia="Times New Roman" w:hint="default"/>
                <w:sz w:val="21"/>
                <w:szCs w:val="21"/>
              </w:rPr>
            </w:pPr>
            <w:r>
              <w:rPr>
                <w:rFonts w:ascii="Times New Roman"/>
                <w:sz w:val="21"/>
              </w:rPr>
              <w:t>5.49</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7</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28"/>
        <w:ind w:right="0"/>
        <w:jc w:val="left"/>
      </w:pPr>
      <w:r>
        <w:rPr>
          <w:spacing w:val="-2"/>
        </w:rPr>
        <w:t>期末单项金额重大并单项计提坏账准备的应收账款：</w:t>
      </w:r>
    </w:p>
    <w:p>
      <w:pPr>
        <w:pStyle w:val="BodyText"/>
        <w:spacing w:line="290" w:lineRule="auto" w:before="7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组合中，按账龄分析法计提坏账准备的应收账款：</w:t>
      </w:r>
    </w:p>
    <w:p>
      <w:pPr>
        <w:pStyle w:val="BodyText"/>
        <w:spacing w:line="240" w:lineRule="auto" w:before="3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4988" w:space="3707"/>
            <w:col w:w="1255"/>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7184"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77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110,019,862.24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2"/>
                <w:sz w:val="21"/>
              </w:rPr>
              <w:t>5,500,993.11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5.00%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24,945,192.10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2,494,519.21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w:t>
            </w:r>
          </w:p>
        </w:tc>
      </w:tr>
      <w:tr>
        <w:trPr>
          <w:trHeight w:val="404"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17,465,882.48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5,239,764.74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8"/>
              <w:jc w:val="right"/>
              <w:rPr>
                <w:rFonts w:ascii="Times New Roman" w:hAnsi="Times New Roman" w:cs="Times New Roman" w:eastAsia="Times New Roman" w:hint="default"/>
                <w:sz w:val="21"/>
                <w:szCs w:val="21"/>
              </w:rPr>
            </w:pPr>
            <w:r>
              <w:rPr>
                <w:rFonts w:ascii="Times New Roman"/>
                <w:sz w:val="21"/>
              </w:rPr>
              <w:t>30.00%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5,399,893.80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2,699,946.90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1,334,192.96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1,067,354.37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80.00%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4,614,027.40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4,614,027.40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163,779,050.98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21,616,605.73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13.20%</w:t>
            </w:r>
          </w:p>
        </w:tc>
      </w:tr>
    </w:tbl>
    <w:p>
      <w:pPr>
        <w:pStyle w:val="BodyText"/>
        <w:spacing w:line="307" w:lineRule="auto" w:before="28"/>
        <w:ind w:right="4525"/>
        <w:jc w:val="left"/>
      </w:pPr>
      <w:r>
        <w:rPr/>
        <w:t>确定该组合依据的说明：</w:t>
      </w:r>
      <w:r>
        <w:rPr>
          <w:w w:val="100"/>
        </w:rPr>
        <w:t> </w:t>
      </w:r>
      <w:r>
        <w:rPr>
          <w:spacing w:val="-2"/>
        </w:rPr>
        <w:t>组合中，采用余额百分比法计提坏账准备的应收账款：</w:t>
      </w:r>
    </w:p>
    <w:p>
      <w:pPr>
        <w:pStyle w:val="BodyText"/>
        <w:spacing w:line="290" w:lineRule="auto" w:before="19"/>
        <w:ind w:right="4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组合中，采用其他方法计提坏账准备的应收账款：</w:t>
      </w:r>
    </w:p>
    <w:p>
      <w:pPr>
        <w:pStyle w:val="BodyText"/>
        <w:spacing w:line="240" w:lineRule="auto" w:before="113"/>
        <w:ind w:left="1389" w:right="153"/>
        <w:jc w:val="left"/>
      </w:pPr>
      <w:r>
        <w:rPr/>
        <w:t>按欠款方归集的期末余额前五名的应收账款情况</w:t>
      </w:r>
    </w:p>
    <w:p>
      <w:pPr>
        <w:spacing w:line="240" w:lineRule="auto" w:before="11"/>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651"/>
        <w:gridCol w:w="1988"/>
        <w:gridCol w:w="1982"/>
        <w:gridCol w:w="1668"/>
      </w:tblGrid>
      <w:tr>
        <w:trPr>
          <w:trHeight w:val="660" w:hRule="exact"/>
        </w:trPr>
        <w:tc>
          <w:tcPr>
            <w:tcW w:w="3651"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988"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c>
          <w:tcPr>
            <w:tcW w:w="1982" w:type="dxa"/>
            <w:tcBorders>
              <w:top w:val="single" w:sz="6" w:space="0" w:color="000000"/>
              <w:left w:val="single" w:sz="6" w:space="0" w:color="000000"/>
              <w:bottom w:val="single" w:sz="8" w:space="0" w:color="000000"/>
              <w:right w:val="single" w:sz="6" w:space="0" w:color="000000"/>
            </w:tcBorders>
          </w:tcPr>
          <w:p>
            <w:pPr>
              <w:pStyle w:val="TableParagraph"/>
              <w:spacing w:line="273" w:lineRule="auto"/>
              <w:ind w:left="386" w:right="31" w:hanging="353"/>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占应收账款余额合计</w:t>
            </w:r>
            <w:r>
              <w:rPr>
                <w:rFonts w:ascii="宋体" w:hAnsi="宋体" w:cs="宋体" w:eastAsia="宋体" w:hint="default"/>
                <w:b/>
                <w:bCs/>
                <w:spacing w:val="-103"/>
                <w:sz w:val="21"/>
                <w:szCs w:val="21"/>
              </w:rPr>
              <w:t> </w:t>
            </w:r>
            <w:r>
              <w:rPr>
                <w:rFonts w:ascii="宋体" w:hAnsi="宋体" w:cs="宋体" w:eastAsia="宋体" w:hint="default"/>
                <w:b/>
                <w:bCs/>
                <w:sz w:val="21"/>
                <w:szCs w:val="21"/>
              </w:rPr>
              <w:t>数的比例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68"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617" w:right="408" w:hanging="212"/>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100"/>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三角轮胎股份有限公司</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35,015,630.00</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21.38</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1"/>
                <w:szCs w:val="21"/>
              </w:rPr>
            </w:pPr>
            <w:r>
              <w:rPr>
                <w:rFonts w:ascii="Times New Roman"/>
                <w:spacing w:val="-1"/>
                <w:sz w:val="21"/>
              </w:rPr>
              <w:t>1,784,338.00</w:t>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青岛耐克森轮胎有限公司</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9,786,150.00</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5.98</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489,307.50</w:t>
            </w:r>
          </w:p>
        </w:tc>
      </w:tr>
      <w:tr>
        <w:trPr>
          <w:trHeight w:val="346"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正新橡胶（中国）有限公司</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9,579,420.12</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5.85</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478,971.01</w:t>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山东昊华轮胎有限公司</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7,010,000.00</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4.28</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443,500.00</w:t>
            </w:r>
          </w:p>
        </w:tc>
      </w:tr>
      <w:tr>
        <w:trPr>
          <w:trHeight w:val="346"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八亿橡胶有限责任公司</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6,850,650.00</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4.18</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705,195.00</w:t>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tabs>
                <w:tab w:pos="573" w:val="left" w:leader="none"/>
              </w:tabs>
              <w:spacing w:line="27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b/>
                <w:spacing w:val="-1"/>
                <w:sz w:val="21"/>
              </w:rPr>
              <w:t>68,241,850.12</w:t>
            </w:r>
            <w:r>
              <w:rPr>
                <w:rFonts w:ascii="Times New Roman"/>
                <w:spacing w:val="-1"/>
                <w:sz w:val="21"/>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b/>
                <w:sz w:val="21"/>
              </w:rPr>
              <w:t>41.67</w:t>
            </w:r>
            <w:r>
              <w:rPr>
                <w:rFonts w:ascii="Times New Roman"/>
                <w:sz w:val="21"/>
              </w:rPr>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b/>
                <w:spacing w:val="-1"/>
                <w:sz w:val="21"/>
              </w:rPr>
              <w:t>3,901,311.51</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36"/>
        <w:ind w:right="153"/>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2"/>
        <w:gridCol w:w="3829"/>
        <w:gridCol w:w="3819"/>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5,363,842.84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6"/>
              <w:jc w:val="right"/>
              <w:rPr>
                <w:rFonts w:ascii="Times New Roman" w:hAnsi="Times New Roman" w:cs="Times New Roman" w:eastAsia="Times New Roman" w:hint="default"/>
                <w:sz w:val="21"/>
                <w:szCs w:val="21"/>
              </w:rPr>
            </w:pPr>
            <w:r>
              <w:rPr>
                <w:rFonts w:ascii="Times New Roman"/>
                <w:sz w:val="21"/>
              </w:rPr>
              <w:t>88.71%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7,050,318.81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6"/>
              <w:jc w:val="right"/>
              <w:rPr>
                <w:rFonts w:ascii="Times New Roman" w:hAnsi="Times New Roman" w:cs="Times New Roman" w:eastAsia="Times New Roman" w:hint="default"/>
                <w:sz w:val="21"/>
                <w:szCs w:val="21"/>
              </w:rPr>
            </w:pPr>
            <w:r>
              <w:rPr>
                <w:rFonts w:ascii="Times New Roman"/>
                <w:sz w:val="21"/>
              </w:rPr>
              <w:t>93.05%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213,408.55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103,449.21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64,147.75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61,268.31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1.10%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33,417.34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62,378.62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7"/>
              <w:ind w:right="5"/>
              <w:jc w:val="right"/>
              <w:rPr>
                <w:rFonts w:ascii="Times New Roman" w:hAnsi="Times New Roman" w:cs="Times New Roman" w:eastAsia="Times New Roman" w:hint="default"/>
                <w:sz w:val="21"/>
                <w:szCs w:val="21"/>
              </w:rPr>
            </w:pPr>
            <w:r>
              <w:rPr>
                <w:rFonts w:ascii="Times New Roman"/>
                <w:spacing w:val="-1"/>
                <w:sz w:val="21"/>
              </w:rPr>
              <w:t>5,674,816.48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77"/>
              <w:ind w:right="12"/>
              <w:jc w:val="right"/>
              <w:rPr>
                <w:rFonts w:ascii="Times New Roman" w:hAnsi="Times New Roman" w:cs="Times New Roman" w:eastAsia="Times New Roman" w:hint="default"/>
                <w:sz w:val="21"/>
                <w:szCs w:val="21"/>
              </w:rPr>
            </w:pPr>
            <w:r>
              <w:rPr>
                <w:rFonts w:ascii="Times New Roman"/>
                <w:spacing w:val="-1"/>
                <w:sz w:val="21"/>
              </w:rPr>
              <w:t>7,277,414.95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53"/>
        <w:jc w:val="left"/>
      </w:pP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spacing w:line="240" w:lineRule="auto" w:before="5"/>
        <w:rPr>
          <w:rFonts w:ascii="宋体" w:hAnsi="宋体" w:cs="宋体" w:eastAsia="宋体" w:hint="default"/>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949"/>
        <w:gridCol w:w="2823"/>
        <w:gridCol w:w="2518"/>
      </w:tblGrid>
      <w:tr>
        <w:trPr>
          <w:trHeight w:val="663" w:hRule="exact"/>
        </w:trPr>
        <w:tc>
          <w:tcPr>
            <w:tcW w:w="3949"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823"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c>
          <w:tcPr>
            <w:tcW w:w="2518" w:type="dxa"/>
            <w:tcBorders>
              <w:top w:val="single" w:sz="6" w:space="0" w:color="000000"/>
              <w:left w:val="single" w:sz="6" w:space="0" w:color="000000"/>
              <w:bottom w:val="single" w:sz="8" w:space="0" w:color="000000"/>
              <w:right w:val="nil" w:sz="6" w:space="0" w:color="auto"/>
            </w:tcBorders>
          </w:tcPr>
          <w:p>
            <w:pPr>
              <w:pStyle w:val="TableParagraph"/>
              <w:spacing w:line="273" w:lineRule="auto"/>
              <w:ind w:left="441" w:right="448" w:firstLine="69"/>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占预付账款余额</w:t>
            </w:r>
            <w:r>
              <w:rPr>
                <w:rFonts w:ascii="宋体" w:hAnsi="宋体" w:cs="宋体" w:eastAsia="宋体" w:hint="default"/>
                <w:b/>
                <w:bCs/>
                <w:w w:val="100"/>
                <w:sz w:val="21"/>
                <w:szCs w:val="21"/>
              </w:rPr>
              <w:t> </w:t>
            </w:r>
            <w:r>
              <w:rPr>
                <w:rFonts w:ascii="宋体" w:hAnsi="宋体" w:cs="宋体" w:eastAsia="宋体" w:hint="default"/>
                <w:b/>
                <w:bCs/>
                <w:sz w:val="21"/>
                <w:szCs w:val="21"/>
              </w:rPr>
              <w:t>合计数的比例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48"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天津福德园科技有限公司</w:t>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2,086,549.87</w:t>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32.78</w:t>
            </w:r>
          </w:p>
        </w:tc>
      </w:tr>
      <w:tr>
        <w:trPr>
          <w:trHeight w:val="346"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黑龙江三杰科技有限公司</w:t>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998,338.46</w:t>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15.69</w:t>
            </w:r>
          </w:p>
        </w:tc>
      </w:tr>
      <w:tr>
        <w:trPr>
          <w:trHeight w:val="348"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合肥丽清环保设备有限公司</w:t>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600,000.00</w:t>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sz w:val="21"/>
              </w:rPr>
              <w:t>9.43</w:t>
            </w:r>
          </w:p>
        </w:tc>
      </w:tr>
      <w:tr>
        <w:trPr>
          <w:trHeight w:val="346"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山东省章丘鼓风机股份有限公司</w:t>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194,880.00</w:t>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3.06</w:t>
            </w:r>
          </w:p>
        </w:tc>
      </w:tr>
      <w:tr>
        <w:trPr>
          <w:trHeight w:val="348"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山东绿邦光电设备有限公司</w:t>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193,548.29</w:t>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sz w:val="21"/>
              </w:rPr>
              <w:t>3.04</w:t>
            </w:r>
          </w:p>
        </w:tc>
      </w:tr>
      <w:tr>
        <w:trPr>
          <w:trHeight w:val="348" w:hRule="exact"/>
        </w:trPr>
        <w:tc>
          <w:tcPr>
            <w:tcW w:w="3949" w:type="dxa"/>
            <w:tcBorders>
              <w:top w:val="single" w:sz="8" w:space="0" w:color="000000"/>
              <w:left w:val="single" w:sz="6" w:space="0" w:color="000000"/>
              <w:bottom w:val="single" w:sz="8" w:space="0" w:color="000000"/>
              <w:right w:val="single" w:sz="6" w:space="0" w:color="000000"/>
            </w:tcBorders>
          </w:tcPr>
          <w:p>
            <w:pPr>
              <w:pStyle w:val="TableParagraph"/>
              <w:tabs>
                <w:tab w:pos="568" w:val="left" w:leader="none"/>
              </w:tabs>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8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b/>
                <w:spacing w:val="-1"/>
                <w:sz w:val="21"/>
              </w:rPr>
              <w:t>4,073,316.62</w:t>
            </w:r>
            <w:r>
              <w:rPr>
                <w:rFonts w:ascii="Times New Roman"/>
                <w:spacing w:val="-1"/>
                <w:sz w:val="21"/>
              </w:rPr>
            </w:r>
          </w:p>
        </w:tc>
        <w:tc>
          <w:tcPr>
            <w:tcW w:w="25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b/>
                <w:sz w:val="21"/>
              </w:rPr>
              <w:t>64.00</w:t>
            </w:r>
            <w:r>
              <w:rPr>
                <w:rFonts w:ascii="Times New Roman"/>
                <w:sz w:val="21"/>
              </w:rPr>
            </w:r>
          </w:p>
        </w:tc>
      </w:tr>
    </w:tbl>
    <w:p>
      <w:pPr>
        <w:spacing w:line="240" w:lineRule="auto" w:before="3"/>
        <w:rPr>
          <w:rFonts w:ascii="宋体" w:hAnsi="宋体" w:cs="宋体" w:eastAsia="宋体" w:hint="default"/>
          <w:b/>
          <w:bCs/>
          <w:sz w:val="23"/>
          <w:szCs w:val="23"/>
        </w:rPr>
      </w:pPr>
    </w:p>
    <w:p>
      <w:pPr>
        <w:pStyle w:val="BodyText"/>
        <w:spacing w:line="240" w:lineRule="auto" w:before="36"/>
        <w:ind w:right="153"/>
        <w:jc w:val="left"/>
      </w:pPr>
      <w:r>
        <w:rPr/>
        <w:t>其他说明：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2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71" w:right="55"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7" w:type="dxa"/>
            <w:vMerge/>
            <w:tcBorders>
              <w:left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10" w:space="0" w:color="D2D2D2"/>
              <w:right w:val="single" w:sz="12" w:space="0" w:color="D2D2D2"/>
            </w:tcBorders>
          </w:tcPr>
          <w:p>
            <w:pPr>
              <w:pStyle w:val="TableParagraph"/>
              <w:spacing w:line="262" w:lineRule="exact"/>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36"/>
                <w:w w:val="100"/>
                <w:sz w:val="21"/>
                <w:szCs w:val="21"/>
                <w:shd w:fill="D2D2D2" w:color="auto" w:val="clear"/>
              </w:rPr>
              <w:t> </w:t>
            </w:r>
            <w:r>
              <w:rPr>
                <w:rFonts w:ascii="宋体" w:hAnsi="宋体" w:cs="宋体" w:eastAsia="宋体" w:hint="default"/>
                <w:spacing w:val="3"/>
                <w:sz w:val="21"/>
                <w:szCs w:val="21"/>
                <w:shd w:fill="D2D2D2" w:color="auto" w:val="clear"/>
              </w:rPr>
              <w:t>账面价值</w:t>
            </w:r>
            <w:r>
              <w:rPr>
                <w:rFonts w:ascii="宋体" w:hAnsi="宋体" w:cs="宋体" w:eastAsia="宋体" w:hint="default"/>
                <w:spacing w:val="3"/>
                <w:sz w:val="21"/>
                <w:szCs w:val="21"/>
              </w:rPr>
            </w:r>
            <w:r>
              <w:rPr>
                <w:rFonts w:ascii="宋体" w:hAnsi="宋体" w:cs="宋体" w:eastAsia="宋体" w:hint="default"/>
                <w:sz w:val="21"/>
                <w:szCs w:val="21"/>
              </w:rPr>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1" w:type="dxa"/>
            <w:vMerge/>
            <w:tcBorders>
              <w:left w:val="single" w:sz="10" w:space="0" w:color="D2D2D2"/>
              <w:bottom w:val="nil" w:sz="6" w:space="0" w:color="auto"/>
              <w:right w:val="single" w:sz="12" w:space="0" w:color="D2D2D2"/>
            </w:tcBorders>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4"/>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3,507,9</w:t>
            </w:r>
          </w:p>
          <w:p>
            <w:pPr>
              <w:pStyle w:val="TableParagraph"/>
              <w:spacing w:line="240" w:lineRule="auto" w:before="70"/>
              <w:ind w:left="244" w:right="0"/>
              <w:jc w:val="center"/>
              <w:rPr>
                <w:rFonts w:ascii="Times New Roman" w:hAnsi="Times New Roman" w:cs="Times New Roman" w:eastAsia="Times New Roman" w:hint="default"/>
                <w:sz w:val="21"/>
                <w:szCs w:val="21"/>
              </w:rPr>
            </w:pPr>
            <w:r>
              <w:rPr>
                <w:rFonts w:ascii="Times New Roman"/>
                <w:sz w:val="21"/>
              </w:rPr>
              <w:t>09.18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77.82%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269,701</w:t>
            </w:r>
          </w:p>
          <w:p>
            <w:pPr>
              <w:pStyle w:val="TableParagraph"/>
              <w:spacing w:line="240" w:lineRule="auto" w:before="70"/>
              <w:ind w:left="467" w:right="0"/>
              <w:jc w:val="left"/>
              <w:rPr>
                <w:rFonts w:ascii="Times New Roman" w:hAnsi="Times New Roman" w:cs="Times New Roman" w:eastAsia="Times New Roman" w:hint="default"/>
                <w:sz w:val="21"/>
                <w:szCs w:val="21"/>
              </w:rPr>
            </w:pPr>
            <w:r>
              <w:rPr>
                <w:rFonts w:ascii="Times New Roman"/>
                <w:sz w:val="21"/>
              </w:rPr>
              <w:t>.05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7.69%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3,238,2</w:t>
            </w:r>
          </w:p>
          <w:p>
            <w:pPr>
              <w:pStyle w:val="TableParagraph"/>
              <w:spacing w:line="240" w:lineRule="auto" w:before="70"/>
              <w:ind w:left="263" w:right="0"/>
              <w:jc w:val="center"/>
              <w:rPr>
                <w:rFonts w:ascii="Times New Roman" w:hAnsi="Times New Roman" w:cs="Times New Roman" w:eastAsia="Times New Roman" w:hint="default"/>
                <w:sz w:val="21"/>
                <w:szCs w:val="21"/>
              </w:rPr>
            </w:pPr>
            <w:r>
              <w:rPr>
                <w:rFonts w:ascii="Times New Roman"/>
                <w:sz w:val="21"/>
              </w:rPr>
              <w:t>08.13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6,192,</w:t>
            </w:r>
          </w:p>
          <w:p>
            <w:pPr>
              <w:pStyle w:val="TableParagraph"/>
              <w:spacing w:line="240" w:lineRule="auto" w:before="70"/>
              <w:ind w:left="45" w:right="0"/>
              <w:jc w:val="left"/>
              <w:rPr>
                <w:rFonts w:ascii="Times New Roman" w:hAnsi="Times New Roman" w:cs="Times New Roman" w:eastAsia="Times New Roman" w:hint="default"/>
                <w:sz w:val="21"/>
                <w:szCs w:val="21"/>
              </w:rPr>
            </w:pPr>
            <w:r>
              <w:rPr>
                <w:rFonts w:ascii="Times New Roman"/>
                <w:sz w:val="21"/>
              </w:rPr>
              <w:t>097.84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86.10%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113,002.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6,079,095</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.02</w:t>
            </w:r>
          </w:p>
        </w:tc>
      </w:tr>
      <w:tr>
        <w:trPr>
          <w:trHeight w:val="1340"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114"/>
              <w:jc w:val="both"/>
              <w:rPr>
                <w:rFonts w:ascii="宋体" w:hAnsi="宋体" w:cs="宋体" w:eastAsia="宋体" w:hint="default"/>
                <w:sz w:val="21"/>
                <w:szCs w:val="21"/>
              </w:rPr>
            </w:pPr>
            <w:r>
              <w:rPr>
                <w:rFonts w:ascii="宋体" w:hAnsi="宋体" w:cs="宋体" w:eastAsia="宋体" w:hint="default"/>
                <w:sz w:val="21"/>
                <w:szCs w:val="21"/>
              </w:rPr>
              <w:t>单项金额不重大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left="244" w:right="0"/>
              <w:jc w:val="center"/>
              <w:rPr>
                <w:rFonts w:ascii="Times New Roman" w:hAnsi="Times New Roman" w:cs="Times New Roman" w:eastAsia="Times New Roman" w:hint="default"/>
                <w:sz w:val="21"/>
                <w:szCs w:val="21"/>
              </w:rPr>
            </w:pPr>
            <w:r>
              <w:rPr>
                <w:rFonts w:ascii="Times New Roman"/>
                <w:sz w:val="21"/>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22.18%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left="235" w:right="0"/>
              <w:jc w:val="center"/>
              <w:rPr>
                <w:rFonts w:ascii="Times New Roman" w:hAnsi="Times New Roman" w:cs="Times New Roman" w:eastAsia="Times New Roman" w:hint="default"/>
                <w:sz w:val="21"/>
                <w:szCs w:val="21"/>
              </w:rPr>
            </w:pPr>
            <w:r>
              <w:rPr>
                <w:rFonts w:ascii="Times New Roman"/>
                <w:sz w:val="21"/>
              </w:rPr>
              <w:t>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70"/>
              <w:ind w:left="45" w:right="0"/>
              <w:jc w:val="left"/>
              <w:rPr>
                <w:rFonts w:ascii="Times New Roman" w:hAnsi="Times New Roman" w:cs="Times New Roman" w:eastAsia="Times New Roman" w:hint="default"/>
                <w:sz w:val="21"/>
                <w:szCs w:val="21"/>
              </w:rPr>
            </w:pPr>
            <w:r>
              <w:rPr>
                <w:rFonts w:ascii="Times New Roman"/>
                <w:sz w:val="21"/>
              </w:rPr>
              <w:t>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13.90%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75"/>
              <w:ind w:left="86" w:right="0"/>
              <w:jc w:val="center"/>
              <w:rPr>
                <w:rFonts w:ascii="Times New Roman" w:hAnsi="Times New Roman" w:cs="Times New Roman" w:eastAsia="Times New Roman" w:hint="default"/>
                <w:sz w:val="21"/>
                <w:szCs w:val="21"/>
              </w:rPr>
            </w:pPr>
            <w:r>
              <w:rPr>
                <w:rFonts w:ascii="Times New Roman"/>
                <w:sz w:val="21"/>
              </w:rPr>
              <w:t>4,507,9</w:t>
            </w:r>
          </w:p>
          <w:p>
            <w:pPr>
              <w:pStyle w:val="TableParagraph"/>
              <w:spacing w:line="240" w:lineRule="auto" w:before="68"/>
              <w:ind w:left="244" w:right="0"/>
              <w:jc w:val="center"/>
              <w:rPr>
                <w:rFonts w:ascii="Times New Roman" w:hAnsi="Times New Roman" w:cs="Times New Roman" w:eastAsia="Times New Roman" w:hint="default"/>
                <w:sz w:val="21"/>
                <w:szCs w:val="21"/>
              </w:rPr>
            </w:pPr>
            <w:r>
              <w:rPr>
                <w:rFonts w:ascii="Times New Roman"/>
                <w:sz w:val="21"/>
              </w:rPr>
              <w:t>09.18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1,269,7</w:t>
            </w:r>
          </w:p>
          <w:p>
            <w:pPr>
              <w:pStyle w:val="TableParagraph"/>
              <w:spacing w:line="240" w:lineRule="auto" w:before="68"/>
              <w:ind w:left="235" w:right="0"/>
              <w:jc w:val="center"/>
              <w:rPr>
                <w:rFonts w:ascii="Times New Roman" w:hAnsi="Times New Roman" w:cs="Times New Roman" w:eastAsia="Times New Roman" w:hint="default"/>
                <w:sz w:val="21"/>
                <w:szCs w:val="21"/>
              </w:rPr>
            </w:pPr>
            <w:r>
              <w:rPr>
                <w:rFonts w:ascii="Times New Roman"/>
                <w:sz w:val="21"/>
              </w:rPr>
              <w:t>01.05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28.17%</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3,238,2</w:t>
            </w:r>
          </w:p>
          <w:p>
            <w:pPr>
              <w:pStyle w:val="TableParagraph"/>
              <w:spacing w:line="240" w:lineRule="auto" w:before="68"/>
              <w:ind w:left="263" w:right="0"/>
              <w:jc w:val="center"/>
              <w:rPr>
                <w:rFonts w:ascii="Times New Roman" w:hAnsi="Times New Roman" w:cs="Times New Roman" w:eastAsia="Times New Roman" w:hint="default"/>
                <w:sz w:val="21"/>
                <w:szCs w:val="21"/>
              </w:rPr>
            </w:pPr>
            <w:r>
              <w:rPr>
                <w:rFonts w:ascii="Times New Roman"/>
                <w:sz w:val="21"/>
              </w:rPr>
              <w:t>08.13</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75"/>
              <w:ind w:left="98" w:right="0"/>
              <w:jc w:val="left"/>
              <w:rPr>
                <w:rFonts w:ascii="Times New Roman" w:hAnsi="Times New Roman" w:cs="Times New Roman" w:eastAsia="Times New Roman" w:hint="default"/>
                <w:sz w:val="21"/>
                <w:szCs w:val="21"/>
              </w:rPr>
            </w:pPr>
            <w:r>
              <w:rPr>
                <w:rFonts w:ascii="Times New Roman"/>
                <w:sz w:val="21"/>
              </w:rPr>
              <w:t>7,192,</w:t>
            </w:r>
          </w:p>
          <w:p>
            <w:pPr>
              <w:pStyle w:val="TableParagraph"/>
              <w:spacing w:line="240" w:lineRule="auto" w:before="68"/>
              <w:ind w:left="45" w:right="0"/>
              <w:jc w:val="left"/>
              <w:rPr>
                <w:rFonts w:ascii="Times New Roman" w:hAnsi="Times New Roman" w:cs="Times New Roman" w:eastAsia="Times New Roman" w:hint="default"/>
                <w:sz w:val="21"/>
                <w:szCs w:val="21"/>
              </w:rPr>
            </w:pPr>
            <w:r>
              <w:rPr>
                <w:rFonts w:ascii="Times New Roman"/>
                <w:sz w:val="21"/>
              </w:rPr>
              <w:t>097.84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75"/>
              <w:ind w:left="55" w:right="0"/>
              <w:jc w:val="left"/>
              <w:rPr>
                <w:rFonts w:ascii="Times New Roman" w:hAnsi="Times New Roman" w:cs="Times New Roman" w:eastAsia="Times New Roman" w:hint="default"/>
                <w:sz w:val="21"/>
                <w:szCs w:val="21"/>
              </w:rPr>
            </w:pPr>
            <w:r>
              <w:rPr>
                <w:rFonts w:ascii="Times New Roman"/>
                <w:sz w:val="21"/>
              </w:rPr>
              <w:t>1,113,00</w:t>
            </w:r>
          </w:p>
          <w:p>
            <w:pPr>
              <w:pStyle w:val="TableParagraph"/>
              <w:spacing w:line="240" w:lineRule="auto" w:before="68"/>
              <w:ind w:left="415" w:right="0"/>
              <w:jc w:val="left"/>
              <w:rPr>
                <w:rFonts w:ascii="Times New Roman" w:hAnsi="Times New Roman" w:cs="Times New Roman" w:eastAsia="Times New Roman" w:hint="default"/>
                <w:sz w:val="21"/>
                <w:szCs w:val="21"/>
              </w:rPr>
            </w:pPr>
            <w:r>
              <w:rPr>
                <w:rFonts w:ascii="Times New Roman"/>
                <w:sz w:val="21"/>
              </w:rPr>
              <w:t>2.82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15.48%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6,079,095</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.02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28"/>
        <w:ind w:right="153"/>
        <w:jc w:val="left"/>
      </w:pPr>
      <w:r>
        <w:rPr/>
        <w:t>期末单项金额重大并单项计提坏账准备的其他应收款：</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980"/>
        </w:sectPr>
      </w:pPr>
    </w:p>
    <w:p>
      <w:pPr>
        <w:pStyle w:val="BodyText"/>
        <w:spacing w:line="292"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组合中，按账龄分析法计提坏账准备的其他应收款：</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4988" w:space="3707"/>
            <w:col w:w="1255"/>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0"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6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1,593,244.02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79,662.20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611,288.46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61,128.85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95,820.00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47,910.00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2,570,352.48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269,701.05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10.49%</w:t>
            </w:r>
          </w:p>
        </w:tc>
      </w:tr>
    </w:tbl>
    <w:p>
      <w:pPr>
        <w:pStyle w:val="BodyText"/>
        <w:spacing w:line="307" w:lineRule="auto" w:before="28"/>
        <w:ind w:right="4525"/>
        <w:jc w:val="left"/>
      </w:pPr>
      <w:r>
        <w:rPr/>
        <w:t>确定该组合依据的说明：</w:t>
      </w:r>
      <w:r>
        <w:rPr>
          <w:w w:val="100"/>
        </w:rPr>
        <w:t> </w:t>
      </w:r>
      <w:r>
        <w:rPr>
          <w:spacing w:val="-2"/>
        </w:rPr>
        <w:t>组合中，采用余额百分比法计提坏账准备的其他应收款：</w:t>
      </w:r>
    </w:p>
    <w:p>
      <w:pPr>
        <w:pStyle w:val="BodyText"/>
        <w:spacing w:line="290" w:lineRule="auto" w:before="19"/>
        <w:ind w:right="4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40" w:lineRule="auto" w:before="3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1,756,291.00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1,186,091.00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备用金及其他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1,250,448.23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571,704.98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501,169.95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366,968.86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4,067,333.00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4,507,909.18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7,192,097.84</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10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57" w:right="50"/>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686" w:right="53" w:hanging="630"/>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天津长荣轮胎有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22.18%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0"/>
              <w:jc w:val="center"/>
              <w:rPr>
                <w:rFonts w:ascii="宋体" w:hAnsi="宋体" w:cs="宋体" w:eastAsia="宋体" w:hint="default"/>
                <w:sz w:val="21"/>
                <w:szCs w:val="21"/>
              </w:rPr>
            </w:pPr>
            <w:r>
              <w:rPr>
                <w:rFonts w:ascii="宋体" w:hAnsi="宋体" w:cs="宋体" w:eastAsia="宋体" w:hint="default"/>
                <w:sz w:val="21"/>
                <w:szCs w:val="21"/>
              </w:rPr>
              <w:t>安徽省招标集团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28,550.00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北京首都开发股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282,312.50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6.26%</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山东奥凯龙橡胶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山东正信招标有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4.44%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2,303,312.50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51.10%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1,073,550.00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14,824,849.03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14,824,849.03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 w:right="0"/>
              <w:jc w:val="center"/>
              <w:rPr>
                <w:rFonts w:ascii="Times New Roman" w:hAnsi="Times New Roman" w:cs="Times New Roman" w:eastAsia="Times New Roman" w:hint="default"/>
                <w:sz w:val="21"/>
                <w:szCs w:val="21"/>
              </w:rPr>
            </w:pPr>
            <w:r>
              <w:rPr>
                <w:rFonts w:ascii="Times New Roman"/>
                <w:sz w:val="21"/>
              </w:rPr>
              <w:t>14,638,431.90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14,638,431.90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68,686,942.13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68,686,942.13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 w:right="0"/>
              <w:jc w:val="center"/>
              <w:rPr>
                <w:rFonts w:ascii="Times New Roman" w:hAnsi="Times New Roman" w:cs="Times New Roman" w:eastAsia="Times New Roman" w:hint="default"/>
                <w:sz w:val="21"/>
                <w:szCs w:val="21"/>
              </w:rPr>
            </w:pPr>
            <w:r>
              <w:rPr>
                <w:rFonts w:ascii="Times New Roman"/>
                <w:sz w:val="21"/>
              </w:rPr>
              <w:t>72,673,578.40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72,673,578.40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83,511,791.16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83,511,791.16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 w:right="0"/>
              <w:jc w:val="center"/>
              <w:rPr>
                <w:rFonts w:ascii="Times New Roman" w:hAnsi="Times New Roman" w:cs="Times New Roman" w:eastAsia="Times New Roman" w:hint="default"/>
                <w:sz w:val="21"/>
                <w:szCs w:val="21"/>
              </w:rPr>
            </w:pPr>
            <w:r>
              <w:rPr>
                <w:rFonts w:ascii="Times New Roman"/>
                <w:sz w:val="21"/>
              </w:rPr>
              <w:t>87,312,010.30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87,312,010.30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应退多缴所得税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1,373,551.80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预缴销项税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1,365,242.03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3,785,840.14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778,889.30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4,693,479.58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51,316.71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55,937.26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3,568,999.84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8,535,256.98</w:t>
            </w:r>
          </w:p>
        </w:tc>
      </w:tr>
    </w:tbl>
    <w:p>
      <w:pPr>
        <w:pStyle w:val="BodyText"/>
        <w:spacing w:line="307" w:lineRule="auto" w:before="28"/>
        <w:ind w:right="1704"/>
        <w:jc w:val="left"/>
      </w:pPr>
      <w:r>
        <w:rPr/>
        <w:t>其他说明：</w:t>
      </w:r>
      <w:r>
        <w:rPr>
          <w:spacing w:val="-102"/>
        </w:rPr>
        <w:t> </w:t>
      </w:r>
      <w:r>
        <w:rPr>
          <w:spacing w:val="-102"/>
        </w:rPr>
      </w:r>
      <w:r>
        <w:rPr>
          <w:spacing w:val="-2"/>
        </w:rPr>
        <w:t>其他流动资产期末较期初下降</w:t>
      </w:r>
      <w:r>
        <w:rPr>
          <w:rFonts w:ascii="Times New Roman" w:hAnsi="Times New Roman" w:cs="Times New Roman" w:eastAsia="Times New Roman" w:hint="default"/>
          <w:spacing w:val="-2"/>
        </w:rPr>
        <w:t>58.19%</w:t>
      </w:r>
      <w:r>
        <w:rPr>
          <w:spacing w:val="-2"/>
        </w:rPr>
        <w:t>，主要系预缴销项税及待抵扣进项税减少所致。</w:t>
      </w:r>
    </w:p>
    <w:p>
      <w:pPr>
        <w:spacing w:line="240" w:lineRule="auto" w:before="8"/>
        <w:rPr>
          <w:rFonts w:ascii="宋体" w:hAnsi="宋体" w:cs="宋体" w:eastAsia="宋体" w:hint="default"/>
          <w:sz w:val="19"/>
          <w:szCs w:val="19"/>
        </w:rPr>
      </w:pPr>
    </w:p>
    <w:p>
      <w:pPr>
        <w:pStyle w:val="Heading4"/>
        <w:spacing w:line="240" w:lineRule="auto"/>
        <w:ind w:right="153"/>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8"/>
              <w:ind w:left="16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8"/>
              <w:ind w:left="57"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1"/>
              <w:jc w:val="center"/>
              <w:rPr>
                <w:rFonts w:ascii="宋体" w:hAnsi="宋体" w:cs="宋体" w:eastAsia="宋体" w:hint="default"/>
                <w:sz w:val="21"/>
                <w:szCs w:val="21"/>
              </w:rPr>
            </w:pPr>
            <w:r>
              <w:rPr>
                <w:rFonts w:ascii="宋体" w:hAnsi="宋体" w:cs="宋体" w:eastAsia="宋体" w:hint="default"/>
                <w:sz w:val="21"/>
                <w:szCs w:val="21"/>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42,985,278.91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5,596,413.10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2,892,268.19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1,432,942.11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52,906,902.31</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358,717.96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824,295.94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142,123.24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1,325,137.14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8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358,717.96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824,295.94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142,123.24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1,325,137.14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4" w:right="17" w:firstLine="40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）在建工</w:t>
            </w:r>
            <w:r>
              <w:rPr>
                <w:rFonts w:ascii="宋体" w:hAnsi="宋体" w:cs="宋体" w:eastAsia="宋体" w:hint="default"/>
                <w:w w:val="100"/>
                <w:sz w:val="21"/>
                <w:szCs w:val="21"/>
              </w:rPr>
              <w:t> </w:t>
            </w:r>
            <w:r>
              <w:rPr>
                <w:rFonts w:ascii="宋体" w:hAnsi="宋体" w:cs="宋体" w:eastAsia="宋体" w:hint="default"/>
                <w:sz w:val="21"/>
                <w:szCs w:val="21"/>
              </w:rPr>
              <w:t>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4" w:right="17" w:firstLine="40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）企业合</w:t>
            </w:r>
            <w:r>
              <w:rPr>
                <w:rFonts w:ascii="宋体" w:hAnsi="宋体" w:cs="宋体" w:eastAsia="宋体" w:hint="default"/>
                <w:w w:val="100"/>
                <w:sz w:val="21"/>
                <w:szCs w:val="21"/>
              </w:rPr>
              <w:t> </w:t>
            </w:r>
            <w:r>
              <w:rPr>
                <w:rFonts w:ascii="宋体" w:hAnsi="宋体" w:cs="宋体" w:eastAsia="宋体" w:hint="default"/>
                <w:sz w:val="21"/>
                <w:szCs w:val="21"/>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320,924.00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320,924.00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24" w:right="17" w:firstLine="40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）处置或</w:t>
            </w:r>
            <w:r>
              <w:rPr>
                <w:rFonts w:ascii="宋体" w:hAnsi="宋体" w:cs="宋体" w:eastAsia="宋体" w:hint="default"/>
                <w:w w:val="100"/>
                <w:sz w:val="21"/>
                <w:szCs w:val="21"/>
              </w:rPr>
              <w:t> </w:t>
            </w:r>
            <w:r>
              <w:rPr>
                <w:rFonts w:ascii="宋体" w:hAnsi="宋体" w:cs="宋体" w:eastAsia="宋体" w:hint="default"/>
                <w:sz w:val="21"/>
                <w:szCs w:val="21"/>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320,924.00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320,924.00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42,985,278.91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5,955,131.06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3,395,640.13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1,575,065.35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53,911,115.45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3,545,137.91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2,090,694.15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1,393,744.61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740,135.63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7,769,712.30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1,122,390.83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492,289.74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365,600.70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186,033.26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2,166,314.53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8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1,122,390.83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492,289.74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365,600.70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186,033.26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2,166,314.53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278,300.12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278,300.12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4" w:right="17" w:firstLine="40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）处置或</w:t>
            </w:r>
            <w:r>
              <w:rPr>
                <w:rFonts w:ascii="宋体" w:hAnsi="宋体" w:cs="宋体" w:eastAsia="宋体" w:hint="default"/>
                <w:w w:val="100"/>
                <w:sz w:val="21"/>
                <w:szCs w:val="21"/>
              </w:rPr>
              <w:t> </w:t>
            </w:r>
            <w:r>
              <w:rPr>
                <w:rFonts w:ascii="宋体" w:hAnsi="宋体" w:cs="宋体" w:eastAsia="宋体" w:hint="default"/>
                <w:sz w:val="21"/>
                <w:szCs w:val="21"/>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278,300.12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278,300.12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4,667,528.74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2,582,983.89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1,481,045.19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926,168.89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9,657,726.71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1,295,593.99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1,295,593.99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8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4" w:right="17" w:firstLine="40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）处置或</w:t>
            </w:r>
            <w:r>
              <w:rPr>
                <w:rFonts w:ascii="宋体" w:hAnsi="宋体" w:cs="宋体" w:eastAsia="宋体" w:hint="default"/>
                <w:w w:val="100"/>
                <w:sz w:val="21"/>
                <w:szCs w:val="21"/>
              </w:rPr>
              <w:t> </w:t>
            </w:r>
            <w:r>
              <w:rPr>
                <w:rFonts w:ascii="宋体" w:hAnsi="宋体" w:cs="宋体" w:eastAsia="宋体" w:hint="default"/>
                <w:sz w:val="21"/>
                <w:szCs w:val="21"/>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34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1,295,593.99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1,295,593.99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95"/>
              <w:jc w:val="right"/>
              <w:rPr>
                <w:rFonts w:ascii="宋体" w:hAnsi="宋体" w:cs="宋体" w:eastAsia="宋体" w:hint="default"/>
                <w:sz w:val="21"/>
                <w:szCs w:val="21"/>
              </w:rPr>
            </w:pPr>
            <w:r>
              <w:rPr>
                <w:rFonts w:ascii="宋体" w:hAnsi="宋体" w:cs="宋体" w:eastAsia="宋体" w:hint="default"/>
                <w:spacing w:val="-1"/>
                <w:sz w:val="21"/>
                <w:szCs w:val="21"/>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37,022,156.18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3,372,147.17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1,914,594.94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648,896.46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42,957,794.75</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38,144,547.01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3,505,718.95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1,498,523.58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692,806.48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43,841,596.02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0"/>
              <w:jc w:val="left"/>
              <w:rPr>
                <w:rFonts w:ascii="宋体" w:hAnsi="宋体" w:cs="宋体" w:eastAsia="宋体" w:hint="default"/>
                <w:sz w:val="21"/>
                <w:szCs w:val="21"/>
              </w:rPr>
            </w:pPr>
            <w:r>
              <w:rPr>
                <w:rFonts w:ascii="宋体" w:hAnsi="宋体" w:cs="宋体" w:eastAsia="宋体" w:hint="default"/>
                <w:sz w:val="21"/>
                <w:szCs w:val="21"/>
              </w:rPr>
              <w:t>天津生产基地</w:t>
            </w:r>
            <w:r>
              <w:rPr>
                <w:rFonts w:ascii="宋体" w:hAnsi="宋体" w:cs="宋体" w:eastAsia="宋体" w:hint="default"/>
                <w:w w:val="100"/>
                <w:sz w:val="21"/>
                <w:szCs w:val="21"/>
              </w:rPr>
              <w:t> </w:t>
            </w:r>
            <w:r>
              <w:rPr>
                <w:rFonts w:ascii="宋体" w:hAnsi="宋体" w:cs="宋体" w:eastAsia="宋体" w:hint="default"/>
                <w:sz w:val="21"/>
                <w:szCs w:val="21"/>
              </w:rPr>
              <w:t>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29,202,401.03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29,202,401.03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3" w:right="0"/>
              <w:jc w:val="left"/>
              <w:rPr>
                <w:rFonts w:ascii="Times New Roman" w:hAnsi="Times New Roman" w:cs="Times New Roman" w:eastAsia="Times New Roman" w:hint="default"/>
                <w:sz w:val="21"/>
                <w:szCs w:val="21"/>
              </w:rPr>
            </w:pPr>
            <w:r>
              <w:rPr>
                <w:rFonts w:ascii="Times New Roman"/>
                <w:sz w:val="21"/>
              </w:rPr>
              <w:t>6,146,662.83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6,146,662.83</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both"/>
              <w:rPr>
                <w:rFonts w:ascii="宋体" w:hAnsi="宋体" w:cs="宋体" w:eastAsia="宋体" w:hint="default"/>
                <w:sz w:val="21"/>
                <w:szCs w:val="21"/>
              </w:rPr>
            </w:pPr>
            <w:r>
              <w:rPr>
                <w:rFonts w:ascii="宋体" w:hAnsi="宋体" w:cs="宋体" w:eastAsia="宋体" w:hint="default"/>
                <w:sz w:val="21"/>
                <w:szCs w:val="21"/>
              </w:rPr>
              <w:t>信息物流技术</w:t>
            </w:r>
            <w:r>
              <w:rPr>
                <w:rFonts w:ascii="宋体" w:hAnsi="宋体" w:cs="宋体" w:eastAsia="宋体" w:hint="default"/>
                <w:w w:val="100"/>
                <w:sz w:val="21"/>
                <w:szCs w:val="21"/>
              </w:rPr>
              <w:t> </w:t>
            </w:r>
            <w:r>
              <w:rPr>
                <w:rFonts w:ascii="宋体" w:hAnsi="宋体" w:cs="宋体" w:eastAsia="宋体" w:hint="default"/>
                <w:sz w:val="21"/>
                <w:szCs w:val="21"/>
              </w:rPr>
              <w:t>研发与装备制</w:t>
            </w:r>
            <w:r>
              <w:rPr>
                <w:rFonts w:ascii="宋体" w:hAnsi="宋体" w:cs="宋体" w:eastAsia="宋体" w:hint="default"/>
                <w:w w:val="100"/>
                <w:sz w:val="21"/>
                <w:szCs w:val="21"/>
              </w:rPr>
              <w:t> </w:t>
            </w:r>
            <w:r>
              <w:rPr>
                <w:rFonts w:ascii="宋体" w:hAnsi="宋体" w:cs="宋体" w:eastAsia="宋体" w:hint="default"/>
                <w:sz w:val="21"/>
                <w:szCs w:val="21"/>
              </w:rPr>
              <w:t>造工厂建设项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29,242,401.03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29,242,401.03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3" w:right="0"/>
              <w:jc w:val="left"/>
              <w:rPr>
                <w:rFonts w:ascii="Times New Roman" w:hAnsi="Times New Roman" w:cs="Times New Roman" w:eastAsia="Times New Roman" w:hint="default"/>
                <w:sz w:val="21"/>
                <w:szCs w:val="21"/>
              </w:rPr>
            </w:pPr>
            <w:r>
              <w:rPr>
                <w:rFonts w:ascii="Times New Roman"/>
                <w:sz w:val="21"/>
              </w:rPr>
              <w:t>6,146,662.83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2" w:right="0"/>
              <w:jc w:val="left"/>
              <w:rPr>
                <w:rFonts w:ascii="Times New Roman" w:hAnsi="Times New Roman" w:cs="Times New Roman" w:eastAsia="Times New Roman" w:hint="default"/>
                <w:sz w:val="21"/>
                <w:szCs w:val="21"/>
              </w:rPr>
            </w:pPr>
            <w:r>
              <w:rPr>
                <w:rFonts w:ascii="Times New Roman"/>
                <w:sz w:val="21"/>
              </w:rPr>
              <w:t>6,146,662.83</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7" w:right="41" w:hanging="212"/>
              <w:jc w:val="left"/>
              <w:rPr>
                <w:rFonts w:ascii="宋体" w:hAnsi="宋体" w:cs="宋体" w:eastAsia="宋体" w:hint="default"/>
                <w:sz w:val="21"/>
                <w:szCs w:val="21"/>
              </w:rPr>
            </w:pPr>
            <w:r>
              <w:rPr>
                <w:rFonts w:ascii="宋体" w:hAnsi="宋体" w:cs="宋体" w:eastAsia="宋体" w:hint="default"/>
                <w:sz w:val="21"/>
                <w:szCs w:val="21"/>
              </w:rPr>
              <w:t>项目名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1"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8" w:right="44"/>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3"/>
              <w:jc w:val="center"/>
              <w:rPr>
                <w:rFonts w:ascii="宋体" w:hAnsi="宋体" w:cs="宋体" w:eastAsia="宋体" w:hint="default"/>
                <w:sz w:val="21"/>
                <w:szCs w:val="21"/>
              </w:rPr>
            </w:pPr>
            <w:r>
              <w:rPr>
                <w:rFonts w:ascii="宋体" w:hAnsi="宋体" w:cs="宋体" w:eastAsia="宋体" w:hint="default"/>
                <w:sz w:val="21"/>
                <w:szCs w:val="21"/>
              </w:rPr>
              <w:t>本期转</w:t>
            </w:r>
            <w:r>
              <w:rPr>
                <w:rFonts w:ascii="宋体" w:hAnsi="宋体" w:cs="宋体" w:eastAsia="宋体" w:hint="default"/>
                <w:w w:val="100"/>
                <w:sz w:val="21"/>
                <w:szCs w:val="21"/>
              </w:rPr>
              <w:t> </w:t>
            </w:r>
            <w:r>
              <w:rPr>
                <w:rFonts w:ascii="宋体" w:hAnsi="宋体" w:cs="宋体" w:eastAsia="宋体" w:hint="default"/>
                <w:sz w:val="21"/>
                <w:szCs w:val="21"/>
              </w:rPr>
              <w:t>入固定</w:t>
            </w:r>
            <w:r>
              <w:rPr>
                <w:rFonts w:ascii="宋体" w:hAnsi="宋体" w:cs="宋体" w:eastAsia="宋体" w:hint="default"/>
                <w:w w:val="100"/>
                <w:sz w:val="21"/>
                <w:szCs w:val="21"/>
              </w:rPr>
              <w:t> </w:t>
            </w:r>
            <w:r>
              <w:rPr>
                <w:rFonts w:ascii="宋体" w:hAnsi="宋体" w:cs="宋体" w:eastAsia="宋体" w:hint="default"/>
                <w:sz w:val="21"/>
                <w:szCs w:val="21"/>
              </w:rPr>
              <w:t>资产金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 w:right="41"/>
              <w:jc w:val="both"/>
              <w:rPr>
                <w:rFonts w:ascii="宋体" w:hAnsi="宋体" w:cs="宋体" w:eastAsia="宋体" w:hint="default"/>
                <w:sz w:val="21"/>
                <w:szCs w:val="21"/>
              </w:rPr>
            </w:pPr>
            <w:r>
              <w:rPr>
                <w:rFonts w:ascii="宋体" w:hAnsi="宋体" w:cs="宋体" w:eastAsia="宋体" w:hint="default"/>
                <w:sz w:val="21"/>
                <w:szCs w:val="21"/>
              </w:rPr>
              <w:t>本期其</w:t>
            </w:r>
            <w:r>
              <w:rPr>
                <w:rFonts w:ascii="宋体" w:hAnsi="宋体" w:cs="宋体" w:eastAsia="宋体" w:hint="default"/>
                <w:spacing w:val="-102"/>
                <w:sz w:val="21"/>
                <w:szCs w:val="21"/>
              </w:rPr>
              <w:t> </w:t>
            </w:r>
            <w:r>
              <w:rPr>
                <w:rFonts w:ascii="宋体" w:hAnsi="宋体" w:cs="宋体" w:eastAsia="宋体" w:hint="default"/>
                <w:sz w:val="21"/>
                <w:szCs w:val="21"/>
              </w:rPr>
              <w:t>他减少</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3"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5"/>
              <w:jc w:val="both"/>
              <w:rPr>
                <w:rFonts w:ascii="宋体" w:hAnsi="宋体" w:cs="宋体" w:eastAsia="宋体" w:hint="default"/>
                <w:sz w:val="21"/>
                <w:szCs w:val="21"/>
              </w:rPr>
            </w:pPr>
            <w:r>
              <w:rPr>
                <w:rFonts w:ascii="宋体" w:hAnsi="宋体" w:cs="宋体" w:eastAsia="宋体" w:hint="default"/>
                <w:sz w:val="21"/>
                <w:szCs w:val="21"/>
              </w:rPr>
              <w:t>工程累</w:t>
            </w:r>
            <w:r>
              <w:rPr>
                <w:rFonts w:ascii="宋体" w:hAnsi="宋体" w:cs="宋体" w:eastAsia="宋体" w:hint="default"/>
                <w:spacing w:val="-102"/>
                <w:sz w:val="21"/>
                <w:szCs w:val="21"/>
              </w:rPr>
              <w:t> </w:t>
            </w:r>
            <w:r>
              <w:rPr>
                <w:rFonts w:ascii="宋体" w:hAnsi="宋体" w:cs="宋体" w:eastAsia="宋体" w:hint="default"/>
                <w:sz w:val="21"/>
                <w:szCs w:val="21"/>
              </w:rPr>
              <w:t>计投入</w:t>
            </w:r>
            <w:r>
              <w:rPr>
                <w:rFonts w:ascii="宋体" w:hAnsi="宋体" w:cs="宋体" w:eastAsia="宋体" w:hint="default"/>
                <w:spacing w:val="-102"/>
                <w:sz w:val="21"/>
                <w:szCs w:val="21"/>
              </w:rPr>
              <w:t> </w:t>
            </w:r>
            <w:r>
              <w:rPr>
                <w:rFonts w:ascii="宋体" w:hAnsi="宋体" w:cs="宋体" w:eastAsia="宋体" w:hint="default"/>
                <w:sz w:val="21"/>
                <w:szCs w:val="21"/>
              </w:rPr>
              <w:t>占预算</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1"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7" w:right="43"/>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3"/>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7" w:right="41"/>
              <w:jc w:val="both"/>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3" w:hanging="209"/>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3"/>
              <w:jc w:val="both"/>
              <w:rPr>
                <w:rFonts w:ascii="宋体" w:hAnsi="宋体" w:cs="宋体" w:eastAsia="宋体" w:hint="default"/>
                <w:sz w:val="21"/>
                <w:szCs w:val="21"/>
              </w:rPr>
            </w:pPr>
            <w:r>
              <w:rPr>
                <w:rFonts w:ascii="宋体" w:hAnsi="宋体" w:cs="宋体" w:eastAsia="宋体" w:hint="default"/>
                <w:sz w:val="21"/>
                <w:szCs w:val="21"/>
              </w:rPr>
              <w:t>天津生</w:t>
            </w:r>
            <w:r>
              <w:rPr>
                <w:rFonts w:ascii="宋体" w:hAnsi="宋体" w:cs="宋体" w:eastAsia="宋体" w:hint="default"/>
                <w:spacing w:val="-102"/>
                <w:sz w:val="21"/>
                <w:szCs w:val="21"/>
              </w:rPr>
              <w:t> </w:t>
            </w:r>
            <w:r>
              <w:rPr>
                <w:rFonts w:ascii="宋体" w:hAnsi="宋体" w:cs="宋体" w:eastAsia="宋体" w:hint="default"/>
                <w:sz w:val="21"/>
                <w:szCs w:val="21"/>
              </w:rPr>
              <w:t>产基地</w:t>
            </w:r>
            <w:r>
              <w:rPr>
                <w:rFonts w:ascii="宋体" w:hAnsi="宋体" w:cs="宋体" w:eastAsia="宋体" w:hint="default"/>
                <w:spacing w:val="-102"/>
                <w:sz w:val="21"/>
                <w:szCs w:val="21"/>
              </w:rPr>
              <w:t> </w:t>
            </w:r>
            <w:r>
              <w:rPr>
                <w:rFonts w:ascii="宋体" w:hAnsi="宋体" w:cs="宋体" w:eastAsia="宋体" w:hint="default"/>
                <w:sz w:val="21"/>
                <w:szCs w:val="21"/>
              </w:rPr>
              <w:t>建设项</w:t>
            </w:r>
            <w:r>
              <w:rPr>
                <w:rFonts w:ascii="宋体" w:hAnsi="宋体" w:cs="宋体" w:eastAsia="宋体" w:hint="default"/>
                <w:spacing w:val="-102"/>
                <w:sz w:val="21"/>
                <w:szCs w:val="21"/>
              </w:rPr>
              <w:t> </w:t>
            </w:r>
            <w:r>
              <w:rPr>
                <w:rFonts w:ascii="宋体" w:hAnsi="宋体" w:cs="宋体" w:eastAsia="宋体" w:hint="default"/>
                <w:sz w:val="21"/>
                <w:szCs w:val="21"/>
              </w:rPr>
              <w:t>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130,52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6,146,6</w:t>
            </w:r>
          </w:p>
          <w:p>
            <w:pPr>
              <w:pStyle w:val="TableParagraph"/>
              <w:spacing w:line="240" w:lineRule="auto" w:before="70"/>
              <w:ind w:left="211" w:right="0"/>
              <w:jc w:val="center"/>
              <w:rPr>
                <w:rFonts w:ascii="Times New Roman" w:hAnsi="Times New Roman" w:cs="Times New Roman" w:eastAsia="Times New Roman" w:hint="default"/>
                <w:sz w:val="21"/>
                <w:szCs w:val="21"/>
              </w:rPr>
            </w:pPr>
            <w:r>
              <w:rPr>
                <w:rFonts w:ascii="Times New Roman"/>
                <w:sz w:val="21"/>
              </w:rPr>
              <w:t>62.83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23,055,</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738.20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29,202,</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401.03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22.37%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67"/>
              <w:jc w:val="left"/>
              <w:rPr>
                <w:rFonts w:ascii="宋体" w:hAnsi="宋体" w:cs="宋体" w:eastAsia="宋体" w:hint="default"/>
                <w:sz w:val="21"/>
                <w:szCs w:val="21"/>
              </w:rPr>
            </w:pPr>
            <w:r>
              <w:rPr>
                <w:rFonts w:ascii="宋体" w:hAnsi="宋体" w:cs="宋体" w:eastAsia="宋体" w:hint="default"/>
                <w:sz w:val="21"/>
                <w:szCs w:val="21"/>
              </w:rPr>
              <w:t>募股资</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192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63"/>
              <w:jc w:val="both"/>
              <w:rPr>
                <w:rFonts w:ascii="宋体" w:hAnsi="宋体" w:cs="宋体" w:eastAsia="宋体" w:hint="default"/>
                <w:sz w:val="21"/>
                <w:szCs w:val="21"/>
              </w:rPr>
            </w:pPr>
            <w:r>
              <w:rPr>
                <w:rFonts w:ascii="宋体" w:hAnsi="宋体" w:cs="宋体" w:eastAsia="宋体" w:hint="default"/>
                <w:sz w:val="21"/>
                <w:szCs w:val="21"/>
              </w:rPr>
              <w:t>信息物</w:t>
            </w:r>
            <w:r>
              <w:rPr>
                <w:rFonts w:ascii="宋体" w:hAnsi="宋体" w:cs="宋体" w:eastAsia="宋体" w:hint="default"/>
                <w:spacing w:val="-102"/>
                <w:sz w:val="21"/>
                <w:szCs w:val="21"/>
              </w:rPr>
              <w:t> </w:t>
            </w:r>
            <w:r>
              <w:rPr>
                <w:rFonts w:ascii="宋体" w:hAnsi="宋体" w:cs="宋体" w:eastAsia="宋体" w:hint="default"/>
                <w:sz w:val="21"/>
                <w:szCs w:val="21"/>
              </w:rPr>
              <w:t>流技术</w:t>
            </w:r>
            <w:r>
              <w:rPr>
                <w:rFonts w:ascii="宋体" w:hAnsi="宋体" w:cs="宋体" w:eastAsia="宋体" w:hint="default"/>
                <w:spacing w:val="-102"/>
                <w:sz w:val="21"/>
                <w:szCs w:val="21"/>
              </w:rPr>
              <w:t> </w:t>
            </w:r>
            <w:r>
              <w:rPr>
                <w:rFonts w:ascii="宋体" w:hAnsi="宋体" w:cs="宋体" w:eastAsia="宋体" w:hint="default"/>
                <w:sz w:val="21"/>
                <w:szCs w:val="21"/>
              </w:rPr>
              <w:t>研发与</w:t>
            </w:r>
            <w:r>
              <w:rPr>
                <w:rFonts w:ascii="宋体" w:hAnsi="宋体" w:cs="宋体" w:eastAsia="宋体" w:hint="default"/>
                <w:spacing w:val="-102"/>
                <w:sz w:val="21"/>
                <w:szCs w:val="21"/>
              </w:rPr>
              <w:t> </w:t>
            </w:r>
            <w:r>
              <w:rPr>
                <w:rFonts w:ascii="宋体" w:hAnsi="宋体" w:cs="宋体" w:eastAsia="宋体" w:hint="default"/>
                <w:sz w:val="21"/>
                <w:szCs w:val="21"/>
              </w:rPr>
              <w:t>装备制</w:t>
            </w:r>
            <w:r>
              <w:rPr>
                <w:rFonts w:ascii="宋体" w:hAnsi="宋体" w:cs="宋体" w:eastAsia="宋体" w:hint="default"/>
                <w:spacing w:val="-102"/>
                <w:sz w:val="21"/>
                <w:szCs w:val="21"/>
              </w:rPr>
              <w:t> </w:t>
            </w:r>
            <w:r>
              <w:rPr>
                <w:rFonts w:ascii="宋体" w:hAnsi="宋体" w:cs="宋体" w:eastAsia="宋体" w:hint="default"/>
                <w:sz w:val="21"/>
                <w:szCs w:val="21"/>
              </w:rPr>
              <w:t>造工厂</w:t>
            </w:r>
            <w:r>
              <w:rPr>
                <w:rFonts w:ascii="宋体" w:hAnsi="宋体" w:cs="宋体" w:eastAsia="宋体" w:hint="default"/>
                <w:spacing w:val="-102"/>
                <w:sz w:val="21"/>
                <w:szCs w:val="21"/>
              </w:rPr>
              <w:t> </w:t>
            </w:r>
            <w:r>
              <w:rPr>
                <w:rFonts w:ascii="宋体" w:hAnsi="宋体" w:cs="宋体" w:eastAsia="宋体" w:hint="default"/>
                <w:sz w:val="21"/>
                <w:szCs w:val="21"/>
              </w:rPr>
              <w:t>建设项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71" w:right="0"/>
              <w:jc w:val="left"/>
              <w:rPr>
                <w:rFonts w:ascii="Times New Roman" w:hAnsi="Times New Roman" w:cs="Times New Roman" w:eastAsia="Times New Roman" w:hint="default"/>
                <w:sz w:val="21"/>
                <w:szCs w:val="21"/>
              </w:rPr>
            </w:pPr>
            <w:r>
              <w:rPr>
                <w:rFonts w:ascii="Times New Roman"/>
                <w:sz w:val="21"/>
              </w:rPr>
              <w:t>80,000,</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20"/>
              <w:jc w:val="right"/>
              <w:rPr>
                <w:rFonts w:ascii="Times New Roman" w:hAnsi="Times New Roman" w:cs="Times New Roman" w:eastAsia="Times New Roman" w:hint="default"/>
                <w:sz w:val="21"/>
                <w:szCs w:val="21"/>
              </w:rPr>
            </w:pPr>
            <w:r>
              <w:rPr>
                <w:rFonts w:ascii="Times New Roman"/>
                <w:sz w:val="21"/>
              </w:rPr>
              <w:t>40,000.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9"/>
              <w:jc w:val="right"/>
              <w:rPr>
                <w:rFonts w:ascii="Times New Roman" w:hAnsi="Times New Roman" w:cs="Times New Roman" w:eastAsia="Times New Roman" w:hint="default"/>
                <w:sz w:val="21"/>
                <w:szCs w:val="21"/>
              </w:rPr>
            </w:pPr>
            <w:r>
              <w:rPr>
                <w:rFonts w:ascii="Times New Roman"/>
                <w:sz w:val="21"/>
              </w:rPr>
              <w:t>40,000.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8"/>
        <w:gridCol w:w="736"/>
        <w:gridCol w:w="734"/>
        <w:gridCol w:w="737"/>
        <w:gridCol w:w="737"/>
        <w:gridCol w:w="736"/>
        <w:gridCol w:w="736"/>
      </w:tblGrid>
      <w:tr>
        <w:trPr>
          <w:trHeight w:val="362"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210,52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6,146,6</w:t>
            </w:r>
          </w:p>
          <w:p>
            <w:pPr>
              <w:pStyle w:val="TableParagraph"/>
              <w:spacing w:line="240" w:lineRule="auto" w:before="70"/>
              <w:ind w:left="211" w:right="0"/>
              <w:jc w:val="center"/>
              <w:rPr>
                <w:rFonts w:ascii="Times New Roman" w:hAnsi="Times New Roman" w:cs="Times New Roman" w:eastAsia="Times New Roman" w:hint="default"/>
                <w:sz w:val="21"/>
                <w:szCs w:val="21"/>
              </w:rPr>
            </w:pPr>
            <w:r>
              <w:rPr>
                <w:rFonts w:ascii="Times New Roman"/>
                <w:sz w:val="21"/>
              </w:rPr>
              <w:t>62.83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23,095,</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738.20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29,242,</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401.03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软件及其他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25,769,659.00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511,157.70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26,280,816.70</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304,000.00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）购置</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304,000.00</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5"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）内部</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7" w:firstLine="612"/>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25,769,659.00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815,157.70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26,584,816.70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1,331,261.45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112,775.28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1,444,036.73</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519,243.27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52,365.68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571,608.95</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519,243.27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52,365.68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571,608.95</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1,850,504.72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165,140.96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2,015,645.68</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36"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23,919,154.28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650,016.74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24,569,171.02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24,438,397.55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398,382.42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24,836,779.97</w:t>
            </w:r>
          </w:p>
        </w:tc>
      </w:tr>
    </w:tbl>
    <w:p>
      <w:pPr>
        <w:pStyle w:val="BodyText"/>
        <w:spacing w:line="240" w:lineRule="auto" w:before="28"/>
        <w:ind w:right="153"/>
        <w:jc w:val="left"/>
      </w:pPr>
      <w:r>
        <w:rPr/>
        <w:t>本期末通过公司内部研发形成的无形资产占无形资产余额的比例。</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4"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24"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24,707,635.62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3,738,266.48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15,753,520.08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2,397,090.60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2"/>
              <w:jc w:val="left"/>
              <w:rPr>
                <w:rFonts w:ascii="宋体" w:hAnsi="宋体" w:cs="宋体" w:eastAsia="宋体" w:hint="default"/>
                <w:sz w:val="21"/>
                <w:szCs w:val="21"/>
              </w:rPr>
            </w:pPr>
            <w:r>
              <w:rPr>
                <w:rFonts w:ascii="宋体" w:hAnsi="宋体" w:cs="宋体" w:eastAsia="宋体" w:hint="default"/>
                <w:sz w:val="21"/>
                <w:szCs w:val="21"/>
              </w:rPr>
              <w:t>内部交易未实现利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1,679,504.12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251,925.62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2,531,610.34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379,741.55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666,895.26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100,034.29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1,592,780.84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238,917.13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4,281,822.43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681,177.53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374,636.52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56,195.48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1,303,078.28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195,461.75</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29,021,452.36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4,385,339.00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23,870,031.13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3,653,471.43</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1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bl>
    <w:p>
      <w:pPr>
        <w:spacing w:after="0" w:line="240" w:lineRule="auto"/>
        <w:jc w:val="left"/>
        <w:rPr>
          <w:rFonts w:ascii="宋体" w:hAnsi="宋体" w:cs="宋体" w:eastAsia="宋体" w:hint="default"/>
          <w:sz w:val="21"/>
          <w:szCs w:val="21"/>
        </w:rPr>
        <w:sectPr>
          <w:footerReference w:type="default" r:id="rId16"/>
          <w:pgSz w:w="11910" w:h="16840"/>
          <w:pgMar w:footer="980" w:header="745" w:top="1060" w:bottom="1160" w:left="980" w:right="980"/>
          <w:pgNumType w:start="11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33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both"/>
              <w:rPr>
                <w:rFonts w:ascii="宋体" w:hAnsi="宋体" w:cs="宋体" w:eastAsia="宋体" w:hint="default"/>
                <w:sz w:val="21"/>
                <w:szCs w:val="21"/>
              </w:rPr>
            </w:pPr>
            <w:r>
              <w:rPr>
                <w:rFonts w:ascii="宋体" w:hAnsi="宋体" w:cs="宋体" w:eastAsia="宋体" w:hint="default"/>
                <w:sz w:val="21"/>
                <w:szCs w:val="21"/>
              </w:rPr>
              <w:t>指定为以公允价值</w:t>
            </w:r>
            <w:r>
              <w:rPr>
                <w:rFonts w:ascii="宋体" w:hAnsi="宋体" w:cs="宋体" w:eastAsia="宋体" w:hint="default"/>
                <w:w w:val="100"/>
                <w:sz w:val="21"/>
                <w:szCs w:val="21"/>
              </w:rPr>
              <w:t> </w:t>
            </w:r>
            <w:r>
              <w:rPr>
                <w:rFonts w:ascii="宋体" w:hAnsi="宋体" w:cs="宋体" w:eastAsia="宋体" w:hint="default"/>
                <w:sz w:val="21"/>
                <w:szCs w:val="21"/>
              </w:rPr>
              <w:t>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w:t>
            </w:r>
            <w:r>
              <w:rPr>
                <w:rFonts w:ascii="宋体" w:hAnsi="宋体" w:cs="宋体" w:eastAsia="宋体" w:hint="default"/>
                <w:w w:val="100"/>
                <w:sz w:val="21"/>
                <w:szCs w:val="21"/>
              </w:rPr>
              <w:t> </w:t>
            </w:r>
            <w:r>
              <w:rPr>
                <w:rFonts w:ascii="宋体" w:hAnsi="宋体" w:cs="宋体" w:eastAsia="宋体" w:hint="default"/>
                <w:sz w:val="21"/>
                <w:szCs w:val="21"/>
              </w:rPr>
              <w:t>产公允价值变动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646,416.67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96,962.50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646,416.67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96,962.50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1,306,182.23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826,600.80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1,306,182.23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826,600.80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14</w:t>
      </w:r>
      <w:r>
        <w:rPr/>
        <w:t>、其他非流动资产</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1,367,798.00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1,367,798.00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53"/>
        <w:jc w:val="left"/>
      </w:pPr>
      <w:r>
        <w:rPr/>
        <w:t>其他说明：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15</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14,900,000.00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14,900,000.00</w:t>
            </w:r>
          </w:p>
        </w:tc>
      </w:tr>
    </w:tbl>
    <w:p>
      <w:pPr>
        <w:pStyle w:val="BodyText"/>
        <w:spacing w:line="240" w:lineRule="auto" w:before="28"/>
        <w:ind w:right="153"/>
        <w:jc w:val="left"/>
      </w:pPr>
      <w:r>
        <w:rPr/>
        <w:t>短期借款分类的说明：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53"/>
        <w:jc w:val="left"/>
      </w:pPr>
      <w:r>
        <w:rPr/>
        <w:t>本期末已逾期未偿还的短期借款总额为元，其中重要的已逾期未偿还的短期借款情况如下：</w:t>
      </w:r>
    </w:p>
    <w:p>
      <w:pPr>
        <w:pStyle w:val="BodyText"/>
        <w:spacing w:line="240" w:lineRule="auto" w:before="78"/>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9"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逾期利率</w:t>
            </w:r>
          </w:p>
        </w:tc>
      </w:tr>
    </w:tbl>
    <w:p>
      <w:pPr>
        <w:pStyle w:val="BodyText"/>
        <w:spacing w:line="240" w:lineRule="auto" w:before="28"/>
        <w:ind w:right="153"/>
        <w:jc w:val="left"/>
      </w:pPr>
      <w:r>
        <w:rPr/>
        <w:t>其他说明：</w:t>
      </w:r>
    </w:p>
    <w:p>
      <w:pPr>
        <w:pStyle w:val="BodyText"/>
        <w:spacing w:line="240" w:lineRule="auto" w:before="159"/>
        <w:ind w:left="633" w:right="153"/>
        <w:jc w:val="left"/>
      </w:pPr>
      <w:r>
        <w:rPr/>
        <w:t>期末无已到期未偿还的短期借款情况。</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16</w:t>
      </w:r>
      <w:r>
        <w:rPr/>
        <w:t>、应付票据</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35,367,948.83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31,608,206.35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35,367,948.83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31,608,206.35</w:t>
            </w:r>
          </w:p>
        </w:tc>
      </w:tr>
    </w:tbl>
    <w:p>
      <w:pPr>
        <w:pStyle w:val="BodyText"/>
        <w:spacing w:line="240" w:lineRule="auto" w:before="28"/>
        <w:ind w:right="153"/>
        <w:jc w:val="left"/>
      </w:pPr>
      <w:r>
        <w:rPr/>
        <w:t>本期末已到期未支付的应付票据总额为元。</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45,407,579.20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43,177,675.88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532,105.00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710,580.00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413,867.50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305,400.00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应付加工费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117,400.00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46,353,551.70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44,311,055.88</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7"/>
              <w:jc w:val="left"/>
              <w:rPr>
                <w:rFonts w:ascii="宋体" w:hAnsi="宋体" w:cs="宋体" w:eastAsia="宋体" w:hint="default"/>
                <w:sz w:val="21"/>
                <w:szCs w:val="21"/>
              </w:rPr>
            </w:pPr>
            <w:r>
              <w:rPr>
                <w:rFonts w:ascii="宋体" w:hAnsi="宋体" w:cs="宋体" w:eastAsia="宋体" w:hint="default"/>
                <w:spacing w:val="-2"/>
                <w:sz w:val="21"/>
                <w:szCs w:val="21"/>
              </w:rPr>
              <w:t>承德市兴达通用自动化设备制造</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1,389,239.57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项目正在执行中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1,389,239.57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53"/>
        <w:jc w:val="left"/>
      </w:pPr>
      <w:r>
        <w:rPr/>
        <w:t>其他说明：</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18</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24,251,852.79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48,553,301.48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24,251,852.79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48,553,301.48</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兰州金刚轮胎有限责任公司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合同尚未执行</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上海精元机械有限公司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合同尚未执行</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2,122,000.00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19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4,770,346.78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37,501,552.00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37,912,153.84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4,359,744.94</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7"/>
              <w:jc w:val="left"/>
              <w:rPr>
                <w:rFonts w:ascii="宋体" w:hAnsi="宋体" w:cs="宋体" w:eastAsia="宋体" w:hint="default"/>
                <w:sz w:val="21"/>
                <w:szCs w:val="21"/>
              </w:rPr>
            </w:pPr>
            <w:r>
              <w:rPr>
                <w:rFonts w:ascii="宋体" w:hAnsi="宋体" w:cs="宋体" w:eastAsia="宋体" w:hint="default"/>
                <w:spacing w:val="-12"/>
                <w:w w:val="100"/>
                <w:sz w:val="21"/>
                <w:szCs w:val="21"/>
              </w:rPr>
              <w:t>二、离职后福利</w:t>
            </w:r>
            <w:r>
              <w:rPr>
                <w:rFonts w:ascii="Times New Roman" w:hAnsi="Times New Roman" w:cs="Times New Roman" w:eastAsia="Times New Roman" w:hint="default"/>
                <w:spacing w:val="-12"/>
                <w:w w:val="100"/>
                <w:sz w:val="21"/>
                <w:szCs w:val="21"/>
              </w:rPr>
              <w:t>-</w:t>
            </w:r>
            <w:r>
              <w:rPr>
                <w:rFonts w:ascii="宋体" w:hAnsi="宋体" w:cs="宋体" w:eastAsia="宋体" w:hint="default"/>
                <w:spacing w:val="-12"/>
                <w:w w:val="100"/>
                <w:sz w:val="21"/>
                <w:szCs w:val="21"/>
              </w:rPr>
              <w:t>设定</w:t>
            </w:r>
            <w:r>
              <w:rPr>
                <w:rFonts w:ascii="宋体" w:hAnsi="宋体" w:cs="宋体" w:eastAsia="宋体" w:hint="default"/>
                <w:spacing w:val="-102"/>
                <w:w w:val="100"/>
                <w:sz w:val="21"/>
                <w:szCs w:val="21"/>
              </w:rPr>
              <w:t> </w:t>
            </w:r>
            <w:r>
              <w:rPr>
                <w:rFonts w:ascii="宋体" w:hAnsi="宋体" w:cs="宋体" w:eastAsia="宋体" w:hint="default"/>
                <w:sz w:val="21"/>
                <w:szCs w:val="21"/>
              </w:rPr>
              <w:t>提存计划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2,779,276.64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2,779,276.64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4,770,346.78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40,280,828.64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40,691,430.48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4,359,744.94</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7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w:t>
            </w:r>
            <w:r>
              <w:rPr>
                <w:rFonts w:ascii="宋体" w:hAnsi="宋体" w:cs="宋体" w:eastAsia="宋体" w:hint="default"/>
                <w:w w:val="100"/>
                <w:sz w:val="21"/>
                <w:szCs w:val="21"/>
              </w:rPr>
              <w:t> </w:t>
            </w:r>
            <w:r>
              <w:rPr>
                <w:rFonts w:ascii="宋体" w:hAnsi="宋体" w:cs="宋体" w:eastAsia="宋体" w:hint="default"/>
                <w:sz w:val="21"/>
                <w:szCs w:val="21"/>
              </w:rPr>
              <w:t>贴和补贴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4,281,822.43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32,516,155.76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32,986,915.14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3,811,063.05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1,066,209.02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1,066,209.02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1,625,554.29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1,625,554.29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7"/>
                <w:sz w:val="21"/>
                <w:szCs w:val="21"/>
              </w:rPr>
              <w:t>其中：医疗保险</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1,399,125.64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1,399,125.64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工伤保</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115,570.40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115,570.40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63" w:right="0"/>
              <w:jc w:val="left"/>
              <w:rPr>
                <w:rFonts w:ascii="宋体" w:hAnsi="宋体" w:cs="宋体" w:eastAsia="宋体" w:hint="default"/>
                <w:sz w:val="21"/>
                <w:szCs w:val="21"/>
              </w:rPr>
            </w:pPr>
            <w:r>
              <w:rPr>
                <w:rFonts w:ascii="宋体" w:hAnsi="宋体" w:cs="宋体" w:eastAsia="宋体" w:hint="default"/>
                <w:sz w:val="21"/>
                <w:szCs w:val="21"/>
              </w:rPr>
              <w:t>生育保</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110,858.25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110,858.25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1,800,559.00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1,800,559.00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77"/>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w:t>
            </w:r>
            <w:r>
              <w:rPr>
                <w:rFonts w:ascii="宋体" w:hAnsi="宋体" w:cs="宋体" w:eastAsia="宋体" w:hint="default"/>
                <w:w w:val="100"/>
                <w:sz w:val="21"/>
                <w:szCs w:val="21"/>
              </w:rPr>
              <w:t> </w:t>
            </w:r>
            <w:r>
              <w:rPr>
                <w:rFonts w:ascii="宋体" w:hAnsi="宋体" w:cs="宋体" w:eastAsia="宋体" w:hint="default"/>
                <w:sz w:val="21"/>
                <w:szCs w:val="21"/>
              </w:rPr>
              <w:t>教育经费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488,524.35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493,073.93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432,916.39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548,681.89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4,770,346.78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37,501,552.00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37,912,153.84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4,359,744.94</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2,634,256.00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2,634,256.00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145,020.64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145,020.64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2,779,276.64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2,779,276.64</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53"/>
        <w:jc w:val="left"/>
      </w:pPr>
      <w:r>
        <w:rPr/>
        <w:t>其他说明：</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20</w:t>
      </w:r>
      <w:r>
        <w:rPr/>
        <w:t>、应交税费</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6,136,223.42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1,821,959.69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2,518,713.17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2,927,391.39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75,441.52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1,223,428.29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423,781.37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123,417.47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306,811.17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91,097.98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83,411.21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97,394.41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9,544,381.86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6,284,689.23</w:t>
            </w:r>
          </w:p>
        </w:tc>
      </w:tr>
    </w:tbl>
    <w:p>
      <w:pPr>
        <w:pStyle w:val="BodyText"/>
        <w:spacing w:line="309" w:lineRule="auto" w:before="28"/>
        <w:ind w:right="3136"/>
        <w:jc w:val="left"/>
      </w:pPr>
      <w:r>
        <w:rPr/>
        <w:t>其他说明：</w:t>
      </w:r>
      <w:r>
        <w:rPr>
          <w:spacing w:val="-102"/>
        </w:rPr>
        <w:t> </w:t>
      </w:r>
      <w:r>
        <w:rPr>
          <w:spacing w:val="-102"/>
        </w:rPr>
      </w:r>
      <w:r>
        <w:rPr>
          <w:spacing w:val="-2"/>
        </w:rPr>
        <w:t>交税费期末较期初增长</w:t>
      </w:r>
      <w:r>
        <w:rPr>
          <w:rFonts w:ascii="Times New Roman" w:hAnsi="Times New Roman" w:cs="Times New Roman" w:eastAsia="Times New Roman" w:hint="default"/>
          <w:spacing w:val="-2"/>
        </w:rPr>
        <w:t>51.87%</w:t>
      </w:r>
      <w:r>
        <w:rPr>
          <w:spacing w:val="-2"/>
        </w:rPr>
        <w:t>，主要系应缴增值税增加所致。</w:t>
      </w:r>
    </w:p>
    <w:p>
      <w:pPr>
        <w:spacing w:line="240" w:lineRule="auto" w:before="5"/>
        <w:rPr>
          <w:rFonts w:ascii="宋体" w:hAnsi="宋体" w:cs="宋体" w:eastAsia="宋体" w:hint="default"/>
          <w:sz w:val="19"/>
          <w:szCs w:val="19"/>
        </w:rPr>
      </w:pPr>
    </w:p>
    <w:p>
      <w:pPr>
        <w:pStyle w:val="Heading4"/>
        <w:spacing w:line="240" w:lineRule="auto"/>
        <w:ind w:right="153"/>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代缴款（社保等）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202,164.42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101,061.82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应付费用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138,536.40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41,392.80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102,310.25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94,727.70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佣金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1,859,441.96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443,011.07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2,096,624.28</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8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4"/>
              <w:jc w:val="right"/>
              <w:rPr>
                <w:rFonts w:ascii="Times New Roman" w:hAnsi="Times New Roman" w:cs="Times New Roman" w:eastAsia="Times New Roman" w:hint="default"/>
                <w:sz w:val="21"/>
                <w:szCs w:val="21"/>
              </w:rPr>
            </w:pPr>
            <w:r>
              <w:rPr>
                <w:rFonts w:ascii="Times New Roman"/>
                <w:spacing w:val="-1"/>
                <w:sz w:val="21"/>
              </w:rPr>
              <w:t>374,636.52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1,303,078.28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sz w:val="21"/>
                <w:szCs w:val="21"/>
              </w:rPr>
              <w:t>按营业收入的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0.5%</w:t>
            </w:r>
            <w:r>
              <w:rPr>
                <w:rFonts w:ascii="宋体" w:hAnsi="宋体" w:cs="宋体" w:eastAsia="宋体" w:hint="default"/>
                <w:sz w:val="21"/>
                <w:szCs w:val="21"/>
              </w:rPr>
              <w:t>计提</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374,636.52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1"/>
                <w:sz w:val="21"/>
              </w:rPr>
              <w:t>1,303,078.28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307" w:lineRule="auto" w:before="28"/>
        <w:ind w:right="153"/>
        <w:jc w:val="left"/>
      </w:pPr>
      <w:r>
        <w:rPr/>
        <w:t>其他说明，包括重要预计负债的相关重要假设、估计说明：</w:t>
      </w:r>
      <w:r>
        <w:rPr>
          <w:w w:val="100"/>
        </w:rPr>
        <w:t> </w:t>
      </w:r>
      <w:r>
        <w:rPr>
          <w:spacing w:val="-2"/>
        </w:rPr>
        <w:t>预计负债期末较期初下降</w:t>
      </w:r>
      <w:r>
        <w:rPr>
          <w:rFonts w:ascii="Times New Roman" w:hAnsi="Times New Roman" w:cs="Times New Roman" w:eastAsia="Times New Roman" w:hint="default"/>
          <w:spacing w:val="-2"/>
        </w:rPr>
        <w:t>71.25%</w:t>
      </w:r>
      <w:r>
        <w:rPr>
          <w:spacing w:val="-2"/>
        </w:rPr>
        <w:t>，主要系本期实际发生售后维修费较多所致。</w:t>
      </w:r>
    </w:p>
    <w:p>
      <w:pPr>
        <w:spacing w:line="240" w:lineRule="auto" w:before="8"/>
        <w:rPr>
          <w:rFonts w:ascii="宋体" w:hAnsi="宋体" w:cs="宋体" w:eastAsia="宋体" w:hint="default"/>
          <w:sz w:val="19"/>
          <w:szCs w:val="19"/>
        </w:rPr>
      </w:pPr>
    </w:p>
    <w:p>
      <w:pPr>
        <w:pStyle w:val="Heading4"/>
        <w:spacing w:line="240" w:lineRule="auto"/>
        <w:ind w:right="153"/>
        <w:jc w:val="left"/>
        <w:rPr>
          <w:b w:val="0"/>
          <w:bCs w:val="0"/>
        </w:rPr>
      </w:pPr>
      <w:r>
        <w:rPr>
          <w:rFonts w:ascii="Times New Roman" w:hAnsi="Times New Roman" w:cs="Times New Roman" w:eastAsia="Times New Roman" w:hint="default"/>
        </w:rPr>
        <w:t>23</w:t>
      </w:r>
      <w:r>
        <w:rPr/>
        <w:t>、递延收益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473"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6" w:right="0"/>
              <w:jc w:val="left"/>
              <w:rPr>
                <w:rFonts w:ascii="Times New Roman" w:hAnsi="Times New Roman" w:cs="Times New Roman" w:eastAsia="Times New Roman" w:hint="default"/>
                <w:sz w:val="21"/>
                <w:szCs w:val="21"/>
              </w:rPr>
            </w:pPr>
            <w:r>
              <w:rPr>
                <w:rFonts w:ascii="Times New Roman"/>
                <w:sz w:val="21"/>
              </w:rPr>
              <w:t>7,380,562.14</w:t>
            </w:r>
          </w:p>
        </w:tc>
        <w:tc>
          <w:tcPr>
            <w:tcW w:w="1594" w:type="dxa"/>
            <w:vMerge w:val="restart"/>
            <w:tcBorders>
              <w:top w:val="single" w:sz="4" w:space="0" w:color="000000"/>
              <w:left w:val="single" w:sz="4" w:space="0" w:color="000000"/>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6" w:right="0"/>
              <w:jc w:val="left"/>
              <w:rPr>
                <w:rFonts w:ascii="Times New Roman" w:hAnsi="Times New Roman" w:cs="Times New Roman" w:eastAsia="Times New Roman" w:hint="default"/>
                <w:sz w:val="21"/>
                <w:szCs w:val="21"/>
              </w:rPr>
            </w:pPr>
            <w:r>
              <w:rPr>
                <w:rFonts w:ascii="Times New Roman"/>
                <w:sz w:val="21"/>
              </w:rPr>
              <w:t>239,168.88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60" w:right="0"/>
              <w:jc w:val="left"/>
              <w:rPr>
                <w:rFonts w:ascii="Times New Roman" w:hAnsi="Times New Roman" w:cs="Times New Roman" w:eastAsia="Times New Roman" w:hint="default"/>
                <w:sz w:val="21"/>
                <w:szCs w:val="21"/>
              </w:rPr>
            </w:pPr>
            <w:r>
              <w:rPr>
                <w:rFonts w:ascii="Times New Roman"/>
                <w:sz w:val="21"/>
              </w:rPr>
              <w:t>7,141,393.26</w:t>
            </w:r>
          </w:p>
        </w:tc>
        <w:tc>
          <w:tcPr>
            <w:tcW w:w="1594"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84"/>
              <w:jc w:val="both"/>
              <w:rPr>
                <w:rFonts w:ascii="宋体" w:hAnsi="宋体" w:cs="宋体" w:eastAsia="宋体" w:hint="default"/>
                <w:sz w:val="21"/>
                <w:szCs w:val="21"/>
              </w:rPr>
            </w:pPr>
            <w:r>
              <w:rPr>
                <w:rFonts w:ascii="宋体" w:hAnsi="宋体" w:cs="宋体" w:eastAsia="宋体" w:hint="default"/>
                <w:sz w:val="21"/>
                <w:szCs w:val="21"/>
              </w:rPr>
              <w:t>收到芜湖市鸠江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区财政局拨付的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基础设施建设资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w:t>
            </w:r>
          </w:p>
        </w:tc>
      </w:tr>
      <w:tr>
        <w:trPr>
          <w:trHeight w:val="392"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473"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456" w:right="0"/>
              <w:jc w:val="left"/>
              <w:rPr>
                <w:rFonts w:ascii="Times New Roman" w:hAnsi="Times New Roman" w:cs="Times New Roman" w:eastAsia="Times New Roman" w:hint="default"/>
                <w:sz w:val="21"/>
                <w:szCs w:val="21"/>
              </w:rPr>
            </w:pPr>
            <w:r>
              <w:rPr>
                <w:rFonts w:ascii="Times New Roman"/>
                <w:sz w:val="21"/>
              </w:rPr>
              <w:t>7,380,562.14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16" w:right="0"/>
              <w:jc w:val="left"/>
              <w:rPr>
                <w:rFonts w:ascii="Times New Roman" w:hAnsi="Times New Roman" w:cs="Times New Roman" w:eastAsia="Times New Roman" w:hint="default"/>
                <w:sz w:val="21"/>
                <w:szCs w:val="21"/>
              </w:rPr>
            </w:pPr>
            <w:r>
              <w:rPr>
                <w:rFonts w:ascii="Times New Roman"/>
                <w:sz w:val="21"/>
              </w:rPr>
              <w:t>239,168.88</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5"/>
              <w:ind w:left="460" w:right="0"/>
              <w:jc w:val="left"/>
              <w:rPr>
                <w:rFonts w:ascii="Times New Roman" w:hAnsi="Times New Roman" w:cs="Times New Roman" w:eastAsia="Times New Roman" w:hint="default"/>
                <w:sz w:val="21"/>
                <w:szCs w:val="21"/>
              </w:rPr>
            </w:pPr>
            <w:r>
              <w:rPr>
                <w:rFonts w:ascii="Times New Roman"/>
                <w:sz w:val="21"/>
              </w:rPr>
              <w:t>7,141,393.26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53"/>
        <w:jc w:val="left"/>
      </w:pPr>
      <w:r>
        <w:rPr/>
        <w:t>涉及政府补助的项目：</w:t>
      </w:r>
    </w:p>
    <w:p>
      <w:pPr>
        <w:pStyle w:val="BodyText"/>
        <w:spacing w:line="240" w:lineRule="auto" w:before="75"/>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68" w:right="46" w:hanging="421"/>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3" w:right="43" w:hanging="106"/>
              <w:jc w:val="left"/>
              <w:rPr>
                <w:rFonts w:ascii="宋体" w:hAnsi="宋体" w:cs="宋体" w:eastAsia="宋体" w:hint="default"/>
                <w:sz w:val="21"/>
                <w:szCs w:val="21"/>
              </w:rPr>
            </w:pPr>
            <w:r>
              <w:rPr>
                <w:rFonts w:ascii="宋体" w:hAnsi="宋体" w:cs="宋体" w:eastAsia="宋体" w:hint="default"/>
                <w:sz w:val="21"/>
                <w:szCs w:val="21"/>
              </w:rPr>
              <w:t>本期计入营业</w:t>
            </w:r>
            <w:r>
              <w:rPr>
                <w:rFonts w:ascii="宋体" w:hAnsi="宋体" w:cs="宋体" w:eastAsia="宋体" w:hint="default"/>
                <w:w w:val="100"/>
                <w:sz w:val="21"/>
                <w:szCs w:val="21"/>
              </w:rPr>
              <w:t> </w:t>
            </w:r>
            <w:r>
              <w:rPr>
                <w:rFonts w:ascii="宋体" w:hAnsi="宋体" w:cs="宋体" w:eastAsia="宋体" w:hint="default"/>
                <w:sz w:val="21"/>
                <w:szCs w:val="21"/>
              </w:rPr>
              <w:t>外收入金额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53" w:right="119" w:hanging="29"/>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0"/>
              <w:jc w:val="both"/>
              <w:rPr>
                <w:rFonts w:ascii="宋体" w:hAnsi="宋体" w:cs="宋体" w:eastAsia="宋体" w:hint="default"/>
                <w:sz w:val="21"/>
                <w:szCs w:val="21"/>
              </w:rPr>
            </w:pPr>
            <w:r>
              <w:rPr>
                <w:rFonts w:ascii="宋体" w:hAnsi="宋体" w:cs="宋体" w:eastAsia="宋体" w:hint="default"/>
                <w:sz w:val="21"/>
                <w:szCs w:val="21"/>
              </w:rPr>
              <w:t>输送及计量设</w:t>
            </w:r>
            <w:r>
              <w:rPr>
                <w:rFonts w:ascii="宋体" w:hAnsi="宋体" w:cs="宋体" w:eastAsia="宋体" w:hint="default"/>
                <w:w w:val="100"/>
                <w:sz w:val="21"/>
                <w:szCs w:val="21"/>
              </w:rPr>
              <w:t> </w:t>
            </w:r>
            <w:r>
              <w:rPr>
                <w:rFonts w:ascii="宋体" w:hAnsi="宋体" w:cs="宋体" w:eastAsia="宋体" w:hint="default"/>
                <w:sz w:val="21"/>
                <w:szCs w:val="21"/>
              </w:rPr>
              <w:t>备生产建设项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7,380,562.14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239,168.88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7,141,393.26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5" w:right="0"/>
              <w:jc w:val="left"/>
              <w:rPr>
                <w:rFonts w:ascii="Times New Roman" w:hAnsi="Times New Roman" w:cs="Times New Roman" w:eastAsia="Times New Roman" w:hint="default"/>
                <w:sz w:val="21"/>
                <w:szCs w:val="21"/>
              </w:rPr>
            </w:pPr>
            <w:r>
              <w:rPr>
                <w:rFonts w:ascii="Times New Roman"/>
                <w:sz w:val="21"/>
              </w:rPr>
              <w:t>7,380,562.14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239,168.88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left="232" w:right="0"/>
              <w:jc w:val="left"/>
              <w:rPr>
                <w:rFonts w:ascii="Times New Roman" w:hAnsi="Times New Roman" w:cs="Times New Roman" w:eastAsia="Times New Roman" w:hint="default"/>
                <w:sz w:val="21"/>
                <w:szCs w:val="21"/>
              </w:rPr>
            </w:pPr>
            <w:r>
              <w:rPr>
                <w:rFonts w:ascii="Times New Roman"/>
                <w:sz w:val="21"/>
              </w:rPr>
              <w:t>7,141,393.26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53"/>
        <w:jc w:val="left"/>
      </w:pPr>
      <w:r>
        <w:rPr/>
        <w:t>其他说明：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24</w:t>
      </w:r>
      <w:r>
        <w:rPr/>
        <w:t>、股本</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87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8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8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50,000,000.0</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16,670,000.0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16,670,000.0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66,670,000.0</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91" w:hRule="exact"/>
        </w:trPr>
        <w:tc>
          <w:tcPr>
            <w:tcW w:w="1184" w:type="dxa"/>
            <w:tcBorders>
              <w:top w:val="nil" w:sz="6" w:space="0" w:color="auto"/>
              <w:left w:val="single" w:sz="13" w:space="0" w:color="D2D2D2"/>
              <w:bottom w:val="nil" w:sz="6" w:space="0" w:color="auto"/>
              <w:right w:val="single" w:sz="12" w:space="0" w:color="D2D2D2"/>
            </w:tcBorders>
          </w:tcPr>
          <w:p>
            <w:pPr>
              <w:pStyle w:val="TableParagraph"/>
              <w:tabs>
                <w:tab w:pos="1140" w:val="left" w:leader="none"/>
              </w:tabs>
              <w:spacing w:line="240" w:lineRule="auto" w:before="28"/>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D2D2D2" w:color="auto" w:val="clear"/>
              </w:rPr>
              <w:t> </w:t>
            </w:r>
            <w:r>
              <w:rPr>
                <w:rFonts w:ascii="宋体" w:hAnsi="宋体" w:cs="宋体" w:eastAsia="宋体" w:hint="default"/>
                <w:sz w:val="21"/>
                <w:szCs w:val="21"/>
                <w:shd w:fill="D2D2D2" w:color="auto" w:val="clear"/>
              </w:rPr>
              <w:t>股份总数</w:t>
              <w:tab/>
            </w:r>
            <w:r>
              <w:rPr>
                <w:rFonts w:ascii="宋体" w:hAnsi="宋体" w:cs="宋体" w:eastAsia="宋体" w:hint="default"/>
                <w:sz w:val="21"/>
                <w:szCs w:val="21"/>
              </w:rPr>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28"/>
        <w:ind w:right="153"/>
        <w:jc w:val="left"/>
      </w:pPr>
      <w:r>
        <w:rPr/>
        <w:t>其他说明：</w:t>
      </w:r>
    </w:p>
    <w:p>
      <w:pPr>
        <w:pStyle w:val="BodyText"/>
        <w:spacing w:line="240" w:lineRule="auto" w:before="157"/>
        <w:ind w:left="633" w:right="0"/>
        <w:jc w:val="left"/>
      </w:pPr>
      <w:r>
        <w:rPr/>
        <w:t>本期股本增加</w:t>
      </w:r>
      <w:r>
        <w:rPr>
          <w:rFonts w:ascii="Times New Roman" w:hAnsi="Times New Roman" w:cs="Times New Roman" w:eastAsia="Times New Roman" w:hint="default"/>
        </w:rPr>
        <w:t>16,670,000.00</w:t>
      </w:r>
      <w:r>
        <w:rPr/>
        <w:t>元，系公司向社会公众公开发行普通股</w:t>
      </w:r>
      <w:r>
        <w:rPr>
          <w:rFonts w:ascii="Times New Roman" w:hAnsi="Times New Roman" w:cs="Times New Roman" w:eastAsia="Times New Roman" w:hint="default"/>
        </w:rPr>
        <w:t>16,670,000.00</w:t>
      </w:r>
      <w:r>
        <w:rPr/>
        <w:t>股，增加股本人民币</w:t>
      </w:r>
    </w:p>
    <w:p>
      <w:pPr>
        <w:pStyle w:val="BodyText"/>
        <w:spacing w:line="240" w:lineRule="auto" w:before="23"/>
        <w:ind w:right="153"/>
        <w:jc w:val="left"/>
      </w:pPr>
      <w:r>
        <w:rPr>
          <w:rFonts w:ascii="Times New Roman" w:hAnsi="Times New Roman" w:cs="Times New Roman" w:eastAsia="Times New Roman" w:hint="default"/>
        </w:rPr>
        <w:t>16,670,000.00</w:t>
      </w:r>
      <w:r>
        <w:rPr/>
        <w:t>元所致。</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16"/>
        <w:jc w:val="left"/>
        <w:rPr>
          <w:b w:val="0"/>
          <w:bCs w:val="0"/>
        </w:rPr>
      </w:pPr>
      <w:r>
        <w:rPr>
          <w:rFonts w:ascii="Times New Roman" w:hAnsi="Times New Roman" w:cs="Times New Roman" w:eastAsia="Times New Roman" w:hint="default"/>
        </w:rPr>
        <w:t>25</w:t>
      </w:r>
      <w:r>
        <w:rPr/>
        <w:t>、资本公积</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2"/>
              <w:jc w:val="left"/>
              <w:rPr>
                <w:rFonts w:ascii="宋体" w:hAnsi="宋体" w:cs="宋体" w:eastAsia="宋体" w:hint="default"/>
                <w:sz w:val="21"/>
                <w:szCs w:val="21"/>
              </w:rPr>
            </w:pPr>
            <w:r>
              <w:rPr>
                <w:rFonts w:ascii="宋体" w:hAnsi="宋体" w:cs="宋体" w:eastAsia="宋体" w:hint="default"/>
                <w:sz w:val="21"/>
                <w:szCs w:val="21"/>
              </w:rPr>
              <w:t>资本溢价（股本溢</w:t>
            </w:r>
            <w:r>
              <w:rPr>
                <w:rFonts w:ascii="宋体" w:hAnsi="宋体" w:cs="宋体" w:eastAsia="宋体" w:hint="default"/>
                <w:w w:val="100"/>
                <w:sz w:val="21"/>
                <w:szCs w:val="21"/>
              </w:rPr>
              <w:t> </w:t>
            </w:r>
            <w:r>
              <w:rPr>
                <w:rFonts w:ascii="宋体" w:hAnsi="宋体" w:cs="宋体" w:eastAsia="宋体" w:hint="default"/>
                <w:sz w:val="21"/>
                <w:szCs w:val="21"/>
              </w:rPr>
              <w:t>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38,289,767.60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68" w:right="0"/>
              <w:jc w:val="left"/>
              <w:rPr>
                <w:rFonts w:ascii="Times New Roman" w:hAnsi="Times New Roman" w:cs="Times New Roman" w:eastAsia="Times New Roman" w:hint="default"/>
                <w:sz w:val="21"/>
                <w:szCs w:val="21"/>
              </w:rPr>
            </w:pPr>
            <w:r>
              <w:rPr>
                <w:rFonts w:ascii="Times New Roman"/>
                <w:sz w:val="21"/>
              </w:rPr>
              <w:t>146,419,974.40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69" w:right="0"/>
              <w:jc w:val="left"/>
              <w:rPr>
                <w:rFonts w:ascii="Times New Roman" w:hAnsi="Times New Roman" w:cs="Times New Roman" w:eastAsia="Times New Roman" w:hint="default"/>
                <w:sz w:val="21"/>
                <w:szCs w:val="21"/>
              </w:rPr>
            </w:pPr>
            <w:r>
              <w:rPr>
                <w:rFonts w:ascii="Times New Roman"/>
                <w:sz w:val="21"/>
              </w:rPr>
              <w:t>184,709,742.00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38,289,767.60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8" w:right="0"/>
              <w:jc w:val="left"/>
              <w:rPr>
                <w:rFonts w:ascii="Times New Roman" w:hAnsi="Times New Roman" w:cs="Times New Roman" w:eastAsia="Times New Roman" w:hint="default"/>
                <w:sz w:val="21"/>
                <w:szCs w:val="21"/>
              </w:rPr>
            </w:pPr>
            <w:r>
              <w:rPr>
                <w:rFonts w:ascii="Times New Roman"/>
                <w:sz w:val="21"/>
              </w:rPr>
              <w:t>146,419,974.40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9" w:right="0"/>
              <w:jc w:val="left"/>
              <w:rPr>
                <w:rFonts w:ascii="Times New Roman" w:hAnsi="Times New Roman" w:cs="Times New Roman" w:eastAsia="Times New Roman" w:hint="default"/>
                <w:sz w:val="21"/>
                <w:szCs w:val="21"/>
              </w:rPr>
            </w:pPr>
            <w:r>
              <w:rPr>
                <w:rFonts w:ascii="Times New Roman"/>
                <w:sz w:val="21"/>
              </w:rPr>
              <w:t>184,709,742.00</w:t>
            </w:r>
          </w:p>
        </w:tc>
      </w:tr>
    </w:tbl>
    <w:p>
      <w:pPr>
        <w:pStyle w:val="BodyText"/>
        <w:spacing w:line="240" w:lineRule="auto" w:before="28"/>
        <w:ind w:right="116"/>
        <w:jc w:val="left"/>
      </w:pPr>
      <w:r>
        <w:rPr/>
        <w:t>其他说明，包括本期增减变动情况、变动原因说明：</w:t>
      </w:r>
    </w:p>
    <w:p>
      <w:pPr>
        <w:pStyle w:val="BodyText"/>
        <w:spacing w:line="259" w:lineRule="auto" w:before="157"/>
        <w:ind w:right="211" w:firstLine="480"/>
        <w:jc w:val="both"/>
      </w:pPr>
      <w:r>
        <w:rPr>
          <w:spacing w:val="-3"/>
        </w:rPr>
        <w:t>本期资本公积增加</w:t>
      </w:r>
      <w:r>
        <w:rPr>
          <w:rFonts w:ascii="Times New Roman" w:hAnsi="Times New Roman" w:cs="Times New Roman" w:eastAsia="Times New Roman" w:hint="default"/>
          <w:spacing w:val="-3"/>
        </w:rPr>
        <w:t>146,419,974.40</w:t>
      </w:r>
      <w:r>
        <w:rPr>
          <w:spacing w:val="-3"/>
        </w:rPr>
        <w:t>元，系公司向社会公众公开发行普通股</w:t>
      </w:r>
      <w:r>
        <w:rPr>
          <w:rFonts w:ascii="Times New Roman" w:hAnsi="Times New Roman" w:cs="Times New Roman" w:eastAsia="Times New Roman" w:hint="default"/>
          <w:spacing w:val="-3"/>
        </w:rPr>
        <w:t>16,670,000.00</w:t>
      </w:r>
      <w:r>
        <w:rPr>
          <w:spacing w:val="-3"/>
        </w:rPr>
        <w:t>股，实际募集资</w:t>
      </w:r>
      <w:r>
        <w:rPr>
          <w:w w:val="100"/>
        </w:rPr>
        <w:t> </w:t>
      </w:r>
      <w:r>
        <w:rPr>
          <w:spacing w:val="27"/>
        </w:rPr>
        <w:t>金净额为人民币</w:t>
      </w:r>
      <w:r>
        <w:rPr>
          <w:spacing w:val="-73"/>
        </w:rPr>
        <w:t> </w:t>
      </w:r>
      <w:r>
        <w:rPr>
          <w:rFonts w:ascii="Times New Roman" w:hAnsi="Times New Roman" w:cs="Times New Roman" w:eastAsia="Times New Roman" w:hint="default"/>
        </w:rPr>
        <w:t>163,089,974.40</w:t>
      </w:r>
      <w:r>
        <w:rPr>
          <w:rFonts w:ascii="Times New Roman" w:hAnsi="Times New Roman" w:cs="Times New Roman" w:eastAsia="Times New Roman" w:hint="default"/>
          <w:spacing w:val="-18"/>
        </w:rPr>
        <w:t> </w:t>
      </w:r>
      <w:r>
        <w:rPr/>
        <w:t>元</w:t>
      </w:r>
      <w:r>
        <w:rPr>
          <w:spacing w:val="-73"/>
        </w:rPr>
        <w:t> </w:t>
      </w:r>
      <w:r>
        <w:rPr/>
        <w:t>，</w:t>
      </w:r>
      <w:r>
        <w:rPr>
          <w:spacing w:val="-71"/>
        </w:rPr>
        <w:t> </w:t>
      </w:r>
      <w:r>
        <w:rPr/>
        <w:t>其</w:t>
      </w:r>
      <w:r>
        <w:rPr>
          <w:spacing w:val="-71"/>
        </w:rPr>
        <w:t> </w:t>
      </w:r>
      <w:r>
        <w:rPr/>
        <w:t>中</w:t>
      </w:r>
      <w:r>
        <w:rPr>
          <w:spacing w:val="-71"/>
        </w:rPr>
        <w:t> </w:t>
      </w:r>
      <w:r>
        <w:rPr/>
        <w:t>增</w:t>
      </w:r>
      <w:r>
        <w:rPr>
          <w:spacing w:val="-71"/>
        </w:rPr>
        <w:t> </w:t>
      </w:r>
      <w:r>
        <w:rPr/>
        <w:t>加</w:t>
      </w:r>
      <w:r>
        <w:rPr>
          <w:spacing w:val="-73"/>
        </w:rPr>
        <w:t> </w:t>
      </w:r>
      <w:r>
        <w:rPr/>
        <w:t>股</w:t>
      </w:r>
      <w:r>
        <w:rPr>
          <w:spacing w:val="-73"/>
        </w:rPr>
        <w:t> </w:t>
      </w:r>
      <w:r>
        <w:rPr/>
        <w:t>本</w:t>
      </w:r>
      <w:r>
        <w:rPr>
          <w:spacing w:val="-71"/>
        </w:rPr>
        <w:t> </w:t>
      </w:r>
      <w:r>
        <w:rPr/>
        <w:t>人</w:t>
      </w:r>
      <w:r>
        <w:rPr>
          <w:spacing w:val="-71"/>
        </w:rPr>
        <w:t> </w:t>
      </w:r>
      <w:r>
        <w:rPr/>
        <w:t>民</w:t>
      </w:r>
      <w:r>
        <w:rPr>
          <w:spacing w:val="-71"/>
        </w:rPr>
        <w:t> </w:t>
      </w:r>
      <w:r>
        <w:rPr/>
        <w:t>币</w:t>
      </w:r>
      <w:r>
        <w:rPr>
          <w:spacing w:val="-67"/>
        </w:rPr>
        <w:t> </w:t>
      </w:r>
      <w:r>
        <w:rPr>
          <w:rFonts w:ascii="Times New Roman" w:hAnsi="Times New Roman" w:cs="Times New Roman" w:eastAsia="Times New Roman" w:hint="default"/>
        </w:rPr>
        <w:t>16,670,000.00</w:t>
      </w:r>
      <w:r>
        <w:rPr>
          <w:rFonts w:ascii="Times New Roman" w:hAnsi="Times New Roman" w:cs="Times New Roman" w:eastAsia="Times New Roman" w:hint="default"/>
          <w:spacing w:val="-21"/>
        </w:rPr>
        <w:t> </w:t>
      </w:r>
      <w:r>
        <w:rPr/>
        <w:t>元</w:t>
      </w:r>
      <w:r>
        <w:rPr>
          <w:spacing w:val="-71"/>
        </w:rPr>
        <w:t> </w:t>
      </w:r>
      <w:r>
        <w:rPr/>
        <w:t>，</w:t>
      </w:r>
      <w:r>
        <w:rPr>
          <w:spacing w:val="-71"/>
        </w:rPr>
        <w:t> </w:t>
      </w:r>
      <w:r>
        <w:rPr/>
        <w:t>增</w:t>
      </w:r>
      <w:r>
        <w:rPr>
          <w:spacing w:val="-71"/>
        </w:rPr>
        <w:t> </w:t>
      </w:r>
      <w:r>
        <w:rPr/>
        <w:t>加</w:t>
      </w:r>
      <w:r>
        <w:rPr>
          <w:spacing w:val="-71"/>
        </w:rPr>
        <w:t> </w:t>
      </w:r>
      <w:r>
        <w:rPr/>
        <w:t>资</w:t>
      </w:r>
      <w:r>
        <w:rPr>
          <w:spacing w:val="-71"/>
        </w:rPr>
        <w:t> </w:t>
      </w:r>
      <w:r>
        <w:rPr/>
        <w:t>本</w:t>
      </w:r>
      <w:r>
        <w:rPr>
          <w:spacing w:val="-73"/>
        </w:rPr>
        <w:t> </w:t>
      </w:r>
      <w:r>
        <w:rPr/>
        <w:t>公</w:t>
      </w:r>
      <w:r>
        <w:rPr>
          <w:spacing w:val="-71"/>
        </w:rPr>
        <w:t> </w:t>
      </w:r>
      <w:r>
        <w:rPr/>
        <w:t>积</w:t>
      </w:r>
      <w:r>
        <w:rPr>
          <w:spacing w:val="-71"/>
        </w:rPr>
        <w:t> </w:t>
      </w:r>
      <w:r>
        <w:rPr/>
        <w:t>人</w:t>
      </w:r>
      <w:r>
        <w:rPr>
          <w:spacing w:val="-71"/>
        </w:rPr>
        <w:t> </w:t>
      </w:r>
      <w:r>
        <w:rPr/>
        <w:t>民</w:t>
      </w:r>
      <w:r>
        <w:rPr>
          <w:spacing w:val="-73"/>
        </w:rPr>
        <w:t> </w:t>
      </w:r>
      <w:r>
        <w:rPr/>
        <w:t>币</w:t>
      </w:r>
      <w:r>
        <w:rPr>
          <w:w w:val="100"/>
        </w:rPr>
        <w:t> </w:t>
      </w:r>
      <w:r>
        <w:rPr>
          <w:rFonts w:ascii="Times New Roman" w:hAnsi="Times New Roman" w:cs="Times New Roman" w:eastAsia="Times New Roman" w:hint="default"/>
        </w:rPr>
        <w:t>146,419,974.40</w:t>
      </w:r>
      <w:r>
        <w:rPr/>
        <w:t>元所致。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57"/>
        <w:ind w:right="116"/>
        <w:jc w:val="left"/>
        <w:rPr>
          <w:b w:val="0"/>
          <w:bCs w:val="0"/>
        </w:rPr>
      </w:pPr>
      <w:r>
        <w:rPr>
          <w:rFonts w:ascii="Times New Roman" w:hAnsi="Times New Roman" w:cs="Times New Roman" w:eastAsia="Times New Roman" w:hint="default"/>
        </w:rPr>
        <w:t>26</w:t>
      </w:r>
      <w:r>
        <w:rPr/>
        <w:t>、盈余公积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2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10,193,351.78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1,828,384.64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12,021,736.42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10,193,351.78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1,828,384.64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12,021,736.42</w:t>
            </w:r>
          </w:p>
        </w:tc>
      </w:tr>
    </w:tbl>
    <w:p>
      <w:pPr>
        <w:pStyle w:val="BodyText"/>
        <w:spacing w:line="307" w:lineRule="auto" w:before="28"/>
        <w:ind w:right="116"/>
        <w:jc w:val="left"/>
      </w:pPr>
      <w:r>
        <w:rPr/>
        <w:t>盈余公积说明，包括本期增减变动情况、变动原因说明：</w:t>
      </w:r>
      <w:r>
        <w:rPr>
          <w:w w:val="100"/>
        </w:rPr>
        <w:t> </w:t>
      </w:r>
      <w:r>
        <w:rPr>
          <w:spacing w:val="-5"/>
        </w:rPr>
        <w:t>本期盈余公积增加系本公司按《公司法》及本公司章程有关规定，按本年净利润</w:t>
      </w:r>
      <w:r>
        <w:rPr>
          <w:rFonts w:ascii="Times New Roman" w:hAnsi="Times New Roman" w:cs="Times New Roman" w:eastAsia="Times New Roman" w:hint="default"/>
          <w:spacing w:val="-5"/>
        </w:rPr>
        <w:t>10</w:t>
      </w:r>
      <w:r>
        <w:rPr>
          <w:spacing w:val="-5"/>
        </w:rPr>
        <w:t>％提取法定盈余公积金。</w:t>
      </w:r>
    </w:p>
    <w:p>
      <w:pPr>
        <w:spacing w:line="240" w:lineRule="auto" w:before="8"/>
        <w:rPr>
          <w:rFonts w:ascii="宋体" w:hAnsi="宋体" w:cs="宋体" w:eastAsia="宋体" w:hint="default"/>
          <w:sz w:val="19"/>
          <w:szCs w:val="19"/>
        </w:rPr>
      </w:pPr>
    </w:p>
    <w:p>
      <w:pPr>
        <w:pStyle w:val="Heading4"/>
        <w:spacing w:line="240" w:lineRule="auto"/>
        <w:ind w:right="116"/>
        <w:jc w:val="left"/>
        <w:rPr>
          <w:b w:val="0"/>
          <w:bCs w:val="0"/>
        </w:rPr>
      </w:pPr>
      <w:r>
        <w:rPr>
          <w:rFonts w:ascii="Times New Roman" w:hAnsi="Times New Roman" w:cs="Times New Roman" w:eastAsia="Times New Roman" w:hint="default"/>
        </w:rPr>
        <w:t>27</w:t>
      </w:r>
      <w:r>
        <w:rPr/>
        <w:t>、未分配利润</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2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95,278,464.55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Times New Roman" w:hAnsi="Times New Roman" w:cs="Times New Roman" w:eastAsia="Times New Roman" w:hint="default"/>
                <w:sz w:val="21"/>
                <w:szCs w:val="21"/>
              </w:rPr>
            </w:pPr>
            <w:r>
              <w:rPr>
                <w:rFonts w:ascii="Times New Roman"/>
                <w:spacing w:val="-1"/>
                <w:sz w:val="21"/>
              </w:rPr>
              <w:t>70,407,216.93</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95,278,464.55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70,407,216.93</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25,228,234.56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Times New Roman" w:hAnsi="Times New Roman" w:cs="Times New Roman" w:eastAsia="Times New Roman" w:hint="default"/>
                <w:sz w:val="21"/>
                <w:szCs w:val="21"/>
              </w:rPr>
            </w:pPr>
            <w:r>
              <w:rPr>
                <w:rFonts w:ascii="Times New Roman"/>
                <w:spacing w:val="-1"/>
                <w:sz w:val="21"/>
              </w:rPr>
              <w:t>34,535,460.14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1,828,384.64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2,664,212.52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Times New Roman" w:hAnsi="Times New Roman" w:cs="Times New Roman" w:eastAsia="Times New Roman" w:hint="default"/>
                <w:sz w:val="21"/>
                <w:szCs w:val="21"/>
              </w:rPr>
            </w:pPr>
            <w:r>
              <w:rPr>
                <w:rFonts w:ascii="Times New Roman"/>
                <w:spacing w:val="-1"/>
                <w:sz w:val="21"/>
              </w:rPr>
              <w:t>7,000,000.00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111,678,314.47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95,278,464.55</w:t>
            </w:r>
          </w:p>
        </w:tc>
      </w:tr>
    </w:tbl>
    <w:p>
      <w:pPr>
        <w:pStyle w:val="BodyText"/>
        <w:spacing w:line="240" w:lineRule="auto" w:before="29"/>
        <w:ind w:right="116"/>
        <w:jc w:val="left"/>
      </w:pPr>
      <w:r>
        <w:rPr/>
        <w:t>调整期初未分配利润明细：</w:t>
      </w:r>
    </w:p>
    <w:p>
      <w:pPr>
        <w:pStyle w:val="BodyText"/>
        <w:spacing w:line="240" w:lineRule="auto" w:before="75"/>
        <w:ind w:right="116"/>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62"/>
        <w:ind w:right="116"/>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59"/>
        <w:ind w:right="116"/>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62"/>
        <w:ind w:right="116"/>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62"/>
        <w:ind w:right="116"/>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28</w:t>
      </w:r>
      <w:r>
        <w:rPr/>
        <w:t>、营业收入和营业成本</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214,272,084.27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144,967,131.67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192,262,399.80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114,223,900.99</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214,272,084.27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144,967,131.67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192,262,399.80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114,223,900.99</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29</w:t>
      </w:r>
      <w:r>
        <w:rPr/>
        <w:t>、营业税金及附加</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977,436.59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967,966.97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732,482.64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731,042.83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1,712,919.23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1,702,009.80</w:t>
            </w:r>
          </w:p>
        </w:tc>
      </w:tr>
    </w:tbl>
    <w:p>
      <w:pPr>
        <w:pStyle w:val="BodyText"/>
        <w:spacing w:line="240" w:lineRule="auto" w:before="28"/>
        <w:ind w:right="153"/>
        <w:jc w:val="left"/>
      </w:pPr>
      <w:r>
        <w:rPr/>
        <w:t>其他说明：</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30</w:t>
      </w:r>
      <w:r>
        <w:rPr/>
        <w:t>、销售费用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出口业务佣金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1,086,963.96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2,178,599.50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1,071,104.85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961,058.58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1,069,769.84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959,120.84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457,322.20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472,098.62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投标服务费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232,060.00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351,067.69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411,261.67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4,036,228.54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5,214,199.21</w:t>
            </w:r>
          </w:p>
        </w:tc>
      </w:tr>
    </w:tbl>
    <w:p>
      <w:pPr>
        <w:pStyle w:val="BodyText"/>
        <w:spacing w:line="240" w:lineRule="auto" w:before="28"/>
        <w:ind w:right="153"/>
        <w:jc w:val="left"/>
      </w:pPr>
      <w:r>
        <w:rPr/>
        <w:t>其他说明：</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31</w:t>
      </w:r>
      <w:r>
        <w:rPr/>
        <w:t>、管理费用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14,049,133.01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13,466,560.88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7,438,551.95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7,112,838.72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2,031,371.65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1,380,201.09</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1,593,501.81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1,535,301.63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1,468,708.69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978,584.07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1,411,867.49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1,180,249.02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1,374,068.40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841,969.31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1,248,535.17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162,306.94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1,203,759.98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1,246,395.46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法律顾问费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849,056.58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843,078.65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775,581.21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502,015.15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476,264.84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252,751.58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673,443.85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901,300.32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35,163,357.22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29,834,040.23</w:t>
            </w:r>
          </w:p>
        </w:tc>
      </w:tr>
    </w:tbl>
    <w:p>
      <w:pPr>
        <w:pStyle w:val="BodyText"/>
        <w:spacing w:line="240" w:lineRule="auto" w:before="28"/>
        <w:ind w:right="153"/>
        <w:jc w:val="left"/>
      </w:pPr>
      <w:r>
        <w:rPr/>
        <w:t>其他说明：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32</w:t>
      </w:r>
      <w:r>
        <w:rPr/>
        <w:t>、财务费用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595,157.17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1,001,266.25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797,345.85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403,306.72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-202,188.68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597,959.53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-1,467,292.69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-107,469.71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3"/>
                <w:sz w:val="21"/>
              </w:rPr>
              <w:t>111,557.83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136,683.92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-85,477.51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-1,643,401.05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631,373.74</w:t>
            </w:r>
          </w:p>
        </w:tc>
      </w:tr>
    </w:tbl>
    <w:p>
      <w:pPr>
        <w:pStyle w:val="BodyText"/>
        <w:spacing w:line="240" w:lineRule="auto" w:before="28"/>
        <w:ind w:right="153"/>
        <w:jc w:val="left"/>
      </w:pPr>
      <w:r>
        <w:rPr/>
        <w:t>其他说明：</w:t>
      </w:r>
    </w:p>
    <w:p>
      <w:pPr>
        <w:pStyle w:val="BodyText"/>
        <w:spacing w:line="240" w:lineRule="auto" w:before="159"/>
        <w:ind w:left="633" w:right="153"/>
        <w:jc w:val="left"/>
      </w:pPr>
      <w:r>
        <w:rPr/>
        <w:t>财务费用本期较上期下降</w:t>
      </w:r>
      <w:r>
        <w:rPr>
          <w:rFonts w:ascii="Times New Roman" w:hAnsi="Times New Roman" w:cs="Times New Roman" w:eastAsia="Times New Roman" w:hint="default"/>
        </w:rPr>
        <w:t>360.29%</w:t>
      </w:r>
      <w:r>
        <w:rPr/>
        <w:t>，主要系人民币兑美元汇率变动影响汇兑损益所致。</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9,036,346.76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3,085,907.07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9,036,346.76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3,085,907.07</w:t>
            </w:r>
          </w:p>
        </w:tc>
      </w:tr>
    </w:tbl>
    <w:p>
      <w:pPr>
        <w:pStyle w:val="BodyText"/>
        <w:spacing w:line="240" w:lineRule="auto" w:before="28"/>
        <w:ind w:right="153"/>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34</w:t>
      </w:r>
      <w:r>
        <w:rPr/>
        <w:t>、公允价值变动收益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96"/>
              <w:jc w:val="left"/>
              <w:rPr>
                <w:rFonts w:ascii="宋体" w:hAnsi="宋体" w:cs="宋体" w:eastAsia="宋体" w:hint="default"/>
                <w:sz w:val="21"/>
                <w:szCs w:val="21"/>
              </w:rPr>
            </w:pPr>
            <w:r>
              <w:rPr>
                <w:rFonts w:ascii="宋体" w:hAnsi="宋体" w:cs="宋体" w:eastAsia="宋体" w:hint="default"/>
                <w:spacing w:val="-2"/>
                <w:sz w:val="21"/>
                <w:szCs w:val="21"/>
              </w:rPr>
              <w:t>以公允价值计量的且其变动计入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646,416.67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646,416.67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53"/>
        <w:jc w:val="left"/>
      </w:pPr>
      <w:r>
        <w:rPr/>
        <w:t>其他说明：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35</w:t>
      </w:r>
      <w:r>
        <w:rPr/>
        <w:t>、投资收益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2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8"/>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益的金融资产在持有期间的投资收益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3"/>
                <w:sz w:val="21"/>
              </w:rPr>
              <w:t>114,411.82</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3"/>
                <w:sz w:val="21"/>
              </w:rPr>
              <w:t>114,411.82</w:t>
            </w:r>
          </w:p>
        </w:tc>
      </w:tr>
    </w:tbl>
    <w:p>
      <w:pPr>
        <w:pStyle w:val="BodyText"/>
        <w:spacing w:line="240" w:lineRule="auto" w:before="28"/>
        <w:ind w:right="153"/>
        <w:jc w:val="left"/>
      </w:pPr>
      <w:r>
        <w:rPr/>
        <w:t>其他说明：</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36</w:t>
      </w:r>
      <w:r>
        <w:rPr/>
        <w:t>、营业外收入</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982" w:right="31" w:hanging="947"/>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21,378.16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21,378.16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21,378.16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21,378.16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7,097,451.03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2,737,246.63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4,397,604.88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9,677.78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49,451.48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9,677.78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7,128,506.97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2,786,698.11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4,428,660.82</w:t>
            </w:r>
          </w:p>
        </w:tc>
      </w:tr>
    </w:tbl>
    <w:p>
      <w:pPr>
        <w:pStyle w:val="BodyText"/>
        <w:spacing w:line="240" w:lineRule="auto" w:before="28"/>
        <w:ind w:right="153"/>
        <w:jc w:val="left"/>
      </w:pPr>
      <w:r>
        <w:rPr/>
        <w:t>计入当期损益的政府补助：</w:t>
      </w:r>
    </w:p>
    <w:p>
      <w:pPr>
        <w:pStyle w:val="BodyText"/>
        <w:spacing w:line="240" w:lineRule="auto" w:before="78"/>
        <w:ind w:left="0" w:right="14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08" w:right="98"/>
              <w:jc w:val="center"/>
              <w:rPr>
                <w:rFonts w:ascii="宋体" w:hAnsi="宋体" w:cs="宋体" w:eastAsia="宋体" w:hint="default"/>
                <w:sz w:val="21"/>
                <w:szCs w:val="21"/>
              </w:rPr>
            </w:pPr>
            <w:r>
              <w:rPr>
                <w:rFonts w:ascii="宋体" w:hAnsi="宋体" w:cs="宋体" w:eastAsia="宋体" w:hint="default"/>
                <w:sz w:val="21"/>
                <w:szCs w:val="21"/>
              </w:rPr>
              <w:t>补贴是否</w:t>
            </w:r>
            <w:r>
              <w:rPr>
                <w:rFonts w:ascii="宋体" w:hAnsi="宋体" w:cs="宋体" w:eastAsia="宋体" w:hint="default"/>
                <w:w w:val="100"/>
                <w:sz w:val="21"/>
                <w:szCs w:val="21"/>
              </w:rPr>
              <w:t> </w:t>
            </w:r>
            <w:r>
              <w:rPr>
                <w:rFonts w:ascii="宋体" w:hAnsi="宋体" w:cs="宋体" w:eastAsia="宋体" w:hint="default"/>
                <w:sz w:val="21"/>
                <w:szCs w:val="21"/>
              </w:rPr>
              <w:t>影响当年</w:t>
            </w:r>
            <w:r>
              <w:rPr>
                <w:rFonts w:ascii="宋体" w:hAnsi="宋体" w:cs="宋体" w:eastAsia="宋体" w:hint="default"/>
                <w:w w:val="100"/>
                <w:sz w:val="21"/>
                <w:szCs w:val="21"/>
              </w:rPr>
              <w:t> </w:t>
            </w:r>
            <w:r>
              <w:rPr>
                <w:rFonts w:ascii="宋体" w:hAnsi="宋体" w:cs="宋体" w:eastAsia="宋体" w:hint="default"/>
                <w:sz w:val="21"/>
                <w:szCs w:val="21"/>
              </w:rPr>
              <w:t>盈亏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19" w:right="99" w:hanging="210"/>
              <w:jc w:val="left"/>
              <w:rPr>
                <w:rFonts w:ascii="宋体" w:hAnsi="宋体" w:cs="宋体" w:eastAsia="宋体" w:hint="default"/>
                <w:sz w:val="21"/>
                <w:szCs w:val="21"/>
              </w:rPr>
            </w:pPr>
            <w:r>
              <w:rPr>
                <w:rFonts w:ascii="宋体" w:hAnsi="宋体" w:cs="宋体" w:eastAsia="宋体" w:hint="default"/>
                <w:sz w:val="21"/>
                <w:szCs w:val="21"/>
              </w:rPr>
              <w:t>是否特殊</w:t>
            </w:r>
            <w:r>
              <w:rPr>
                <w:rFonts w:ascii="宋体" w:hAnsi="宋体" w:cs="宋体" w:eastAsia="宋体" w:hint="default"/>
                <w:w w:val="100"/>
                <w:sz w:val="21"/>
                <w:szCs w:val="21"/>
              </w:rPr>
              <w:t> </w:t>
            </w:r>
            <w:r>
              <w:rPr>
                <w:rFonts w:ascii="宋体" w:hAnsi="宋体" w:cs="宋体" w:eastAsia="宋体" w:hint="default"/>
                <w:sz w:val="21"/>
                <w:szCs w:val="21"/>
              </w:rPr>
              <w:t>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本期发生</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上期发生</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9"/>
              <w:ind w:left="79" w:right="72"/>
              <w:jc w:val="center"/>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pacing w:val="-1"/>
                <w:sz w:val="21"/>
                <w:szCs w:val="21"/>
              </w:rPr>
              <w:t>关</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left"/>
              <w:rPr>
                <w:rFonts w:ascii="宋体" w:hAnsi="宋体" w:cs="宋体" w:eastAsia="宋体" w:hint="default"/>
                <w:sz w:val="21"/>
                <w:szCs w:val="21"/>
              </w:rPr>
            </w:pPr>
            <w:r>
              <w:rPr>
                <w:rFonts w:ascii="宋体" w:hAnsi="宋体" w:cs="宋体" w:eastAsia="宋体" w:hint="default"/>
                <w:sz w:val="21"/>
                <w:szCs w:val="21"/>
              </w:rPr>
              <w:t>土地使用</w:t>
            </w:r>
            <w:r>
              <w:rPr>
                <w:rFonts w:ascii="宋体" w:hAnsi="宋体" w:cs="宋体" w:eastAsia="宋体" w:hint="default"/>
                <w:w w:val="100"/>
                <w:sz w:val="21"/>
                <w:szCs w:val="21"/>
              </w:rPr>
              <w:t> </w:t>
            </w:r>
            <w:r>
              <w:rPr>
                <w:rFonts w:ascii="宋体" w:hAnsi="宋体" w:cs="宋体" w:eastAsia="宋体" w:hint="default"/>
                <w:sz w:val="21"/>
                <w:szCs w:val="21"/>
              </w:rPr>
              <w:t>税奖励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327,500.00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2" w:right="0"/>
              <w:jc w:val="center"/>
              <w:rPr>
                <w:rFonts w:ascii="Times New Roman" w:hAnsi="Times New Roman" w:cs="Times New Roman" w:eastAsia="Times New Roman" w:hint="default"/>
                <w:sz w:val="21"/>
                <w:szCs w:val="21"/>
              </w:rPr>
            </w:pPr>
            <w:r>
              <w:rPr>
                <w:rFonts w:ascii="Times New Roman"/>
                <w:sz w:val="21"/>
              </w:rPr>
              <w:t>31,300.00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87"/>
              <w:jc w:val="left"/>
              <w:rPr>
                <w:rFonts w:ascii="宋体" w:hAnsi="宋体" w:cs="宋体" w:eastAsia="宋体" w:hint="default"/>
                <w:sz w:val="21"/>
                <w:szCs w:val="21"/>
              </w:rPr>
            </w:pPr>
            <w:r>
              <w:rPr>
                <w:rFonts w:ascii="宋体" w:hAnsi="宋体" w:cs="宋体" w:eastAsia="宋体" w:hint="default"/>
                <w:sz w:val="21"/>
                <w:szCs w:val="21"/>
              </w:rPr>
              <w:t>基础设施</w:t>
            </w:r>
            <w:r>
              <w:rPr>
                <w:rFonts w:ascii="宋体" w:hAnsi="宋体" w:cs="宋体" w:eastAsia="宋体" w:hint="default"/>
                <w:w w:val="100"/>
                <w:sz w:val="21"/>
                <w:szCs w:val="21"/>
              </w:rPr>
              <w:t> </w:t>
            </w:r>
            <w:r>
              <w:rPr>
                <w:rFonts w:ascii="宋体" w:hAnsi="宋体" w:cs="宋体" w:eastAsia="宋体" w:hint="default"/>
                <w:sz w:val="21"/>
                <w:szCs w:val="21"/>
              </w:rPr>
              <w:t>建设资金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239,168.88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6" w:right="0"/>
              <w:jc w:val="center"/>
              <w:rPr>
                <w:rFonts w:ascii="Times New Roman" w:hAnsi="Times New Roman" w:cs="Times New Roman" w:eastAsia="Times New Roman" w:hint="default"/>
                <w:sz w:val="21"/>
                <w:szCs w:val="21"/>
              </w:rPr>
            </w:pPr>
            <w:r>
              <w:rPr>
                <w:rFonts w:ascii="Times New Roman"/>
                <w:sz w:val="21"/>
              </w:rPr>
              <w:t>239,168.88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4" w:right="187"/>
              <w:jc w:val="left"/>
              <w:rPr>
                <w:rFonts w:ascii="宋体" w:hAnsi="宋体" w:cs="宋体" w:eastAsia="宋体" w:hint="default"/>
                <w:sz w:val="21"/>
                <w:szCs w:val="21"/>
              </w:rPr>
            </w:pPr>
            <w:r>
              <w:rPr>
                <w:rFonts w:ascii="宋体" w:hAnsi="宋体" w:cs="宋体" w:eastAsia="宋体" w:hint="default"/>
                <w:sz w:val="21"/>
                <w:szCs w:val="21"/>
              </w:rPr>
              <w:t>促进经济</w:t>
            </w:r>
            <w:r>
              <w:rPr>
                <w:rFonts w:ascii="宋体" w:hAnsi="宋体" w:cs="宋体" w:eastAsia="宋体" w:hint="default"/>
                <w:w w:val="100"/>
                <w:sz w:val="21"/>
                <w:szCs w:val="21"/>
              </w:rPr>
              <w:t> </w:t>
            </w:r>
            <w:r>
              <w:rPr>
                <w:rFonts w:ascii="宋体" w:hAnsi="宋体" w:cs="宋体" w:eastAsia="宋体" w:hint="default"/>
                <w:sz w:val="21"/>
                <w:szCs w:val="21"/>
              </w:rPr>
              <w:t>平稳较快</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66,582.00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2" w:right="0"/>
              <w:jc w:val="center"/>
              <w:rPr>
                <w:rFonts w:ascii="Times New Roman" w:hAnsi="Times New Roman" w:cs="Times New Roman" w:eastAsia="Times New Roman" w:hint="default"/>
                <w:sz w:val="21"/>
                <w:szCs w:val="21"/>
              </w:rPr>
            </w:pPr>
            <w:r>
              <w:rPr>
                <w:rFonts w:ascii="Times New Roman"/>
                <w:sz w:val="21"/>
              </w:rPr>
              <w:t>20,400.00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bl>
    <w:p>
      <w:pPr>
        <w:spacing w:after="0" w:line="273"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7"/>
              <w:jc w:val="left"/>
              <w:rPr>
                <w:rFonts w:ascii="宋体" w:hAnsi="宋体" w:cs="宋体" w:eastAsia="宋体" w:hint="default"/>
                <w:sz w:val="21"/>
                <w:szCs w:val="21"/>
              </w:rPr>
            </w:pPr>
            <w:r>
              <w:rPr>
                <w:rFonts w:ascii="宋体" w:hAnsi="宋体" w:cs="宋体" w:eastAsia="宋体" w:hint="default"/>
                <w:sz w:val="21"/>
                <w:szCs w:val="21"/>
              </w:rPr>
              <w:t>发展奖励</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left"/>
              <w:rPr>
                <w:rFonts w:ascii="宋体" w:hAnsi="宋体" w:cs="宋体" w:eastAsia="宋体" w:hint="default"/>
                <w:sz w:val="21"/>
                <w:szCs w:val="21"/>
              </w:rPr>
            </w:pPr>
            <w:r>
              <w:rPr>
                <w:rFonts w:ascii="宋体" w:hAnsi="宋体" w:cs="宋体" w:eastAsia="宋体" w:hint="default"/>
                <w:sz w:val="21"/>
                <w:szCs w:val="21"/>
              </w:rPr>
              <w:t>财政局专</w:t>
            </w:r>
            <w:r>
              <w:rPr>
                <w:rFonts w:ascii="宋体" w:hAnsi="宋体" w:cs="宋体" w:eastAsia="宋体" w:hint="default"/>
                <w:w w:val="100"/>
                <w:sz w:val="21"/>
                <w:szCs w:val="21"/>
              </w:rPr>
              <w:t> </w:t>
            </w:r>
            <w:r>
              <w:rPr>
                <w:rFonts w:ascii="宋体" w:hAnsi="宋体" w:cs="宋体" w:eastAsia="宋体" w:hint="default"/>
                <w:sz w:val="21"/>
                <w:szCs w:val="21"/>
              </w:rPr>
              <w:t>利补助款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left"/>
              <w:rPr>
                <w:rFonts w:ascii="宋体" w:hAnsi="宋体" w:cs="宋体" w:eastAsia="宋体" w:hint="default"/>
                <w:sz w:val="21"/>
                <w:szCs w:val="21"/>
              </w:rPr>
            </w:pPr>
            <w:r>
              <w:rPr>
                <w:rFonts w:ascii="宋体" w:hAnsi="宋体" w:cs="宋体" w:eastAsia="宋体" w:hint="default"/>
                <w:sz w:val="21"/>
                <w:szCs w:val="21"/>
              </w:rPr>
              <w:t>企业改制</w:t>
            </w:r>
            <w:r>
              <w:rPr>
                <w:rFonts w:ascii="宋体" w:hAnsi="宋体" w:cs="宋体" w:eastAsia="宋体" w:hint="default"/>
                <w:w w:val="100"/>
                <w:sz w:val="21"/>
                <w:szCs w:val="21"/>
              </w:rPr>
              <w:t> </w:t>
            </w:r>
            <w:r>
              <w:rPr>
                <w:rFonts w:ascii="宋体" w:hAnsi="宋体" w:cs="宋体" w:eastAsia="宋体" w:hint="default"/>
                <w:sz w:val="21"/>
                <w:szCs w:val="21"/>
              </w:rPr>
              <w:t>上市补贴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left"/>
              <w:rPr>
                <w:rFonts w:ascii="宋体" w:hAnsi="宋体" w:cs="宋体" w:eastAsia="宋体" w:hint="default"/>
                <w:sz w:val="21"/>
                <w:szCs w:val="21"/>
              </w:rPr>
            </w:pPr>
            <w:r>
              <w:rPr>
                <w:rFonts w:ascii="宋体" w:hAnsi="宋体" w:cs="宋体" w:eastAsia="宋体" w:hint="default"/>
                <w:sz w:val="21"/>
                <w:szCs w:val="21"/>
              </w:rPr>
              <w:t>增值税退</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2,699,846.1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991,965.81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left"/>
              <w:rPr>
                <w:rFonts w:ascii="宋体" w:hAnsi="宋体" w:cs="宋体" w:eastAsia="宋体" w:hint="default"/>
                <w:sz w:val="21"/>
                <w:szCs w:val="21"/>
              </w:rPr>
            </w:pPr>
            <w:r>
              <w:rPr>
                <w:rFonts w:ascii="宋体" w:hAnsi="宋体" w:cs="宋体" w:eastAsia="宋体" w:hint="default"/>
                <w:sz w:val="21"/>
                <w:szCs w:val="21"/>
              </w:rPr>
              <w:t>流动资金</w:t>
            </w:r>
            <w:r>
              <w:rPr>
                <w:rFonts w:ascii="宋体" w:hAnsi="宋体" w:cs="宋体" w:eastAsia="宋体" w:hint="default"/>
                <w:w w:val="100"/>
                <w:sz w:val="21"/>
                <w:szCs w:val="21"/>
              </w:rPr>
              <w:t> </w:t>
            </w:r>
            <w:r>
              <w:rPr>
                <w:rFonts w:ascii="宋体" w:hAnsi="宋体" w:cs="宋体" w:eastAsia="宋体" w:hint="default"/>
                <w:sz w:val="21"/>
                <w:szCs w:val="21"/>
              </w:rPr>
              <w:t>贷款贴息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113,151.94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both"/>
              <w:rPr>
                <w:rFonts w:ascii="宋体" w:hAnsi="宋体" w:cs="宋体" w:eastAsia="宋体" w:hint="default"/>
                <w:sz w:val="21"/>
                <w:szCs w:val="21"/>
              </w:rPr>
            </w:pPr>
            <w:r>
              <w:rPr>
                <w:rFonts w:ascii="宋体" w:hAnsi="宋体" w:cs="宋体" w:eastAsia="宋体" w:hint="default"/>
                <w:sz w:val="21"/>
                <w:szCs w:val="21"/>
              </w:rPr>
              <w:t>促工业增</w:t>
            </w:r>
            <w:r>
              <w:rPr>
                <w:rFonts w:ascii="宋体" w:hAnsi="宋体" w:cs="宋体" w:eastAsia="宋体" w:hint="default"/>
                <w:w w:val="100"/>
                <w:sz w:val="21"/>
                <w:szCs w:val="21"/>
              </w:rPr>
              <w:t> </w:t>
            </w:r>
            <w:r>
              <w:rPr>
                <w:rFonts w:ascii="宋体" w:hAnsi="宋体" w:cs="宋体" w:eastAsia="宋体" w:hint="default"/>
                <w:sz w:val="21"/>
                <w:szCs w:val="21"/>
              </w:rPr>
              <w:t>长专项资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left"/>
              <w:rPr>
                <w:rFonts w:ascii="宋体" w:hAnsi="宋体" w:cs="宋体" w:eastAsia="宋体" w:hint="default"/>
                <w:sz w:val="21"/>
                <w:szCs w:val="21"/>
              </w:rPr>
            </w:pPr>
            <w:r>
              <w:rPr>
                <w:rFonts w:ascii="宋体" w:hAnsi="宋体" w:cs="宋体" w:eastAsia="宋体" w:hint="default"/>
                <w:sz w:val="21"/>
                <w:szCs w:val="21"/>
              </w:rPr>
              <w:t>失业岗位</w:t>
            </w:r>
            <w:r>
              <w:rPr>
                <w:rFonts w:ascii="宋体" w:hAnsi="宋体" w:cs="宋体" w:eastAsia="宋体" w:hint="default"/>
                <w:w w:val="100"/>
                <w:sz w:val="21"/>
                <w:szCs w:val="21"/>
              </w:rPr>
              <w:t> </w:t>
            </w:r>
            <w:r>
              <w:rPr>
                <w:rFonts w:ascii="宋体" w:hAnsi="宋体" w:cs="宋体" w:eastAsia="宋体" w:hint="default"/>
                <w:sz w:val="21"/>
                <w:szCs w:val="21"/>
              </w:rPr>
              <w:t>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352,154.00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288,260.00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left"/>
              <w:rPr>
                <w:rFonts w:ascii="宋体" w:hAnsi="宋体" w:cs="宋体" w:eastAsia="宋体" w:hint="default"/>
                <w:sz w:val="21"/>
                <w:szCs w:val="21"/>
              </w:rPr>
            </w:pPr>
            <w:r>
              <w:rPr>
                <w:rFonts w:ascii="宋体" w:hAnsi="宋体" w:cs="宋体" w:eastAsia="宋体" w:hint="default"/>
                <w:sz w:val="21"/>
                <w:szCs w:val="21"/>
              </w:rPr>
              <w:t>和谐劳动</w:t>
            </w:r>
            <w:r>
              <w:rPr>
                <w:rFonts w:ascii="宋体" w:hAnsi="宋体" w:cs="宋体" w:eastAsia="宋体" w:hint="default"/>
                <w:w w:val="100"/>
                <w:sz w:val="21"/>
                <w:szCs w:val="21"/>
              </w:rPr>
              <w:t> </w:t>
            </w:r>
            <w:r>
              <w:rPr>
                <w:rFonts w:ascii="宋体" w:hAnsi="宋体" w:cs="宋体" w:eastAsia="宋体" w:hint="default"/>
                <w:sz w:val="21"/>
                <w:szCs w:val="21"/>
              </w:rPr>
              <w:t>关系奖励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both"/>
              <w:rPr>
                <w:rFonts w:ascii="宋体" w:hAnsi="宋体" w:cs="宋体" w:eastAsia="宋体" w:hint="default"/>
                <w:sz w:val="21"/>
                <w:szCs w:val="21"/>
              </w:rPr>
            </w:pPr>
            <w:r>
              <w:rPr>
                <w:rFonts w:ascii="宋体" w:hAnsi="宋体" w:cs="宋体" w:eastAsia="宋体" w:hint="default"/>
                <w:sz w:val="21"/>
                <w:szCs w:val="21"/>
              </w:rPr>
              <w:t>高新技术</w:t>
            </w:r>
            <w:r>
              <w:rPr>
                <w:rFonts w:ascii="宋体" w:hAnsi="宋体" w:cs="宋体" w:eastAsia="宋体" w:hint="default"/>
                <w:w w:val="100"/>
                <w:sz w:val="21"/>
                <w:szCs w:val="21"/>
              </w:rPr>
              <w:t> </w:t>
            </w:r>
            <w:r>
              <w:rPr>
                <w:rFonts w:ascii="宋体" w:hAnsi="宋体" w:cs="宋体" w:eastAsia="宋体" w:hint="default"/>
                <w:sz w:val="21"/>
                <w:szCs w:val="21"/>
              </w:rPr>
              <w:t>成果转化</w:t>
            </w:r>
            <w:r>
              <w:rPr>
                <w:rFonts w:ascii="宋体" w:hAnsi="宋体" w:cs="宋体" w:eastAsia="宋体" w:hint="default"/>
                <w:w w:val="100"/>
                <w:sz w:val="21"/>
                <w:szCs w:val="21"/>
              </w:rPr>
              <w:t> </w:t>
            </w:r>
            <w:r>
              <w:rPr>
                <w:rFonts w:ascii="宋体" w:hAnsi="宋体" w:cs="宋体" w:eastAsia="宋体" w:hint="default"/>
                <w:sz w:val="21"/>
                <w:szCs w:val="21"/>
              </w:rPr>
              <w:t>项目补助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both"/>
              <w:rPr>
                <w:rFonts w:ascii="宋体" w:hAnsi="宋体" w:cs="宋体" w:eastAsia="宋体" w:hint="default"/>
                <w:sz w:val="21"/>
                <w:szCs w:val="21"/>
              </w:rPr>
            </w:pPr>
            <w:r>
              <w:rPr>
                <w:rFonts w:ascii="宋体" w:hAnsi="宋体" w:cs="宋体" w:eastAsia="宋体" w:hint="default"/>
                <w:sz w:val="21"/>
                <w:szCs w:val="21"/>
              </w:rPr>
              <w:t>高新技术</w:t>
            </w:r>
            <w:r>
              <w:rPr>
                <w:rFonts w:ascii="宋体" w:hAnsi="宋体" w:cs="宋体" w:eastAsia="宋体" w:hint="default"/>
                <w:w w:val="100"/>
                <w:sz w:val="21"/>
                <w:szCs w:val="21"/>
              </w:rPr>
              <w:t> </w:t>
            </w:r>
            <w:r>
              <w:rPr>
                <w:rFonts w:ascii="宋体" w:hAnsi="宋体" w:cs="宋体" w:eastAsia="宋体" w:hint="default"/>
                <w:sz w:val="21"/>
                <w:szCs w:val="21"/>
              </w:rPr>
              <w:t>企业认定</w:t>
            </w:r>
            <w:r>
              <w:rPr>
                <w:rFonts w:ascii="宋体" w:hAnsi="宋体" w:cs="宋体" w:eastAsia="宋体" w:hint="default"/>
                <w:w w:val="100"/>
                <w:sz w:val="21"/>
                <w:szCs w:val="21"/>
              </w:rPr>
              <w:t> </w:t>
            </w:r>
            <w:r>
              <w:rPr>
                <w:rFonts w:ascii="宋体" w:hAnsi="宋体" w:cs="宋体" w:eastAsia="宋体" w:hint="default"/>
                <w:sz w:val="21"/>
                <w:szCs w:val="21"/>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left"/>
              <w:rPr>
                <w:rFonts w:ascii="宋体" w:hAnsi="宋体" w:cs="宋体" w:eastAsia="宋体" w:hint="default"/>
                <w:sz w:val="21"/>
                <w:szCs w:val="21"/>
              </w:rPr>
            </w:pPr>
            <w:r>
              <w:rPr>
                <w:rFonts w:ascii="宋体" w:hAnsi="宋体" w:cs="宋体" w:eastAsia="宋体" w:hint="default"/>
                <w:sz w:val="21"/>
                <w:szCs w:val="21"/>
              </w:rPr>
              <w:t>科技攻关</w:t>
            </w:r>
            <w:r>
              <w:rPr>
                <w:rFonts w:ascii="宋体" w:hAnsi="宋体" w:cs="宋体" w:eastAsia="宋体" w:hint="default"/>
                <w:w w:val="100"/>
                <w:sz w:val="21"/>
                <w:szCs w:val="21"/>
              </w:rPr>
              <w:t> </w:t>
            </w:r>
            <w:r>
              <w:rPr>
                <w:rFonts w:ascii="宋体" w:hAnsi="宋体" w:cs="宋体" w:eastAsia="宋体" w:hint="default"/>
                <w:sz w:val="21"/>
                <w:szCs w:val="21"/>
              </w:rPr>
              <w:t>专项补助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both"/>
              <w:rPr>
                <w:rFonts w:ascii="宋体" w:hAnsi="宋体" w:cs="宋体" w:eastAsia="宋体" w:hint="default"/>
                <w:sz w:val="21"/>
                <w:szCs w:val="21"/>
              </w:rPr>
            </w:pPr>
            <w:r>
              <w:rPr>
                <w:rFonts w:ascii="宋体" w:hAnsi="宋体" w:cs="宋体" w:eastAsia="宋体" w:hint="default"/>
                <w:sz w:val="21"/>
                <w:szCs w:val="21"/>
              </w:rPr>
              <w:t>国际化专</w:t>
            </w:r>
            <w:r>
              <w:rPr>
                <w:rFonts w:ascii="宋体" w:hAnsi="宋体" w:cs="宋体" w:eastAsia="宋体" w:hint="default"/>
                <w:w w:val="100"/>
                <w:sz w:val="21"/>
                <w:szCs w:val="21"/>
              </w:rPr>
              <w:t> </w:t>
            </w:r>
            <w:r>
              <w:rPr>
                <w:rFonts w:ascii="宋体" w:hAnsi="宋体" w:cs="宋体" w:eastAsia="宋体" w:hint="default"/>
                <w:sz w:val="21"/>
                <w:szCs w:val="21"/>
              </w:rPr>
              <w:t>项资金补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25,700.00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both"/>
              <w:rPr>
                <w:rFonts w:ascii="宋体" w:hAnsi="宋体" w:cs="宋体" w:eastAsia="宋体" w:hint="default"/>
                <w:sz w:val="21"/>
                <w:szCs w:val="21"/>
              </w:rPr>
            </w:pPr>
            <w:r>
              <w:rPr>
                <w:rFonts w:ascii="宋体" w:hAnsi="宋体" w:cs="宋体" w:eastAsia="宋体" w:hint="default"/>
                <w:sz w:val="21"/>
                <w:szCs w:val="21"/>
              </w:rPr>
              <w:t>企业信用</w:t>
            </w:r>
            <w:r>
              <w:rPr>
                <w:rFonts w:ascii="宋体" w:hAnsi="宋体" w:cs="宋体" w:eastAsia="宋体" w:hint="default"/>
                <w:w w:val="100"/>
                <w:sz w:val="21"/>
                <w:szCs w:val="21"/>
              </w:rPr>
              <w:t> </w:t>
            </w:r>
            <w:r>
              <w:rPr>
                <w:rFonts w:ascii="宋体" w:hAnsi="宋体" w:cs="宋体" w:eastAsia="宋体" w:hint="default"/>
                <w:sz w:val="21"/>
                <w:szCs w:val="21"/>
              </w:rPr>
              <w:t>促进会补</w:t>
            </w:r>
            <w:r>
              <w:rPr>
                <w:rFonts w:ascii="宋体" w:hAnsi="宋体" w:cs="宋体" w:eastAsia="宋体" w:hint="default"/>
                <w:w w:val="100"/>
                <w:sz w:val="21"/>
                <w:szCs w:val="21"/>
              </w:rPr>
              <w:t> </w:t>
            </w:r>
            <w:r>
              <w:rPr>
                <w:rFonts w:ascii="宋体" w:hAnsi="宋体" w:cs="宋体" w:eastAsia="宋体" w:hint="default"/>
                <w:sz w:val="21"/>
                <w:szCs w:val="21"/>
              </w:rPr>
              <w:t>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85"/>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7,097,451.0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2,737,246.6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9"/>
        <w:ind w:right="153"/>
        <w:jc w:val="left"/>
      </w:pPr>
      <w:r>
        <w:rPr/>
        <w:t>其他说明：</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37</w:t>
      </w:r>
      <w:r>
        <w:rPr/>
        <w:t>、营业外支出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0"/>
      </w:tblGrid>
      <w:tr>
        <w:trPr>
          <w:trHeight w:val="715"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982" w:right="28" w:hanging="947"/>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bl>
    <w:p>
      <w:pPr>
        <w:spacing w:after="0" w:line="273" w:lineRule="auto"/>
        <w:jc w:val="left"/>
        <w:rPr>
          <w:rFonts w:ascii="宋体" w:hAnsi="宋体" w:cs="宋体" w:eastAsia="宋体" w:hint="default"/>
          <w:sz w:val="21"/>
          <w:szCs w:val="21"/>
        </w:rPr>
        <w:sectPr>
          <w:footerReference w:type="default" r:id="rId17"/>
          <w:pgSz w:w="11910" w:h="16840"/>
          <w:pgMar w:footer="980"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4,328.64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6,678.53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4,328.64</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4"/>
              <w:jc w:val="right"/>
              <w:rPr>
                <w:rFonts w:ascii="Times New Roman" w:hAnsi="Times New Roman" w:cs="Times New Roman" w:eastAsia="Times New Roman" w:hint="default"/>
                <w:sz w:val="21"/>
                <w:szCs w:val="21"/>
              </w:rPr>
            </w:pPr>
            <w:r>
              <w:rPr>
                <w:rFonts w:ascii="Times New Roman"/>
                <w:spacing w:val="-1"/>
                <w:sz w:val="21"/>
              </w:rPr>
              <w:t>4,328.64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6,678.53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4,328.64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5,030.50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87,031.52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5,030.50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9,359.14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93,710.05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9,359.14</w:t>
            </w:r>
          </w:p>
        </w:tc>
      </w:tr>
    </w:tbl>
    <w:p>
      <w:pPr>
        <w:pStyle w:val="BodyText"/>
        <w:spacing w:line="240" w:lineRule="auto" w:before="28"/>
        <w:ind w:right="153"/>
        <w:jc w:val="left"/>
      </w:pPr>
      <w:r>
        <w:rPr/>
        <w:t>其他说明：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38</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4,171,736.91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6,529,416.38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-634,905.07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-686,507.88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3,536,831.84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5,842,908.50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28,765,066.40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4,648,694.68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275,238.54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-23,996.89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-556,557.88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145,248.82</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 w:right="107"/>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本期未确认递延所得税资产的可抵扣暂时性差异或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119,895.35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研发费加计扣除影响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-1,071,690.78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3,536,831.84</w:t>
            </w:r>
          </w:p>
        </w:tc>
      </w:tr>
    </w:tbl>
    <w:p>
      <w:pPr>
        <w:pStyle w:val="BodyText"/>
        <w:spacing w:line="240" w:lineRule="auto" w:before="28"/>
        <w:ind w:right="153"/>
        <w:jc w:val="left"/>
      </w:pPr>
      <w:r>
        <w:rPr/>
        <w:t>其他说明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39</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4,158,436.00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1,506,111.94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797,345.85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403,306.72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212,358.52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69,038.90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5,168,140.37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1,978,457.56</w:t>
            </w:r>
          </w:p>
        </w:tc>
      </w:tr>
    </w:tbl>
    <w:p>
      <w:pPr>
        <w:pStyle w:val="BodyText"/>
        <w:spacing w:line="240" w:lineRule="auto" w:before="28"/>
        <w:ind w:right="153"/>
        <w:jc w:val="left"/>
      </w:pPr>
      <w:r>
        <w:rPr/>
        <w:t>收到的其他与经营活动有关的现金说明：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销售费用付现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5,748,458.16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2,398,880.30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管理费用付现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12,964,610.00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10,224,767.42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3"/>
                <w:sz w:val="21"/>
              </w:rPr>
              <w:t>111,557.83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136,683.92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1,248,259.80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1,035,612.21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20,072,885.79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13,795,943.85</w:t>
            </w:r>
          </w:p>
        </w:tc>
      </w:tr>
    </w:tbl>
    <w:p>
      <w:pPr>
        <w:pStyle w:val="BodyText"/>
        <w:spacing w:line="240" w:lineRule="auto" w:before="28"/>
        <w:ind w:right="153"/>
        <w:jc w:val="left"/>
      </w:pPr>
      <w:r>
        <w:rPr/>
        <w:t>支付的其他与经营活动有关的现金说明：</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53"/>
        <w:jc w:val="left"/>
      </w:pPr>
      <w:r>
        <w:rPr/>
        <w:t>支付的其他与投资活动有关的现金说明：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担保费等</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8,803,992.60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829,882.88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8,803,992.60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834,082.88</w:t>
            </w:r>
          </w:p>
        </w:tc>
      </w:tr>
    </w:tbl>
    <w:p>
      <w:pPr>
        <w:pStyle w:val="BodyText"/>
        <w:spacing w:line="240" w:lineRule="auto" w:before="29"/>
        <w:ind w:right="153"/>
        <w:jc w:val="left"/>
      </w:pPr>
      <w:r>
        <w:rPr/>
        <w:t>支付的其他与筹资活动有关的现金说明：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40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after="0" w:line="240" w:lineRule="auto"/>
        <w:jc w:val="right"/>
        <w:sectPr>
          <w:footerReference w:type="default" r:id="rId18"/>
          <w:pgSz w:w="11910" w:h="16840"/>
          <w:pgMar w:footer="980" w:header="745" w:top="1060" w:bottom="1160" w:left="980" w:right="980"/>
          <w:pgNumType w:start="122"/>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30"/>
              <w:ind w:left="12" w:right="2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．将净利润调节为经营活动现金流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量：</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sz w:val="21"/>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25,228,234.56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34,535,460.14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9,036,346.76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3,085,907.07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7"/>
                <w:sz w:val="21"/>
                <w:szCs w:val="21"/>
              </w:rPr>
              <w:t>固定资产折旧、油气资产折耗、生产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2,166,314.53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2,192,675.13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571,608.95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552,274.72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7"/>
                <w:w w:val="100"/>
                <w:sz w:val="21"/>
                <w:szCs w:val="21"/>
              </w:rPr>
              <w:t>处置固定资产、无形资产和其他长期</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-17,049.52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6,678.53</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8"/>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pacing w:val="-74"/>
                <w:sz w:val="21"/>
                <w:szCs w:val="21"/>
              </w:rPr>
              <w:t> </w:t>
            </w:r>
            <w:r>
              <w:rPr>
                <w:rFonts w:ascii="宋体" w:hAnsi="宋体" w:cs="宋体" w:eastAsia="宋体" w:hint="default"/>
                <w:sz w:val="21"/>
                <w:szCs w:val="21"/>
              </w:rPr>
              <w:t>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-646,416.67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-291,540.19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845,191.57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3"/>
                <w:sz w:val="21"/>
              </w:rPr>
              <w:t>-114,411.82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50"/>
              <w:jc w:val="left"/>
              <w:rPr>
                <w:rFonts w:ascii="宋体" w:hAnsi="宋体" w:cs="宋体" w:eastAsia="宋体" w:hint="default"/>
                <w:sz w:val="21"/>
                <w:szCs w:val="21"/>
              </w:rPr>
            </w:pPr>
            <w:r>
              <w:rPr>
                <w:rFonts w:ascii="宋体" w:hAnsi="宋体" w:cs="宋体" w:eastAsia="宋体" w:hint="default"/>
                <w:spacing w:val="-2"/>
                <w:sz w:val="21"/>
                <w:szCs w:val="21"/>
              </w:rPr>
              <w:t>递延所得税资产减少（增加以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-731,867.57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-686,507.88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150"/>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96,962.50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3,800,219.14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-54,571,646.15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6"/>
              <w:jc w:val="left"/>
              <w:rPr>
                <w:rFonts w:ascii="宋体" w:hAnsi="宋体" w:cs="宋体" w:eastAsia="宋体"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-54,392,738.43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-17,439,790.64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jc w:val="left"/>
              <w:rPr>
                <w:rFonts w:ascii="宋体" w:hAnsi="宋体" w:cs="宋体" w:eastAsia="宋体"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-18,971,264.77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57,075,675.01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-34,151,190.71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25,481,505.68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12" w:right="2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．不涉及现金收支的重大投资和筹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资活动：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sz w:val="21"/>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 w:right="0"/>
              <w:jc w:val="center"/>
              <w:rPr>
                <w:rFonts w:ascii="Times New Roman" w:hAnsi="Times New Roman" w:cs="Times New Roman" w:eastAsia="Times New Roman" w:hint="default"/>
                <w:sz w:val="21"/>
                <w:szCs w:val="21"/>
              </w:rPr>
            </w:pPr>
            <w:r>
              <w:rPr>
                <w:rFonts w:ascii="Times New Roman"/>
                <w:sz w:val="21"/>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89,628,436.92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65,300,964.40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65,300,964.40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48,125,320.48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24,327,472.52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17,175,643.92</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89,628,436.92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65,300,964.40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197,418.20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41,698.72</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84,369,344.86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58,788,147.20</w:t>
            </w:r>
          </w:p>
        </w:tc>
      </w:tr>
      <w:tr>
        <w:trPr>
          <w:trHeight w:val="716"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654"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5,061,673.86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6,471,118.48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89,628,436.92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65,300,964.40</w:t>
            </w:r>
          </w:p>
        </w:tc>
      </w:tr>
    </w:tbl>
    <w:p>
      <w:pPr>
        <w:pStyle w:val="BodyText"/>
        <w:spacing w:line="240" w:lineRule="auto" w:before="28"/>
        <w:ind w:right="153"/>
        <w:jc w:val="left"/>
      </w:pPr>
      <w:r>
        <w:rPr/>
        <w:t>其他说明：</w:t>
      </w:r>
    </w:p>
    <w:p>
      <w:pPr>
        <w:spacing w:line="240" w:lineRule="auto" w:before="8"/>
        <w:rPr>
          <w:rFonts w:ascii="宋体" w:hAnsi="宋体" w:cs="宋体" w:eastAsia="宋体" w:hint="default"/>
          <w:sz w:val="25"/>
          <w:szCs w:val="25"/>
        </w:rPr>
      </w:pPr>
    </w:p>
    <w:p>
      <w:pPr>
        <w:spacing w:line="506" w:lineRule="auto" w:before="0"/>
        <w:ind w:left="152" w:right="1704" w:firstLine="0"/>
        <w:jc w:val="left"/>
        <w:rPr>
          <w:rFonts w:ascii="宋体" w:hAnsi="宋体" w:cs="宋体" w:eastAsia="宋体" w:hint="default"/>
          <w:sz w:val="21"/>
          <w:szCs w:val="21"/>
        </w:rPr>
      </w:pPr>
      <w:r>
        <w:rPr/>
        <w:pict>
          <v:shape style="position:absolute;margin-left:56.279999pt;margin-top:48.983669pt;width:458.05pt;height:76.350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1"/>
                    <w:gridCol w:w="3128"/>
                    <w:gridCol w:w="2765"/>
                  </w:tblGrid>
                  <w:tr>
                    <w:trPr>
                      <w:trHeight w:val="348" w:hRule="exact"/>
                    </w:trPr>
                    <w:tc>
                      <w:tcPr>
                        <w:tcW w:w="3241" w:type="dxa"/>
                        <w:tcBorders>
                          <w:top w:val="single" w:sz="6" w:space="0" w:color="000000"/>
                          <w:left w:val="single" w:sz="6" w:space="0" w:color="000000"/>
                          <w:bottom w:val="single" w:sz="8" w:space="0" w:color="000000"/>
                          <w:right w:val="single" w:sz="6" w:space="0" w:color="000000"/>
                        </w:tcBorders>
                      </w:tcPr>
                      <w:p>
                        <w:pPr>
                          <w:pStyle w:val="TableParagraph"/>
                          <w:tabs>
                            <w:tab w:pos="568" w:val="left" w:leader="none"/>
                          </w:tabs>
                          <w:spacing w:line="272" w:lineRule="exact"/>
                          <w:ind w:right="1220"/>
                          <w:jc w:val="righ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128"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923" w:right="0"/>
                          <w:jc w:val="left"/>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sz w:val="21"/>
                            <w:szCs w:val="21"/>
                          </w:rPr>
                        </w:r>
                      </w:p>
                    </w:tc>
                    <w:tc>
                      <w:tcPr>
                        <w:tcW w:w="2765"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sz w:val="21"/>
                            <w:szCs w:val="21"/>
                          </w:rPr>
                        </w:r>
                      </w:p>
                    </w:tc>
                  </w:tr>
                  <w:tr>
                    <w:trPr>
                      <w:trHeight w:val="348" w:hRule="exact"/>
                    </w:trPr>
                    <w:tc>
                      <w:tcPr>
                        <w:tcW w:w="324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2,931,007.85</w:t>
                        </w:r>
                      </w:p>
                    </w:tc>
                    <w:tc>
                      <w:tcPr>
                        <w:tcW w:w="2765"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银行承兑汇票保证金</w:t>
                        </w:r>
                      </w:p>
                    </w:tc>
                  </w:tr>
                  <w:tr>
                    <w:trPr>
                      <w:trHeight w:val="346" w:hRule="exact"/>
                    </w:trPr>
                    <w:tc>
                      <w:tcPr>
                        <w:tcW w:w="324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4,085,129.43</w:t>
                        </w:r>
                      </w:p>
                    </w:tc>
                    <w:tc>
                      <w:tcPr>
                        <w:tcW w:w="2765"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5"/>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469" w:hRule="exact"/>
                    </w:trPr>
                    <w:tc>
                      <w:tcPr>
                        <w:tcW w:w="3241" w:type="dxa"/>
                        <w:tcBorders>
                          <w:top w:val="single" w:sz="8" w:space="0" w:color="000000"/>
                          <w:left w:val="single" w:sz="6" w:space="0" w:color="000000"/>
                          <w:bottom w:val="single" w:sz="8" w:space="0" w:color="000000"/>
                          <w:right w:val="single" w:sz="6" w:space="0" w:color="000000"/>
                        </w:tcBorders>
                      </w:tcPr>
                      <w:p>
                        <w:pPr>
                          <w:pStyle w:val="TableParagraph"/>
                          <w:tabs>
                            <w:tab w:pos="568" w:val="left" w:leader="none"/>
                          </w:tabs>
                          <w:spacing w:line="270" w:lineRule="exact"/>
                          <w:ind w:right="1220"/>
                          <w:jc w:val="righ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1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b/>
                            <w:spacing w:val="-1"/>
                            <w:sz w:val="21"/>
                          </w:rPr>
                          <w:t>7,016,137.28</w:t>
                        </w:r>
                        <w:r>
                          <w:rPr>
                            <w:rFonts w:ascii="Times New Roman"/>
                            <w:spacing w:val="-1"/>
                            <w:sz w:val="21"/>
                          </w:rPr>
                        </w:r>
                      </w:p>
                    </w:tc>
                    <w:tc>
                      <w:tcPr>
                        <w:tcW w:w="27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62"/>
                          <w:ind w:right="4"/>
                          <w:jc w:val="center"/>
                          <w:rPr>
                            <w:rFonts w:ascii="Times New Roman" w:hAnsi="Times New Roman" w:cs="Times New Roman" w:eastAsia="Times New Roman" w:hint="default"/>
                            <w:sz w:val="21"/>
                            <w:szCs w:val="21"/>
                          </w:rPr>
                        </w:pPr>
                        <w:r>
                          <w:rPr>
                            <w:rFonts w:ascii="Times New Roman"/>
                            <w:w w:val="100"/>
                            <w:sz w:val="21"/>
                          </w:rPr>
                          <w:t>/</w:t>
                        </w:r>
                      </w:p>
                    </w:tc>
                  </w:tr>
                </w:tbl>
                <w:p>
                  <w:pPr/>
                </w:p>
              </w:txbxContent>
            </v:textbox>
            <w10:wrap type="none"/>
          </v:shape>
        </w:pict>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其他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项目名称及调整金额等事项：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4"/>
        <w:spacing w:line="240" w:lineRule="auto" w:before="36"/>
        <w:ind w:right="153"/>
        <w:jc w:val="left"/>
        <w:rPr>
          <w:b w:val="0"/>
          <w:bCs w:val="0"/>
        </w:rPr>
      </w:pPr>
      <w:r>
        <w:rPr>
          <w:rFonts w:ascii="Times New Roman" w:hAnsi="Times New Roman" w:cs="Times New Roman" w:eastAsia="Times New Roman" w:hint="default"/>
        </w:rPr>
        <w:t>42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4" w:right="0"/>
              <w:jc w:val="left"/>
              <w:rPr>
                <w:rFonts w:ascii="宋体" w:hAnsi="宋体" w:cs="宋体" w:eastAsia="宋体" w:hint="default"/>
                <w:sz w:val="21"/>
                <w:szCs w:val="21"/>
              </w:rPr>
            </w:pPr>
            <w:r>
              <w:rPr>
                <w:rFonts w:ascii="宋体" w:hAnsi="宋体" w:cs="宋体" w:eastAsia="宋体" w:hint="default"/>
                <w:sz w:val="21"/>
                <w:szCs w:val="21"/>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3,175,285.44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21"/>
                <w:szCs w:val="21"/>
              </w:rPr>
            </w:pPr>
            <w:r>
              <w:rPr>
                <w:rFonts w:ascii="Times New Roman"/>
                <w:sz w:val="21"/>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20,619,033.53</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1,308,060.66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8,494,022.70</w:t>
            </w:r>
          </w:p>
        </w:tc>
      </w:tr>
    </w:tbl>
    <w:p>
      <w:pPr>
        <w:pStyle w:val="BodyText"/>
        <w:spacing w:line="240" w:lineRule="auto" w:before="28"/>
        <w:ind w:right="153"/>
        <w:jc w:val="left"/>
      </w:pPr>
      <w:r>
        <w:rPr/>
        <w:t>其他说明：</w:t>
      </w:r>
    </w:p>
    <w:p>
      <w:pPr>
        <w:spacing w:line="240" w:lineRule="auto" w:before="8"/>
        <w:rPr>
          <w:rFonts w:ascii="宋体" w:hAnsi="宋体" w:cs="宋体" w:eastAsia="宋体" w:hint="default"/>
          <w:sz w:val="25"/>
          <w:szCs w:val="25"/>
        </w:rPr>
      </w:pPr>
    </w:p>
    <w:p>
      <w:pPr>
        <w:pStyle w:val="Heading4"/>
        <w:spacing w:line="259" w:lineRule="auto"/>
        <w:ind w:right="15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6"/>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八、在其他主体中的权益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1"/>
        <w:ind w:right="15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2"/>
              <w:jc w:val="both"/>
              <w:rPr>
                <w:rFonts w:ascii="Times New Roman" w:hAnsi="Times New Roman" w:cs="Times New Roman" w:eastAsia="Times New Roman" w:hint="default"/>
                <w:sz w:val="21"/>
                <w:szCs w:val="21"/>
              </w:rPr>
            </w:pPr>
            <w:r>
              <w:rPr>
                <w:rFonts w:ascii="宋体" w:hAnsi="宋体" w:cs="宋体" w:eastAsia="宋体" w:hint="default"/>
                <w:sz w:val="21"/>
                <w:szCs w:val="21"/>
              </w:rPr>
              <w:t>北京万向新元</w:t>
            </w:r>
            <w:r>
              <w:rPr>
                <w:rFonts w:ascii="宋体" w:hAnsi="宋体" w:cs="宋体" w:eastAsia="宋体" w:hint="default"/>
                <w:w w:val="100"/>
                <w:sz w:val="21"/>
                <w:szCs w:val="21"/>
              </w:rPr>
              <w:t> </w:t>
            </w:r>
            <w:r>
              <w:rPr>
                <w:rFonts w:ascii="宋体" w:hAnsi="宋体" w:cs="宋体" w:eastAsia="宋体" w:hint="default"/>
                <w:sz w:val="21"/>
                <w:szCs w:val="21"/>
              </w:rPr>
              <w:t>工程技术有限</w:t>
            </w:r>
            <w:r>
              <w:rPr>
                <w:rFonts w:ascii="宋体" w:hAnsi="宋体" w:cs="宋体" w:eastAsia="宋体" w:hint="default"/>
                <w:w w:val="100"/>
                <w:sz w:val="21"/>
                <w:szCs w:val="21"/>
              </w:rPr>
              <w:t> </w:t>
            </w:r>
            <w:r>
              <w:rPr>
                <w:rFonts w:ascii="宋体" w:hAnsi="宋体" w:cs="宋体" w:eastAsia="宋体" w:hint="default"/>
                <w:spacing w:val="-3"/>
                <w:sz w:val="21"/>
                <w:szCs w:val="21"/>
              </w:rPr>
              <w:t>公司</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686" w:right="0"/>
              <w:jc w:val="left"/>
              <w:rPr>
                <w:rFonts w:ascii="Times New Roman" w:hAnsi="Times New Roman" w:cs="Times New Roman" w:eastAsia="Times New Roman" w:hint="default"/>
                <w:sz w:val="21"/>
                <w:szCs w:val="21"/>
              </w:rPr>
            </w:pPr>
            <w:r>
              <w:rPr>
                <w:rFonts w:ascii="Times New Roman"/>
                <w:sz w:val="21"/>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686" w:right="0"/>
              <w:jc w:val="left"/>
              <w:rPr>
                <w:rFonts w:ascii="Times New Roman" w:hAnsi="Times New Roman" w:cs="Times New Roman" w:eastAsia="Times New Roman" w:hint="default"/>
                <w:sz w:val="21"/>
                <w:szCs w:val="21"/>
              </w:rPr>
            </w:pPr>
            <w:r>
              <w:rPr>
                <w:rFonts w:ascii="Times New Roman"/>
                <w:sz w:val="21"/>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2"/>
              <w:jc w:val="both"/>
              <w:rPr>
                <w:rFonts w:ascii="宋体" w:hAnsi="宋体" w:cs="宋体" w:eastAsia="宋体" w:hint="default"/>
                <w:sz w:val="21"/>
                <w:szCs w:val="21"/>
              </w:rPr>
            </w:pPr>
            <w:r>
              <w:rPr>
                <w:rFonts w:ascii="宋体" w:hAnsi="宋体" w:cs="宋体" w:eastAsia="宋体" w:hint="default"/>
                <w:sz w:val="21"/>
                <w:szCs w:val="21"/>
              </w:rPr>
              <w:t>北京四方同兴</w:t>
            </w:r>
            <w:r>
              <w:rPr>
                <w:rFonts w:ascii="宋体" w:hAnsi="宋体" w:cs="宋体" w:eastAsia="宋体" w:hint="default"/>
                <w:w w:val="100"/>
                <w:sz w:val="21"/>
                <w:szCs w:val="21"/>
              </w:rPr>
              <w:t> </w:t>
            </w:r>
            <w:r>
              <w:rPr>
                <w:rFonts w:ascii="宋体" w:hAnsi="宋体" w:cs="宋体" w:eastAsia="宋体" w:hint="default"/>
                <w:sz w:val="21"/>
                <w:szCs w:val="21"/>
              </w:rPr>
              <w:t>机电技术开发</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right="68"/>
              <w:jc w:val="right"/>
              <w:rPr>
                <w:rFonts w:ascii="宋体" w:hAnsi="宋体" w:cs="宋体" w:eastAsia="宋体" w:hint="default"/>
                <w:sz w:val="21"/>
                <w:szCs w:val="21"/>
              </w:rPr>
            </w:pPr>
            <w:r>
              <w:rPr>
                <w:rFonts w:ascii="宋体" w:hAnsi="宋体" w:cs="宋体" w:eastAsia="宋体" w:hint="default"/>
                <w:spacing w:val="-1"/>
                <w:sz w:val="21"/>
                <w:szCs w:val="21"/>
              </w:rPr>
              <w:t>北京市昌平区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3" w:right="67"/>
              <w:jc w:val="left"/>
              <w:rPr>
                <w:rFonts w:ascii="宋体" w:hAnsi="宋体" w:cs="宋体" w:eastAsia="宋体" w:hint="default"/>
                <w:sz w:val="21"/>
                <w:szCs w:val="21"/>
              </w:rPr>
            </w:pPr>
            <w:r>
              <w:rPr>
                <w:rFonts w:ascii="宋体" w:hAnsi="宋体" w:cs="宋体" w:eastAsia="宋体" w:hint="default"/>
                <w:sz w:val="21"/>
                <w:szCs w:val="21"/>
              </w:rPr>
              <w:t>同一控制下企</w:t>
            </w:r>
            <w:r>
              <w:rPr>
                <w:rFonts w:ascii="宋体" w:hAnsi="宋体" w:cs="宋体" w:eastAsia="宋体" w:hint="default"/>
                <w:w w:val="100"/>
                <w:sz w:val="21"/>
                <w:szCs w:val="21"/>
              </w:rPr>
              <w:t> </w:t>
            </w:r>
            <w:r>
              <w:rPr>
                <w:rFonts w:ascii="宋体" w:hAnsi="宋体" w:cs="宋体" w:eastAsia="宋体" w:hint="default"/>
                <w:sz w:val="21"/>
                <w:szCs w:val="21"/>
              </w:rPr>
              <w:t>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2"/>
              <w:jc w:val="both"/>
              <w:rPr>
                <w:rFonts w:ascii="宋体" w:hAnsi="宋体" w:cs="宋体" w:eastAsia="宋体" w:hint="default"/>
                <w:sz w:val="21"/>
                <w:szCs w:val="21"/>
              </w:rPr>
            </w:pPr>
            <w:r>
              <w:rPr>
                <w:rFonts w:ascii="宋体" w:hAnsi="宋体" w:cs="宋体" w:eastAsia="宋体" w:hint="default"/>
                <w:sz w:val="21"/>
                <w:szCs w:val="21"/>
              </w:rPr>
              <w:t>芜湖万向新元</w:t>
            </w:r>
            <w:r>
              <w:rPr>
                <w:rFonts w:ascii="宋体" w:hAnsi="宋体" w:cs="宋体" w:eastAsia="宋体" w:hint="default"/>
                <w:w w:val="100"/>
                <w:sz w:val="21"/>
                <w:szCs w:val="21"/>
              </w:rPr>
              <w:t> </w:t>
            </w:r>
            <w:r>
              <w:rPr>
                <w:rFonts w:ascii="宋体" w:hAnsi="宋体" w:cs="宋体" w:eastAsia="宋体" w:hint="default"/>
                <w:sz w:val="21"/>
                <w:szCs w:val="21"/>
              </w:rPr>
              <w:t>环保科技有限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68"/>
              <w:jc w:val="right"/>
              <w:rPr>
                <w:rFonts w:ascii="宋体" w:hAnsi="宋体" w:cs="宋体" w:eastAsia="宋体" w:hint="default"/>
                <w:sz w:val="21"/>
                <w:szCs w:val="21"/>
              </w:rPr>
            </w:pPr>
            <w:r>
              <w:rPr>
                <w:rFonts w:ascii="宋体" w:hAnsi="宋体" w:cs="宋体" w:eastAsia="宋体" w:hint="default"/>
                <w:spacing w:val="-1"/>
                <w:sz w:val="21"/>
                <w:szCs w:val="21"/>
              </w:rPr>
              <w:t>芜湖市鸠江区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2"/>
              <w:jc w:val="left"/>
              <w:rPr>
                <w:rFonts w:ascii="宋体" w:hAnsi="宋体" w:cs="宋体" w:eastAsia="宋体" w:hint="default"/>
                <w:sz w:val="21"/>
                <w:szCs w:val="21"/>
              </w:rPr>
            </w:pPr>
            <w:r>
              <w:rPr>
                <w:rFonts w:ascii="宋体" w:hAnsi="宋体" w:cs="宋体" w:eastAsia="宋体" w:hint="default"/>
                <w:sz w:val="21"/>
                <w:szCs w:val="21"/>
              </w:rPr>
              <w:t>天津京万科技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68"/>
              <w:jc w:val="right"/>
              <w:rPr>
                <w:rFonts w:ascii="宋体" w:hAnsi="宋体" w:cs="宋体" w:eastAsia="宋体" w:hint="default"/>
                <w:sz w:val="21"/>
                <w:szCs w:val="21"/>
              </w:rPr>
            </w:pPr>
            <w:r>
              <w:rPr>
                <w:rFonts w:ascii="宋体" w:hAnsi="宋体" w:cs="宋体" w:eastAsia="宋体" w:hint="default"/>
                <w:spacing w:val="-1"/>
                <w:sz w:val="21"/>
                <w:szCs w:val="21"/>
              </w:rPr>
              <w:t>天津市宝坻区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pStyle w:val="BodyText"/>
        <w:spacing w:line="307" w:lineRule="auto" w:before="28"/>
        <w:ind w:right="116"/>
        <w:jc w:val="left"/>
      </w:pPr>
      <w:r>
        <w:rPr/>
        <w:t>在子公司的持股比例不同于表决权比例的说明：</w:t>
      </w:r>
      <w:r>
        <w:rPr>
          <w:w w:val="100"/>
        </w:rPr>
        <w:t> </w:t>
      </w:r>
      <w:r>
        <w:rPr>
          <w:spacing w:val="-2"/>
        </w:rPr>
        <w:t>持有半数或以下表决权但仍控制被投资单位、以及持有半数以上表决权但不控制被投资单位的依据：</w:t>
      </w:r>
      <w:r>
        <w:rPr>
          <w:spacing w:val="-21"/>
        </w:rPr>
        <w:t> </w:t>
      </w:r>
      <w:r>
        <w:rPr>
          <w:spacing w:val="-21"/>
        </w:rPr>
      </w:r>
      <w:r>
        <w:rPr/>
        <w:t>对于纳入合并范围的重要的结构化主体，控制的依据：</w:t>
      </w:r>
    </w:p>
    <w:p>
      <w:pPr>
        <w:pStyle w:val="BodyText"/>
        <w:spacing w:line="309" w:lineRule="auto" w:before="16"/>
        <w:ind w:right="5722"/>
        <w:jc w:val="left"/>
      </w:pPr>
      <w:r>
        <w:rPr>
          <w:spacing w:val="-2"/>
        </w:rPr>
        <w:t>确定公司是代理人还是委托人的依据：</w:t>
      </w:r>
      <w:r>
        <w:rPr>
          <w:spacing w:val="-72"/>
        </w:rPr>
        <w:t> </w:t>
      </w:r>
      <w:r>
        <w:rPr>
          <w:spacing w:val="-72"/>
        </w:rPr>
      </w:r>
      <w:r>
        <w:rPr/>
        <w:t>其他说明：</w:t>
      </w:r>
    </w:p>
    <w:p>
      <w:pPr>
        <w:spacing w:line="240" w:lineRule="auto" w:before="2"/>
        <w:rPr>
          <w:rFonts w:ascii="宋体" w:hAnsi="宋体" w:cs="宋体" w:eastAsia="宋体" w:hint="default"/>
          <w:sz w:val="19"/>
          <w:szCs w:val="19"/>
        </w:rPr>
      </w:pPr>
    </w:p>
    <w:p>
      <w:pPr>
        <w:pStyle w:val="Heading2"/>
        <w:spacing w:line="240" w:lineRule="auto"/>
        <w:ind w:right="116"/>
        <w:jc w:val="left"/>
        <w:rPr>
          <w:b w:val="0"/>
          <w:bCs w:val="0"/>
        </w:rPr>
      </w:pPr>
      <w:r>
        <w:rPr/>
        <w:t>九、与金融工具相关的风险</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6" w:firstLine="480"/>
        <w:jc w:val="left"/>
      </w:pPr>
      <w:r>
        <w:rPr>
          <w:spacing w:val="-6"/>
        </w:rPr>
        <w:t>本公司的主要金融工具包括货币资金、应收账款、应收票据、应收利息、其他应收款、其他流动资产、</w:t>
      </w:r>
      <w:r>
        <w:rPr>
          <w:w w:val="100"/>
        </w:rPr>
        <w:t> </w:t>
      </w:r>
      <w:r>
        <w:rPr>
          <w:spacing w:val="-2"/>
        </w:rPr>
        <w:t>应付账款、应付利息、其他应付款、短期借款。各项金融工具的详细情况已于相关附注内披露。与这些金</w:t>
      </w:r>
      <w:r>
        <w:rPr>
          <w:spacing w:val="-43"/>
        </w:rPr>
        <w:t> </w:t>
      </w:r>
      <w:r>
        <w:rPr>
          <w:spacing w:val="-43"/>
        </w:rPr>
      </w:r>
      <w:r>
        <w:rPr>
          <w:spacing w:val="-2"/>
        </w:rPr>
        <w:t>融工具有关的风险，以及本公司为降低这些风险所采取的风险管理政策如下所述。本公司管理层对这些风</w:t>
      </w:r>
      <w:r>
        <w:rPr>
          <w:spacing w:val="-42"/>
        </w:rPr>
        <w:t> </w:t>
      </w:r>
      <w:r>
        <w:rPr>
          <w:spacing w:val="-42"/>
        </w:rPr>
      </w:r>
      <w:r>
        <w:rPr/>
        <w:t>险敞口进行管理和监控以确保将上述风险控制在限定的范围之内。</w:t>
      </w:r>
    </w:p>
    <w:p>
      <w:pPr>
        <w:pStyle w:val="BodyText"/>
        <w:spacing w:line="240" w:lineRule="auto" w:before="127"/>
        <w:ind w:left="633" w:right="116"/>
        <w:jc w:val="left"/>
      </w:pPr>
      <w:r>
        <w:rPr/>
        <w:t>本公司的金融工具导致的主要风险是市场风险、信用风险及流动性风险。</w:t>
      </w:r>
    </w:p>
    <w:p>
      <w:pPr>
        <w:pStyle w:val="BodyText"/>
        <w:spacing w:line="357" w:lineRule="auto" w:before="157"/>
        <w:ind w:left="633" w:right="116"/>
        <w:jc w:val="left"/>
      </w:pPr>
      <w:r>
        <w:rPr>
          <w:rFonts w:ascii="Times New Roman" w:hAnsi="Times New Roman" w:cs="Times New Roman" w:eastAsia="Times New Roman" w:hint="default"/>
        </w:rPr>
        <w:t>(1)</w:t>
      </w:r>
      <w:r>
        <w:rPr/>
        <w:t>市场风险</w:t>
      </w:r>
      <w:r>
        <w:rPr>
          <w:w w:val="100"/>
        </w:rPr>
        <w:t> </w:t>
      </w:r>
      <w:r>
        <w:rPr>
          <w:spacing w:val="-2"/>
        </w:rPr>
        <w:t>金融工具的市场风险，是指金融工具的公允价值或未来现金流量因市场价格变动而发生波动的风险，</w:t>
      </w:r>
    </w:p>
    <w:p>
      <w:pPr>
        <w:pStyle w:val="BodyText"/>
        <w:spacing w:line="209" w:lineRule="exact"/>
        <w:ind w:right="116"/>
        <w:jc w:val="left"/>
      </w:pPr>
      <w:r>
        <w:rPr/>
        <w:t>主要为利率风险。</w:t>
      </w:r>
    </w:p>
    <w:p>
      <w:pPr>
        <w:pStyle w:val="BodyText"/>
        <w:spacing w:line="273" w:lineRule="auto" w:before="157"/>
        <w:ind w:right="208" w:firstLine="480"/>
        <w:jc w:val="both"/>
      </w:pPr>
      <w:r>
        <w:rPr>
          <w:spacing w:val="-4"/>
        </w:rPr>
        <w:t>利率风险，是指金融工具的公允价值或未来现金流量因市场利率变动而发生波动的风险。利率风险可</w:t>
      </w:r>
      <w:r>
        <w:rPr>
          <w:w w:val="100"/>
        </w:rPr>
        <w:t> </w:t>
      </w:r>
      <w:r>
        <w:rPr/>
        <w:t>源于已确认的计息金融工具和未确认的金融工具（如某些贷款承诺）。</w:t>
      </w:r>
    </w:p>
    <w:p>
      <w:pPr>
        <w:pStyle w:val="BodyText"/>
        <w:spacing w:line="273" w:lineRule="auto" w:before="127"/>
        <w:ind w:right="206" w:firstLine="480"/>
        <w:jc w:val="both"/>
      </w:pPr>
      <w:r>
        <w:rPr>
          <w:spacing w:val="-4"/>
        </w:rPr>
        <w:t>本公司密切关注利率变动对本公司利率风险的影响。本公司目前并未采取利率对冲政策。但管理层负</w:t>
      </w:r>
      <w:r>
        <w:rPr>
          <w:w w:val="100"/>
        </w:rPr>
        <w:t> </w:t>
      </w:r>
      <w:r>
        <w:rPr>
          <w:spacing w:val="-2"/>
        </w:rPr>
        <w:t>责监控利率风险，并将于需要时考虑对冲重大利率风险。由于定期存款为短期存款，故银行存款的公允价</w:t>
      </w:r>
      <w:r>
        <w:rPr>
          <w:spacing w:val="-44"/>
        </w:rPr>
        <w:t> </w:t>
      </w:r>
      <w:r>
        <w:rPr>
          <w:spacing w:val="-44"/>
        </w:rPr>
      </w:r>
      <w:r>
        <w:rPr/>
        <w:t>值利率风险并不重大。</w:t>
      </w:r>
    </w:p>
    <w:p>
      <w:pPr>
        <w:pStyle w:val="BodyText"/>
        <w:spacing w:line="367" w:lineRule="auto" w:before="127"/>
        <w:ind w:left="633" w:right="958"/>
        <w:jc w:val="left"/>
      </w:pPr>
      <w:r>
        <w:rPr>
          <w:rFonts w:ascii="Times New Roman" w:hAnsi="Times New Roman" w:cs="Times New Roman" w:eastAsia="Times New Roman" w:hint="default"/>
        </w:rPr>
        <w:t>(2)</w:t>
      </w:r>
      <w:r>
        <w:rPr/>
        <w:t>信用风险</w:t>
      </w:r>
      <w:r>
        <w:rPr>
          <w:w w:val="100"/>
        </w:rPr>
        <w:t> </w:t>
      </w:r>
      <w:r>
        <w:rPr/>
        <w:t>信用风险，是指金融工具的一方不履行义务，造成另一方发生财务损失的风险。</w:t>
      </w:r>
      <w:r>
        <w:rPr>
          <w:w w:val="100"/>
        </w:rPr>
        <w:t> </w:t>
      </w:r>
      <w:r>
        <w:rPr>
          <w:spacing w:val="-2"/>
        </w:rPr>
        <w:t>本公司对信用风险按组合分类进行管理。信用风险主要产生于银行存款和应收款项等。</w:t>
      </w:r>
    </w:p>
    <w:p>
      <w:pPr>
        <w:pStyle w:val="BodyText"/>
        <w:spacing w:line="273" w:lineRule="auto" w:before="46"/>
        <w:ind w:right="206" w:firstLine="480"/>
        <w:jc w:val="both"/>
      </w:pPr>
      <w:r>
        <w:rPr>
          <w:spacing w:val="-4"/>
        </w:rPr>
        <w:t>本公司银行存款主要存放于国有银行和其它大中型上市银行，本公司预期银行存款不存在重大的信用</w:t>
      </w:r>
      <w:r>
        <w:rPr>
          <w:w w:val="100"/>
        </w:rPr>
        <w:t> </w:t>
      </w:r>
      <w:r>
        <w:rPr/>
        <w:t>风险。</w:t>
      </w:r>
    </w:p>
    <w:p>
      <w:pPr>
        <w:pStyle w:val="BodyText"/>
        <w:spacing w:line="271" w:lineRule="auto" w:before="127"/>
        <w:ind w:right="206" w:firstLine="480"/>
        <w:jc w:val="both"/>
      </w:pPr>
      <w:r>
        <w:rPr>
          <w:spacing w:val="-4"/>
        </w:rPr>
        <w:t>对于应收款项，本公司设定相关政策以控制信用风险敞口。本公司基于对债务人的财务状况、外部评</w:t>
      </w:r>
      <w:r>
        <w:rPr>
          <w:w w:val="100"/>
        </w:rPr>
        <w:t> </w:t>
      </w:r>
      <w:r>
        <w:rPr>
          <w:spacing w:val="-2"/>
        </w:rPr>
        <w:t>级、从第三方获取担保的可能性、信用记录及其它因素诸如目前市场状况等评估债务人的信用资质并设置</w:t>
      </w:r>
      <w:r>
        <w:rPr>
          <w:spacing w:val="-43"/>
        </w:rPr>
        <w:t> </w:t>
      </w:r>
      <w:r>
        <w:rPr>
          <w:spacing w:val="-43"/>
        </w:rPr>
      </w:r>
      <w:r>
        <w:rPr>
          <w:spacing w:val="-2"/>
        </w:rPr>
        <w:t>相应欠款额度与信用期限。本公司会定期对债务人信用记录进行监控，对于信用记录不良的债务人，本公</w:t>
      </w:r>
      <w:r>
        <w:rPr>
          <w:spacing w:val="-43"/>
        </w:rPr>
        <w:t> </w:t>
      </w:r>
      <w:r>
        <w:rPr>
          <w:spacing w:val="-43"/>
        </w:rPr>
      </w:r>
      <w:r>
        <w:rPr/>
        <w:t>司会采用书面催款、缩短信用期或取消信用期等方式，以确保本公司的整体信用风险在可控的范围内。</w:t>
      </w:r>
    </w:p>
    <w:p>
      <w:pPr>
        <w:pStyle w:val="BodyText"/>
        <w:spacing w:line="240" w:lineRule="auto" w:before="130"/>
        <w:ind w:left="633" w:right="116"/>
        <w:jc w:val="left"/>
      </w:pPr>
      <w:r>
        <w:rPr>
          <w:w w:val="100"/>
        </w:rPr>
        <w:t>本公</w:t>
      </w:r>
      <w:r>
        <w:rPr>
          <w:spacing w:val="-3"/>
          <w:w w:val="100"/>
        </w:rPr>
        <w:t>司</w:t>
      </w:r>
      <w:r>
        <w:rPr>
          <w:w w:val="100"/>
        </w:rPr>
        <w:t>所</w:t>
      </w:r>
      <w:r>
        <w:rPr>
          <w:spacing w:val="-3"/>
          <w:w w:val="100"/>
        </w:rPr>
        <w:t>承</w:t>
      </w:r>
      <w:r>
        <w:rPr>
          <w:w w:val="100"/>
        </w:rPr>
        <w:t>受</w:t>
      </w:r>
      <w:r>
        <w:rPr>
          <w:spacing w:val="-3"/>
          <w:w w:val="100"/>
        </w:rPr>
        <w:t>的</w:t>
      </w:r>
      <w:r>
        <w:rPr>
          <w:w w:val="100"/>
        </w:rPr>
        <w:t>最</w:t>
      </w:r>
      <w:r>
        <w:rPr>
          <w:spacing w:val="-3"/>
          <w:w w:val="100"/>
        </w:rPr>
        <w:t>大</w:t>
      </w:r>
      <w:r>
        <w:rPr>
          <w:w w:val="100"/>
        </w:rPr>
        <w:t>信</w:t>
      </w:r>
      <w:r>
        <w:rPr>
          <w:spacing w:val="-3"/>
          <w:w w:val="100"/>
        </w:rPr>
        <w:t>用</w:t>
      </w:r>
      <w:r>
        <w:rPr>
          <w:w w:val="100"/>
        </w:rPr>
        <w:t>风险</w:t>
      </w:r>
      <w:r>
        <w:rPr>
          <w:spacing w:val="-3"/>
          <w:w w:val="100"/>
        </w:rPr>
        <w:t>敞</w:t>
      </w:r>
      <w:r>
        <w:rPr>
          <w:w w:val="100"/>
        </w:rPr>
        <w:t>口</w:t>
      </w:r>
      <w:r>
        <w:rPr>
          <w:spacing w:val="-3"/>
          <w:w w:val="100"/>
        </w:rPr>
        <w:t>为</w:t>
      </w:r>
      <w:r>
        <w:rPr>
          <w:w w:val="100"/>
        </w:rPr>
        <w:t>资</w:t>
      </w:r>
      <w:r>
        <w:rPr>
          <w:spacing w:val="-3"/>
          <w:w w:val="100"/>
        </w:rPr>
        <w:t>产</w:t>
      </w:r>
      <w:r>
        <w:rPr>
          <w:w w:val="100"/>
        </w:rPr>
        <w:t>负</w:t>
      </w:r>
      <w:r>
        <w:rPr>
          <w:spacing w:val="-3"/>
          <w:w w:val="100"/>
        </w:rPr>
        <w:t>债</w:t>
      </w:r>
      <w:r>
        <w:rPr>
          <w:w w:val="100"/>
        </w:rPr>
        <w:t>表</w:t>
      </w:r>
      <w:r>
        <w:rPr>
          <w:spacing w:val="-3"/>
          <w:w w:val="100"/>
        </w:rPr>
        <w:t>中</w:t>
      </w:r>
      <w:r>
        <w:rPr>
          <w:w w:val="100"/>
        </w:rPr>
        <w:t>每项</w:t>
      </w:r>
      <w:r>
        <w:rPr>
          <w:spacing w:val="-3"/>
          <w:w w:val="100"/>
        </w:rPr>
        <w:t>金</w:t>
      </w:r>
      <w:r>
        <w:rPr>
          <w:w w:val="100"/>
        </w:rPr>
        <w:t>融</w:t>
      </w:r>
      <w:r>
        <w:rPr>
          <w:spacing w:val="-3"/>
          <w:w w:val="100"/>
        </w:rPr>
        <w:t>资</w:t>
      </w:r>
      <w:r>
        <w:rPr>
          <w:w w:val="100"/>
        </w:rPr>
        <w:t>产</w:t>
      </w:r>
      <w:r>
        <w:rPr>
          <w:spacing w:val="-3"/>
          <w:w w:val="100"/>
        </w:rPr>
        <w:t>的</w:t>
      </w:r>
      <w:r>
        <w:rPr>
          <w:w w:val="100"/>
        </w:rPr>
        <w:t>账</w:t>
      </w:r>
      <w:r>
        <w:rPr>
          <w:spacing w:val="-3"/>
          <w:w w:val="100"/>
        </w:rPr>
        <w:t>面</w:t>
      </w:r>
      <w:r>
        <w:rPr>
          <w:w w:val="100"/>
        </w:rPr>
        <w:t>金</w:t>
      </w:r>
      <w:r>
        <w:rPr>
          <w:spacing w:val="-3"/>
          <w:w w:val="100"/>
        </w:rPr>
        <w:t>额</w:t>
      </w:r>
      <w:r>
        <w:rPr>
          <w:spacing w:val="-85"/>
          <w:w w:val="100"/>
        </w:rPr>
        <w:t>。</w:t>
      </w:r>
      <w:r>
        <w:rPr>
          <w:w w:val="100"/>
        </w:rPr>
        <w:t>本公</w:t>
      </w:r>
      <w:r>
        <w:rPr>
          <w:spacing w:val="-3"/>
          <w:w w:val="100"/>
        </w:rPr>
        <w:t>司</w:t>
      </w:r>
      <w:r>
        <w:rPr>
          <w:w w:val="100"/>
        </w:rPr>
        <w:t>没</w:t>
      </w:r>
      <w:r>
        <w:rPr>
          <w:spacing w:val="-3"/>
          <w:w w:val="100"/>
        </w:rPr>
        <w:t>有</w:t>
      </w:r>
      <w:r>
        <w:rPr>
          <w:w w:val="100"/>
        </w:rPr>
        <w:t>提</w:t>
      </w:r>
      <w:r>
        <w:rPr>
          <w:spacing w:val="-3"/>
          <w:w w:val="100"/>
        </w:rPr>
        <w:t>供</w:t>
      </w:r>
      <w:r>
        <w:rPr>
          <w:w w:val="100"/>
        </w:rPr>
        <w:t>任</w:t>
      </w:r>
      <w:r>
        <w:rPr>
          <w:spacing w:val="-3"/>
          <w:w w:val="100"/>
        </w:rPr>
        <w:t>何</w:t>
      </w:r>
      <w:r>
        <w:rPr>
          <w:w w:val="100"/>
        </w:rPr>
        <w:t>其</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153"/>
        <w:jc w:val="left"/>
      </w:pPr>
      <w:r>
        <w:rPr/>
        <w:t>他可能令本公司承受信用风险的担保。</w:t>
      </w:r>
    </w:p>
    <w:p>
      <w:pPr>
        <w:pStyle w:val="BodyText"/>
        <w:spacing w:line="256" w:lineRule="auto" w:before="157"/>
        <w:ind w:right="153" w:firstLine="480"/>
        <w:jc w:val="left"/>
      </w:pPr>
      <w:r>
        <w:rPr>
          <w:spacing w:val="-4"/>
        </w:rPr>
        <w:t>本公司应收账款中，欠款金额前五大客户的应收账款占本公司应收账款总额的</w:t>
      </w:r>
      <w:r>
        <w:rPr>
          <w:rFonts w:ascii="Times New Roman" w:hAnsi="Times New Roman" w:cs="Times New Roman" w:eastAsia="Times New Roman" w:hint="default"/>
          <w:spacing w:val="-4"/>
        </w:rPr>
        <w:t>41.68%</w:t>
      </w:r>
      <w:r>
        <w:rPr>
          <w:spacing w:val="-4"/>
        </w:rPr>
        <w:t>；本公司其他应</w:t>
      </w:r>
      <w:r>
        <w:rPr>
          <w:w w:val="100"/>
        </w:rPr>
        <w:t> </w:t>
      </w:r>
      <w:r>
        <w:rPr/>
        <w:t>收款中，欠款金额前五大公司的其他应收款占本公司其他应收款总额的</w:t>
      </w:r>
      <w:r>
        <w:rPr>
          <w:rFonts w:ascii="Times New Roman" w:hAnsi="Times New Roman" w:cs="Times New Roman" w:eastAsia="Times New Roman" w:hint="default"/>
        </w:rPr>
        <w:t>51.10%</w:t>
      </w:r>
      <w:r>
        <w:rPr/>
        <w:t>。</w:t>
      </w:r>
    </w:p>
    <w:p>
      <w:pPr>
        <w:pStyle w:val="BodyText"/>
        <w:spacing w:line="432" w:lineRule="exact" w:before="24"/>
        <w:ind w:left="633" w:right="153"/>
        <w:jc w:val="left"/>
      </w:pPr>
      <w:r>
        <w:rPr>
          <w:rFonts w:ascii="Times New Roman" w:hAnsi="Times New Roman" w:cs="Times New Roman" w:eastAsia="Times New Roman" w:hint="default"/>
        </w:rPr>
        <w:t>(3)</w:t>
      </w:r>
      <w:r>
        <w:rPr/>
        <w:t>流动性风险</w:t>
      </w:r>
      <w:r>
        <w:rPr>
          <w:spacing w:val="-103"/>
        </w:rPr>
        <w:t> </w:t>
      </w:r>
      <w:r>
        <w:rPr>
          <w:spacing w:val="-103"/>
        </w:rPr>
      </w:r>
      <w:r>
        <w:rPr/>
        <w:t>流动性风险，是指本公司在履行以交付现金或其他金融资产的方式结算的义务时发生资金短缺的风</w:t>
      </w:r>
    </w:p>
    <w:p>
      <w:pPr>
        <w:pStyle w:val="BodyText"/>
        <w:spacing w:line="255" w:lineRule="exact"/>
        <w:ind w:right="0"/>
        <w:jc w:val="both"/>
      </w:pPr>
      <w:r>
        <w:rPr/>
        <w:t>险。</w:t>
      </w:r>
    </w:p>
    <w:p>
      <w:pPr>
        <w:pStyle w:val="BodyText"/>
        <w:spacing w:line="273" w:lineRule="auto" w:before="157"/>
        <w:ind w:right="146"/>
        <w:jc w:val="both"/>
      </w:pPr>
      <w:r>
        <w:rPr>
          <w:spacing w:val="-2"/>
        </w:rPr>
        <w:t>管理流动风险时，本公司及各子公司负责自身的现金管理工作，包括现金盈余的短期投资和筹措贷款以应</w:t>
      </w:r>
      <w:r>
        <w:rPr>
          <w:spacing w:val="-44"/>
        </w:rPr>
        <w:t> </w:t>
      </w:r>
      <w:r>
        <w:rPr>
          <w:spacing w:val="-44"/>
        </w:rPr>
      </w:r>
      <w:r>
        <w:rPr>
          <w:spacing w:val="-2"/>
        </w:rPr>
        <w:t>付预计现金需求（如果借款额超过某些预设授权上限，便需获得本公司董事会的批准）。本公司的政策是</w:t>
      </w:r>
      <w:r>
        <w:rPr>
          <w:spacing w:val="-47"/>
        </w:rPr>
        <w:t> </w:t>
      </w:r>
      <w:r>
        <w:rPr>
          <w:spacing w:val="-47"/>
        </w:rPr>
      </w:r>
      <w:r>
        <w:rPr>
          <w:spacing w:val="-2"/>
        </w:rPr>
        <w:t>定期监控短期和长期的流动资金需求，以及是否符合借款协议的规定，以确保维持充裕的现金储备，同时</w:t>
      </w:r>
      <w:r>
        <w:rPr>
          <w:spacing w:val="-42"/>
        </w:rPr>
        <w:t> </w:t>
      </w:r>
      <w:r>
        <w:rPr>
          <w:spacing w:val="-42"/>
        </w:rPr>
      </w:r>
      <w:r>
        <w:rPr/>
        <w:t>获得主要金融机构承诺提供足够的备用资金，以满足短期和较长期的流动资金需求。</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ind w:right="0"/>
        <w:jc w:val="both"/>
        <w:rPr>
          <w:b w:val="0"/>
          <w:bCs w:val="0"/>
        </w:rPr>
      </w:pPr>
      <w:r>
        <w:rPr/>
        <w:t>十、公允价值的披露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396"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166"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713" w:right="67" w:hanging="629"/>
              <w:jc w:val="left"/>
              <w:rPr>
                <w:rFonts w:ascii="宋体" w:hAnsi="宋体" w:cs="宋体" w:eastAsia="宋体" w:hint="default"/>
                <w:sz w:val="21"/>
                <w:szCs w:val="21"/>
              </w:rPr>
            </w:pPr>
            <w:r>
              <w:rPr>
                <w:rFonts w:ascii="宋体" w:hAnsi="宋体" w:cs="宋体" w:eastAsia="宋体" w:hint="default"/>
                <w:sz w:val="21"/>
                <w:szCs w:val="21"/>
              </w:rPr>
              <w:t>第一层次公允价值</w:t>
            </w:r>
            <w:r>
              <w:rPr>
                <w:rFonts w:ascii="宋体" w:hAnsi="宋体" w:cs="宋体" w:eastAsia="宋体" w:hint="default"/>
                <w:w w:val="100"/>
                <w:sz w:val="21"/>
                <w:szCs w:val="21"/>
              </w:rPr>
              <w:t> </w:t>
            </w:r>
            <w:r>
              <w:rPr>
                <w:rFonts w:ascii="宋体" w:hAnsi="宋体" w:cs="宋体" w:eastAsia="宋体" w:hint="default"/>
                <w:sz w:val="21"/>
                <w:szCs w:val="21"/>
              </w:rPr>
              <w:t>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741" w:right="106" w:hanging="629"/>
              <w:jc w:val="left"/>
              <w:rPr>
                <w:rFonts w:ascii="宋体" w:hAnsi="宋体" w:cs="宋体" w:eastAsia="宋体" w:hint="default"/>
                <w:sz w:val="21"/>
                <w:szCs w:val="21"/>
              </w:rPr>
            </w:pPr>
            <w:r>
              <w:rPr>
                <w:rFonts w:ascii="宋体" w:hAnsi="宋体" w:cs="宋体" w:eastAsia="宋体" w:hint="default"/>
                <w:sz w:val="21"/>
                <w:szCs w:val="21"/>
              </w:rPr>
              <w:t>第二层次公允价值</w:t>
            </w:r>
            <w:r>
              <w:rPr>
                <w:rFonts w:ascii="宋体" w:hAnsi="宋体" w:cs="宋体" w:eastAsia="宋体" w:hint="default"/>
                <w:w w:val="100"/>
                <w:sz w:val="21"/>
                <w:szCs w:val="21"/>
              </w:rPr>
              <w:t> </w:t>
            </w:r>
            <w:r>
              <w:rPr>
                <w:rFonts w:ascii="宋体" w:hAnsi="宋体" w:cs="宋体" w:eastAsia="宋体" w:hint="default"/>
                <w:sz w:val="21"/>
                <w:szCs w:val="21"/>
              </w:rPr>
              <w:t>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741" w:right="105" w:hanging="629"/>
              <w:jc w:val="left"/>
              <w:rPr>
                <w:rFonts w:ascii="宋体" w:hAnsi="宋体" w:cs="宋体" w:eastAsia="宋体" w:hint="default"/>
                <w:sz w:val="21"/>
                <w:szCs w:val="21"/>
              </w:rPr>
            </w:pPr>
            <w:r>
              <w:rPr>
                <w:rFonts w:ascii="宋体" w:hAnsi="宋体" w:cs="宋体" w:eastAsia="宋体" w:hint="default"/>
                <w:sz w:val="21"/>
                <w:szCs w:val="21"/>
              </w:rPr>
              <w:t>第三层次公允价值</w:t>
            </w:r>
            <w:r>
              <w:rPr>
                <w:rFonts w:ascii="宋体" w:hAnsi="宋体" w:cs="宋体" w:eastAsia="宋体" w:hint="default"/>
                <w:w w:val="100"/>
                <w:sz w:val="21"/>
                <w:szCs w:val="21"/>
              </w:rPr>
              <w:t> </w:t>
            </w:r>
            <w:r>
              <w:rPr>
                <w:rFonts w:ascii="宋体" w:hAnsi="宋体" w:cs="宋体" w:eastAsia="宋体" w:hint="default"/>
                <w:sz w:val="21"/>
                <w:szCs w:val="21"/>
              </w:rPr>
              <w:t>计量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6"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3"/>
              <w:ind w:left="12" w:right="54"/>
              <w:jc w:val="left"/>
              <w:rPr>
                <w:rFonts w:ascii="宋体" w:hAnsi="宋体" w:cs="宋体" w:eastAsia="宋体" w:hint="default"/>
                <w:sz w:val="21"/>
                <w:szCs w:val="21"/>
              </w:rPr>
            </w:pPr>
            <w:r>
              <w:rPr>
                <w:rFonts w:ascii="宋体" w:hAnsi="宋体" w:cs="宋体" w:eastAsia="宋体" w:hint="default"/>
                <w:sz w:val="21"/>
                <w:szCs w:val="21"/>
              </w:rPr>
              <w:t>一、持续的公允价值</w:t>
            </w:r>
            <w:r>
              <w:rPr>
                <w:rFonts w:ascii="宋体" w:hAnsi="宋体" w:cs="宋体" w:eastAsia="宋体" w:hint="default"/>
                <w:w w:val="100"/>
                <w:sz w:val="21"/>
                <w:szCs w:val="21"/>
              </w:rPr>
              <w:t> </w:t>
            </w:r>
            <w:r>
              <w:rPr>
                <w:rFonts w:ascii="宋体" w:hAnsi="宋体" w:cs="宋体" w:eastAsia="宋体" w:hint="default"/>
                <w:sz w:val="21"/>
                <w:szCs w:val="21"/>
              </w:rPr>
              <w:t>计量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2"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8"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2" w:right="54"/>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指定以公允价值计</w:t>
            </w:r>
            <w:r>
              <w:rPr>
                <w:rFonts w:ascii="宋体" w:hAnsi="宋体" w:cs="宋体" w:eastAsia="宋体" w:hint="default"/>
                <w:w w:val="100"/>
                <w:sz w:val="21"/>
                <w:szCs w:val="21"/>
              </w:rPr>
              <w:t> </w:t>
            </w:r>
            <w:r>
              <w:rPr>
                <w:rFonts w:ascii="宋体" w:hAnsi="宋体" w:cs="宋体" w:eastAsia="宋体" w:hint="default"/>
                <w:sz w:val="21"/>
                <w:szCs w:val="21"/>
              </w:rPr>
              <w:t>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02" w:right="0"/>
              <w:jc w:val="left"/>
              <w:rPr>
                <w:rFonts w:ascii="Times New Roman" w:hAnsi="Times New Roman" w:cs="Times New Roman" w:eastAsia="Times New Roman" w:hint="default"/>
                <w:sz w:val="21"/>
                <w:szCs w:val="21"/>
              </w:rPr>
            </w:pPr>
            <w:r>
              <w:rPr>
                <w:rFonts w:ascii="Times New Roman"/>
                <w:sz w:val="21"/>
              </w:rPr>
              <w:t>60,646,416.67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77" w:right="0"/>
              <w:jc w:val="left"/>
              <w:rPr>
                <w:rFonts w:ascii="Times New Roman" w:hAnsi="Times New Roman" w:cs="Times New Roman" w:eastAsia="Times New Roman" w:hint="default"/>
                <w:sz w:val="21"/>
                <w:szCs w:val="21"/>
              </w:rPr>
            </w:pPr>
            <w:r>
              <w:rPr>
                <w:rFonts w:ascii="Times New Roman"/>
                <w:sz w:val="21"/>
              </w:rPr>
              <w:t>60,646,416.67</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2" w:right="54"/>
              <w:jc w:val="left"/>
              <w:rPr>
                <w:rFonts w:ascii="宋体" w:hAnsi="宋体" w:cs="宋体" w:eastAsia="宋体" w:hint="default"/>
                <w:sz w:val="21"/>
                <w:szCs w:val="21"/>
              </w:rPr>
            </w:pPr>
            <w:r>
              <w:rPr>
                <w:rFonts w:ascii="宋体" w:hAnsi="宋体" w:cs="宋体" w:eastAsia="宋体" w:hint="default"/>
                <w:sz w:val="21"/>
                <w:szCs w:val="21"/>
              </w:rPr>
              <w:t>二、非持续的公允价</w:t>
            </w:r>
            <w:r>
              <w:rPr>
                <w:rFonts w:ascii="宋体" w:hAnsi="宋体" w:cs="宋体" w:eastAsia="宋体" w:hint="default"/>
                <w:w w:val="100"/>
                <w:sz w:val="21"/>
                <w:szCs w:val="21"/>
              </w:rPr>
              <w:t> </w:t>
            </w:r>
            <w:r>
              <w:rPr>
                <w:rFonts w:ascii="宋体" w:hAnsi="宋体" w:cs="宋体" w:eastAsia="宋体" w:hint="default"/>
                <w:sz w:val="21"/>
                <w:szCs w:val="21"/>
              </w:rPr>
              <w:t>值计量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2"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508" w:lineRule="auto" w:before="36"/>
        <w:ind w:left="152" w:right="1704" w:firstLine="0"/>
        <w:jc w:val="left"/>
        <w:rPr>
          <w:rFonts w:ascii="宋体" w:hAnsi="宋体" w:cs="宋体" w:eastAsia="宋体" w:hint="default"/>
          <w:sz w:val="24"/>
          <w:szCs w:val="24"/>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、持续和非持续第一层次公允价值计量项目市价的确定依据</w:t>
      </w:r>
      <w:r>
        <w:rPr>
          <w:rFonts w:ascii="宋体" w:hAnsi="宋体" w:cs="宋体" w:eastAsia="宋体" w:hint="default"/>
          <w:b/>
          <w:bCs/>
          <w:spacing w:val="-81"/>
          <w:sz w:val="21"/>
          <w:szCs w:val="21"/>
        </w:rPr>
        <w:t> </w:t>
      </w:r>
      <w:r>
        <w:rPr>
          <w:rFonts w:ascii="宋体" w:hAnsi="宋体" w:cs="宋体" w:eastAsia="宋体" w:hint="default"/>
          <w:b/>
          <w:bCs/>
          <w:spacing w:val="-81"/>
          <w:sz w:val="21"/>
          <w:szCs w:val="21"/>
        </w:rPr>
      </w:r>
      <w:r>
        <w:rPr>
          <w:rFonts w:ascii="宋体" w:hAnsi="宋体" w:cs="宋体" w:eastAsia="宋体" w:hint="default"/>
          <w:sz w:val="21"/>
          <w:szCs w:val="21"/>
        </w:rPr>
        <w:t>本公司以理财产品合同约定的年化收益率确定其公允价值。</w:t>
      </w:r>
      <w:r>
        <w:rPr>
          <w:rFonts w:ascii="宋体" w:hAnsi="宋体" w:cs="宋体" w:eastAsia="宋体" w:hint="default"/>
          <w:w w:val="100"/>
          <w:sz w:val="21"/>
          <w:szCs w:val="21"/>
        </w:rPr>
        <w:t> </w:t>
      </w:r>
      <w:r>
        <w:rPr>
          <w:rFonts w:ascii="宋体" w:hAnsi="宋体" w:cs="宋体" w:eastAsia="宋体" w:hint="default"/>
          <w:b/>
          <w:bCs/>
          <w:sz w:val="24"/>
          <w:szCs w:val="24"/>
        </w:rPr>
        <w:t>十一、关联方及关联交易</w:t>
      </w:r>
      <w:r>
        <w:rPr>
          <w:rFonts w:ascii="宋体" w:hAnsi="宋体" w:cs="宋体" w:eastAsia="宋体" w:hint="default"/>
          <w:sz w:val="24"/>
          <w:szCs w:val="24"/>
        </w:rPr>
      </w:r>
    </w:p>
    <w:p>
      <w:pPr>
        <w:spacing w:line="520" w:lineRule="auto" w:before="54"/>
        <w:ind w:left="152" w:right="313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本企业子公司的情况详见附注附注七、在其他主体中的权益。</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3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王际松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本公司之股东</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张玉生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sz w:val="21"/>
                <w:szCs w:val="21"/>
              </w:rPr>
              <w:t>本公司之股东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贾丽娟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本公司之股东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李国兵</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本公司之股东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张德强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本公司之股东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北京世纪万向投资咨询有限公司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本公司之股东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侯玉艳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本公司实际控制人朱业胜之配偶</w:t>
            </w:r>
          </w:p>
        </w:tc>
      </w:tr>
    </w:tbl>
    <w:p>
      <w:pPr>
        <w:pStyle w:val="BodyText"/>
        <w:spacing w:line="240" w:lineRule="auto" w:before="28"/>
        <w:ind w:right="153"/>
        <w:jc w:val="left"/>
      </w:pPr>
      <w:r>
        <w:rPr/>
        <w:t>其他说明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）关联担保情况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right="153"/>
        <w:jc w:val="left"/>
      </w:pPr>
      <w:r>
        <w:rPr/>
        <w:t>本公司作为担保方</w:t>
      </w:r>
    </w:p>
    <w:p>
      <w:pPr>
        <w:pStyle w:val="BodyText"/>
        <w:spacing w:line="240" w:lineRule="auto" w:before="78"/>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42" w:right="96" w:hanging="630"/>
              <w:jc w:val="left"/>
              <w:rPr>
                <w:rFonts w:ascii="宋体" w:hAnsi="宋体" w:cs="宋体" w:eastAsia="宋体" w:hint="default"/>
                <w:sz w:val="21"/>
                <w:szCs w:val="21"/>
              </w:rPr>
            </w:pPr>
            <w:r>
              <w:rPr>
                <w:rFonts w:ascii="宋体" w:hAnsi="宋体" w:cs="宋体" w:eastAsia="宋体" w:hint="default"/>
                <w:sz w:val="21"/>
                <w:szCs w:val="21"/>
              </w:rPr>
              <w:t>担保是否已经履行</w:t>
            </w:r>
            <w:r>
              <w:rPr>
                <w:rFonts w:ascii="宋体" w:hAnsi="宋体" w:cs="宋体" w:eastAsia="宋体" w:hint="default"/>
                <w:w w:val="100"/>
                <w:sz w:val="21"/>
                <w:szCs w:val="21"/>
              </w:rPr>
              <w:t> </w:t>
            </w:r>
            <w:r>
              <w:rPr>
                <w:rFonts w:ascii="宋体" w:hAnsi="宋体" w:cs="宋体" w:eastAsia="宋体" w:hint="default"/>
                <w:sz w:val="21"/>
                <w:szCs w:val="21"/>
              </w:rPr>
              <w:t>完毕</w:t>
            </w:r>
          </w:p>
        </w:tc>
      </w:tr>
    </w:tbl>
    <w:p>
      <w:pPr>
        <w:pStyle w:val="BodyText"/>
        <w:spacing w:line="240" w:lineRule="auto" w:before="28"/>
        <w:ind w:right="153"/>
        <w:jc w:val="left"/>
      </w:pPr>
      <w:r>
        <w:rPr/>
        <w:t>本公司作为被担保方</w:t>
      </w:r>
    </w:p>
    <w:p>
      <w:pPr>
        <w:pStyle w:val="BodyText"/>
        <w:spacing w:line="240" w:lineRule="auto" w:before="78"/>
        <w:ind w:left="0" w:right="14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742" w:right="108" w:hanging="630"/>
              <w:jc w:val="left"/>
              <w:rPr>
                <w:rFonts w:ascii="宋体" w:hAnsi="宋体" w:cs="宋体" w:eastAsia="宋体" w:hint="default"/>
                <w:sz w:val="21"/>
                <w:szCs w:val="21"/>
              </w:rPr>
            </w:pPr>
            <w:r>
              <w:rPr>
                <w:rFonts w:ascii="宋体" w:hAnsi="宋体" w:cs="宋体" w:eastAsia="宋体" w:hint="default"/>
                <w:sz w:val="21"/>
                <w:szCs w:val="21"/>
              </w:rPr>
              <w:t>担保是否已经履行</w:t>
            </w:r>
            <w:r>
              <w:rPr>
                <w:rFonts w:ascii="宋体" w:hAnsi="宋体" w:cs="宋体" w:eastAsia="宋体" w:hint="default"/>
                <w:w w:val="100"/>
                <w:sz w:val="21"/>
                <w:szCs w:val="21"/>
              </w:rPr>
              <w:t> </w:t>
            </w:r>
            <w:r>
              <w:rPr>
                <w:rFonts w:ascii="宋体" w:hAnsi="宋体" w:cs="宋体" w:eastAsia="宋体" w:hint="default"/>
                <w:sz w:val="21"/>
                <w:szCs w:val="21"/>
              </w:rPr>
              <w:t>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朱业胜及其配偶侯</w:t>
            </w:r>
            <w:r>
              <w:rPr>
                <w:rFonts w:ascii="宋体" w:hAnsi="宋体" w:cs="宋体" w:eastAsia="宋体" w:hint="default"/>
                <w:w w:val="100"/>
                <w:sz w:val="21"/>
                <w:szCs w:val="21"/>
              </w:rPr>
              <w:t> </w:t>
            </w:r>
            <w:r>
              <w:rPr>
                <w:rFonts w:ascii="宋体" w:hAnsi="宋体" w:cs="宋体" w:eastAsia="宋体" w:hint="default"/>
                <w:sz w:val="21"/>
                <w:szCs w:val="21"/>
              </w:rPr>
              <w:t>玉艳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1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1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朱业胜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94"/>
              <w:jc w:val="left"/>
              <w:rPr>
                <w:rFonts w:ascii="宋体" w:hAnsi="宋体" w:cs="宋体" w:eastAsia="宋体" w:hint="default"/>
                <w:sz w:val="21"/>
                <w:szCs w:val="21"/>
              </w:rPr>
            </w:pPr>
            <w:r>
              <w:rPr>
                <w:rFonts w:ascii="宋体" w:hAnsi="宋体" w:cs="宋体" w:eastAsia="宋体" w:hint="default"/>
                <w:sz w:val="21"/>
                <w:szCs w:val="21"/>
              </w:rPr>
              <w:t>朱业胜及其配偶侯</w:t>
            </w:r>
            <w:r>
              <w:rPr>
                <w:rFonts w:ascii="宋体" w:hAnsi="宋体" w:cs="宋体" w:eastAsia="宋体" w:hint="default"/>
                <w:w w:val="100"/>
                <w:sz w:val="21"/>
                <w:szCs w:val="21"/>
              </w:rPr>
              <w:t> </w:t>
            </w:r>
            <w:r>
              <w:rPr>
                <w:rFonts w:ascii="宋体" w:hAnsi="宋体" w:cs="宋体" w:eastAsia="宋体" w:hint="default"/>
                <w:sz w:val="21"/>
                <w:szCs w:val="21"/>
              </w:rPr>
              <w:t>玉艳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1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朱业胜及其配偶侯</w:t>
            </w:r>
            <w:r>
              <w:rPr>
                <w:rFonts w:ascii="宋体" w:hAnsi="宋体" w:cs="宋体" w:eastAsia="宋体" w:hint="default"/>
                <w:w w:val="100"/>
                <w:sz w:val="21"/>
                <w:szCs w:val="21"/>
              </w:rPr>
              <w:t> </w:t>
            </w:r>
            <w:r>
              <w:rPr>
                <w:rFonts w:ascii="宋体" w:hAnsi="宋体" w:cs="宋体" w:eastAsia="宋体" w:hint="default"/>
                <w:sz w:val="21"/>
                <w:szCs w:val="21"/>
              </w:rPr>
              <w:t>玉艳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1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5,560,300.00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1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11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4,346,400.00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1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1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朱业胜及其配偶侯</w:t>
            </w:r>
            <w:r>
              <w:rPr>
                <w:rFonts w:ascii="宋体" w:hAnsi="宋体" w:cs="宋体" w:eastAsia="宋体" w:hint="default"/>
                <w:w w:val="100"/>
                <w:sz w:val="21"/>
                <w:szCs w:val="21"/>
              </w:rPr>
              <w:t> </w:t>
            </w:r>
            <w:r>
              <w:rPr>
                <w:rFonts w:ascii="宋体" w:hAnsi="宋体" w:cs="宋体" w:eastAsia="宋体" w:hint="default"/>
                <w:sz w:val="21"/>
                <w:szCs w:val="21"/>
              </w:rPr>
              <w:t>玉艳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5,828,900.00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朱业胜及其配偶侯</w:t>
            </w:r>
            <w:r>
              <w:rPr>
                <w:rFonts w:ascii="宋体" w:hAnsi="宋体" w:cs="宋体" w:eastAsia="宋体" w:hint="default"/>
                <w:w w:val="100"/>
                <w:sz w:val="21"/>
                <w:szCs w:val="21"/>
              </w:rPr>
              <w:t> </w:t>
            </w:r>
            <w:r>
              <w:rPr>
                <w:rFonts w:ascii="宋体" w:hAnsi="宋体" w:cs="宋体" w:eastAsia="宋体" w:hint="default"/>
                <w:sz w:val="21"/>
                <w:szCs w:val="21"/>
              </w:rPr>
              <w:t>玉艳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5,655,000.00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1,570,000.00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1,651,000.00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1,974,400.00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朱业胜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9,772,000.00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5"/>
                <w:sz w:val="21"/>
                <w:szCs w:val="21"/>
              </w:rPr>
              <w:t>朱业胜、姜承法、曾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维斌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8,097,900.00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53"/>
        <w:jc w:val="left"/>
      </w:pPr>
      <w:r>
        <w:rPr/>
        <w:t>关联担保情况说明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6" w:right="0"/>
              <w:jc w:val="left"/>
              <w:rPr>
                <w:rFonts w:ascii="Times New Roman" w:hAnsi="Times New Roman" w:cs="Times New Roman" w:eastAsia="Times New Roman" w:hint="default"/>
                <w:sz w:val="21"/>
                <w:szCs w:val="21"/>
              </w:rPr>
            </w:pPr>
            <w:r>
              <w:rPr>
                <w:rFonts w:ascii="Times New Roman"/>
                <w:sz w:val="21"/>
              </w:rPr>
              <w:t>1,646,500.00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7" w:right="0"/>
              <w:jc w:val="left"/>
              <w:rPr>
                <w:rFonts w:ascii="Times New Roman" w:hAnsi="Times New Roman" w:cs="Times New Roman" w:eastAsia="Times New Roman" w:hint="default"/>
                <w:sz w:val="21"/>
                <w:szCs w:val="21"/>
              </w:rPr>
            </w:pPr>
            <w:r>
              <w:rPr>
                <w:rFonts w:ascii="Times New Roman"/>
                <w:sz w:val="21"/>
              </w:rPr>
              <w:t>1,564,100.00</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16"/>
        <w:jc w:val="left"/>
        <w:rPr>
          <w:b w:val="0"/>
          <w:bCs w:val="0"/>
        </w:rPr>
      </w:pPr>
      <w:r>
        <w:rPr/>
        <w:t>十二、承诺及或有事项</w:t>
      </w:r>
      <w:r>
        <w:rPr>
          <w:b w:val="0"/>
          <w:bCs w:val="0"/>
        </w:rPr>
      </w:r>
    </w:p>
    <w:p>
      <w:pPr>
        <w:spacing w:line="590" w:lineRule="atLeast" w:before="27"/>
        <w:ind w:left="152" w:right="5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pacing w:val="-2"/>
          <w:sz w:val="21"/>
          <w:szCs w:val="21"/>
        </w:rPr>
        <w:t>资产负债表日存在的重要承诺</w:t>
      </w:r>
    </w:p>
    <w:p>
      <w:pPr>
        <w:pStyle w:val="BodyText"/>
        <w:spacing w:line="240" w:lineRule="auto" w:before="159"/>
        <w:ind w:left="719" w:right="116"/>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日止，本公司无需要披露的重大承诺事项。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Heading4"/>
        <w:spacing w:line="240" w:lineRule="auto"/>
        <w:ind w:right="116"/>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40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日止，本公司无需要披露的重大或有事项。</w:t>
      </w:r>
    </w:p>
    <w:p>
      <w:pPr>
        <w:spacing w:line="520" w:lineRule="auto" w:before="63"/>
        <w:ind w:left="152" w:right="403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公司不存在需要披露的重要或有事项。</w:t>
      </w:r>
      <w:r>
        <w:rPr>
          <w:rFonts w:ascii="宋体" w:hAnsi="宋体" w:cs="宋体" w:eastAsia="宋体" w:hint="default"/>
          <w:w w:val="100"/>
          <w:sz w:val="21"/>
          <w:szCs w:val="21"/>
        </w:rPr>
        <w:t> </w:t>
      </w:r>
      <w:r>
        <w:rPr>
          <w:rFonts w:ascii="宋体" w:hAnsi="宋体" w:cs="宋体" w:eastAsia="宋体" w:hint="default"/>
          <w:b/>
          <w:bCs/>
          <w:sz w:val="21"/>
          <w:szCs w:val="21"/>
        </w:rPr>
        <w:t>十三、资产负债表日后事项</w:t>
      </w:r>
      <w:r>
        <w:rPr>
          <w:rFonts w:ascii="宋体" w:hAnsi="宋体" w:cs="宋体" w:eastAsia="宋体" w:hint="default"/>
          <w:sz w:val="21"/>
          <w:szCs w:val="21"/>
        </w:rPr>
      </w:r>
    </w:p>
    <w:p>
      <w:pPr>
        <w:pStyle w:val="Heading4"/>
        <w:spacing w:line="240" w:lineRule="auto" w:before="94"/>
        <w:ind w:right="116"/>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5,333,600.00</w:t>
            </w:r>
          </w:p>
        </w:tc>
      </w:tr>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5,333,600.00</w:t>
            </w:r>
          </w:p>
        </w:tc>
      </w:tr>
    </w:tbl>
    <w:p>
      <w:pPr>
        <w:spacing w:line="240" w:lineRule="auto" w:before="3"/>
        <w:rPr>
          <w:rFonts w:ascii="宋体" w:hAnsi="宋体" w:cs="宋体" w:eastAsia="宋体" w:hint="default"/>
          <w:sz w:val="19"/>
          <w:szCs w:val="19"/>
        </w:rPr>
      </w:pPr>
    </w:p>
    <w:p>
      <w:pPr>
        <w:pStyle w:val="Heading4"/>
        <w:spacing w:line="240" w:lineRule="auto" w:before="36"/>
        <w:ind w:right="116"/>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6" w:firstLine="48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日，公司召开第二届董事会第九次会议，审议通过了</w:t>
      </w:r>
      <w:r>
        <w:rPr>
          <w:rFonts w:ascii="Times New Roman" w:hAnsi="Times New Roman" w:cs="Times New Roman" w:eastAsia="Times New Roman" w:hint="default"/>
        </w:rPr>
        <w:t>2015</w:t>
      </w:r>
      <w:r>
        <w:rPr/>
        <w:t>年度利润分配及资本公积转增</w:t>
      </w:r>
      <w:r>
        <w:rPr>
          <w:w w:val="100"/>
        </w:rPr>
        <w:t> </w:t>
      </w:r>
      <w:r>
        <w:rPr>
          <w:spacing w:val="-6"/>
        </w:rPr>
        <w:t>股本预案：以</w:t>
      </w:r>
      <w:r>
        <w:rPr>
          <w:rFonts w:ascii="Times New Roman" w:hAnsi="Times New Roman" w:cs="Times New Roman" w:eastAsia="Times New Roman" w:hint="default"/>
          <w:spacing w:val="-6"/>
        </w:rPr>
        <w:t>2015</w:t>
      </w:r>
      <w:r>
        <w:rPr>
          <w:spacing w:val="-6"/>
        </w:rPr>
        <w:t>年末公司总股本</w:t>
      </w:r>
      <w:r>
        <w:rPr>
          <w:rFonts w:ascii="Times New Roman" w:hAnsi="Times New Roman" w:cs="Times New Roman" w:eastAsia="Times New Roman" w:hint="default"/>
          <w:spacing w:val="-6"/>
        </w:rPr>
        <w:t>6,667</w:t>
      </w:r>
      <w:r>
        <w:rPr>
          <w:spacing w:val="-6"/>
        </w:rPr>
        <w:t>万股为基数，向全体股东每</w:t>
      </w:r>
      <w:r>
        <w:rPr>
          <w:rFonts w:ascii="Times New Roman" w:hAnsi="Times New Roman" w:cs="Times New Roman" w:eastAsia="Times New Roman" w:hint="default"/>
          <w:spacing w:val="-6"/>
        </w:rPr>
        <w:t>10</w:t>
      </w:r>
      <w:r>
        <w:rPr>
          <w:spacing w:val="-6"/>
        </w:rPr>
        <w:t>股派发现金股利</w:t>
      </w:r>
      <w:r>
        <w:rPr>
          <w:rFonts w:ascii="Times New Roman" w:hAnsi="Times New Roman" w:cs="Times New Roman" w:eastAsia="Times New Roman" w:hint="default"/>
          <w:spacing w:val="-6"/>
        </w:rPr>
        <w:t>0.8</w:t>
      </w:r>
      <w:r>
        <w:rPr>
          <w:spacing w:val="-6"/>
        </w:rPr>
        <w:t>元人民币（含税），</w:t>
      </w:r>
      <w:r>
        <w:rPr>
          <w:spacing w:val="-24"/>
        </w:rPr>
        <w:t> </w:t>
      </w:r>
      <w:r>
        <w:rPr>
          <w:spacing w:val="-24"/>
        </w:rPr>
      </w:r>
      <w:r>
        <w:rPr>
          <w:spacing w:val="-2"/>
        </w:rPr>
        <w:t>共计派发现金股利</w:t>
      </w:r>
      <w:r>
        <w:rPr>
          <w:rFonts w:ascii="Times New Roman" w:hAnsi="Times New Roman" w:cs="Times New Roman" w:eastAsia="Times New Roman" w:hint="default"/>
          <w:spacing w:val="-2"/>
        </w:rPr>
        <w:t>533.36</w:t>
      </w:r>
      <w:r>
        <w:rPr>
          <w:spacing w:val="-2"/>
        </w:rPr>
        <w:t>万元；同时以</w:t>
      </w:r>
      <w:r>
        <w:rPr>
          <w:rFonts w:ascii="Times New Roman" w:hAnsi="Times New Roman" w:cs="Times New Roman" w:eastAsia="Times New Roman" w:hint="default"/>
          <w:spacing w:val="-2"/>
        </w:rPr>
        <w:t>2015</w:t>
      </w:r>
      <w:r>
        <w:rPr>
          <w:spacing w:val="-2"/>
        </w:rPr>
        <w:t>年末公司总股本</w:t>
      </w:r>
      <w:r>
        <w:rPr>
          <w:rFonts w:ascii="Times New Roman" w:hAnsi="Times New Roman" w:cs="Times New Roman" w:eastAsia="Times New Roman" w:hint="default"/>
          <w:spacing w:val="-2"/>
        </w:rPr>
        <w:t>6,667</w:t>
      </w:r>
      <w:r>
        <w:rPr>
          <w:spacing w:val="-2"/>
        </w:rPr>
        <w:t>万股为基数，以资本公积向全体股东每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22"/>
        </w:rPr>
        <w:t> </w:t>
      </w:r>
      <w:r>
        <w:rPr/>
        <w:t>股转增</w:t>
      </w:r>
      <w:r>
        <w:rPr>
          <w:rFonts w:ascii="Times New Roman" w:hAnsi="Times New Roman" w:cs="Times New Roman" w:eastAsia="Times New Roman" w:hint="default"/>
        </w:rPr>
        <w:t>5</w:t>
      </w:r>
      <w:r>
        <w:rPr/>
        <w:t>股。</w:t>
      </w:r>
    </w:p>
    <w:p>
      <w:pPr>
        <w:pStyle w:val="BodyText"/>
        <w:spacing w:line="240" w:lineRule="auto" w:before="125"/>
        <w:ind w:left="626" w:right="116"/>
        <w:jc w:val="left"/>
      </w:pP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日止，除上述事项外，本公司无需要披露的其他资产负债表日后事项。</w:t>
      </w:r>
    </w:p>
    <w:p>
      <w:pPr>
        <w:spacing w:after="0" w:line="240" w:lineRule="auto"/>
        <w:jc w:val="left"/>
        <w:sectPr>
          <w:pgSz w:w="11910" w:h="16840"/>
          <w:pgMar w:header="745" w:footer="980"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十四、母公司财务报表主要项目注释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2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71" w:right="55"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7" w:type="dxa"/>
            <w:vMerge/>
            <w:tcBorders>
              <w:left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10" w:space="0" w:color="D2D2D2"/>
              <w:right w:val="single" w:sz="12" w:space="0" w:color="D2D2D2"/>
            </w:tcBorders>
          </w:tcPr>
          <w:p>
            <w:pPr>
              <w:pStyle w:val="TableParagraph"/>
              <w:spacing w:line="262" w:lineRule="exact"/>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36"/>
                <w:w w:val="100"/>
                <w:sz w:val="21"/>
                <w:szCs w:val="21"/>
                <w:shd w:fill="D2D2D2" w:color="auto" w:val="clear"/>
              </w:rPr>
              <w:t> </w:t>
            </w:r>
            <w:r>
              <w:rPr>
                <w:rFonts w:ascii="宋体" w:hAnsi="宋体" w:cs="宋体" w:eastAsia="宋体" w:hint="default"/>
                <w:spacing w:val="3"/>
                <w:sz w:val="21"/>
                <w:szCs w:val="21"/>
                <w:shd w:fill="D2D2D2" w:color="auto" w:val="clear"/>
              </w:rPr>
              <w:t>账面价值</w:t>
            </w:r>
            <w:r>
              <w:rPr>
                <w:rFonts w:ascii="宋体" w:hAnsi="宋体" w:cs="宋体" w:eastAsia="宋体" w:hint="default"/>
                <w:spacing w:val="3"/>
                <w:sz w:val="21"/>
                <w:szCs w:val="21"/>
              </w:rPr>
            </w:r>
            <w:r>
              <w:rPr>
                <w:rFonts w:ascii="宋体" w:hAnsi="宋体" w:cs="宋体" w:eastAsia="宋体" w:hint="default"/>
                <w:sz w:val="21"/>
                <w:szCs w:val="21"/>
              </w:rPr>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1" w:type="dxa"/>
            <w:vMerge/>
            <w:tcBorders>
              <w:left w:val="single" w:sz="10" w:space="0" w:color="D2D2D2"/>
              <w:bottom w:val="nil" w:sz="6" w:space="0" w:color="auto"/>
              <w:right w:val="single" w:sz="12" w:space="0" w:color="D2D2D2"/>
            </w:tcBorders>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4"/>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154,256</w:t>
            </w:r>
          </w:p>
          <w:p>
            <w:pPr>
              <w:pStyle w:val="TableParagraph"/>
              <w:spacing w:line="240" w:lineRule="auto" w:before="71"/>
              <w:ind w:left="105" w:right="0"/>
              <w:jc w:val="left"/>
              <w:rPr>
                <w:rFonts w:ascii="Times New Roman" w:hAnsi="Times New Roman" w:cs="Times New Roman" w:eastAsia="Times New Roman" w:hint="default"/>
                <w:sz w:val="21"/>
                <w:szCs w:val="21"/>
              </w:rPr>
            </w:pPr>
            <w:r>
              <w:rPr>
                <w:rFonts w:ascii="Times New Roman"/>
                <w:sz w:val="21"/>
              </w:rPr>
              <w:t>,231.54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20,591,</w:t>
            </w:r>
          </w:p>
          <w:p>
            <w:pPr>
              <w:pStyle w:val="TableParagraph"/>
              <w:spacing w:line="240" w:lineRule="auto" w:before="71"/>
              <w:ind w:left="151" w:right="0"/>
              <w:jc w:val="left"/>
              <w:rPr>
                <w:rFonts w:ascii="Times New Roman" w:hAnsi="Times New Roman" w:cs="Times New Roman" w:eastAsia="Times New Roman" w:hint="default"/>
                <w:sz w:val="21"/>
                <w:szCs w:val="21"/>
              </w:rPr>
            </w:pPr>
            <w:r>
              <w:rPr>
                <w:rFonts w:ascii="Times New Roman"/>
                <w:sz w:val="21"/>
              </w:rPr>
              <w:t>735.98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13.35%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133,664</w:t>
            </w:r>
          </w:p>
          <w:p>
            <w:pPr>
              <w:pStyle w:val="TableParagraph"/>
              <w:spacing w:line="240" w:lineRule="auto" w:before="71"/>
              <w:ind w:left="124" w:right="0"/>
              <w:jc w:val="left"/>
              <w:rPr>
                <w:rFonts w:ascii="Times New Roman" w:hAnsi="Times New Roman" w:cs="Times New Roman" w:eastAsia="Times New Roman" w:hint="default"/>
                <w:sz w:val="21"/>
                <w:szCs w:val="21"/>
              </w:rPr>
            </w:pPr>
            <w:r>
              <w:rPr>
                <w:rFonts w:ascii="Times New Roman"/>
                <w:sz w:val="21"/>
              </w:rPr>
              <w:t>,495.56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83,441</w:t>
            </w:r>
          </w:p>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,591.1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12,086,9</w:t>
            </w:r>
          </w:p>
          <w:p>
            <w:pPr>
              <w:pStyle w:val="TableParagraph"/>
              <w:spacing w:line="240" w:lineRule="auto" w:before="71"/>
              <w:ind w:left="309" w:right="0"/>
              <w:jc w:val="left"/>
              <w:rPr>
                <w:rFonts w:ascii="Times New Roman" w:hAnsi="Times New Roman" w:cs="Times New Roman" w:eastAsia="Times New Roman" w:hint="default"/>
                <w:sz w:val="21"/>
                <w:szCs w:val="21"/>
              </w:rPr>
            </w:pPr>
            <w:r>
              <w:rPr>
                <w:rFonts w:ascii="Times New Roman"/>
                <w:sz w:val="21"/>
              </w:rPr>
              <w:t>04.48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14.49%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71,354,68</w:t>
            </w:r>
          </w:p>
          <w:p>
            <w:pPr>
              <w:pStyle w:val="TableParagraph"/>
              <w:spacing w:line="240" w:lineRule="auto" w:before="71"/>
              <w:ind w:left="532" w:right="0"/>
              <w:jc w:val="left"/>
              <w:rPr>
                <w:rFonts w:ascii="Times New Roman" w:hAnsi="Times New Roman" w:cs="Times New Roman" w:eastAsia="Times New Roman" w:hint="default"/>
                <w:sz w:val="21"/>
                <w:szCs w:val="21"/>
              </w:rPr>
            </w:pPr>
            <w:r>
              <w:rPr>
                <w:rFonts w:ascii="Times New Roman"/>
                <w:sz w:val="21"/>
              </w:rPr>
              <w:t>6.62</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154,256</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,231.54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20,591,</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735.98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13.35%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133,664</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,495.56</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83,441</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,591.1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12,086,9</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04.48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14.49%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71,354,68</w:t>
            </w:r>
          </w:p>
          <w:p>
            <w:pPr>
              <w:pStyle w:val="TableParagraph"/>
              <w:spacing w:line="240" w:lineRule="auto" w:before="70"/>
              <w:ind w:left="532" w:right="0"/>
              <w:jc w:val="left"/>
              <w:rPr>
                <w:rFonts w:ascii="Times New Roman" w:hAnsi="Times New Roman" w:cs="Times New Roman" w:eastAsia="Times New Roman" w:hint="default"/>
                <w:sz w:val="21"/>
                <w:szCs w:val="21"/>
              </w:rPr>
            </w:pPr>
            <w:r>
              <w:rPr>
                <w:rFonts w:ascii="Times New Roman"/>
                <w:sz w:val="21"/>
              </w:rPr>
              <w:t>6.62</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28"/>
        <w:ind w:right="0"/>
        <w:jc w:val="left"/>
      </w:pPr>
      <w:r>
        <w:rPr>
          <w:spacing w:val="-2"/>
        </w:rPr>
        <w:t>期末单项金额重大并单项计提坏账准备的应收账款：</w:t>
      </w:r>
    </w:p>
    <w:p>
      <w:pPr>
        <w:pStyle w:val="BodyText"/>
        <w:spacing w:line="290" w:lineRule="auto" w:before="7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组合中，按账龄分析法计提坏账准备的应收账款：</w:t>
      </w:r>
    </w:p>
    <w:p>
      <w:pPr>
        <w:pStyle w:val="BodyText"/>
        <w:spacing w:line="240" w:lineRule="auto" w:before="3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4988" w:space="3707"/>
            <w:col w:w="1255"/>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2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102,034,398.40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5,101,719.92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23,932,126.50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2,393,212.65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17,465,882.48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5,239,764.74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30.00%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5,399,893.80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2,699,946.90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1,334,192.96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1,067,354.37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80.00%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4,089,737.40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4,089,737.40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154,256,231.54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20,591,735.98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13.35%</w:t>
            </w:r>
          </w:p>
        </w:tc>
      </w:tr>
    </w:tbl>
    <w:p>
      <w:pPr>
        <w:pStyle w:val="BodyText"/>
        <w:spacing w:line="307" w:lineRule="auto" w:before="29"/>
        <w:ind w:right="4525"/>
        <w:jc w:val="left"/>
      </w:pPr>
      <w:r>
        <w:rPr/>
        <w:t>确定该组合依据的说明：</w:t>
      </w:r>
      <w:r>
        <w:rPr>
          <w:w w:val="100"/>
        </w:rPr>
        <w:t> </w:t>
      </w:r>
      <w:r>
        <w:rPr>
          <w:spacing w:val="-2"/>
        </w:rPr>
        <w:t>组合中，采用余额百分比法计提坏账准备的应收账款：</w:t>
      </w:r>
    </w:p>
    <w:p>
      <w:pPr>
        <w:pStyle w:val="BodyText"/>
        <w:spacing w:line="290" w:lineRule="auto" w:before="19"/>
        <w:ind w:right="4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组合中，采用其他方法计提坏账准备的应收账款：</w:t>
      </w:r>
    </w:p>
    <w:p>
      <w:pPr>
        <w:spacing w:after="0" w:line="29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651"/>
        <w:gridCol w:w="1988"/>
        <w:gridCol w:w="1982"/>
        <w:gridCol w:w="1668"/>
      </w:tblGrid>
      <w:tr>
        <w:trPr>
          <w:trHeight w:val="660" w:hRule="exact"/>
        </w:trPr>
        <w:tc>
          <w:tcPr>
            <w:tcW w:w="3651"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988"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c>
          <w:tcPr>
            <w:tcW w:w="1982" w:type="dxa"/>
            <w:tcBorders>
              <w:top w:val="single" w:sz="6" w:space="0" w:color="000000"/>
              <w:left w:val="single" w:sz="6" w:space="0" w:color="000000"/>
              <w:bottom w:val="single" w:sz="8" w:space="0" w:color="000000"/>
              <w:right w:val="single" w:sz="6" w:space="0" w:color="000000"/>
            </w:tcBorders>
          </w:tcPr>
          <w:p>
            <w:pPr>
              <w:pStyle w:val="TableParagraph"/>
              <w:spacing w:line="273" w:lineRule="auto"/>
              <w:ind w:left="386" w:right="31" w:hanging="353"/>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占应收账款余额合计</w:t>
            </w:r>
            <w:r>
              <w:rPr>
                <w:rFonts w:ascii="宋体" w:hAnsi="宋体" w:cs="宋体" w:eastAsia="宋体" w:hint="default"/>
                <w:b/>
                <w:bCs/>
                <w:spacing w:val="-103"/>
                <w:sz w:val="21"/>
                <w:szCs w:val="21"/>
              </w:rPr>
              <w:t> </w:t>
            </w:r>
            <w:r>
              <w:rPr>
                <w:rFonts w:ascii="宋体" w:hAnsi="宋体" w:cs="宋体" w:eastAsia="宋体" w:hint="default"/>
                <w:b/>
                <w:bCs/>
                <w:sz w:val="21"/>
                <w:szCs w:val="21"/>
              </w:rPr>
              <w:t>数的比例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68"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left="194" w:right="0"/>
              <w:jc w:val="left"/>
              <w:rPr>
                <w:rFonts w:ascii="宋体" w:hAnsi="宋体" w:cs="宋体" w:eastAsia="宋体" w:hint="default"/>
                <w:sz w:val="21"/>
                <w:szCs w:val="21"/>
              </w:rPr>
            </w:pPr>
            <w:r>
              <w:rPr>
                <w:rFonts w:ascii="宋体" w:hAnsi="宋体" w:cs="宋体" w:eastAsia="宋体" w:hint="default"/>
                <w:b/>
                <w:bCs/>
                <w:sz w:val="21"/>
                <w:szCs w:val="21"/>
              </w:rPr>
              <w:t>坏账准备余额</w:t>
            </w:r>
            <w:r>
              <w:rPr>
                <w:rFonts w:ascii="宋体" w:hAnsi="宋体" w:cs="宋体" w:eastAsia="宋体" w:hint="default"/>
                <w:sz w:val="21"/>
                <w:szCs w:val="21"/>
              </w:rPr>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三角轮胎股份有限公司</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35,015,630.00</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22.70</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1"/>
                <w:szCs w:val="21"/>
              </w:rPr>
            </w:pPr>
            <w:r>
              <w:rPr>
                <w:rFonts w:ascii="Times New Roman"/>
                <w:spacing w:val="-1"/>
                <w:sz w:val="21"/>
              </w:rPr>
              <w:t>1,784,338.00</w:t>
            </w:r>
          </w:p>
        </w:tc>
      </w:tr>
      <w:tr>
        <w:trPr>
          <w:trHeight w:val="346"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青岛耐克森轮胎有限公司</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9,786,150.00</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6.34</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489,307.50</w:t>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正新橡胶（中国）有限公司</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9,579,420.12</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6.21</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478,971.01</w:t>
            </w:r>
          </w:p>
        </w:tc>
      </w:tr>
      <w:tr>
        <w:trPr>
          <w:trHeight w:val="346"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山东昊华轮胎有限公司</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7,010,000.00</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z w:val="21"/>
              </w:rPr>
              <w:t>4.54</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443,500.00</w:t>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八亿橡胶有限责任公司</w:t>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6,850,650.00</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4.44</w:t>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705,195.00</w:t>
            </w:r>
          </w:p>
        </w:tc>
      </w:tr>
      <w:tr>
        <w:trPr>
          <w:trHeight w:val="348" w:hRule="exact"/>
        </w:trPr>
        <w:tc>
          <w:tcPr>
            <w:tcW w:w="3651" w:type="dxa"/>
            <w:tcBorders>
              <w:top w:val="single" w:sz="8" w:space="0" w:color="000000"/>
              <w:left w:val="single" w:sz="6" w:space="0" w:color="000000"/>
              <w:bottom w:val="single" w:sz="8" w:space="0" w:color="000000"/>
              <w:right w:val="single" w:sz="6" w:space="0" w:color="000000"/>
            </w:tcBorders>
          </w:tcPr>
          <w:p>
            <w:pPr>
              <w:pStyle w:val="TableParagraph"/>
              <w:tabs>
                <w:tab w:pos="573" w:val="left" w:leader="none"/>
              </w:tabs>
              <w:spacing w:line="267"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b/>
                <w:spacing w:val="-1"/>
                <w:sz w:val="21"/>
              </w:rPr>
              <w:t>68,241,850.12</w:t>
            </w:r>
            <w:r>
              <w:rPr>
                <w:rFonts w:ascii="Times New Roman"/>
                <w:spacing w:val="-1"/>
                <w:sz w:val="21"/>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b/>
                <w:sz w:val="21"/>
              </w:rPr>
              <w:t>44.23</w:t>
            </w:r>
            <w:r>
              <w:rPr>
                <w:rFonts w:ascii="Times New Roman"/>
                <w:sz w:val="21"/>
              </w:rPr>
            </w:r>
          </w:p>
        </w:tc>
        <w:tc>
          <w:tcPr>
            <w:tcW w:w="166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1"/>
                <w:szCs w:val="21"/>
              </w:rPr>
            </w:pPr>
            <w:r>
              <w:rPr>
                <w:rFonts w:ascii="Times New Roman"/>
                <w:b/>
                <w:spacing w:val="-1"/>
                <w:sz w:val="21"/>
              </w:rPr>
              <w:t>3,901,311.51</w:t>
            </w:r>
            <w:r>
              <w:rPr>
                <w:rFonts w:ascii="Times New Roman"/>
                <w:spacing w:val="-1"/>
                <w:sz w:val="21"/>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2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71" w:right="55"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7" w:type="dxa"/>
            <w:vMerge/>
            <w:tcBorders>
              <w:left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10" w:space="0" w:color="D2D2D2"/>
              <w:right w:val="single" w:sz="12" w:space="0" w:color="D2D2D2"/>
            </w:tcBorders>
          </w:tcPr>
          <w:p>
            <w:pPr>
              <w:pStyle w:val="TableParagraph"/>
              <w:spacing w:line="260" w:lineRule="exact"/>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36"/>
                <w:w w:val="100"/>
                <w:sz w:val="21"/>
                <w:szCs w:val="21"/>
                <w:shd w:fill="D2D2D2" w:color="auto" w:val="clear"/>
              </w:rPr>
              <w:t> </w:t>
            </w:r>
            <w:r>
              <w:rPr>
                <w:rFonts w:ascii="宋体" w:hAnsi="宋体" w:cs="宋体" w:eastAsia="宋体" w:hint="default"/>
                <w:spacing w:val="3"/>
                <w:sz w:val="21"/>
                <w:szCs w:val="21"/>
                <w:shd w:fill="D2D2D2" w:color="auto" w:val="clear"/>
              </w:rPr>
              <w:t>账面价值</w:t>
            </w:r>
            <w:r>
              <w:rPr>
                <w:rFonts w:ascii="宋体" w:hAnsi="宋体" w:cs="宋体" w:eastAsia="宋体" w:hint="default"/>
                <w:spacing w:val="3"/>
                <w:sz w:val="21"/>
                <w:szCs w:val="21"/>
              </w:rPr>
            </w:r>
            <w:r>
              <w:rPr>
                <w:rFonts w:ascii="宋体" w:hAnsi="宋体" w:cs="宋体" w:eastAsia="宋体" w:hint="default"/>
                <w:sz w:val="21"/>
                <w:szCs w:val="21"/>
              </w:rPr>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1" w:type="dxa"/>
            <w:vMerge/>
            <w:tcBorders>
              <w:left w:val="single" w:sz="10" w:space="0" w:color="D2D2D2"/>
              <w:bottom w:val="nil" w:sz="6" w:space="0" w:color="auto"/>
              <w:right w:val="single" w:sz="12" w:space="0" w:color="D2D2D2"/>
            </w:tcBorders>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4"/>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61,698,</w:t>
            </w:r>
          </w:p>
          <w:p>
            <w:pPr>
              <w:pStyle w:val="TableParagraph"/>
              <w:spacing w:line="240" w:lineRule="auto" w:before="70"/>
              <w:ind w:left="158" w:right="0"/>
              <w:jc w:val="left"/>
              <w:rPr>
                <w:rFonts w:ascii="Times New Roman" w:hAnsi="Times New Roman" w:cs="Times New Roman" w:eastAsia="Times New Roman" w:hint="default"/>
                <w:sz w:val="21"/>
                <w:szCs w:val="21"/>
              </w:rPr>
            </w:pPr>
            <w:r>
              <w:rPr>
                <w:rFonts w:ascii="Times New Roman"/>
                <w:sz w:val="21"/>
              </w:rPr>
              <w:t>443.09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249,903</w:t>
            </w:r>
          </w:p>
          <w:p>
            <w:pPr>
              <w:pStyle w:val="TableParagraph"/>
              <w:spacing w:line="240" w:lineRule="auto" w:before="70"/>
              <w:ind w:left="467" w:right="0"/>
              <w:jc w:val="left"/>
              <w:rPr>
                <w:rFonts w:ascii="Times New Roman" w:hAnsi="Times New Roman" w:cs="Times New Roman" w:eastAsia="Times New Roman" w:hint="default"/>
                <w:sz w:val="21"/>
                <w:szCs w:val="21"/>
              </w:rPr>
            </w:pPr>
            <w:r>
              <w:rPr>
                <w:rFonts w:ascii="Times New Roman"/>
                <w:sz w:val="21"/>
              </w:rPr>
              <w:t>.13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0.41%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61,448,</w:t>
            </w:r>
          </w:p>
          <w:p>
            <w:pPr>
              <w:pStyle w:val="TableParagraph"/>
              <w:spacing w:line="240" w:lineRule="auto" w:before="70"/>
              <w:ind w:left="177" w:right="0"/>
              <w:jc w:val="left"/>
              <w:rPr>
                <w:rFonts w:ascii="Times New Roman" w:hAnsi="Times New Roman" w:cs="Times New Roman" w:eastAsia="Times New Roman" w:hint="default"/>
                <w:sz w:val="21"/>
                <w:szCs w:val="21"/>
              </w:rPr>
            </w:pPr>
            <w:r>
              <w:rPr>
                <w:rFonts w:ascii="Times New Roman"/>
                <w:sz w:val="21"/>
              </w:rPr>
              <w:t>539.96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35,572</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,220.6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105,091.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0.30%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35,467,12</w:t>
            </w:r>
          </w:p>
          <w:p>
            <w:pPr>
              <w:pStyle w:val="TableParagraph"/>
              <w:spacing w:line="240" w:lineRule="auto" w:before="70"/>
              <w:ind w:left="532" w:right="0"/>
              <w:jc w:val="left"/>
              <w:rPr>
                <w:rFonts w:ascii="Times New Roman" w:hAnsi="Times New Roman" w:cs="Times New Roman" w:eastAsia="Times New Roman" w:hint="default"/>
                <w:sz w:val="21"/>
                <w:szCs w:val="21"/>
              </w:rPr>
            </w:pPr>
            <w:r>
              <w:rPr>
                <w:rFonts w:ascii="Times New Roman"/>
                <w:sz w:val="21"/>
              </w:rPr>
              <w:t>9.61</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61,698,</w:t>
            </w:r>
          </w:p>
          <w:p>
            <w:pPr>
              <w:pStyle w:val="TableParagraph"/>
              <w:spacing w:line="240" w:lineRule="auto" w:before="70"/>
              <w:ind w:left="158" w:right="0"/>
              <w:jc w:val="left"/>
              <w:rPr>
                <w:rFonts w:ascii="Times New Roman" w:hAnsi="Times New Roman" w:cs="Times New Roman" w:eastAsia="Times New Roman" w:hint="default"/>
                <w:sz w:val="21"/>
                <w:szCs w:val="21"/>
              </w:rPr>
            </w:pPr>
            <w:r>
              <w:rPr>
                <w:rFonts w:ascii="Times New Roman"/>
                <w:sz w:val="21"/>
              </w:rPr>
              <w:t>443.09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249,903</w:t>
            </w:r>
          </w:p>
          <w:p>
            <w:pPr>
              <w:pStyle w:val="TableParagraph"/>
              <w:spacing w:line="240" w:lineRule="auto" w:before="70"/>
              <w:ind w:left="467" w:right="0"/>
              <w:jc w:val="left"/>
              <w:rPr>
                <w:rFonts w:ascii="Times New Roman" w:hAnsi="Times New Roman" w:cs="Times New Roman" w:eastAsia="Times New Roman" w:hint="default"/>
                <w:sz w:val="21"/>
                <w:szCs w:val="21"/>
              </w:rPr>
            </w:pPr>
            <w:r>
              <w:rPr>
                <w:rFonts w:ascii="Times New Roman"/>
                <w:sz w:val="21"/>
              </w:rPr>
              <w:t>.13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0.41%</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61,448,</w:t>
            </w:r>
          </w:p>
          <w:p>
            <w:pPr>
              <w:pStyle w:val="TableParagraph"/>
              <w:spacing w:line="240" w:lineRule="auto" w:before="70"/>
              <w:ind w:left="177" w:right="0"/>
              <w:jc w:val="left"/>
              <w:rPr>
                <w:rFonts w:ascii="Times New Roman" w:hAnsi="Times New Roman" w:cs="Times New Roman" w:eastAsia="Times New Roman" w:hint="default"/>
                <w:sz w:val="21"/>
                <w:szCs w:val="21"/>
              </w:rPr>
            </w:pPr>
            <w:r>
              <w:rPr>
                <w:rFonts w:ascii="Times New Roman"/>
                <w:sz w:val="21"/>
              </w:rPr>
              <w:t>539.96</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35,572</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,220.6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105,091.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0.30%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35,467,12</w:t>
            </w:r>
          </w:p>
          <w:p>
            <w:pPr>
              <w:pStyle w:val="TableParagraph"/>
              <w:spacing w:line="240" w:lineRule="auto" w:before="70"/>
              <w:ind w:left="532" w:right="0"/>
              <w:jc w:val="left"/>
              <w:rPr>
                <w:rFonts w:ascii="Times New Roman" w:hAnsi="Times New Roman" w:cs="Times New Roman" w:eastAsia="Times New Roman" w:hint="default"/>
                <w:sz w:val="21"/>
                <w:szCs w:val="21"/>
              </w:rPr>
            </w:pPr>
            <w:r>
              <w:rPr>
                <w:rFonts w:ascii="Times New Roman"/>
                <w:sz w:val="21"/>
              </w:rPr>
              <w:t>9.61</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28"/>
        <w:ind w:right="0"/>
        <w:jc w:val="left"/>
      </w:pPr>
      <w:r>
        <w:rPr>
          <w:spacing w:val="-2"/>
        </w:rPr>
        <w:t>期末单项金额重大并单项计提坏账准备的其他应收款：</w:t>
      </w:r>
    </w:p>
    <w:p>
      <w:pPr>
        <w:pStyle w:val="BodyText"/>
        <w:spacing w:line="290" w:lineRule="auto" w:before="7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组合中，按账龄分析法计提坏账准备的其他应收款：</w:t>
      </w:r>
    </w:p>
    <w:p>
      <w:pPr>
        <w:pStyle w:val="BodyText"/>
        <w:spacing w:line="240" w:lineRule="auto" w:before="3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5199" w:space="3496"/>
            <w:col w:w="1255"/>
          </w:cols>
        </w:sectPr>
      </w:pPr>
    </w:p>
    <w:p>
      <w:pPr>
        <w:spacing w:line="240" w:lineRule="auto" w:before="1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5"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1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1,328,714.76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66,435.74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575,573.90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57,557.39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78,000.00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95,820.00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47,910.00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62" w:right="0"/>
              <w:jc w:val="left"/>
              <w:rPr>
                <w:rFonts w:ascii="Times New Roman" w:hAnsi="Times New Roman" w:cs="Times New Roman" w:eastAsia="Times New Roman" w:hint="default"/>
                <w:sz w:val="21"/>
                <w:szCs w:val="21"/>
              </w:rPr>
            </w:pPr>
            <w:r>
              <w:rPr>
                <w:rFonts w:ascii="Times New Roman"/>
                <w:sz w:val="21"/>
              </w:rPr>
              <w:t>2,260,108.66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11" w:right="0"/>
              <w:jc w:val="left"/>
              <w:rPr>
                <w:rFonts w:ascii="Times New Roman" w:hAnsi="Times New Roman" w:cs="Times New Roman" w:eastAsia="Times New Roman" w:hint="default"/>
                <w:sz w:val="21"/>
                <w:szCs w:val="21"/>
              </w:rPr>
            </w:pPr>
            <w:r>
              <w:rPr>
                <w:rFonts w:ascii="Times New Roman"/>
                <w:sz w:val="21"/>
              </w:rPr>
              <w:t>249,903.13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2"/>
                <w:sz w:val="21"/>
              </w:rPr>
              <w:t>11.06%</w:t>
            </w:r>
          </w:p>
        </w:tc>
      </w:tr>
    </w:tbl>
    <w:p>
      <w:pPr>
        <w:pStyle w:val="BodyText"/>
        <w:spacing w:line="307" w:lineRule="auto" w:before="28"/>
        <w:ind w:right="4525"/>
        <w:jc w:val="left"/>
      </w:pPr>
      <w:r>
        <w:rPr/>
        <w:t>确定该组合依据的说明：</w:t>
      </w:r>
      <w:r>
        <w:rPr>
          <w:w w:val="100"/>
        </w:rPr>
        <w:t> </w:t>
      </w:r>
      <w:r>
        <w:rPr>
          <w:spacing w:val="-2"/>
        </w:rPr>
        <w:t>组合中，采用余额百分比法计提坏账准备的其他应收款：</w:t>
      </w:r>
    </w:p>
    <w:p>
      <w:pPr>
        <w:pStyle w:val="BodyText"/>
        <w:spacing w:line="290" w:lineRule="auto" w:before="19"/>
        <w:ind w:right="45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40" w:lineRule="auto" w:before="3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子公司借款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58,718,709.98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29,658,472.78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1,746,291.00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1,176,091.00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487,669.95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361,468.86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4,067,333.00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备用金及其他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745,772.16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308,855.02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61,698,443.09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35,572,220.66</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1028"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7" w:right="62"/>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98" w:right="63" w:hanging="632"/>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5"/>
              <w:jc w:val="left"/>
              <w:rPr>
                <w:rFonts w:ascii="宋体" w:hAnsi="宋体" w:cs="宋体" w:eastAsia="宋体" w:hint="default"/>
                <w:sz w:val="21"/>
                <w:szCs w:val="21"/>
              </w:rPr>
            </w:pPr>
            <w:r>
              <w:rPr>
                <w:rFonts w:ascii="宋体" w:hAnsi="宋体" w:cs="宋体" w:eastAsia="宋体" w:hint="default"/>
                <w:sz w:val="21"/>
                <w:szCs w:val="21"/>
              </w:rPr>
              <w:t>天津京万科技有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35,604,090.86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pacing w:val="-8"/>
                <w:sz w:val="21"/>
                <w:szCs w:val="21"/>
              </w:rPr>
              <w:t>年以内，</w:t>
            </w:r>
            <w:r>
              <w:rPr>
                <w:rFonts w:ascii="Times New Roman" w:hAnsi="Times New Roman" w:cs="Times New Roman" w:eastAsia="Times New Roman" w:hint="default"/>
                <w:spacing w:val="-8"/>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57.71%</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5"/>
              <w:jc w:val="left"/>
              <w:rPr>
                <w:rFonts w:ascii="宋体" w:hAnsi="宋体" w:cs="宋体" w:eastAsia="宋体" w:hint="default"/>
                <w:sz w:val="21"/>
                <w:szCs w:val="21"/>
              </w:rPr>
            </w:pPr>
            <w:r>
              <w:rPr>
                <w:rFonts w:ascii="宋体" w:hAnsi="宋体" w:cs="宋体" w:eastAsia="宋体" w:hint="default"/>
                <w:sz w:val="21"/>
                <w:szCs w:val="21"/>
              </w:rPr>
              <w:t>芜湖万向新元环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保科技有限公司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21,114,619.12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pacing w:val="-8"/>
                <w:sz w:val="21"/>
                <w:szCs w:val="21"/>
              </w:rPr>
              <w:t>年以内，</w:t>
            </w:r>
            <w:r>
              <w:rPr>
                <w:rFonts w:ascii="Times New Roman" w:hAnsi="Times New Roman" w:cs="Times New Roman" w:eastAsia="Times New Roman" w:hint="default"/>
                <w:spacing w:val="-8"/>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34.22%</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5"/>
              <w:jc w:val="both"/>
              <w:rPr>
                <w:rFonts w:ascii="宋体" w:hAnsi="宋体" w:cs="宋体" w:eastAsia="宋体" w:hint="default"/>
                <w:sz w:val="21"/>
                <w:szCs w:val="21"/>
              </w:rPr>
            </w:pPr>
            <w:r>
              <w:rPr>
                <w:rFonts w:ascii="宋体" w:hAnsi="宋体" w:cs="宋体" w:eastAsia="宋体" w:hint="default"/>
                <w:sz w:val="21"/>
                <w:szCs w:val="21"/>
              </w:rPr>
              <w:t>北京四方同兴机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电技术开发有限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3.24%</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5"/>
              <w:jc w:val="left"/>
              <w:rPr>
                <w:rFonts w:ascii="宋体" w:hAnsi="宋体" w:cs="宋体" w:eastAsia="宋体" w:hint="default"/>
                <w:sz w:val="21"/>
                <w:szCs w:val="21"/>
              </w:rPr>
            </w:pPr>
            <w:r>
              <w:rPr>
                <w:rFonts w:ascii="宋体" w:hAnsi="宋体" w:cs="宋体" w:eastAsia="宋体" w:hint="default"/>
                <w:sz w:val="21"/>
                <w:szCs w:val="21"/>
              </w:rPr>
              <w:t>安徽省招标集团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571,000.00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0.93%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28,550.00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4" w:right="175"/>
              <w:jc w:val="left"/>
              <w:rPr>
                <w:rFonts w:ascii="宋体" w:hAnsi="宋体" w:cs="宋体" w:eastAsia="宋体" w:hint="default"/>
                <w:sz w:val="21"/>
                <w:szCs w:val="21"/>
              </w:rPr>
            </w:pPr>
            <w:r>
              <w:rPr>
                <w:rFonts w:ascii="宋体" w:hAnsi="宋体" w:cs="宋体" w:eastAsia="宋体" w:hint="default"/>
                <w:sz w:val="21"/>
                <w:szCs w:val="21"/>
              </w:rPr>
              <w:t>北京首都开发股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282,312.50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0.46%</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59,572,022.48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96.56%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28,550.00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38,844,000.00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38,844,000.00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 w:right="0"/>
              <w:jc w:val="center"/>
              <w:rPr>
                <w:rFonts w:ascii="Times New Roman" w:hAnsi="Times New Roman" w:cs="Times New Roman" w:eastAsia="Times New Roman" w:hint="default"/>
                <w:sz w:val="21"/>
                <w:szCs w:val="21"/>
              </w:rPr>
            </w:pPr>
            <w:r>
              <w:rPr>
                <w:rFonts w:ascii="Times New Roman"/>
                <w:sz w:val="21"/>
              </w:rPr>
              <w:t>38,844,000.00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38,844,000.00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38,844,000.00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38,844,000.00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 w:right="0"/>
              <w:jc w:val="center"/>
              <w:rPr>
                <w:rFonts w:ascii="Times New Roman" w:hAnsi="Times New Roman" w:cs="Times New Roman" w:eastAsia="Times New Roman" w:hint="default"/>
                <w:sz w:val="21"/>
                <w:szCs w:val="21"/>
              </w:rPr>
            </w:pPr>
            <w:r>
              <w:rPr>
                <w:rFonts w:ascii="Times New Roman"/>
                <w:sz w:val="21"/>
              </w:rPr>
              <w:t>38,844,000.00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38,844,000.00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79" w:right="56" w:hanging="420"/>
              <w:jc w:val="left"/>
              <w:rPr>
                <w:rFonts w:ascii="宋体" w:hAnsi="宋体" w:cs="宋体" w:eastAsia="宋体" w:hint="default"/>
                <w:sz w:val="21"/>
                <w:szCs w:val="21"/>
              </w:rPr>
            </w:pPr>
            <w:r>
              <w:rPr>
                <w:rFonts w:ascii="宋体" w:hAnsi="宋体" w:cs="宋体" w:eastAsia="宋体" w:hint="default"/>
                <w:sz w:val="21"/>
                <w:szCs w:val="21"/>
              </w:rPr>
              <w:t>本期计提减值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79" w:right="55" w:hanging="420"/>
              <w:jc w:val="left"/>
              <w:rPr>
                <w:rFonts w:ascii="宋体" w:hAnsi="宋体" w:cs="宋体" w:eastAsia="宋体" w:hint="default"/>
                <w:sz w:val="21"/>
                <w:szCs w:val="21"/>
              </w:rPr>
            </w:pPr>
            <w:r>
              <w:rPr>
                <w:rFonts w:ascii="宋体" w:hAnsi="宋体" w:cs="宋体" w:eastAsia="宋体" w:hint="default"/>
                <w:sz w:val="21"/>
                <w:szCs w:val="21"/>
              </w:rPr>
              <w:t>减值准备期末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9"/>
              <w:jc w:val="both"/>
              <w:rPr>
                <w:rFonts w:ascii="宋体" w:hAnsi="宋体" w:cs="宋体" w:eastAsia="宋体" w:hint="default"/>
                <w:sz w:val="21"/>
                <w:szCs w:val="21"/>
              </w:rPr>
            </w:pPr>
            <w:r>
              <w:rPr>
                <w:rFonts w:ascii="宋体" w:hAnsi="宋体" w:cs="宋体" w:eastAsia="宋体" w:hint="default"/>
                <w:sz w:val="21"/>
                <w:szCs w:val="21"/>
              </w:rPr>
              <w:t>北京万向新元</w:t>
            </w:r>
            <w:r>
              <w:rPr>
                <w:rFonts w:ascii="宋体" w:hAnsi="宋体" w:cs="宋体" w:eastAsia="宋体" w:hint="default"/>
                <w:w w:val="100"/>
                <w:sz w:val="21"/>
                <w:szCs w:val="21"/>
              </w:rPr>
              <w:t> </w:t>
            </w:r>
            <w:r>
              <w:rPr>
                <w:rFonts w:ascii="宋体" w:hAnsi="宋体" w:cs="宋体" w:eastAsia="宋体" w:hint="default"/>
                <w:sz w:val="21"/>
                <w:szCs w:val="21"/>
              </w:rPr>
              <w:t>工程技术有限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49"/>
              <w:jc w:val="both"/>
              <w:rPr>
                <w:rFonts w:ascii="宋体" w:hAnsi="宋体" w:cs="宋体" w:eastAsia="宋体" w:hint="default"/>
                <w:sz w:val="21"/>
                <w:szCs w:val="21"/>
              </w:rPr>
            </w:pPr>
            <w:r>
              <w:rPr>
                <w:rFonts w:ascii="宋体" w:hAnsi="宋体" w:cs="宋体" w:eastAsia="宋体" w:hint="default"/>
                <w:sz w:val="21"/>
                <w:szCs w:val="21"/>
              </w:rPr>
              <w:t>北京四方同兴</w:t>
            </w:r>
            <w:r>
              <w:rPr>
                <w:rFonts w:ascii="宋体" w:hAnsi="宋体" w:cs="宋体" w:eastAsia="宋体" w:hint="default"/>
                <w:w w:val="100"/>
                <w:sz w:val="21"/>
                <w:szCs w:val="21"/>
              </w:rPr>
              <w:t> </w:t>
            </w:r>
            <w:r>
              <w:rPr>
                <w:rFonts w:ascii="宋体" w:hAnsi="宋体" w:cs="宋体" w:eastAsia="宋体" w:hint="default"/>
                <w:sz w:val="21"/>
                <w:szCs w:val="21"/>
              </w:rPr>
              <w:t>机电技术开发</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844,000.00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844,000.00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9"/>
              <w:jc w:val="both"/>
              <w:rPr>
                <w:rFonts w:ascii="宋体" w:hAnsi="宋体" w:cs="宋体" w:eastAsia="宋体" w:hint="default"/>
                <w:sz w:val="21"/>
                <w:szCs w:val="21"/>
              </w:rPr>
            </w:pPr>
            <w:r>
              <w:rPr>
                <w:rFonts w:ascii="宋体" w:hAnsi="宋体" w:cs="宋体" w:eastAsia="宋体" w:hint="default"/>
                <w:sz w:val="21"/>
                <w:szCs w:val="21"/>
              </w:rPr>
              <w:t>芜湖万向新元</w:t>
            </w:r>
            <w:r>
              <w:rPr>
                <w:rFonts w:ascii="宋体" w:hAnsi="宋体" w:cs="宋体" w:eastAsia="宋体" w:hint="default"/>
                <w:w w:val="100"/>
                <w:sz w:val="21"/>
                <w:szCs w:val="21"/>
              </w:rPr>
              <w:t> </w:t>
            </w:r>
            <w:r>
              <w:rPr>
                <w:rFonts w:ascii="宋体" w:hAnsi="宋体" w:cs="宋体" w:eastAsia="宋体" w:hint="default"/>
                <w:sz w:val="21"/>
                <w:szCs w:val="21"/>
              </w:rPr>
              <w:t>环保科技有限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49"/>
              <w:jc w:val="left"/>
              <w:rPr>
                <w:rFonts w:ascii="宋体" w:hAnsi="宋体" w:cs="宋体" w:eastAsia="宋体" w:hint="default"/>
                <w:sz w:val="21"/>
                <w:szCs w:val="21"/>
              </w:rPr>
            </w:pPr>
            <w:r>
              <w:rPr>
                <w:rFonts w:ascii="宋体" w:hAnsi="宋体" w:cs="宋体" w:eastAsia="宋体" w:hint="default"/>
                <w:sz w:val="21"/>
                <w:szCs w:val="21"/>
              </w:rPr>
              <w:t>天津京万科技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38,844,000.00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38,844,000.00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6"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167,137,570.08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118,177,865.34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160,249,803.31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107,044,554.44</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167,137,570.08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118,177,865.34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160,249,803.31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107,044,554.44</w:t>
            </w:r>
          </w:p>
        </w:tc>
      </w:tr>
    </w:tbl>
    <w:p>
      <w:pPr>
        <w:pStyle w:val="BodyText"/>
        <w:spacing w:line="240" w:lineRule="auto" w:before="29"/>
        <w:ind w:right="153"/>
        <w:jc w:val="left"/>
      </w:pPr>
      <w:r>
        <w:rPr/>
        <w:t>其他说明：</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35"/>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可供出售金融资产在持有期间的投</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3"/>
                <w:sz w:val="21"/>
              </w:rPr>
              <w:t>114,411.82</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3"/>
                <w:sz w:val="21"/>
              </w:rPr>
              <w:t>114,411.82</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十五、补充资料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62"/>
        <w:ind w:left="0" w:right="14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17,049.52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 w:right="6"/>
              <w:jc w:val="both"/>
              <w:rPr>
                <w:rFonts w:ascii="宋体" w:hAnsi="宋体" w:cs="宋体" w:eastAsia="宋体" w:hint="default"/>
                <w:sz w:val="21"/>
                <w:szCs w:val="21"/>
              </w:rPr>
            </w:pPr>
            <w:r>
              <w:rPr>
                <w:rFonts w:ascii="宋体" w:hAnsi="宋体" w:cs="宋体" w:eastAsia="宋体" w:hint="default"/>
                <w:spacing w:val="-7"/>
                <w:w w:val="100"/>
                <w:sz w:val="21"/>
                <w:szCs w:val="21"/>
              </w:rPr>
              <w:t>计入当期损益的政府补助（与企业业</w:t>
            </w:r>
            <w:r>
              <w:rPr>
                <w:rFonts w:ascii="宋体" w:hAnsi="宋体" w:cs="宋体" w:eastAsia="宋体" w:hint="default"/>
                <w:w w:val="100"/>
                <w:sz w:val="21"/>
                <w:szCs w:val="21"/>
              </w:rPr>
              <w:t> </w:t>
            </w:r>
            <w:r>
              <w:rPr>
                <w:rFonts w:ascii="宋体" w:hAnsi="宋体" w:cs="宋体" w:eastAsia="宋体" w:hint="default"/>
                <w:spacing w:val="-7"/>
                <w:w w:val="100"/>
                <w:sz w:val="21"/>
                <w:szCs w:val="21"/>
              </w:rPr>
              <w:t>务密切相关，按照国家统一标准定额</w:t>
            </w:r>
            <w:r>
              <w:rPr>
                <w:rFonts w:ascii="宋体" w:hAnsi="宋体" w:cs="宋体" w:eastAsia="宋体" w:hint="default"/>
                <w:w w:val="100"/>
                <w:sz w:val="21"/>
                <w:szCs w:val="21"/>
              </w:rPr>
              <w:t> </w:t>
            </w:r>
            <w:r>
              <w:rPr>
                <w:rFonts w:ascii="宋体" w:hAnsi="宋体" w:cs="宋体" w:eastAsia="宋体" w:hint="default"/>
                <w:sz w:val="21"/>
                <w:szCs w:val="21"/>
              </w:rPr>
              <w:t>或定量享受的政府补助除外）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4,397,604.88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3" w:right="14"/>
              <w:jc w:val="left"/>
              <w:rPr>
                <w:rFonts w:ascii="宋体" w:hAnsi="宋体" w:cs="宋体" w:eastAsia="宋体" w:hint="default"/>
                <w:sz w:val="21"/>
                <w:szCs w:val="21"/>
              </w:rPr>
            </w:pPr>
            <w:r>
              <w:rPr>
                <w:rFonts w:ascii="宋体" w:hAnsi="宋体" w:cs="宋体" w:eastAsia="宋体" w:hint="default"/>
                <w:sz w:val="21"/>
                <w:szCs w:val="21"/>
              </w:rPr>
              <w:t>与政府补助差额为软件产品符合</w:t>
            </w:r>
            <w:r>
              <w:rPr>
                <w:rFonts w:ascii="宋体" w:hAnsi="宋体" w:cs="宋体" w:eastAsia="宋体" w:hint="default"/>
                <w:w w:val="100"/>
                <w:sz w:val="21"/>
                <w:szCs w:val="21"/>
              </w:rPr>
              <w:t> </w:t>
            </w:r>
            <w:r>
              <w:rPr>
                <w:rFonts w:ascii="宋体" w:hAnsi="宋体" w:cs="宋体" w:eastAsia="宋体" w:hint="default"/>
                <w:spacing w:val="-3"/>
                <w:sz w:val="21"/>
                <w:szCs w:val="21"/>
              </w:rPr>
              <w:t>即征即退政策的增值税退税，不属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于非经常性损益。</w:t>
            </w:r>
          </w:p>
        </w:tc>
      </w:tr>
      <w:tr>
        <w:trPr>
          <w:trHeight w:val="196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w:t>
            </w:r>
            <w:r>
              <w:rPr>
                <w:rFonts w:ascii="宋体" w:hAnsi="宋体" w:cs="宋体" w:eastAsia="宋体" w:hint="default"/>
                <w:w w:val="100"/>
                <w:sz w:val="21"/>
                <w:szCs w:val="21"/>
              </w:rPr>
              <w:t> </w:t>
            </w:r>
            <w:r>
              <w:rPr>
                <w:rFonts w:ascii="宋体" w:hAnsi="宋体" w:cs="宋体" w:eastAsia="宋体" w:hint="default"/>
                <w:spacing w:val="-7"/>
                <w:w w:val="100"/>
                <w:sz w:val="21"/>
                <w:szCs w:val="21"/>
              </w:rPr>
              <w:t>套期保值业务外，持有交易性金融资</w:t>
            </w:r>
            <w:r>
              <w:rPr>
                <w:rFonts w:ascii="宋体" w:hAnsi="宋体" w:cs="宋体" w:eastAsia="宋体" w:hint="default"/>
                <w:w w:val="100"/>
                <w:sz w:val="21"/>
                <w:szCs w:val="21"/>
              </w:rPr>
              <w:t> </w:t>
            </w:r>
            <w:r>
              <w:rPr>
                <w:rFonts w:ascii="宋体" w:hAnsi="宋体" w:cs="宋体" w:eastAsia="宋体" w:hint="default"/>
                <w:spacing w:val="-7"/>
                <w:w w:val="100"/>
                <w:sz w:val="21"/>
                <w:szCs w:val="21"/>
              </w:rPr>
              <w:t>产、交易性金融负债产生的公允价值</w:t>
            </w:r>
            <w:r>
              <w:rPr>
                <w:rFonts w:ascii="宋体" w:hAnsi="宋体" w:cs="宋体" w:eastAsia="宋体" w:hint="default"/>
                <w:w w:val="100"/>
                <w:sz w:val="21"/>
                <w:szCs w:val="21"/>
              </w:rPr>
              <w:t> </w:t>
            </w:r>
            <w:r>
              <w:rPr>
                <w:rFonts w:ascii="宋体" w:hAnsi="宋体" w:cs="宋体" w:eastAsia="宋体" w:hint="default"/>
                <w:sz w:val="21"/>
                <w:szCs w:val="21"/>
              </w:rPr>
              <w:t>变动损益，以及处置交易性金融资</w:t>
            </w:r>
            <w:r>
              <w:rPr>
                <w:rFonts w:ascii="宋体" w:hAnsi="宋体" w:cs="宋体" w:eastAsia="宋体" w:hint="default"/>
                <w:w w:val="100"/>
                <w:sz w:val="21"/>
                <w:szCs w:val="21"/>
              </w:rPr>
              <w:t> </w:t>
            </w:r>
            <w:r>
              <w:rPr>
                <w:rFonts w:ascii="宋体" w:hAnsi="宋体" w:cs="宋体" w:eastAsia="宋体" w:hint="default"/>
                <w:spacing w:val="-7"/>
                <w:w w:val="100"/>
                <w:sz w:val="21"/>
                <w:szCs w:val="21"/>
              </w:rPr>
              <w:t>产、交易性金融负债和可供出售金融</w:t>
            </w:r>
            <w:r>
              <w:rPr>
                <w:rFonts w:ascii="宋体" w:hAnsi="宋体" w:cs="宋体" w:eastAsia="宋体" w:hint="default"/>
                <w:w w:val="100"/>
                <w:sz w:val="21"/>
                <w:szCs w:val="21"/>
              </w:rPr>
              <w:t> </w:t>
            </w:r>
            <w:r>
              <w:rPr>
                <w:rFonts w:ascii="宋体" w:hAnsi="宋体" w:cs="宋体" w:eastAsia="宋体" w:hint="default"/>
                <w:sz w:val="21"/>
                <w:szCs w:val="21"/>
              </w:rPr>
              <w:t>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646,416.67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24"/>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4,647.28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681,988.53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4,383,729.82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0"/>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spacing w:line="256" w:lineRule="auto" w:before="21"/>
        <w:ind w:right="0"/>
        <w:jc w:val="left"/>
      </w:pPr>
      <w:r>
        <w:rPr>
          <w:spacing w:val="-2"/>
        </w:rPr>
        <w:t>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非经常性损益》中列举的非经常性</w:t>
      </w:r>
      <w:r>
        <w:rPr>
          <w:spacing w:val="-99"/>
        </w:rPr>
        <w:t> </w:t>
      </w:r>
      <w:r>
        <w:rPr>
          <w:spacing w:val="-99"/>
        </w:rPr>
      </w:r>
      <w:r>
        <w:rPr/>
        <w:t>损益项目界定为经常性损益的项目，应说明原因。</w:t>
      </w:r>
    </w:p>
    <w:p>
      <w:pPr>
        <w:pStyle w:val="BodyText"/>
        <w:spacing w:line="240" w:lineRule="auto" w:before="6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380" w:hRule="exact"/>
        </w:trPr>
        <w:tc>
          <w:tcPr>
            <w:tcW w:w="265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083"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826"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3" w:hRule="exact"/>
        </w:trPr>
        <w:tc>
          <w:tcPr>
            <w:tcW w:w="2650"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67" w:lineRule="exact"/>
              <w:ind w:left="790"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083"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67" w:lineRule="exact"/>
              <w:ind w:left="485"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13" w:type="dxa"/>
            <w:vMerge w:val="restart"/>
            <w:tcBorders>
              <w:top w:val="single" w:sz="14" w:space="0" w:color="FFFFFF"/>
              <w:left w:val="single" w:sz="4" w:space="0" w:color="000000"/>
              <w:right w:val="single" w:sz="4" w:space="0" w:color="000000"/>
            </w:tcBorders>
            <w:shd w:val="clear" w:color="auto" w:fill="D2D2D2"/>
          </w:tcPr>
          <w:p>
            <w:pPr>
              <w:pStyle w:val="TableParagraph"/>
              <w:spacing w:line="256" w:lineRule="auto" w:before="38"/>
              <w:ind w:left="741" w:right="76" w:hanging="658"/>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w:t>
            </w:r>
          </w:p>
        </w:tc>
        <w:tc>
          <w:tcPr>
            <w:tcW w:w="1913" w:type="dxa"/>
            <w:vMerge w:val="restart"/>
            <w:tcBorders>
              <w:top w:val="single" w:sz="14" w:space="0" w:color="FFFFFF"/>
              <w:left w:val="single" w:sz="4" w:space="0" w:color="000000"/>
              <w:right w:val="single" w:sz="4" w:space="0" w:color="000000"/>
            </w:tcBorders>
            <w:shd w:val="clear" w:color="auto" w:fill="D2D2D2"/>
          </w:tcPr>
          <w:p>
            <w:pPr>
              <w:pStyle w:val="TableParagraph"/>
              <w:spacing w:line="256" w:lineRule="auto" w:before="38"/>
              <w:ind w:left="742" w:right="76" w:hanging="659"/>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w:t>
            </w:r>
          </w:p>
        </w:tc>
      </w:tr>
      <w:tr>
        <w:trPr>
          <w:trHeight w:val="363"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3"/>
              <w:jc w:val="left"/>
              <w:rPr>
                <w:rFonts w:ascii="宋体" w:hAnsi="宋体" w:cs="宋体" w:eastAsia="宋体" w:hint="default"/>
                <w:sz w:val="21"/>
                <w:szCs w:val="21"/>
              </w:rPr>
            </w:pPr>
            <w:r>
              <w:rPr>
                <w:rFonts w:ascii="宋体" w:hAnsi="宋体" w:cs="宋体" w:eastAsia="宋体" w:hint="default"/>
                <w:spacing w:val="-2"/>
                <w:sz w:val="21"/>
                <w:szCs w:val="21"/>
              </w:rPr>
              <w:t>归属于公司普通股股东的净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0.43</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03"/>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0.36</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15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1"/>
        <w:rPr>
          <w:rFonts w:ascii="宋体" w:hAnsi="宋体" w:cs="宋体" w:eastAsia="宋体" w:hint="default"/>
          <w:b/>
          <w:bCs/>
          <w:sz w:val="41"/>
          <w:szCs w:val="41"/>
        </w:rPr>
      </w:pPr>
    </w:p>
    <w:p>
      <w:pPr>
        <w:pStyle w:val="BodyText"/>
        <w:spacing w:line="273" w:lineRule="auto"/>
        <w:ind w:right="153"/>
        <w:jc w:val="left"/>
      </w:pPr>
      <w:r>
        <w:rPr>
          <w:spacing w:val="-2"/>
        </w:rPr>
        <w:t>一、载有公司法定代表人、主管会计工作负责人、会计机构负责人签名并盖章的会计报表。</w:t>
      </w:r>
      <w:r>
        <w:rPr>
          <w:spacing w:val="-28"/>
        </w:rPr>
        <w:t> </w:t>
      </w:r>
      <w:r>
        <w:rPr>
          <w:spacing w:val="-28"/>
        </w:rPr>
      </w:r>
      <w:r>
        <w:rPr/>
        <w:t>二、载有会计师事务所盖章，注册会计师签名并盖章的审计报告原件。</w:t>
      </w:r>
      <w:r>
        <w:rPr>
          <w:w w:val="100"/>
        </w:rPr>
        <w:t> </w:t>
      </w:r>
      <w:r>
        <w:rPr/>
        <w:t>三、报告期内在中国证监会指定网站上公开披露过的所有公司文件的正本及公告的原稿。</w:t>
      </w:r>
      <w:r>
        <w:rPr>
          <w:w w:val="100"/>
        </w:rPr>
        <w:t> </w:t>
      </w:r>
      <w:r>
        <w:rPr/>
        <w:t>四、经公司法定代表人朱业胜先生签名的</w:t>
      </w:r>
      <w:r>
        <w:rPr>
          <w:rFonts w:ascii="Times New Roman" w:hAnsi="Times New Roman" w:cs="Times New Roman" w:eastAsia="Times New Roman" w:hint="default"/>
        </w:rPr>
        <w:t>2015</w:t>
      </w:r>
      <w:r>
        <w:rPr/>
        <w:t>年年度报告文件原件。</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7014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01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01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701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01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701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01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01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49988pt;margin-top:36.265610pt;width:213.75pt;height:11.5pt;mso-position-horizontal-relative:page;mso-position-vertical-relative:page;z-index:-701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北京万向新元科技股份有限公司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b/>
      <w:bCs/>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120"/>
      <w:ind w:left="152" w:firstLine="480"/>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newu.com.cn/" TargetMode="External"/><Relationship Id="rId10" Type="http://schemas.openxmlformats.org/officeDocument/2006/relationships/hyperlink" Target="mailto:newu@newu.com.cn"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北京万向新元科技股份有限公司</dc:creator>
  <dc:title>北京万向新元科技股份有限公司2015年年度报告全文</dc:title>
  <dcterms:created xsi:type="dcterms:W3CDTF">2020-05-04T17:06:29Z</dcterms:created>
  <dcterms:modified xsi:type="dcterms:W3CDTF">2020-05-04T17:06:29Z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Creator">
    <vt:lpwstr>Microsoft® Office Word 2007</vt:lpwstr>
  </property>
  <property fmtid="{D5CDD505-2E9C-101B-9397-08002B2CF9AE}" pid="4" name="LastSaved">
    <vt:filetime>2020-05-04T00:00:00Z</vt:filetime>
  </property>
</Properties>
</file>