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北京万向新元科技股份有限公司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513" w:right="1094" w:bottom="3513"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66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公司负责人朱业胜、主管会计工作负责人张瑞英及会计机构负责人（会计主 管人员）孙洪涛声明：保证年度报告中财务报告的真实、准确、完整。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001" w:val="left"/>
        </w:tabs>
        <w:bidi w:val="0"/>
        <w:spacing w:before="0"/>
        <w:ind w:left="0" w:right="0"/>
        <w:jc w:val="both"/>
      </w:pPr>
      <w:bookmarkStart w:id="6" w:name="bookmark6"/>
      <w:r>
        <w:rPr>
          <w:color w:val="000000"/>
          <w:spacing w:val="0"/>
          <w:w w:val="100"/>
          <w:position w:val="0"/>
        </w:rPr>
        <w:t>1</w:t>
      </w:r>
      <w:bookmarkEnd w:id="6"/>
      <w:r>
        <w:rPr>
          <w:color w:val="000000"/>
          <w:spacing w:val="0"/>
          <w:w w:val="100"/>
          <w:position w:val="0"/>
        </w:rPr>
        <w:t>、</w:t>
        <w:tab/>
        <w:t>主营业务收入集中于橡胶轮胎行业客户的风险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公司的主营业务为工业智能化输送配料系统及配套设施的研发、生产和销 售，是工业智能化应用的重要组成部分，可满足工业生产过程中各种原材料的 全程自动输送、贮存、称重配料与投料的工艺要求，在减轻劳动强度、提升劳 动保护的同时可提升工业企业的经济效益与环境效益，智能化输送配料系统可 广泛应用于橡胶轮胎、电线电缆、石油化工、建材装饰等行业。若该行业整体 处于低迷期，则将对公司主营业务产生不利影响。</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公司近年来加大了对环保、化工、建材、新材料等其他行业客户的市场开 拓力度，在保持业绩稳步增长的情况下，保持竞争优势，提高创新能力，努力 将公司的业务发展得更加多元化。</w:t>
      </w:r>
    </w:p>
    <w:p>
      <w:pPr>
        <w:pStyle w:val="Style16"/>
        <w:keepNext w:val="0"/>
        <w:keepLines w:val="0"/>
        <w:widowControl w:val="0"/>
        <w:shd w:val="clear" w:color="auto" w:fill="auto"/>
        <w:tabs>
          <w:tab w:pos="1020" w:val="left"/>
        </w:tabs>
        <w:bidi w:val="0"/>
        <w:spacing w:before="0"/>
        <w:ind w:left="0" w:right="0"/>
        <w:jc w:val="both"/>
      </w:pPr>
      <w:bookmarkStart w:id="7" w:name="bookmark7"/>
      <w:r>
        <w:rPr>
          <w:color w:val="000000"/>
          <w:spacing w:val="0"/>
          <w:w w:val="100"/>
          <w:position w:val="0"/>
        </w:rPr>
        <w:t>2</w:t>
      </w:r>
      <w:bookmarkEnd w:id="7"/>
      <w:r>
        <w:rPr>
          <w:color w:val="000000"/>
          <w:spacing w:val="0"/>
          <w:w w:val="100"/>
          <w:position w:val="0"/>
        </w:rPr>
        <w:t>、</w:t>
        <w:tab/>
        <w:t>市场竞争的风险</w:t>
      </w:r>
    </w:p>
    <w:p>
      <w:pPr>
        <w:pStyle w:val="Style16"/>
        <w:keepNext w:val="0"/>
        <w:keepLines w:val="0"/>
        <w:widowControl w:val="0"/>
        <w:shd w:val="clear" w:color="auto" w:fill="auto"/>
        <w:bidi w:val="0"/>
        <w:spacing w:before="0" w:line="638" w:lineRule="exact"/>
        <w:ind w:left="0" w:right="0"/>
        <w:jc w:val="both"/>
      </w:pPr>
      <w:r>
        <w:rPr>
          <w:color w:val="000000"/>
          <w:spacing w:val="0"/>
          <w:w w:val="100"/>
          <w:position w:val="0"/>
        </w:rPr>
        <w:t xml:space="preserve">目前国内市场上具有规模化的工业自动配料系统生产企业较少，国内企业 主要有软控股份及本公司，基本主导了国内橡胶轮胎行业的智能化输送配料系 </w:t>
      </w:r>
      <w:r>
        <w:rPr>
          <w:color w:val="000000"/>
          <w:spacing w:val="0"/>
          <w:w w:val="100"/>
          <w:position w:val="0"/>
        </w:rPr>
        <w:t>统市场。虽然本公司在智能输送配料系统产品生产方面积累了丰富的经验，亦 在上述产品研发、生产中取得多项专利、非专利技术等，但若其他竞争者进入 本行业将加剧公司面临市场竞争风险。</w:t>
      </w:r>
    </w:p>
    <w:p>
      <w:pPr>
        <w:pStyle w:val="Style16"/>
        <w:keepNext w:val="0"/>
        <w:keepLines w:val="0"/>
        <w:widowControl w:val="0"/>
        <w:shd w:val="clear" w:color="auto" w:fill="auto"/>
        <w:bidi w:val="0"/>
        <w:spacing w:before="0" w:after="0" w:line="626"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97" w:right="1097" w:bottom="1551" w:left="1102" w:header="0" w:footer="3" w:gutter="0"/>
          <w:cols w:space="720"/>
          <w:noEndnote/>
          <w:rtlGutter w:val="0"/>
          <w:docGrid w:linePitch="360"/>
        </w:sectPr>
      </w:pPr>
      <w:r>
        <w:rPr>
          <w:color w:val="000000"/>
          <w:spacing w:val="0"/>
          <w:w w:val="100"/>
          <w:position w:val="0"/>
        </w:rPr>
        <w:t>公司经本次董事会审议通过的利润分配预案为：以100,005,000为基数，向 全体股东每10股派发现金红利</w:t>
      </w:r>
      <w:r>
        <w:rPr>
          <w:color w:val="000000"/>
          <w:spacing w:val="0"/>
          <w:w w:val="100"/>
          <w:position w:val="0"/>
        </w:rPr>
        <w:t>0.33</w:t>
      </w:r>
      <w:r>
        <w:rPr>
          <w:color w:val="000000"/>
          <w:spacing w:val="0"/>
          <w:w w:val="100"/>
          <w:position w:val="0"/>
        </w:rPr>
        <w:t>元（含税），送红股0股（含税），以资本公 积金向全体股东每10股转增0股。</w:t>
      </w:r>
    </w:p>
    <w:p>
      <w:pPr>
        <w:pStyle w:val="Style2"/>
        <w:keepNext/>
        <w:keepLines/>
        <w:widowControl w:val="0"/>
        <w:shd w:val="clear" w:color="auto" w:fill="auto"/>
        <w:bidi w:val="0"/>
        <w:spacing w:before="1460" w:after="1480" w:line="240" w:lineRule="auto"/>
        <w:ind w:left="0" w:right="0" w:firstLine="0"/>
        <w:jc w:val="center"/>
      </w:pPr>
      <w:bookmarkStart w:id="10" w:name="bookmark10"/>
      <w:bookmarkStart w:id="8" w:name="bookmark8"/>
      <w:bookmarkStart w:id="9" w:name="bookmark9"/>
      <w:r>
        <w:rPr>
          <w:color w:val="000000"/>
          <w:spacing w:val="0"/>
          <w:w w:val="100"/>
          <w:position w:val="0"/>
        </w:rPr>
        <w:t>目录</w:t>
      </w:r>
      <w:bookmarkEnd w:id="10"/>
      <w:bookmarkEnd w:id="8"/>
      <w:bookmarkEnd w:id="9"/>
    </w:p>
    <w:p>
      <w:pPr>
        <w:pStyle w:val="Style18"/>
        <w:keepNext w:val="0"/>
        <w:keepLines w:val="0"/>
        <w:widowControl w:val="0"/>
        <w:shd w:val="clear" w:color="auto" w:fill="auto"/>
        <w:tabs>
          <w:tab w:leader="dot" w:pos="9342" w:val="lef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leader="dot" w:pos="9342" w:val="lef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342" w:val="left"/>
        </w:tabs>
        <w:bidi w:val="0"/>
        <w:spacing w:before="0" w:line="240" w:lineRule="auto"/>
        <w:ind w:left="0" w:right="0" w:firstLine="0"/>
        <w:jc w:val="left"/>
      </w:pPr>
      <w:hyperlink w:anchor="bookmark5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8"/>
        <w:keepNext w:val="0"/>
        <w:keepLines w:val="0"/>
        <w:widowControl w:val="0"/>
        <w:shd w:val="clear" w:color="auto" w:fill="auto"/>
        <w:tabs>
          <w:tab w:leader="dot" w:pos="9342" w:val="left"/>
        </w:tabs>
        <w:bidi w:val="0"/>
        <w:spacing w:before="0" w:line="240" w:lineRule="auto"/>
        <w:ind w:left="0" w:right="0" w:firstLine="0"/>
        <w:jc w:val="left"/>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49"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8"/>
        <w:keepNext w:val="0"/>
        <w:keepLines w:val="0"/>
        <w:widowControl w:val="0"/>
        <w:shd w:val="clear" w:color="auto" w:fill="auto"/>
        <w:tabs>
          <w:tab w:leader="dot" w:pos="9342" w:val="left"/>
        </w:tabs>
        <w:bidi w:val="0"/>
        <w:spacing w:before="0" w:line="240" w:lineRule="auto"/>
        <w:ind w:left="0" w:right="0" w:firstLine="0"/>
        <w:jc w:val="left"/>
      </w:pPr>
      <w:hyperlink w:anchor="bookmark38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38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8"/>
        <w:keepNext w:val="0"/>
        <w:keepLines w:val="0"/>
        <w:widowControl w:val="0"/>
        <w:shd w:val="clear" w:color="auto" w:fill="auto"/>
        <w:tabs>
          <w:tab w:leader="dot" w:pos="9342" w:val="left"/>
        </w:tabs>
        <w:bidi w:val="0"/>
        <w:spacing w:before="0" w:line="240" w:lineRule="auto"/>
        <w:ind w:left="0" w:right="0" w:firstLine="0"/>
        <w:jc w:val="left"/>
      </w:pPr>
      <w:hyperlink w:anchor="bookmark44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8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6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6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1800"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163</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1" w:name="bookmark11"/>
      <w:bookmarkStart w:id="12" w:name="bookmark12"/>
      <w:bookmarkStart w:id="13" w:name="bookmark13"/>
      <w:r>
        <w:rPr>
          <w:color w:val="000000"/>
          <w:spacing w:val="0"/>
          <w:w w:val="100"/>
          <w:position w:val="0"/>
        </w:rPr>
        <w:t>释义</w:t>
      </w:r>
      <w:bookmarkEnd w:id="11"/>
      <w:bookmarkEnd w:id="12"/>
      <w:bookmarkEnd w:id="13"/>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公司、本公司、新元科技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北京四方同兴机电技术开发有限公司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芜湖万向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芜湖万向新元环保科技有限公司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万向工程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北京万向新元环保工程技术有限公司，原名北京万向新元工程技术有 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天津万向新元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天津万向新元科技有限公司</w:t>
            </w:r>
            <w:r>
              <w:rPr>
                <w:color w:val="000000"/>
                <w:spacing w:val="0"/>
                <w:w w:val="100"/>
                <w:position w:val="0"/>
                <w:sz w:val="18"/>
                <w:szCs w:val="18"/>
              </w:rPr>
              <w:t>，</w:t>
            </w:r>
            <w:r>
              <w:rPr>
                <w:color w:val="000000"/>
                <w:spacing w:val="0"/>
                <w:w w:val="100"/>
                <w:position w:val="0"/>
                <w:sz w:val="18"/>
                <w:szCs w:val="18"/>
              </w:rPr>
              <w:t>原名天津京万科技有限公司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世纪万向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北京世纪万向投资咨询有限公司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苏州思科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苏州思科华泽创业投资中心（有限合伙）</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天津智泉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天津智泉股权投资基金有限公司，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月更名为新疆智泉股权投 资有限公司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新疆智泉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新疆智泉股权投资有限公司，原名天津智泉股权投资基金有限公司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芜湖润瑞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芜湖润瑞投资管理有限公司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北京天中方环保科技有限公司，原名北京天中方科技开发有限公司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万向新元绿柱石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万向新元绿柱石（天津）科技有限公司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上海橡领高分子材料有限公司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人民币元、人民币万元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北京万向新元科技股份有限公司董事会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北京万向新元科技股份有限公司监事会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北京万向新元科技股份有限公司股东大会</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6"/>
        <w:keepNext/>
        <w:keepLines/>
        <w:widowControl w:val="0"/>
        <w:shd w:val="clear" w:color="auto" w:fill="auto"/>
        <w:bidi w:val="0"/>
        <w:spacing w:before="0" w:after="30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北京万向新元科技股份有限公司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新元科技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New Universal Science and Technology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NEWU</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"http://www.newu.com.cn" </w:instrText>
            </w:r>
            <w:r>
              <w:fldChar w:fldCharType="separate"/>
            </w:r>
            <w:r>
              <w:rPr>
                <w:rFonts w:ascii="Times New Roman" w:eastAsia="Times New Roman" w:hAnsi="Times New Roman" w:cs="Times New Roman"/>
                <w:color w:val="000000"/>
                <w:spacing w:val="0"/>
                <w:w w:val="100"/>
                <w:position w:val="0"/>
                <w:sz w:val="18"/>
                <w:szCs w:val="18"/>
                <w:u w:val="single"/>
              </w:rPr>
              <w:t>www.newu. com, 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240"/>
        <w:jc w:val="left"/>
      </w:pPr>
      <w:bookmarkStart w:id="20" w:name="bookmark20"/>
      <w:bookmarkStart w:id="21" w:name="bookmark21"/>
      <w:bookmarkStart w:id="22" w:name="bookmark22"/>
      <w:r>
        <w:rPr>
          <w:color w:val="000000"/>
          <w:spacing w:val="0"/>
          <w:w w:val="100"/>
          <w:position w:val="0"/>
          <w:sz w:val="24"/>
          <w:szCs w:val="24"/>
        </w:rPr>
        <w:t>、联系人和联系方式</w:t>
      </w:r>
      <w:bookmarkEnd w:id="20"/>
      <w:bookmarkEnd w:id="21"/>
      <w:bookmarkEnd w:id="22"/>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秦璐</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北京市海淀区阜成路</w:t>
            </w:r>
            <w:r>
              <w:rPr>
                <w:rFonts w:ascii="Times New Roman" w:eastAsia="Times New Roman" w:hAnsi="Times New Roman" w:cs="Times New Roman"/>
                <w:color w:val="000000"/>
                <w:spacing w:val="0"/>
                <w:w w:val="100"/>
                <w:position w:val="0"/>
                <w:sz w:val="18"/>
                <w:szCs w:val="18"/>
              </w:rPr>
              <w:t>58</w:t>
            </w:r>
            <w:r>
              <w:rPr>
                <w:color w:val="000000"/>
                <w:spacing w:val="0"/>
                <w:w w:val="100"/>
                <w:position w:val="0"/>
                <w:sz w:val="18"/>
                <w:szCs w:val="18"/>
              </w:rPr>
              <w:t>号新洲商务大厦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w:t>
            </w:r>
            <w:r>
              <w:rPr>
                <w:color w:val="000000"/>
                <w:spacing w:val="0"/>
                <w:w w:val="100"/>
                <w:position w:val="0"/>
                <w:sz w:val="18"/>
                <w:szCs w:val="18"/>
              </w:rPr>
              <w:t>房间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010-51607598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010-51607598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010-88131355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010-88131355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 com, 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"mailto:newu@newu.com.cn" </w:instrText>
            </w:r>
            <w:r>
              <w:fldChar w:fldCharType="separate"/>
            </w:r>
            <w:r>
              <w:rPr>
                <w:rFonts w:ascii="Times New Roman" w:eastAsia="Times New Roman" w:hAnsi="Times New Roman" w:cs="Times New Roman"/>
                <w:color w:val="000000"/>
                <w:spacing w:val="0"/>
                <w:w w:val="100"/>
                <w:position w:val="0"/>
                <w:sz w:val="18"/>
                <w:szCs w:val="18"/>
                <w:u w:val="single"/>
              </w:rPr>
              <w:t>newu@newu.com.cn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u w:val="single"/>
              </w:rPr>
              <w:t>http:</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www, cninfb .com, 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幢外经贸大厦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901-26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肖桂莲、张雪咏、孙建伟</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广州证券股份有限公司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广州市天河区珠江西路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号广 州国际金融中心主塔</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 xml:space="preserve">层、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陈焱、陈志宏</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2016.1.1-2016.12.31</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214,272,084.27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192,262,399.80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16,196,857.68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25,228,234.56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34,535,460.14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13,964,948.03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20,844,504.74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33,033,797.32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-45,381,831.52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-34,151,190.71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25,481,505.68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613,642,715.90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503,013,276.36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354,969,448.35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385,943,050.57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375,079,792.89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193,761,583.93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34,346,049.62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32,271,236.65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36,454,134.84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116,011,275.77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1,390,974.94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1,596,209.46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1,919,474.19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11,290,199.09</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1,033,705.47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1,336,391.09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1,231,037.95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10,363,813.52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-29,463,678.05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3,729,949.97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-30,980,812.02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11,332,708.58</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tabs>
          <w:tab w:pos="526" w:val="left"/>
        </w:tabs>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6"/>
        <w:keepNext/>
        <w:keepLines/>
        <w:widowControl w:val="0"/>
        <w:shd w:val="clear" w:color="auto" w:fill="auto"/>
        <w:tabs>
          <w:tab w:pos="410"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10"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6" w:val="left"/>
        </w:tabs>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-6,678.53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2,247,504.79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4,397,604.88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1,745,280.82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与政府补助差额为软 件产品符合即征即退 政策的增值税退税， 不属于非经常性损 </w:t>
            </w:r>
            <w:r>
              <w:rPr>
                <w:color w:val="000000"/>
                <w:spacing w:val="0"/>
                <w:w w:val="100"/>
                <w:position w:val="0"/>
                <w:sz w:val="18"/>
                <w:szCs w:val="18"/>
                <w:u w:val="single"/>
              </w:rPr>
              <w:t>益</w:t>
            </w:r>
            <w:r>
              <w:rPr>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406,733.98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114,411.82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-11,163.05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-37,580.04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397,929.00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681,988.53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313,771.25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2,231,909.65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4,383,729.82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1,501,662.82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w:t>
      </w:r>
      <w:r>
        <w:rPr>
          <w:color w:val="000000"/>
          <w:spacing w:val="0"/>
          <w:w w:val="100"/>
          <w:position w:val="0"/>
        </w:rPr>
        <w:t>说明原因</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83" w:right="1118" w:bottom="1489"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号——非经常性损益》定义、列举的非经常性损益 项目界定为经常性损益的项目的情形。</w:t>
      </w:r>
    </w:p>
    <w:p>
      <w:pPr>
        <w:pStyle w:val="Style14"/>
        <w:keepNext/>
        <w:keepLines/>
        <w:widowControl w:val="0"/>
        <w:shd w:val="clear" w:color="auto" w:fill="auto"/>
        <w:bidi w:val="0"/>
        <w:spacing w:before="50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6"/>
        <w:keepNext/>
        <w:keepLines/>
        <w:widowControl w:val="0"/>
        <w:shd w:val="clear" w:color="auto" w:fill="auto"/>
        <w:bidi w:val="0"/>
        <w:spacing w:before="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p>
      <w:pPr>
        <w:pStyle w:val="Style40"/>
        <w:keepNext w:val="0"/>
        <w:keepLines w:val="0"/>
        <w:widowControl w:val="0"/>
        <w:shd w:val="clear" w:color="auto" w:fill="auto"/>
        <w:tabs>
          <w:tab w:pos="329" w:val="left"/>
        </w:tabs>
        <w:bidi w:val="0"/>
        <w:spacing w:before="0" w:after="0" w:line="326" w:lineRule="auto"/>
        <w:ind w:left="0" w:right="0" w:firstLine="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主要业务</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公司以提供工业智能化输送、配料成套解决方案为主业，集方案设计、技术研发、设备制造、系统集 成、销售服务于一体，主要产品包括智能环保型密炼机上辅机系统、气力物料输送系统和小料自动配料称 量系统、废气治理系统等。</w:t>
      </w:r>
    </w:p>
    <w:p>
      <w:pPr>
        <w:pStyle w:val="Style40"/>
        <w:keepNext w:val="0"/>
        <w:keepLines w:val="0"/>
        <w:widowControl w:val="0"/>
        <w:shd w:val="clear" w:color="auto" w:fill="auto"/>
        <w:tabs>
          <w:tab w:pos="349" w:val="left"/>
        </w:tabs>
        <w:bidi w:val="0"/>
        <w:spacing w:before="0" w:after="0" w:line="326" w:lineRule="auto"/>
        <w:ind w:left="0" w:right="0" w:firstLine="0"/>
        <w:jc w:val="left"/>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主要产品及其用途</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配料是工业企业产品生产过程中一道非常重要的工序，配料工序的质量、效率和稳定性对整个工业生 产过程和产品的质量起到举足轻重的作用，落后的配料系统不仅效率低而且配料不准，手工操作配料又 将人为因素引入配料环节，严重影响产品质量的稳定和进一步的提高，并且具有劳动强度大、劳动保护欠 缺、环保不达标等缺陷，手工配料更使工业配方难以在大规模工业生产中实现。因此，高精度、智能化 配料系统对工业企业具有十分重要的意义。</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公司产品是工业智能化配料控制技术的精细化运用，智能化配料控制技术广泛使用如电气控制技术、 计量技术、传感技术、计算机软件技术、机械技术、材料和化学技术等多学科、多方面专业技术，智能化 配料控制技术主要运用于工业生产企业原材料、辅料的计量、输送、贮存及投料等各环节。公司生产的 工业智能化配料系统产品，一方面能大大提高工业生产企业配料环节的生产效率，有效地提高原材料、辅 料的配量精准度，确保工业生产企业产品品质的提高，另一方面还能有效解决工业生产企业生产配料过 程中的粉尘污染和气味污染，提高生产企业的生产环境质量，强化员工劳动保护力度。</w:t>
      </w:r>
    </w:p>
    <w:p>
      <w:pPr>
        <w:pStyle w:val="Style4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环境污染是人类社会发展的最大威胁之一，随着我国经济发展的高速腾飞，工业发展导致的环境污染 日益严重，空气、水、固体废弃物等污染已经严重影响我国居民的身体健康，近年来我国空气污染导致的 雾霾现象普遍出现，环境治理已经到了刻不容缓的地步，因此处理效率高、运行成本低、投资少的智能化 环保装备和解决方案有着广阔的应用前景。</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公司废气治理系统具有多样化、全领域、高效率、环境友好等特点，特别在大气污染治理领域上具有 完善的技术储备和应用案例，先后开发出有机废气治理装备、工业除尘装备、橡胶工业车间污染解决方案 等环保装备和解决方案。同时公司在环境污染咨询、环境污染监测、环境技术咨询等领域也有所发展，公 司环保技术可以为工业污染提供全方位的装备产品，更为工业企业提供量身定制的污染治理解决方案。</w:t>
      </w:r>
    </w:p>
    <w:p>
      <w:pPr>
        <w:pStyle w:val="Style40"/>
        <w:keepNext w:val="0"/>
        <w:keepLines w:val="0"/>
        <w:widowControl w:val="0"/>
        <w:shd w:val="clear" w:color="auto" w:fill="auto"/>
        <w:tabs>
          <w:tab w:pos="349" w:val="left"/>
        </w:tabs>
        <w:bidi w:val="0"/>
        <w:spacing w:before="0" w:after="0" w:line="326" w:lineRule="auto"/>
        <w:ind w:left="0" w:right="0" w:firstLine="0"/>
        <w:jc w:val="both"/>
      </w:pPr>
      <w:bookmarkStart w:id="64" w:name="bookmark64"/>
      <w:r>
        <w:rPr>
          <w:rFonts w:ascii="Times New Roman" w:eastAsia="Times New Roman" w:hAnsi="Times New Roman" w:cs="Times New Roman"/>
          <w:color w:val="000000"/>
          <w:spacing w:val="0"/>
          <w:w w:val="100"/>
          <w:position w:val="0"/>
        </w:rPr>
        <w:t>3</w:t>
      </w:r>
      <w:bookmarkEnd w:id="64"/>
      <w:r>
        <w:rPr>
          <w:color w:val="000000"/>
          <w:spacing w:val="0"/>
          <w:w w:val="100"/>
          <w:position w:val="0"/>
        </w:rPr>
        <w:t>、</w:t>
        <w:tab/>
        <w:t>主要经营模式</w:t>
      </w:r>
    </w:p>
    <w:p>
      <w:pPr>
        <w:pStyle w:val="Style40"/>
        <w:keepNext w:val="0"/>
        <w:keepLines w:val="0"/>
        <w:widowControl w:val="0"/>
        <w:shd w:val="clear" w:color="auto" w:fill="auto"/>
        <w:tabs>
          <w:tab w:pos="904" w:val="left"/>
        </w:tabs>
        <w:bidi w:val="0"/>
        <w:spacing w:before="0" w:after="0" w:line="313" w:lineRule="exact"/>
        <w:ind w:left="0" w:right="0" w:firstLine="44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研发和设计模式</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公司的研发设计以市场需求为导向，根据研发目的可分为基于项目的订单式研发和前沿技术研发。公 司设有设计部和研发部，设计部负责根据每个合同或订单的客户需求进行个性化项目设计，研发部负责跟 踪国内外最新技术发展情况，结合市场部对客户未来需求发展情况的反馈，研发行业新技术、新系统，并 对已有软件程序进行不断的系统升级、对已有设备结构或加工不断优化创新。</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未来公司将以成为</w:t>
      </w:r>
      <w:r>
        <w:rPr>
          <w:rFonts w:ascii="Times New Roman" w:eastAsia="Times New Roman" w:hAnsi="Times New Roman" w:cs="Times New Roman"/>
          <w:color w:val="000000"/>
          <w:spacing w:val="0"/>
          <w:w w:val="100"/>
          <w:position w:val="0"/>
        </w:rPr>
        <w:t>“</w:t>
      </w:r>
      <w:r>
        <w:rPr>
          <w:color w:val="000000"/>
          <w:spacing w:val="0"/>
          <w:w w:val="100"/>
          <w:position w:val="0"/>
        </w:rPr>
        <w:t>行业技术发展的先导者</w:t>
      </w:r>
      <w:r>
        <w:rPr>
          <w:color w:val="000000"/>
          <w:spacing w:val="0"/>
          <w:w w:val="100"/>
          <w:position w:val="0"/>
        </w:rPr>
        <w:t>''</w:t>
      </w:r>
      <w:r>
        <w:rPr>
          <w:color w:val="000000"/>
          <w:spacing w:val="0"/>
          <w:w w:val="100"/>
          <w:position w:val="0"/>
        </w:rPr>
        <w:t>为目标，投入建设研发基地，加大前沿技术研发的投入力 度，以前沿技术研发成果优化公司订单研发成果，满足客户当期和长远需求。</w:t>
      </w:r>
    </w:p>
    <w:p>
      <w:pPr>
        <w:pStyle w:val="Style40"/>
        <w:keepNext w:val="0"/>
        <w:keepLines w:val="0"/>
        <w:widowControl w:val="0"/>
        <w:shd w:val="clear" w:color="auto" w:fill="auto"/>
        <w:tabs>
          <w:tab w:pos="904" w:val="left"/>
        </w:tabs>
        <w:bidi w:val="0"/>
        <w:spacing w:before="0" w:after="0" w:line="313" w:lineRule="exact"/>
        <w:ind w:left="0" w:right="0" w:firstLine="44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采购模式</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公司钢材、标准件、电气件均通过公开市场采购；部分非标准机械件公司产能无法完成，由外协供应 商以包工包料方式生产完成，公司直接采购成品；上述公开市场均处于充分竞争状态，市场供应充足，不 存在对某一单一原材料供应商依赖的情形。公司采购根据项目设计和生产的实际需要及库存情况，按照项 </w:t>
      </w:r>
      <w:r>
        <w:rPr>
          <w:color w:val="000000"/>
          <w:spacing w:val="0"/>
          <w:w w:val="100"/>
          <w:position w:val="0"/>
        </w:rPr>
        <w:t>目设计图纸所列的部件需求列表和生产任务计划拟订采购清单，采购部依据采购清单进行采购，公司也 会对产品通用的钢材等原材料按市场价格趋势进行储备，为及时维修和生产需要，公司会储备少量标准配 套电气件。公司重要原材料供应商均为合作多年的战略伙伴，按项目进行采购的单次采购批量较小，一般 情况下已合作过的供应商都能满足公司采购需求。若原有供应商无法满足采购需求，公司通过招标、实 地考察等方式确定供应商，一般每次采购至少选择三家以上供应商进行对比。若客户对电气件的品牌和规 格另有要求也可主要依据合同或订单指定供应商。</w:t>
      </w:r>
    </w:p>
    <w:p>
      <w:pPr>
        <w:pStyle w:val="Style40"/>
        <w:keepNext w:val="0"/>
        <w:keepLines w:val="0"/>
        <w:widowControl w:val="0"/>
        <w:shd w:val="clear" w:color="auto" w:fill="auto"/>
        <w:tabs>
          <w:tab w:pos="868" w:val="left"/>
        </w:tabs>
        <w:bidi w:val="0"/>
        <w:spacing w:before="0" w:after="0" w:line="312"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生产模式</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公司的产品属于非标准化设备，应用领域广阔，同一应用领域的不同客户对产品型号、性能指标等也 会有不同的要求，产品具有定制化生产的经营特点，所以本公司主要采用</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color w:val="000000"/>
          <w:spacing w:val="0"/>
          <w:w w:val="100"/>
          <w:position w:val="0"/>
        </w:rPr>
        <w:t>''</w:t>
      </w:r>
      <w:r>
        <w:rPr>
          <w:color w:val="000000"/>
          <w:spacing w:val="0"/>
          <w:w w:val="100"/>
          <w:position w:val="0"/>
        </w:rPr>
        <w:t>的生产模式，即基于 客户用户对工艺流程、生产场地、环保节能、新建或改造设备、升级系统等多个方面的不同需求进行个性 化解决方案设计，按照方案需要制定采购及设备生产计划。</w:t>
      </w:r>
    </w:p>
    <w:p>
      <w:pPr>
        <w:pStyle w:val="Style40"/>
        <w:keepNext w:val="0"/>
        <w:keepLines w:val="0"/>
        <w:widowControl w:val="0"/>
        <w:shd w:val="clear" w:color="auto" w:fill="auto"/>
        <w:tabs>
          <w:tab w:pos="868" w:val="left"/>
        </w:tabs>
        <w:bidi w:val="0"/>
        <w:spacing w:before="0" w:after="0" w:line="312" w:lineRule="exact"/>
        <w:ind w:left="0" w:right="0" w:firstLine="44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4</w:t>
      </w:r>
      <w:r>
        <w:rPr>
          <w:color w:val="000000"/>
          <w:spacing w:val="0"/>
          <w:w w:val="100"/>
          <w:position w:val="0"/>
        </w:rPr>
        <w:t>）</w:t>
        <w:tab/>
        <w:t>销售模式</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公司国内市场的销售工作由市场部负责，市场部紧密跟踪国内外轮胎橡胶等行业需求的相关信息， 通过独家协办中国国际橡胶技术、装备与市场论坛、在主流行业期刊上刊登广告、网络推广、橡胶机械协 会推荐及客户相互推荐、口碑宣传、组织客户实地考察等多种方式进行市场推广。同时，公司通过上述市 场推广与潜在客户取得联系，经过对客户需求的分析、沟通，通过招投标等方式获取合同。</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国外市场开拓，目前主要通过公司或国内较大规模的外贸公司、国外客源地贸易公司获得国外客户投 资信息，在确定国外客户的产品需求后，国外客户与公司直接签订合同或通过外贸公司与公司签署产品订 购合同，并由公司与国外客户确定具体的技术要求。同时，公司还依靠与国际知名轮胎企业在国内建立 的生产工厂已有的合作经验和顾客口碑，进而与这些大型跨国轮胎企业建立长期稳固的战略合作关系， 随着国际知名轮胎企业在国外生产工厂的建设，公司产品配套出口用于这些国际知名轮胎企业海外工厂； 未来公司将通过积极参与国际行业展会与论坛、建立国外市场开拓小组等多种方式，以更多元化的渠道开 拓国际市场。</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公司主要采取以销定产、直接销售的销售模式，所制造销售的产品均为非标准化设备，不同项目的同 一类型产品也往往在产品性能、配件选型、工艺难度、工程周期等方面存在差异，因此公司为每个项目配 备一个项目负责人，并长期为客户进行技术咨询服务。</w:t>
      </w:r>
    </w:p>
    <w:p>
      <w:pPr>
        <w:pStyle w:val="Style40"/>
        <w:keepNext w:val="0"/>
        <w:keepLines w:val="0"/>
        <w:widowControl w:val="0"/>
        <w:shd w:val="clear" w:color="auto" w:fill="auto"/>
        <w:tabs>
          <w:tab w:pos="868" w:val="left"/>
        </w:tabs>
        <w:bidi w:val="0"/>
        <w:spacing w:before="0" w:after="0" w:line="312" w:lineRule="exact"/>
        <w:ind w:left="0" w:right="0" w:firstLine="44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5</w:t>
      </w:r>
      <w:r>
        <w:rPr>
          <w:color w:val="000000"/>
          <w:spacing w:val="0"/>
          <w:w w:val="100"/>
          <w:position w:val="0"/>
        </w:rPr>
        <w:t>）</w:t>
        <w:tab/>
        <w:t>售后服务</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公司设立售后服务部及合肥、东营、青岛、雅加达及韩国首尔服务网点，负责协调验收后的售后服务 工作，公司北京总部售后服务部门及东营、青岛服务网点满足东北、华北、西南、西北市场售后服务需求, 合肥服务网点满足华南、华东售后服务需求，公司雅加达、韩国首尔服务网点满足东南亚及其他国外市场 售后服务需求。设计部和调试部相关项目人员协助售后服务部完成售后服务的技术工作。</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公司产品均为个性化定制的非标产品，对每个客户都建立详细的产品档案库，当产品出现故障时，设 计部可迅速调出客户及产品的相关资料，根据客户反馈问题，第一时间提供解决方案。对国内客户反馈的 问题，公司可保证在</w:t>
      </w:r>
      <w:r>
        <w:rPr>
          <w:rFonts w:ascii="Times New Roman" w:eastAsia="Times New Roman" w:hAnsi="Times New Roman" w:cs="Times New Roman"/>
          <w:color w:val="000000"/>
          <w:spacing w:val="0"/>
          <w:w w:val="100"/>
          <w:position w:val="0"/>
        </w:rPr>
        <w:t>12</w:t>
      </w:r>
      <w:r>
        <w:rPr>
          <w:color w:val="000000"/>
          <w:spacing w:val="0"/>
          <w:w w:val="100"/>
          <w:position w:val="0"/>
        </w:rPr>
        <w:t>小时内响应并提出初步解决方案，</w:t>
      </w:r>
      <w:r>
        <w:rPr>
          <w:rFonts w:ascii="Times New Roman" w:eastAsia="Times New Roman" w:hAnsi="Times New Roman" w:cs="Times New Roman"/>
          <w:color w:val="000000"/>
          <w:spacing w:val="0"/>
          <w:w w:val="100"/>
          <w:position w:val="0"/>
        </w:rPr>
        <w:t>24</w:t>
      </w:r>
      <w:r>
        <w:rPr>
          <w:color w:val="000000"/>
          <w:spacing w:val="0"/>
          <w:w w:val="100"/>
          <w:position w:val="0"/>
        </w:rPr>
        <w:t>小时内派维修工程师赶赴设备现场排除故 障。对国外客户反馈的问题，经确认须现场解决故障的，公司在</w:t>
      </w:r>
      <w:r>
        <w:rPr>
          <w:rFonts w:ascii="Times New Roman" w:eastAsia="Times New Roman" w:hAnsi="Times New Roman" w:cs="Times New Roman"/>
          <w:color w:val="000000"/>
          <w:spacing w:val="0"/>
          <w:w w:val="100"/>
          <w:position w:val="0"/>
        </w:rPr>
        <w:t>7</w:t>
      </w:r>
      <w:r>
        <w:rPr>
          <w:color w:val="000000"/>
          <w:spacing w:val="0"/>
          <w:w w:val="100"/>
          <w:position w:val="0"/>
        </w:rPr>
        <w:t>天内派维修工程师进驻国外维修现场， 而公司雅加达服务网点可为东南亚客户提供更加便捷的服务。</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公司建立网络远程诊断系统，自动化控制</w:t>
      </w:r>
      <w:r>
        <w:rPr>
          <w:rFonts w:ascii="Times New Roman" w:eastAsia="Times New Roman" w:hAnsi="Times New Roman" w:cs="Times New Roman"/>
          <w:color w:val="000000"/>
          <w:spacing w:val="0"/>
          <w:w w:val="100"/>
          <w:position w:val="0"/>
        </w:rPr>
        <w:t>PLC</w:t>
      </w:r>
      <w:r>
        <w:rPr>
          <w:color w:val="000000"/>
          <w:spacing w:val="0"/>
          <w:w w:val="100"/>
          <w:position w:val="0"/>
        </w:rPr>
        <w:t>程序和计算机系统软件程序可以通过在线诊断解决问 题，提高效率、减少服务费用。</w:t>
      </w:r>
    </w:p>
    <w:p>
      <w:pPr>
        <w:pStyle w:val="Style40"/>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公司承诺对产品实现</w:t>
      </w:r>
      <w:r>
        <w:rPr>
          <w:rFonts w:ascii="Times New Roman" w:eastAsia="Times New Roman" w:hAnsi="Times New Roman" w:cs="Times New Roman"/>
          <w:color w:val="000000"/>
          <w:spacing w:val="0"/>
          <w:w w:val="100"/>
          <w:position w:val="0"/>
        </w:rPr>
        <w:t>“</w:t>
      </w:r>
      <w:r>
        <w:rPr>
          <w:color w:val="000000"/>
          <w:spacing w:val="0"/>
          <w:w w:val="100"/>
          <w:position w:val="0"/>
        </w:rPr>
        <w:t>一年质保，持续服务。产品验收后一年质保期内实行免费售后服务，质保期后 公司为客户提供优质的协助服务，以优惠的价格协助客户实现物料配送工艺的顺利运作和技术升级，做到 持续服务。</w:t>
      </w:r>
    </w:p>
    <w:p>
      <w:pPr>
        <w:pStyle w:val="Style40"/>
        <w:keepNext w:val="0"/>
        <w:keepLines w:val="0"/>
        <w:widowControl w:val="0"/>
        <w:shd w:val="clear" w:color="auto" w:fill="auto"/>
        <w:bidi w:val="0"/>
        <w:spacing w:before="0" w:after="0" w:line="326" w:lineRule="auto"/>
        <w:ind w:left="0" w:right="0" w:firstLine="0"/>
        <w:jc w:val="both"/>
      </w:pPr>
      <w:bookmarkStart w:id="70" w:name="bookmark70"/>
      <w:r>
        <w:rPr>
          <w:rFonts w:ascii="Times New Roman" w:eastAsia="Times New Roman" w:hAnsi="Times New Roman" w:cs="Times New Roman"/>
          <w:color w:val="000000"/>
          <w:spacing w:val="0"/>
          <w:w w:val="100"/>
          <w:position w:val="0"/>
        </w:rPr>
        <w:t>4</w:t>
      </w:r>
      <w:bookmarkEnd w:id="70"/>
      <w:r>
        <w:rPr>
          <w:color w:val="000000"/>
          <w:spacing w:val="0"/>
          <w:w w:val="100"/>
          <w:position w:val="0"/>
        </w:rPr>
        <w:t>、主要业绩驱动因素</w:t>
      </w:r>
    </w:p>
    <w:p>
      <w:pPr>
        <w:pStyle w:val="Style40"/>
        <w:keepNext w:val="0"/>
        <w:keepLines w:val="0"/>
        <w:widowControl w:val="0"/>
        <w:shd w:val="clear" w:color="auto" w:fill="auto"/>
        <w:bidi w:val="0"/>
        <w:spacing w:before="0" w:line="312" w:lineRule="exact"/>
        <w:ind w:left="0" w:right="0" w:firstLine="440"/>
        <w:jc w:val="left"/>
      </w:pPr>
      <w:r>
        <w:rPr>
          <w:color w:val="000000"/>
          <w:spacing w:val="0"/>
          <w:w w:val="100"/>
          <w:position w:val="0"/>
        </w:rPr>
        <w:t xml:space="preserve">工业智能化输送配料系统属于技术密集型行业，领先的技术水平和持续创新能力是该类企业的核心 竞争优势。公司作为高新技术企业，目前拥有多项发明专利、实用新型专利和软件著作权，拥有多项核心 </w:t>
      </w:r>
      <w:r>
        <w:rPr>
          <w:color w:val="000000"/>
          <w:spacing w:val="0"/>
          <w:w w:val="100"/>
          <w:position w:val="0"/>
        </w:rPr>
        <w:t>技术，并参与了多项本行业产品相关国家标准的制订，技术水平处于行业领先地位。随着行业整体技术水 平的提高，技术创新实力在市场竞争中的作用日益明显。因此，持续创新能力对公司具有核心意义，其变 动对业绩变动具有较强预示作用。</w:t>
      </w:r>
    </w:p>
    <w:p>
      <w:pPr>
        <w:pStyle w:val="Style40"/>
        <w:keepNext w:val="0"/>
        <w:keepLines w:val="0"/>
        <w:widowControl w:val="0"/>
        <w:shd w:val="clear" w:color="auto" w:fill="auto"/>
        <w:tabs>
          <w:tab w:pos="368" w:val="left"/>
        </w:tabs>
        <w:bidi w:val="0"/>
        <w:spacing w:before="0" w:after="0" w:line="326" w:lineRule="auto"/>
        <w:ind w:left="0" w:right="0" w:firstLine="0"/>
        <w:jc w:val="both"/>
      </w:pPr>
      <w:bookmarkStart w:id="71" w:name="bookmark71"/>
      <w:r>
        <w:rPr>
          <w:rFonts w:ascii="Times New Roman" w:eastAsia="Times New Roman" w:hAnsi="Times New Roman" w:cs="Times New Roman"/>
          <w:color w:val="000000"/>
          <w:spacing w:val="0"/>
          <w:w w:val="100"/>
          <w:position w:val="0"/>
        </w:rPr>
        <w:t>5</w:t>
      </w:r>
      <w:bookmarkEnd w:id="71"/>
      <w:r>
        <w:rPr>
          <w:color w:val="000000"/>
          <w:spacing w:val="0"/>
          <w:w w:val="100"/>
          <w:position w:val="0"/>
        </w:rPr>
        <w:t>、</w:t>
        <w:tab/>
        <w:t>行业技术水平及周期性特征</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由于工业智能化输送配料系统是集自动控制技术、计量技术、传感器技术、计算机管理技术、环境保 护技术等于一体的机电一体化系统，技术要求较高。经过国内企业技术引进吸收，目前国内工业智能化 输送配料系统技术水平与国际技术水平基本相当。</w:t>
      </w:r>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工业智能化输送配料系统行业属于橡胶、石油、化工、玻璃、冶金、建材等行业的配套设备行业，配 套设备行业具有明显的周期性特征，与宏观经济和固定资产投资关联度比较高。国家周期性的宏观政策调 整，宏观经济运行所呈现出的周期性波动，都会对本行业造成较大影响。当经济不景气时，下游的需求就 会减缓，将会对本行业的生产经营产生负面影响。</w:t>
      </w:r>
    </w:p>
    <w:p>
      <w:pPr>
        <w:pStyle w:val="Style40"/>
        <w:keepNext w:val="0"/>
        <w:keepLines w:val="0"/>
        <w:widowControl w:val="0"/>
        <w:numPr>
          <w:ilvl w:val="0"/>
          <w:numId w:val="1"/>
        </w:numPr>
        <w:shd w:val="clear" w:color="auto" w:fill="auto"/>
        <w:tabs>
          <w:tab w:pos="368" w:val="left"/>
        </w:tabs>
        <w:bidi w:val="0"/>
        <w:spacing w:before="0" w:after="0" w:line="326" w:lineRule="auto"/>
        <w:ind w:left="0" w:right="0" w:firstLine="0"/>
        <w:jc w:val="both"/>
      </w:pPr>
      <w:bookmarkStart w:id="72" w:name="bookmark72"/>
      <w:bookmarkEnd w:id="72"/>
      <w:r>
        <w:rPr>
          <w:color w:val="000000"/>
          <w:spacing w:val="0"/>
          <w:w w:val="100"/>
          <w:position w:val="0"/>
        </w:rPr>
        <w:t>公司的市场地位</w:t>
      </w:r>
    </w:p>
    <w:p>
      <w:pPr>
        <w:pStyle w:val="Style40"/>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公司在业务快速发展的同时，公司的盈利能力也在不断增强，盈利增长速度超过同行业上市公司，成 长性在同行业中处于前列。报告期内公司毛利率保持基本稳定，略有上升。公司一直专注于轮胎橡胶行业 自动输送配料系统相关产品的研发和生产，拥有多项核心技术，技术水平处于行业领先地位，是相关产品 国家标准的主要起草单位之一。公司产品的技术含量高，产品质量好，得到了下游知名客户的普遍认可， 与知名大客户的合作关系不断稳固。随着市场份额的逐步增大，其市场地位和竞争能力不断增强。在轮胎 橡胶配料系统的细分行业，公司是相关产品的主要供应商，其市场地位和竞争能力突出。</w:t>
      </w:r>
    </w:p>
    <w:p>
      <w:pPr>
        <w:pStyle w:val="Style26"/>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固定资产较期初增长</w:t>
            </w:r>
            <w:r>
              <w:rPr>
                <w:rFonts w:ascii="Times New Roman" w:eastAsia="Times New Roman" w:hAnsi="Times New Roman" w:cs="Times New Roman"/>
                <w:color w:val="000000"/>
                <w:spacing w:val="0"/>
                <w:w w:val="100"/>
                <w:position w:val="0"/>
                <w:sz w:val="18"/>
                <w:szCs w:val="18"/>
              </w:rPr>
              <w:t>188.14%</w:t>
            </w:r>
            <w:r>
              <w:rPr>
                <w:color w:val="000000"/>
                <w:spacing w:val="0"/>
                <w:w w:val="100"/>
                <w:position w:val="0"/>
                <w:sz w:val="18"/>
                <w:szCs w:val="18"/>
              </w:rPr>
              <w:t>，主要系天津生产基地建设项目达到预定可使用状态 转固所致。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无形资产较期初增长</w:t>
            </w:r>
            <w:r>
              <w:rPr>
                <w:rFonts w:ascii="Times New Roman" w:eastAsia="Times New Roman" w:hAnsi="Times New Roman" w:cs="Times New Roman"/>
                <w:color w:val="000000"/>
                <w:spacing w:val="0"/>
                <w:w w:val="100"/>
                <w:position w:val="0"/>
                <w:sz w:val="18"/>
                <w:szCs w:val="18"/>
              </w:rPr>
              <w:t>47.63%</w:t>
            </w:r>
            <w:r>
              <w:rPr>
                <w:color w:val="000000"/>
                <w:spacing w:val="0"/>
                <w:w w:val="100"/>
                <w:position w:val="0"/>
                <w:sz w:val="18"/>
                <w:szCs w:val="18"/>
              </w:rPr>
              <w:t>,主要系芜湖万向购买土地使用权所致。</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在建工程较期初增长</w:t>
            </w:r>
            <w:r>
              <w:rPr>
                <w:rFonts w:ascii="Times New Roman" w:eastAsia="Times New Roman" w:hAnsi="Times New Roman" w:cs="Times New Roman"/>
                <w:color w:val="000000"/>
                <w:spacing w:val="0"/>
                <w:w w:val="100"/>
                <w:position w:val="0"/>
                <w:sz w:val="18"/>
                <w:szCs w:val="18"/>
              </w:rPr>
              <w:t>59.46%</w:t>
            </w:r>
            <w:r>
              <w:rPr>
                <w:color w:val="000000"/>
                <w:spacing w:val="0"/>
                <w:w w:val="100"/>
                <w:position w:val="0"/>
                <w:sz w:val="18"/>
                <w:szCs w:val="18"/>
              </w:rPr>
              <w:t>，主要系芜湖万向信息物流技术研发与装备制造工厂建 设项目投资增加所致。</w:t>
            </w:r>
          </w:p>
        </w:tc>
      </w:tr>
    </w:tbl>
    <w:p>
      <w:pPr>
        <w:widowControl w:val="0"/>
        <w:spacing w:after="259" w:line="1" w:lineRule="exact"/>
      </w:pPr>
    </w:p>
    <w:p>
      <w:pPr>
        <w:pStyle w:val="Style36"/>
        <w:keepNext/>
        <w:keepLines/>
        <w:widowControl w:val="0"/>
        <w:shd w:val="clear" w:color="auto" w:fill="auto"/>
        <w:bidi w:val="0"/>
        <w:spacing w:before="0" w:line="312" w:lineRule="exact"/>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sz w:val="24"/>
          <w:szCs w:val="24"/>
        </w:rPr>
        <w:t>三</w:t>
      </w:r>
      <w:bookmarkEnd w:id="83"/>
      <w:r>
        <w:rPr>
          <w:color w:val="000000"/>
          <w:spacing w:val="0"/>
          <w:w w:val="100"/>
          <w:position w:val="0"/>
          <w:sz w:val="24"/>
          <w:szCs w:val="24"/>
        </w:rPr>
        <w:t>、核心竞争力分析</w:t>
      </w:r>
      <w:bookmarkEnd w:id="81"/>
      <w:bookmarkEnd w:id="82"/>
      <w:bookmarkEnd w:id="8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公司是国家高新技术企业、国家标准化委员会橡胶塑料分会会员单位、全国橡塑机械信息中心理事单 位、中国石油和化工橡塑节能环保中心理事单位、中国塑料机械工业协会第五届理事会会员单位、中国环 </w:t>
      </w:r>
      <w:r>
        <w:rPr>
          <w:color w:val="000000"/>
          <w:spacing w:val="0"/>
          <w:w w:val="100"/>
          <w:position w:val="0"/>
        </w:rPr>
        <w:t>境保护产业协会会员单位、中国环保机械行业协会理事单位，也是</w:t>
      </w:r>
      <w:r>
        <w:rPr>
          <w:color w:val="000000"/>
          <w:spacing w:val="0"/>
          <w:w w:val="100"/>
          <w:position w:val="0"/>
        </w:rPr>
        <w:t>《</w:t>
      </w:r>
      <w:r>
        <w:rPr>
          <w:rFonts w:ascii="Times New Roman" w:eastAsia="Times New Roman" w:hAnsi="Times New Roman" w:cs="Times New Roman"/>
          <w:color w:val="000000"/>
          <w:spacing w:val="0"/>
          <w:w w:val="100"/>
          <w:position w:val="0"/>
        </w:rPr>
        <w:t>GB/T25939-2010</w:t>
      </w:r>
      <w:r>
        <w:rPr>
          <w:color w:val="000000"/>
          <w:spacing w:val="0"/>
          <w:w w:val="100"/>
          <w:position w:val="0"/>
        </w:rPr>
        <w:t>密闭式炼胶上辅机 系统》和</w:t>
      </w:r>
      <w:r>
        <w:rPr>
          <w:i/>
          <w:iCs/>
          <w:color w:val="000000"/>
          <w:spacing w:val="0"/>
          <w:w w:val="100"/>
          <w:position w:val="0"/>
        </w:rPr>
        <w:t>《</w:t>
      </w:r>
      <w:r>
        <w:rPr>
          <w:rFonts w:ascii="Times New Roman" w:eastAsia="Times New Roman" w:hAnsi="Times New Roman" w:cs="Times New Roman"/>
          <w:i/>
          <w:iCs/>
          <w:color w:val="000000"/>
          <w:spacing w:val="0"/>
          <w:w w:val="100"/>
          <w:position w:val="0"/>
        </w:rPr>
        <w:t>GB/T</w:t>
      </w:r>
      <w:r>
        <w:rPr>
          <w:rFonts w:ascii="Times New Roman" w:eastAsia="Times New Roman" w:hAnsi="Times New Roman" w:cs="Times New Roman"/>
          <w:color w:val="000000"/>
          <w:spacing w:val="0"/>
          <w:w w:val="100"/>
          <w:position w:val="0"/>
        </w:rPr>
        <w:t xml:space="preserve"> 25938-2010</w:t>
      </w:r>
      <w:r>
        <w:rPr>
          <w:color w:val="000000"/>
          <w:spacing w:val="0"/>
          <w:w w:val="100"/>
          <w:position w:val="0"/>
        </w:rPr>
        <w:t xml:space="preserve">炼胶工序中小料自动配料称量系统》等国家标准的主要起草单位，是 </w:t>
      </w:r>
      <w:r>
        <w:rPr>
          <w:color w:val="000000"/>
          <w:spacing w:val="0"/>
          <w:w w:val="100"/>
          <w:position w:val="0"/>
        </w:rPr>
        <w:t>《</w:t>
      </w:r>
      <w:r>
        <w:rPr>
          <w:rFonts w:ascii="Times New Roman" w:eastAsia="Times New Roman" w:hAnsi="Times New Roman" w:cs="Times New Roman"/>
          <w:color w:val="000000"/>
          <w:spacing w:val="0"/>
          <w:w w:val="100"/>
          <w:position w:val="0"/>
        </w:rPr>
        <w:t>GB50469-2008</w:t>
      </w:r>
      <w:r>
        <w:rPr>
          <w:color w:val="000000"/>
          <w:spacing w:val="0"/>
          <w:w w:val="100"/>
          <w:position w:val="0"/>
        </w:rPr>
        <w:t>橡胶工厂环境保护设计规范》国家标准的修订单位。</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公司目前拥有</w:t>
      </w:r>
      <w:r>
        <w:rPr>
          <w:rFonts w:ascii="Times New Roman" w:eastAsia="Times New Roman" w:hAnsi="Times New Roman" w:cs="Times New Roman"/>
          <w:color w:val="000000"/>
          <w:spacing w:val="0"/>
          <w:w w:val="100"/>
          <w:position w:val="0"/>
        </w:rPr>
        <w:t>42</w:t>
      </w:r>
      <w:r>
        <w:rPr>
          <w:color w:val="000000"/>
          <w:spacing w:val="0"/>
          <w:w w:val="100"/>
          <w:position w:val="0"/>
        </w:rPr>
        <w:t>项软件著作权，</w:t>
      </w:r>
      <w:r>
        <w:rPr>
          <w:rFonts w:ascii="Times New Roman" w:eastAsia="Times New Roman" w:hAnsi="Times New Roman" w:cs="Times New Roman"/>
          <w:color w:val="000000"/>
          <w:spacing w:val="0"/>
          <w:w w:val="100"/>
          <w:position w:val="0"/>
        </w:rPr>
        <w:t>19</w:t>
      </w:r>
      <w:r>
        <w:rPr>
          <w:color w:val="000000"/>
          <w:spacing w:val="0"/>
          <w:w w:val="100"/>
          <w:position w:val="0"/>
        </w:rPr>
        <w:t>项发明专利，</w:t>
      </w:r>
      <w:r>
        <w:rPr>
          <w:rFonts w:ascii="Times New Roman" w:eastAsia="Times New Roman" w:hAnsi="Times New Roman" w:cs="Times New Roman"/>
          <w:color w:val="000000"/>
          <w:spacing w:val="0"/>
          <w:w w:val="100"/>
          <w:position w:val="0"/>
        </w:rPr>
        <w:t>40</w:t>
      </w:r>
      <w:r>
        <w:rPr>
          <w:color w:val="000000"/>
          <w:spacing w:val="0"/>
          <w:w w:val="100"/>
          <w:position w:val="0"/>
        </w:rPr>
        <w:t>项实用新型专利，在研发设计、机电产品系统集成 方面具有明显优势，是北京市海淀区创新企业。</w:t>
      </w:r>
    </w:p>
    <w:p>
      <w:pPr>
        <w:pStyle w:val="Style40"/>
        <w:keepNext w:val="0"/>
        <w:keepLines w:val="0"/>
        <w:widowControl w:val="0"/>
        <w:shd w:val="clear" w:color="auto" w:fill="auto"/>
        <w:tabs>
          <w:tab w:pos="770" w:val="left"/>
        </w:tabs>
        <w:bidi w:val="0"/>
        <w:spacing w:before="0" w:after="0" w:line="326" w:lineRule="auto"/>
        <w:ind w:left="0" w:right="0" w:firstLine="44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具备先进的技术水平及产品质量优势</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公司拥有行业先进的核心技术及持续创新能力，使得公司在满足客户的个性化定制产品需求方面具有 明显优势，并且能够通过公司的智能化输送配料系统的使用提升客户及其所在行业的工业智能化水平、生 产效率和产品稳定性，提升其在环保达标、劳动保护等方面的能力。同时，公司建立了严格的产品质量保 证体系，已通过</w:t>
      </w:r>
      <w:r>
        <w:rPr>
          <w:rFonts w:ascii="Times New Roman" w:eastAsia="Times New Roman" w:hAnsi="Times New Roman" w:cs="Times New Roman"/>
          <w:color w:val="000000"/>
          <w:spacing w:val="0"/>
          <w:w w:val="100"/>
          <w:position w:val="0"/>
        </w:rPr>
        <w:t>GB/T19001-2008—ISO9001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质量管理体系认证，对原料采购、外协定制生产、机 械加工工艺等产品生产各环节建立了产品质量控制制度规章，并得到有效执行。公司产品的先进技术水平 和良好产品质量，得到了公司客户的广泛好评。</w:t>
      </w:r>
    </w:p>
    <w:p>
      <w:pPr>
        <w:pStyle w:val="Style40"/>
        <w:keepNext w:val="0"/>
        <w:keepLines w:val="0"/>
        <w:widowControl w:val="0"/>
        <w:shd w:val="clear" w:color="auto" w:fill="auto"/>
        <w:tabs>
          <w:tab w:pos="770" w:val="left"/>
        </w:tabs>
        <w:bidi w:val="0"/>
        <w:spacing w:before="0" w:after="0" w:line="326" w:lineRule="auto"/>
        <w:ind w:left="0" w:right="0" w:firstLine="44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t>持续创新研发能力及新产品开发优势</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公司是国内工业智能化输送配料行业内较早发展起来的公司之一，一直以来以信息化、智能化的软 件系统为基础，以高精度、高可靠性的电气控制和机械系统为载体，为工业企业提供物料智能化称量、输 送、配料的专业化服务。公司技术研发队伍具有多年相关产品的研发和生产制造经验，公司的技术人员 多为行业资深设计人员，从事工业智能化配料系统行业研究多年，对工业智能化配料行业的业务特征、市 场运作、技术发展趋势等有更为深刻理解。</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近年来，公司立足于橡胶轮胎行业的智能化输送配料系统产品的研发和生产，同时依靠持续创新研发 能力在石化、建材、新材料等行业研究开发出了多项新系统、新产品，具有较强的新产品开发和细分市场 竞争能力。</w:t>
      </w:r>
    </w:p>
    <w:p>
      <w:pPr>
        <w:pStyle w:val="Style40"/>
        <w:keepNext w:val="0"/>
        <w:keepLines w:val="0"/>
        <w:widowControl w:val="0"/>
        <w:shd w:val="clear" w:color="auto" w:fill="auto"/>
        <w:tabs>
          <w:tab w:pos="770" w:val="left"/>
        </w:tabs>
        <w:bidi w:val="0"/>
        <w:spacing w:before="0" w:after="0" w:line="326" w:lineRule="auto"/>
        <w:ind w:left="0" w:right="0" w:firstLine="44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突出的行业地位和市场知名度优势</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凭借在国内橡胶制品业界内的高知名度和美誉度，公司积累了丰富优质的客户资源，己与多家国内外 知名轮胎企业和其他橡胶制品类企业保持了长期稳定的合作关系。公司紧紧把握世界橡胶轮胎产业逐步向 印尼、泰国、越南等东南亚国家战略转移的机遇，迅速拓展了公司在东南亚国家智能化输送配料系统的市 场，并取得了良好的效果。同时，公司凭借技术优势和品牌优势快速拓展了石油化工、建筑装饰材料、新 材料、新能源等新细分市场，品牌优势在公司未来的新产品推广、新领域开发过程中将发挥更加显著的作 用。</w:t>
      </w:r>
    </w:p>
    <w:p>
      <w:pPr>
        <w:pStyle w:val="Style40"/>
        <w:keepNext w:val="0"/>
        <w:keepLines w:val="0"/>
        <w:widowControl w:val="0"/>
        <w:shd w:val="clear" w:color="auto" w:fill="auto"/>
        <w:tabs>
          <w:tab w:pos="770" w:val="left"/>
        </w:tabs>
        <w:bidi w:val="0"/>
        <w:spacing w:before="0" w:after="0" w:line="326" w:lineRule="auto"/>
        <w:ind w:left="0" w:right="0" w:firstLine="440"/>
        <w:jc w:val="both"/>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自动配料专业化及售后服务优势</w:t>
      </w:r>
    </w:p>
    <w:p>
      <w:pPr>
        <w:pStyle w:val="Style40"/>
        <w:keepNext w:val="0"/>
        <w:keepLines w:val="0"/>
        <w:widowControl w:val="0"/>
        <w:shd w:val="clear" w:color="auto" w:fill="auto"/>
        <w:bidi w:val="0"/>
        <w:spacing w:before="0" w:line="313" w:lineRule="exact"/>
        <w:ind w:left="0" w:right="0" w:firstLine="440"/>
        <w:jc w:val="both"/>
        <w:sectPr>
          <w:footnotePr>
            <w:pos w:val="pageBottom"/>
            <w:numFmt w:val="decimal"/>
            <w:numRestart w:val="continuous"/>
          </w:footnotePr>
          <w:pgSz w:w="11900" w:h="16840"/>
          <w:pgMar w:top="1407" w:right="1010" w:bottom="1484" w:left="1098" w:header="0" w:footer="3" w:gutter="0"/>
          <w:cols w:space="720"/>
          <w:noEndnote/>
          <w:rtlGutter w:val="0"/>
          <w:docGrid w:linePitch="360"/>
        </w:sectPr>
      </w:pPr>
      <w:r>
        <w:rPr>
          <w:color w:val="000000"/>
          <w:spacing w:val="0"/>
          <w:w w:val="100"/>
          <w:position w:val="0"/>
        </w:rPr>
        <w:t>公司成立至今始终坚持在工业智能化输送配料系统行业的深入发展，以绿色、环保、低碳为设计理念, 在智能化控制设计、精密计量、精确输送领域建立了显著的专业化服务优势。公司一直以项目制为主要工 作模式，销售、设计、生产和售后服务部门以项目组为单位，为每个项目建立详细的项目档案，对每个项 目遇到的问题和客户使用反馈进行总结。经历多年积累，公司已具有显著的专业化服务优势，在设计沟通、 产品服务等方面均因技术专业、服务周到、反应快速而广受客户好评。</w:t>
      </w:r>
    </w:p>
    <w:p>
      <w:pPr>
        <w:pStyle w:val="Style14"/>
        <w:keepNext/>
        <w:keepLines/>
        <w:widowControl w:val="0"/>
        <w:shd w:val="clear" w:color="auto" w:fill="auto"/>
        <w:bidi w:val="0"/>
        <w:spacing w:before="56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6"/>
        <w:keepNext/>
        <w:keepLines/>
        <w:widowControl w:val="0"/>
        <w:shd w:val="clear" w:color="auto" w:fill="auto"/>
        <w:bidi w:val="0"/>
        <w:spacing w:before="0" w:after="28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p>
    <w:p>
      <w:pPr>
        <w:pStyle w:val="Style40"/>
        <w:keepNext w:val="0"/>
        <w:keepLines w:val="0"/>
        <w:widowControl w:val="0"/>
        <w:shd w:val="clear" w:color="auto" w:fill="auto"/>
        <w:bidi w:val="0"/>
        <w:spacing w:before="0" w:after="80" w:line="317" w:lineRule="exact"/>
        <w:ind w:left="0" w:right="0" w:firstLine="5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年，公司董事会按照有关法律法规的要求和《公司章程》赋予的职责，严格执行股东大会决议， 不断完善公司治理水平，提升公司规范运作能力。同时，指导督促经营管理层克服困难，加强公司内部管 理，调整产品结构及公司战略转型升级，为未来发展奠定坚实的基础。</w:t>
      </w:r>
    </w:p>
    <w:p>
      <w:pPr>
        <w:pStyle w:val="Style40"/>
        <w:keepNext w:val="0"/>
        <w:keepLines w:val="0"/>
        <w:widowControl w:val="0"/>
        <w:shd w:val="clear" w:color="auto" w:fill="auto"/>
        <w:bidi w:val="0"/>
        <w:spacing w:before="0" w:after="80" w:line="315" w:lineRule="exact"/>
        <w:ind w:left="0" w:right="0" w:firstLine="500"/>
        <w:jc w:val="left"/>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219,082,696.88</w:t>
      </w:r>
      <w:r>
        <w:rPr>
          <w:color w:val="000000"/>
          <w:spacing w:val="0"/>
          <w:w w:val="100"/>
          <w:position w:val="0"/>
        </w:rPr>
        <w:t>元</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 xml:space="preserve">2.25 </w:t>
      </w:r>
      <w:r>
        <w:rPr>
          <w:rFonts w:ascii="Times New Roman" w:eastAsia="Times New Roman" w:hAnsi="Times New Roman" w:cs="Times New Roman"/>
          <w:color w:val="000000"/>
          <w:spacing w:val="0"/>
          <w:w w:val="100"/>
          <w:position w:val="0"/>
        </w:rPr>
        <w:t>%;</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rPr>
        <w:t>16,196,857.68</w:t>
      </w:r>
      <w:r>
        <w:rPr>
          <w:color w:val="000000"/>
          <w:spacing w:val="0"/>
          <w:w w:val="100"/>
          <w:position w:val="0"/>
        </w:rPr>
        <w:t>元</w:t>
      </w:r>
      <w:r>
        <w:rPr>
          <w:color w:val="000000"/>
          <w:spacing w:val="0"/>
          <w:w w:val="100"/>
          <w:position w:val="0"/>
        </w:rPr>
        <w:t>，</w:t>
      </w:r>
      <w:r>
        <w:rPr>
          <w:color w:val="000000"/>
          <w:spacing w:val="0"/>
          <w:w w:val="100"/>
          <w:position w:val="0"/>
        </w:rPr>
        <w:t>较上年同期下降</w:t>
      </w:r>
      <w:r>
        <w:rPr>
          <w:rFonts w:ascii="Times New Roman" w:eastAsia="Times New Roman" w:hAnsi="Times New Roman" w:cs="Times New Roman"/>
          <w:color w:val="000000"/>
          <w:spacing w:val="0"/>
          <w:w w:val="100"/>
          <w:position w:val="0"/>
        </w:rPr>
        <w:t xml:space="preserve">35.80 </w:t>
      </w:r>
      <w:r>
        <w:rPr>
          <w:rFonts w:ascii="Times New Roman" w:eastAsia="Times New Roman" w:hAnsi="Times New Roman" w:cs="Times New Roman"/>
          <w:color w:val="000000"/>
          <w:spacing w:val="0"/>
          <w:w w:val="100"/>
          <w:position w:val="0"/>
        </w:rPr>
        <w:t>%</w:t>
      </w:r>
      <w:r>
        <w:rPr>
          <w:color w:val="000000"/>
          <w:spacing w:val="0"/>
          <w:w w:val="100"/>
          <w:position w:val="0"/>
        </w:rPr>
        <w:t>。虽然公司本年度加大了各领域的研发投入</w:t>
      </w:r>
      <w:r>
        <w:rPr>
          <w:color w:val="000000"/>
          <w:spacing w:val="0"/>
          <w:w w:val="100"/>
          <w:position w:val="0"/>
        </w:rPr>
        <w:t>，</w:t>
      </w:r>
      <w:r>
        <w:rPr>
          <w:color w:val="000000"/>
          <w:spacing w:val="0"/>
          <w:w w:val="100"/>
          <w:position w:val="0"/>
        </w:rPr>
        <w:t>陆续引进了部分研发 与业务方面的高级人才</w:t>
      </w:r>
      <w:r>
        <w:rPr>
          <w:color w:val="000000"/>
          <w:spacing w:val="0"/>
          <w:w w:val="100"/>
          <w:position w:val="0"/>
        </w:rPr>
        <w:t>，</w:t>
      </w:r>
      <w:r>
        <w:rPr>
          <w:color w:val="000000"/>
          <w:spacing w:val="0"/>
          <w:w w:val="100"/>
          <w:position w:val="0"/>
        </w:rPr>
        <w:t>导致费用较去年同期有一定上涨</w:t>
      </w:r>
      <w:r>
        <w:rPr>
          <w:color w:val="000000"/>
          <w:spacing w:val="0"/>
          <w:w w:val="100"/>
          <w:position w:val="0"/>
        </w:rPr>
        <w:t>，</w:t>
      </w:r>
      <w:r>
        <w:rPr>
          <w:color w:val="000000"/>
          <w:spacing w:val="0"/>
          <w:w w:val="100"/>
          <w:position w:val="0"/>
        </w:rPr>
        <w:t>进而对利润产生影响，但是公司保持了持续发展, 经受住了市场考验，公司的综合实力和市场影响也进一步的增强，发展基础更加扎实。公司在对外经营和 市场拓展方面都取得了不错的成绩，内部管理和制度建设都有大的提升</w:t>
      </w:r>
      <w:r>
        <w:rPr>
          <w:rFonts w:ascii="Times New Roman" w:eastAsia="Times New Roman" w:hAnsi="Times New Roman" w:cs="Times New Roman"/>
          <w:color w:val="000000"/>
          <w:spacing w:val="0"/>
          <w:w w:val="100"/>
          <w:position w:val="0"/>
        </w:rPr>
        <w:t>,</w:t>
      </w:r>
      <w:r>
        <w:rPr>
          <w:color w:val="000000"/>
          <w:spacing w:val="0"/>
          <w:w w:val="100"/>
          <w:position w:val="0"/>
        </w:rPr>
        <w:t>顺利完成了上年度股东会确定的经 营发展计划。</w:t>
      </w:r>
    </w:p>
    <w:p>
      <w:pPr>
        <w:pStyle w:val="Style40"/>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报告期内，公司总体经营情况如下：</w:t>
      </w:r>
    </w:p>
    <w:p>
      <w:pPr>
        <w:pStyle w:val="Style40"/>
        <w:keepNext w:val="0"/>
        <w:keepLines w:val="0"/>
        <w:widowControl w:val="0"/>
        <w:numPr>
          <w:ilvl w:val="0"/>
          <w:numId w:val="3"/>
        </w:numPr>
        <w:shd w:val="clear" w:color="auto" w:fill="auto"/>
        <w:bidi w:val="0"/>
        <w:spacing w:before="0" w:after="80" w:line="314" w:lineRule="exact"/>
        <w:ind w:left="0" w:right="0" w:firstLine="360"/>
        <w:jc w:val="both"/>
      </w:pPr>
      <w:bookmarkStart w:id="96" w:name="bookmark96"/>
      <w:bookmarkEnd w:id="96"/>
      <w:r>
        <w:rPr>
          <w:color w:val="000000"/>
          <w:spacing w:val="0"/>
          <w:w w:val="100"/>
          <w:position w:val="0"/>
        </w:rPr>
        <w:t>大力加大研发投入，保持技术领先水平</w:t>
      </w:r>
    </w:p>
    <w:p>
      <w:pPr>
        <w:pStyle w:val="Style40"/>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公司的研发能力是公司核心竞争力的保证，公司保持一贯的重视研发投入的经营理念，为适应快速发 展的产品和技术需求，坚持自主创新，在不断优化已有优势产品的基础上，不断加大研发投入，推动技术 和产品不断升级，强化项目储备及新产品研发。</w:t>
      </w:r>
      <w:r>
        <w:rPr>
          <w:rFonts w:ascii="Times New Roman" w:eastAsia="Times New Roman" w:hAnsi="Times New Roman" w:cs="Times New Roman"/>
          <w:color w:val="000000"/>
          <w:spacing w:val="0"/>
          <w:w w:val="100"/>
          <w:position w:val="0"/>
        </w:rPr>
        <w:t>2016</w:t>
      </w:r>
      <w:r>
        <w:rPr>
          <w:color w:val="000000"/>
          <w:spacing w:val="0"/>
          <w:w w:val="100"/>
          <w:position w:val="0"/>
        </w:rPr>
        <w:t>年公司在研发方面投入巨大</w:t>
      </w:r>
      <w:r>
        <w:rPr>
          <w:color w:val="000000"/>
          <w:spacing w:val="0"/>
          <w:w w:val="100"/>
          <w:position w:val="0"/>
        </w:rPr>
        <w:t>，</w:t>
      </w:r>
      <w:r>
        <w:rPr>
          <w:color w:val="000000"/>
          <w:spacing w:val="0"/>
          <w:w w:val="100"/>
          <w:position w:val="0"/>
        </w:rPr>
        <w:t>也结出累累硕果。在各部 门的共同努力下取得如下成果：一次法混炼新技术与应用、混炼胶片自动抓取系统（单、多工位），胶片 自动取样和输送系统、湿法炼胶挤出造粒系统、炼胶自动翻炼系统、新型小药自动上料和自动计量系统、 湿法炼胶生产线控制系统软件、数字化炼胶车间管控一体化系统、在线式小粉料自动配料控制系统、天津 实验室输送和测试系统、橡胶圈快速检测系统、硫化车间生产群控系统、炼胶车间条码防误及产品追溯系 统等。其中一次法混炼新技术与应用经中国化工学会鉴定，鉴定委员会一致认为该项目具有炼胶质量好、 自动化程度高、生产效率高、能源消耗低、环境友好的特点，形成了配方、工艺与装备及产品应用的成套 技术，创新性显著，建成国内领先的一次法炼胶新技术体系，为产业升级腾飞筑基加力。</w:t>
      </w:r>
    </w:p>
    <w:p>
      <w:pPr>
        <w:pStyle w:val="Style40"/>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目前国内轮胎橡胶行业在工业</w:t>
      </w:r>
      <w:r>
        <w:rPr>
          <w:rFonts w:ascii="Times New Roman" w:eastAsia="Times New Roman" w:hAnsi="Times New Roman" w:cs="Times New Roman"/>
          <w:color w:val="000000"/>
          <w:spacing w:val="0"/>
          <w:w w:val="100"/>
          <w:position w:val="0"/>
        </w:rPr>
        <w:t>4.0</w:t>
      </w:r>
      <w:r>
        <w:rPr>
          <w:color w:val="000000"/>
          <w:spacing w:val="0"/>
          <w:w w:val="100"/>
          <w:position w:val="0"/>
        </w:rPr>
        <w:t>方面走在行业前列的企业中，我们提供数字化炼胶方案和智能装置占 了很大的比重。另外，公司申报软件著作权</w:t>
      </w:r>
      <w:r>
        <w:rPr>
          <w:rFonts w:ascii="Times New Roman" w:eastAsia="Times New Roman" w:hAnsi="Times New Roman" w:cs="Times New Roman"/>
          <w:color w:val="000000"/>
          <w:spacing w:val="0"/>
          <w:w w:val="100"/>
          <w:position w:val="0"/>
        </w:rPr>
        <w:t>7</w:t>
      </w:r>
      <w:r>
        <w:rPr>
          <w:color w:val="000000"/>
          <w:spacing w:val="0"/>
          <w:w w:val="100"/>
          <w:position w:val="0"/>
        </w:rPr>
        <w:t>项、</w:t>
      </w:r>
      <w:r>
        <w:rPr>
          <w:rFonts w:ascii="Times New Roman" w:eastAsia="Times New Roman" w:hAnsi="Times New Roman" w:cs="Times New Roman"/>
          <w:color w:val="000000"/>
          <w:spacing w:val="0"/>
          <w:w w:val="100"/>
          <w:position w:val="0"/>
        </w:rPr>
        <w:t>11</w:t>
      </w:r>
      <w:r>
        <w:rPr>
          <w:color w:val="000000"/>
          <w:spacing w:val="0"/>
          <w:w w:val="100"/>
          <w:position w:val="0"/>
        </w:rPr>
        <w:t>项发明专利、</w:t>
      </w:r>
      <w:r>
        <w:rPr>
          <w:rFonts w:ascii="Times New Roman" w:eastAsia="Times New Roman" w:hAnsi="Times New Roman" w:cs="Times New Roman"/>
          <w:color w:val="000000"/>
          <w:spacing w:val="0"/>
          <w:w w:val="100"/>
          <w:position w:val="0"/>
        </w:rPr>
        <w:t>11</w:t>
      </w:r>
      <w:r>
        <w:rPr>
          <w:color w:val="000000"/>
          <w:spacing w:val="0"/>
          <w:w w:val="100"/>
          <w:position w:val="0"/>
        </w:rPr>
        <w:t>项实用新型。参与</w:t>
      </w:r>
      <w:r>
        <w:rPr>
          <w:rFonts w:ascii="Times New Roman" w:eastAsia="Times New Roman" w:hAnsi="Times New Roman" w:cs="Times New Roman"/>
          <w:color w:val="000000"/>
          <w:spacing w:val="0"/>
          <w:w w:val="100"/>
          <w:position w:val="0"/>
        </w:rPr>
        <w:t>“</w:t>
      </w:r>
      <w:r>
        <w:rPr>
          <w:color w:val="000000"/>
          <w:spacing w:val="0"/>
          <w:w w:val="100"/>
          <w:position w:val="0"/>
        </w:rPr>
        <w:t>橡胶工厂环保设计 规范</w:t>
      </w:r>
      <w:r>
        <w:rPr>
          <w:color w:val="000000"/>
          <w:spacing w:val="0"/>
          <w:w w:val="100"/>
          <w:position w:val="0"/>
        </w:rPr>
        <w:t>''</w:t>
      </w:r>
      <w:r>
        <w:rPr>
          <w:color w:val="000000"/>
          <w:spacing w:val="0"/>
          <w:w w:val="100"/>
          <w:position w:val="0"/>
        </w:rPr>
        <w:t>国家标准制定工作。公司将进一步加强研发中心的建设，保证公司技术的领先水平，不断为公司后 续发展储备内生增长动力，不断完善研发管理机制，促进研发成果的快速转换，通过强化自主创新持续夯 实和深化企业核心竞争力，全面提升公司的整体实力。</w:t>
      </w:r>
    </w:p>
    <w:p>
      <w:pPr>
        <w:pStyle w:val="Style40"/>
        <w:keepNext w:val="0"/>
        <w:keepLines w:val="0"/>
        <w:widowControl w:val="0"/>
        <w:numPr>
          <w:ilvl w:val="0"/>
          <w:numId w:val="3"/>
        </w:numPr>
        <w:shd w:val="clear" w:color="auto" w:fill="auto"/>
        <w:bidi w:val="0"/>
        <w:spacing w:before="0" w:after="80" w:line="314" w:lineRule="exact"/>
        <w:ind w:left="0" w:right="0" w:firstLine="620"/>
        <w:jc w:val="both"/>
      </w:pPr>
      <w:bookmarkStart w:id="97" w:name="bookmark97"/>
      <w:bookmarkEnd w:id="97"/>
      <w:r>
        <w:rPr>
          <w:color w:val="000000"/>
          <w:spacing w:val="0"/>
          <w:w w:val="100"/>
          <w:position w:val="0"/>
        </w:rPr>
        <w:t>不断拓展发展视野，逐渐转变经营理念</w:t>
      </w:r>
    </w:p>
    <w:p>
      <w:pPr>
        <w:pStyle w:val="Style40"/>
        <w:keepNext w:val="0"/>
        <w:keepLines w:val="0"/>
        <w:widowControl w:val="0"/>
        <w:shd w:val="clear" w:color="auto" w:fill="auto"/>
        <w:bidi w:val="0"/>
        <w:spacing w:before="0" w:after="80" w:line="311" w:lineRule="exact"/>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十三五''规划建议提出，实施智能制造工程，构建新型制造体系，促进新一代信息通信技术等产业 发展壮大。推动生产方式向柔性、智能、精细转变。具体体现在生产过程信息化管理、无人化控制，包括 智能装备、</w:t>
      </w:r>
      <w:r>
        <w:rPr>
          <w:rFonts w:ascii="Times New Roman" w:eastAsia="Times New Roman" w:hAnsi="Times New Roman" w:cs="Times New Roman"/>
          <w:color w:val="000000"/>
          <w:spacing w:val="0"/>
          <w:w w:val="100"/>
          <w:position w:val="0"/>
        </w:rPr>
        <w:t>MES</w:t>
      </w:r>
      <w:r>
        <w:rPr>
          <w:color w:val="000000"/>
          <w:spacing w:val="0"/>
          <w:w w:val="100"/>
          <w:position w:val="0"/>
        </w:rPr>
        <w:t>系统、信息物流系统等。另外，国家法律的完善，社会环保意识的增强提供了良好的市场 需求。我们目前以轮胎橡胶行业废气治理为基础，向其它行业拓展；利用国内外技术和市场资源进行环保 产业整合，业务也在向水处理、土壤处理方向拓展。</w:t>
      </w:r>
    </w:p>
    <w:p>
      <w:pPr>
        <w:pStyle w:val="Style40"/>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 xml:space="preserve">公司在理解和紧跟国家战略布局和产业规划方向，紧抓机会逐步跳出传统产业的圈子，着眼于国家大 力引导的技术和产业转型领域，要面向世界。要从仅提供设备向为客户提供整体方案转变，由满足生产需 求向优化生产工艺、提高产品品质、提高生产效率、提高管理效率、降低生产成本方面转变，从满足客户 </w:t>
      </w:r>
      <w:r>
        <w:rPr>
          <w:color w:val="000000"/>
          <w:spacing w:val="0"/>
          <w:w w:val="100"/>
          <w:position w:val="0"/>
        </w:rPr>
        <w:t>需求型销售向引导客户消费型销售转变，敢于进行创新型经营。</w:t>
      </w:r>
    </w:p>
    <w:p>
      <w:pPr>
        <w:pStyle w:val="Style40"/>
        <w:keepNext w:val="0"/>
        <w:keepLines w:val="0"/>
        <w:widowControl w:val="0"/>
        <w:numPr>
          <w:ilvl w:val="0"/>
          <w:numId w:val="3"/>
        </w:numPr>
        <w:shd w:val="clear" w:color="auto" w:fill="auto"/>
        <w:bidi w:val="0"/>
        <w:spacing w:before="0" w:after="0" w:line="326" w:lineRule="auto"/>
        <w:ind w:left="0" w:right="0" w:firstLine="380"/>
        <w:jc w:val="left"/>
      </w:pPr>
      <w:bookmarkStart w:id="98" w:name="bookmark98"/>
      <w:bookmarkEnd w:id="98"/>
      <w:r>
        <w:rPr>
          <w:color w:val="000000"/>
          <w:spacing w:val="0"/>
          <w:w w:val="100"/>
          <w:position w:val="0"/>
        </w:rPr>
        <w:t>努力开展资本运作，更好实现战略布局</w:t>
      </w:r>
    </w:p>
    <w:p>
      <w:pPr>
        <w:pStyle w:val="Style40"/>
        <w:keepNext w:val="0"/>
        <w:keepLines w:val="0"/>
        <w:widowControl w:val="0"/>
        <w:shd w:val="clear" w:color="auto" w:fill="auto"/>
        <w:bidi w:val="0"/>
        <w:spacing w:before="0" w:after="120" w:line="313" w:lineRule="exact"/>
        <w:ind w:left="0" w:right="0" w:firstLine="5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日经公司及各方论证，公司确定筹划实施重大资产重组项目，公司拟通过发行股份 及支付现金的方式，购买上海国麟科技股份有限公司部分或全部股权。同时</w:t>
      </w:r>
      <w:r>
        <w:rPr>
          <w:color w:val="000000"/>
          <w:spacing w:val="0"/>
          <w:w w:val="100"/>
          <w:position w:val="0"/>
        </w:rPr>
        <w:t>，</w:t>
      </w:r>
      <w:r>
        <w:rPr>
          <w:color w:val="000000"/>
          <w:spacing w:val="0"/>
          <w:w w:val="100"/>
          <w:position w:val="0"/>
        </w:rPr>
        <w:t>公司拟募集配套资金，募集配 套资金总额不超过交易总金额的</w:t>
      </w:r>
      <w:r>
        <w:rPr>
          <w:rFonts w:ascii="Times New Roman" w:eastAsia="Times New Roman" w:hAnsi="Times New Roman" w:cs="Times New Roman"/>
          <w:color w:val="000000"/>
          <w:spacing w:val="0"/>
          <w:w w:val="100"/>
          <w:position w:val="0"/>
        </w:rPr>
        <w:t>100%</w:t>
      </w:r>
      <w:r>
        <w:rPr>
          <w:color w:val="000000"/>
          <w:spacing w:val="0"/>
          <w:w w:val="100"/>
          <w:position w:val="0"/>
        </w:rPr>
        <w:t>。后因尽职调查过程中发现新的需要进行深入核查的事项，经过各 方审慎预计，无法在约定时间内完成相关尽职调查工作，各方沟通后无法达成一致意见。为切实维护全体 股东的利益，公司终止此次重组。</w:t>
      </w:r>
    </w:p>
    <w:p>
      <w:pPr>
        <w:pStyle w:val="Style40"/>
        <w:keepNext w:val="0"/>
        <w:keepLines w:val="0"/>
        <w:widowControl w:val="0"/>
        <w:shd w:val="clear" w:color="auto" w:fill="auto"/>
        <w:bidi w:val="0"/>
        <w:spacing w:before="0" w:after="120" w:line="313" w:lineRule="exact"/>
        <w:ind w:left="0" w:right="0" w:firstLine="560"/>
        <w:jc w:val="both"/>
      </w:pPr>
      <w:r>
        <w:rPr>
          <w:color w:val="000000"/>
          <w:spacing w:val="0"/>
          <w:w w:val="100"/>
          <w:position w:val="0"/>
        </w:rPr>
        <w:t>报告期内</w:t>
      </w:r>
      <w:r>
        <w:rPr>
          <w:color w:val="000000"/>
          <w:spacing w:val="0"/>
          <w:w w:val="100"/>
          <w:position w:val="0"/>
        </w:rPr>
        <w:t>，</w:t>
      </w:r>
      <w:r>
        <w:rPr>
          <w:color w:val="000000"/>
          <w:spacing w:val="0"/>
          <w:w w:val="100"/>
          <w:position w:val="0"/>
        </w:rPr>
        <w:t>公司积极开展资本运作，公司规模不断扩大。公司控股、参股的北京天中方环保科技有限 公司、上海橡领高分子材料有限公司纳入合并范围。加快建设位于天津的募投项目工程，对暂时闲置的 募集资金进行现金管理，提高募集资金的使用效率，建立和健全投资者沟通机制</w:t>
      </w:r>
      <w:r>
        <w:rPr>
          <w:color w:val="000000"/>
          <w:spacing w:val="0"/>
          <w:w w:val="100"/>
          <w:position w:val="0"/>
        </w:rPr>
        <w:t>，</w:t>
      </w:r>
      <w:r>
        <w:rPr>
          <w:color w:val="000000"/>
          <w:spacing w:val="0"/>
          <w:w w:val="100"/>
          <w:position w:val="0"/>
        </w:rPr>
        <w:t>并充分利用投资者关系互 动平台与广大投资者沟通和交流</w:t>
      </w:r>
      <w:r>
        <w:rPr>
          <w:color w:val="000000"/>
          <w:spacing w:val="0"/>
          <w:w w:val="100"/>
          <w:position w:val="0"/>
        </w:rPr>
        <w:t>，</w:t>
      </w:r>
      <w:r>
        <w:rPr>
          <w:color w:val="000000"/>
          <w:spacing w:val="0"/>
          <w:w w:val="100"/>
          <w:position w:val="0"/>
        </w:rPr>
        <w:t>规范公司投资者关系工作</w:t>
      </w:r>
      <w:r>
        <w:rPr>
          <w:color w:val="000000"/>
          <w:spacing w:val="0"/>
          <w:w w:val="100"/>
          <w:position w:val="0"/>
        </w:rPr>
        <w:t>，</w:t>
      </w:r>
      <w:r>
        <w:rPr>
          <w:color w:val="000000"/>
          <w:spacing w:val="0"/>
          <w:w w:val="100"/>
          <w:position w:val="0"/>
        </w:rPr>
        <w:t>重视投资者与机构的来访调研，加深投资者对 公司的了解和认同</w:t>
      </w:r>
      <w:r>
        <w:rPr>
          <w:color w:val="000000"/>
          <w:spacing w:val="0"/>
          <w:w w:val="100"/>
          <w:position w:val="0"/>
        </w:rPr>
        <w:t>，</w:t>
      </w:r>
      <w:r>
        <w:rPr>
          <w:color w:val="000000"/>
          <w:spacing w:val="0"/>
          <w:w w:val="100"/>
          <w:position w:val="0"/>
        </w:rPr>
        <w:t>增强投资者信心</w:t>
      </w:r>
      <w:r>
        <w:rPr>
          <w:color w:val="000000"/>
          <w:spacing w:val="0"/>
          <w:w w:val="100"/>
          <w:position w:val="0"/>
        </w:rPr>
        <w:t>，</w:t>
      </w:r>
      <w:r>
        <w:rPr>
          <w:color w:val="000000"/>
          <w:spacing w:val="0"/>
          <w:w w:val="100"/>
          <w:position w:val="0"/>
        </w:rPr>
        <w:t>促进公司与投资者之间长期、良好、稳定的关系</w:t>
      </w:r>
      <w:r>
        <w:rPr>
          <w:rFonts w:ascii="Times New Roman" w:eastAsia="Times New Roman" w:hAnsi="Times New Roman" w:cs="Times New Roman"/>
          <w:color w:val="000000"/>
          <w:spacing w:val="0"/>
          <w:w w:val="100"/>
          <w:position w:val="0"/>
        </w:rPr>
        <w:t>,</w:t>
      </w:r>
      <w:r>
        <w:rPr>
          <w:color w:val="000000"/>
          <w:spacing w:val="0"/>
          <w:w w:val="100"/>
          <w:position w:val="0"/>
        </w:rPr>
        <w:t>提升公司的诚信度、 核心竞争能力和持续发展能力</w:t>
      </w:r>
      <w:r>
        <w:rPr>
          <w:color w:val="000000"/>
          <w:spacing w:val="0"/>
          <w:w w:val="100"/>
          <w:position w:val="0"/>
        </w:rPr>
        <w:t>，</w:t>
      </w:r>
      <w:r>
        <w:rPr>
          <w:color w:val="000000"/>
          <w:spacing w:val="0"/>
          <w:w w:val="100"/>
          <w:position w:val="0"/>
        </w:rPr>
        <w:t>实现公司价值最大化和股东利益最大化。公司将继续积极探索资本市场的运 作，继续坚持内涵式发展和外延式发展双轮驱动的战略，遴选优质企业及项目，把握国家行业整合政策， 加强与金融资本的战略合作，实现资本和经营的有机高效整合，加快推进公司产业发展战略，进一步提升 公司综合竞争力，切实优化投资者回报，增加长期价值投资的吸引力，实现公司可持续发展。</w:t>
      </w:r>
    </w:p>
    <w:p>
      <w:pPr>
        <w:pStyle w:val="Style40"/>
        <w:keepNext w:val="0"/>
        <w:keepLines w:val="0"/>
        <w:widowControl w:val="0"/>
        <w:numPr>
          <w:ilvl w:val="0"/>
          <w:numId w:val="3"/>
        </w:numPr>
        <w:shd w:val="clear" w:color="auto" w:fill="auto"/>
        <w:bidi w:val="0"/>
        <w:spacing w:before="0" w:after="0" w:line="326" w:lineRule="auto"/>
        <w:ind w:left="0" w:right="0" w:firstLine="560"/>
        <w:jc w:val="both"/>
      </w:pPr>
      <w:bookmarkStart w:id="99" w:name="bookmark99"/>
      <w:bookmarkEnd w:id="99"/>
      <w:r>
        <w:rPr>
          <w:color w:val="000000"/>
          <w:spacing w:val="0"/>
          <w:w w:val="100"/>
          <w:position w:val="0"/>
        </w:rPr>
        <w:t>完善公司治理，促进规范运作</w:t>
      </w:r>
    </w:p>
    <w:p>
      <w:pPr>
        <w:pStyle w:val="Style4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公司不断调整和优化经营管理体制，完善治理结构，公司根据中国证监会和相关部门关于上市公司规 范运作的有关规定，积极提高管理水平，健全各项规章制度和内控制度，及时准确完整履行信息披露义务。</w:t>
      </w:r>
    </w:p>
    <w:p>
      <w:pPr>
        <w:pStyle w:val="Style40"/>
        <w:keepNext w:val="0"/>
        <w:keepLines w:val="0"/>
        <w:widowControl w:val="0"/>
        <w:shd w:val="clear" w:color="auto" w:fill="auto"/>
        <w:bidi w:val="0"/>
        <w:spacing w:before="0" w:after="1320" w:line="312" w:lineRule="exact"/>
        <w:ind w:left="0" w:right="0" w:firstLine="380"/>
        <w:jc w:val="both"/>
      </w:pPr>
      <w:r>
        <w:rPr>
          <w:color w:val="000000"/>
          <w:spacing w:val="0"/>
          <w:w w:val="100"/>
          <w:position w:val="0"/>
        </w:rPr>
        <w:t>此外，报告期内，公司进一步提升了企业的人力资源管理水平。从公司实际工作出发，积极开展对各 子公司高级管理人员的培训，完善培训工作，加强内部风险控制建设，保证各子公司业务的顺利开展。</w:t>
      </w:r>
    </w:p>
    <w:p>
      <w:pPr>
        <w:pStyle w:val="Style26"/>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36"/>
        <w:keepNext/>
        <w:keepLines/>
        <w:widowControl w:val="0"/>
        <w:shd w:val="clear" w:color="auto" w:fill="auto"/>
        <w:tabs>
          <w:tab w:pos="368" w:val="left"/>
        </w:tabs>
        <w:bidi w:val="0"/>
        <w:spacing w:before="0" w:after="34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36"/>
        <w:keepNext/>
        <w:keepLines/>
        <w:widowControl w:val="0"/>
        <w:numPr>
          <w:ilvl w:val="0"/>
          <w:numId w:val="5"/>
        </w:numPr>
        <w:shd w:val="clear" w:color="auto" w:fill="auto"/>
        <w:bidi w:val="0"/>
        <w:spacing w:before="0" w:after="380" w:line="240" w:lineRule="auto"/>
        <w:ind w:left="0" w:right="0" w:firstLine="0"/>
        <w:jc w:val="left"/>
      </w:pPr>
      <w:bookmarkStart w:id="108" w:name="bookmark108"/>
      <w:bookmarkStart w:id="109" w:name="bookmark109"/>
      <w:bookmarkStart w:id="112" w:name="bookmark112"/>
      <w:bookmarkStart w:id="113" w:name="bookmark113"/>
      <w:bookmarkEnd w:id="112"/>
      <w:r>
        <w:rPr>
          <w:color w:val="000000"/>
          <w:spacing w:val="0"/>
          <w:w w:val="100"/>
          <w:position w:val="0"/>
        </w:rPr>
        <w:t>营业收入构成</w:t>
      </w:r>
      <w:bookmarkEnd w:id="108"/>
      <w:bookmarkEnd w:id="109"/>
      <w:bookmarkEnd w:id="11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214,272,084.27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214,272,084.27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上辅机系统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78,670,635.23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70,107,420.34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小料配料称量系统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24,500,698.09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46,897,114.53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气力输送系统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35,049,183.58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48,184,826.06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废气治理系统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64,400,169.26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16,462,010.72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49,082,723.34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161,082,719.22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163,577,024.77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57,999,977.66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50,695,059.50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r>
    </w:tbl>
    <w:p>
      <w:pPr>
        <w:widowControl w:val="0"/>
        <w:spacing w:after="299" w:line="1" w:lineRule="exact"/>
      </w:pPr>
    </w:p>
    <w:p>
      <w:pPr>
        <w:pStyle w:val="Style36"/>
        <w:keepNext/>
        <w:keepLines/>
        <w:widowControl w:val="0"/>
        <w:numPr>
          <w:ilvl w:val="0"/>
          <w:numId w:val="5"/>
        </w:numPr>
        <w:shd w:val="clear" w:color="auto" w:fill="auto"/>
        <w:bidi w:val="0"/>
        <w:spacing w:before="0" w:after="24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30"/>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line="355" w:lineRule="exact"/>
        <w:ind w:left="0" w:right="0" w:firstLine="0"/>
        <w:jc w:val="left"/>
      </w:pPr>
      <w:r>
        <w:rPr>
          <w:color w:val="000000"/>
          <w:spacing w:val="0"/>
          <w:w w:val="100"/>
          <w:position w:val="0"/>
        </w:rPr>
        <w:t>公司是否需要遵守特殊行业的披露要求 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141,074,424.29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上辅机系统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78,670,635.23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52,197,160.35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小料配料称量系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24,500,698.09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16,559,731.54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气力输送系统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35,049,183.58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21,820,412.50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废气治理系统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64,400,169.26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42,215,565.68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16,462,010.72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8,281,554.22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161,082,719.22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107,293,563.66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57,999,977.66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33,780,860.63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bl>
    <w:p>
      <w:pPr>
        <w:widowControl w:val="0"/>
        <w:spacing w:after="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317" w:lineRule="exact"/>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22"/>
      <w:bookmarkEnd w:id="123"/>
      <w:bookmarkEnd w:id="12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tabs>
          <w:tab w:pos="531" w:val="left"/>
        </w:tabs>
        <w:bidi w:val="0"/>
        <w:spacing w:before="0" w:after="60" w:line="317" w:lineRule="exact"/>
        <w:ind w:left="0" w:right="0" w:firstLine="0"/>
        <w:jc w:val="left"/>
      </w:pPr>
      <w:bookmarkStart w:id="126" w:name="bookmark126"/>
      <w:r>
        <w:rPr>
          <w:color w:val="000000"/>
          <w:spacing w:val="0"/>
          <w:w w:val="100"/>
          <w:position w:val="0"/>
          <w:sz w:val="18"/>
          <w:szCs w:val="18"/>
        </w:rPr>
        <w:t>（</w:t>
      </w:r>
      <w:bookmarkEnd w:id="12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月与正新印度橡胶有限公司签订了金额为</w:t>
      </w:r>
      <w:r>
        <w:rPr>
          <w:rFonts w:ascii="Times New Roman" w:eastAsia="Times New Roman" w:hAnsi="Times New Roman" w:cs="Times New Roman"/>
          <w:color w:val="000000"/>
          <w:spacing w:val="0"/>
          <w:w w:val="100"/>
          <w:position w:val="0"/>
        </w:rPr>
        <w:t>5,600,000</w:t>
      </w:r>
      <w:r>
        <w:rPr>
          <w:color w:val="000000"/>
          <w:spacing w:val="0"/>
          <w:w w:val="100"/>
          <w:position w:val="0"/>
        </w:rPr>
        <w:t>美元的购销合同，截止本报告期，已正常履行， 该合同主要对公司</w:t>
      </w:r>
      <w:r>
        <w:rPr>
          <w:rFonts w:ascii="Times New Roman" w:eastAsia="Times New Roman" w:hAnsi="Times New Roman" w:cs="Times New Roman"/>
          <w:color w:val="000000"/>
          <w:spacing w:val="0"/>
          <w:w w:val="100"/>
          <w:position w:val="0"/>
        </w:rPr>
        <w:t>2016</w:t>
      </w:r>
      <w:r>
        <w:rPr>
          <w:color w:val="000000"/>
          <w:spacing w:val="0"/>
          <w:w w:val="100"/>
          <w:position w:val="0"/>
        </w:rPr>
        <w:t>年的经营业绩产生积极影响。</w:t>
      </w:r>
    </w:p>
    <w:p>
      <w:pPr>
        <w:pStyle w:val="Style40"/>
        <w:keepNext w:val="0"/>
        <w:keepLines w:val="0"/>
        <w:widowControl w:val="0"/>
        <w:shd w:val="clear" w:color="auto" w:fill="auto"/>
        <w:tabs>
          <w:tab w:pos="541" w:val="left"/>
        </w:tabs>
        <w:bidi w:val="0"/>
        <w:spacing w:before="0" w:after="700" w:line="317" w:lineRule="exact"/>
        <w:ind w:left="0" w:right="0" w:firstLine="0"/>
        <w:jc w:val="left"/>
      </w:pPr>
      <w:bookmarkStart w:id="127" w:name="bookmark127"/>
      <w:r>
        <w:rPr>
          <w:color w:val="000000"/>
          <w:spacing w:val="0"/>
          <w:w w:val="100"/>
          <w:position w:val="0"/>
          <w:sz w:val="18"/>
          <w:szCs w:val="18"/>
        </w:rPr>
        <w:t>（</w:t>
      </w:r>
      <w:bookmarkEnd w:id="12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月与</w:t>
      </w:r>
      <w:r>
        <w:rPr>
          <w:rFonts w:ascii="Times New Roman" w:eastAsia="Times New Roman" w:hAnsi="Times New Roman" w:cs="Times New Roman"/>
          <w:color w:val="000000"/>
          <w:spacing w:val="0"/>
          <w:w w:val="100"/>
          <w:position w:val="0"/>
          <w:sz w:val="18"/>
          <w:szCs w:val="18"/>
        </w:rPr>
        <w:t>PT</w:t>
      </w:r>
      <w:r>
        <w:rPr>
          <w:color w:val="000000"/>
          <w:spacing w:val="0"/>
          <w:w w:val="100"/>
          <w:position w:val="0"/>
          <w:sz w:val="18"/>
          <w:szCs w:val="18"/>
        </w:rPr>
        <w:t>正新国际印尼公司签订了金额为</w:t>
      </w:r>
      <w:r>
        <w:rPr>
          <w:rFonts w:ascii="Times New Roman" w:eastAsia="Times New Roman" w:hAnsi="Times New Roman" w:cs="Times New Roman"/>
          <w:color w:val="000000"/>
          <w:spacing w:val="0"/>
          <w:w w:val="100"/>
          <w:position w:val="0"/>
        </w:rPr>
        <w:t>5,600,000</w:t>
      </w:r>
      <w:r>
        <w:rPr>
          <w:color w:val="000000"/>
          <w:spacing w:val="0"/>
          <w:w w:val="100"/>
          <w:position w:val="0"/>
        </w:rPr>
        <w:t>美元的购销合同，截止本报告期，合同正在履 行中，该合同主要对公司</w:t>
      </w:r>
      <w:r>
        <w:rPr>
          <w:rFonts w:ascii="Times New Roman" w:eastAsia="Times New Roman" w:hAnsi="Times New Roman" w:cs="Times New Roman"/>
          <w:color w:val="000000"/>
          <w:spacing w:val="0"/>
          <w:w w:val="100"/>
          <w:position w:val="0"/>
        </w:rPr>
        <w:t>2016-2017</w:t>
      </w:r>
      <w:r>
        <w:rPr>
          <w:color w:val="000000"/>
          <w:spacing w:val="0"/>
          <w:w w:val="100"/>
          <w:position w:val="0"/>
        </w:rPr>
        <w:t>年的经营业绩产生积极影响。</w:t>
      </w:r>
    </w:p>
    <w:p>
      <w:pPr>
        <w:pStyle w:val="Style36"/>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8"/>
      <w:bookmarkEnd w:id="129"/>
      <w:bookmarkEnd w:id="13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117,895,896.38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120,705,866.04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13,373,855.42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13,868,674.73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9,804,672.49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10,392,590.90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141,074,424.29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144,967,131.67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2"/>
      <w:bookmarkEnd w:id="133"/>
      <w:bookmarkEnd w:id="135"/>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51"/>
        <w:keepNext w:val="0"/>
        <w:keepLines w:val="0"/>
        <w:widowControl w:val="0"/>
        <w:shd w:val="clear" w:color="auto" w:fill="auto"/>
        <w:bidi w:val="0"/>
        <w:spacing w:before="0" w:after="60"/>
        <w:ind w:left="0" w:right="0" w:firstLine="0"/>
        <w:jc w:val="left"/>
      </w:pPr>
      <w:r>
        <w:rPr>
          <w:color w:val="000000"/>
          <w:spacing w:val="0"/>
          <w:w w:val="100"/>
          <w:position w:val="0"/>
          <w:sz w:val="24"/>
          <w:szCs w:val="24"/>
        </w:rPr>
        <w:t>报告期新增非同一控制下企业合并控股子公司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北京天中方环保科技有限公司、上海橡领高分 子材料有限公司。具体情况如下：</w:t>
      </w:r>
    </w:p>
    <w:tbl>
      <w:tblPr>
        <w:tblOverlap w:val="never"/>
        <w:jc w:val="center"/>
        <w:tblLayout w:type="fixed"/>
      </w:tblPr>
      <w:tblGrid>
        <w:gridCol w:w="3206"/>
        <w:gridCol w:w="2640"/>
        <w:gridCol w:w="2304"/>
        <w:gridCol w:w="1723"/>
      </w:tblGrid>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rPr>
              <w:t>交易对方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rPr>
              <w:t>股权取得成本（万元）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股权取得比例（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rPr>
              <w:t>股权取得方式</w:t>
            </w:r>
          </w:p>
        </w:tc>
      </w:tr>
    </w:tbl>
    <w:p>
      <w:pPr>
        <w:spacing w:lineRule="exact" w:line="1"/>
        <w:rPr>
          <w:sz w:val="2"/>
          <w:szCs w:val="2"/>
        </w:rPr>
      </w:pPr>
      <w:r>
        <w:br w:type="page"/>
      </w:r>
    </w:p>
    <w:tbl>
      <w:tblPr>
        <w:tblOverlap w:val="never"/>
        <w:jc w:val="center"/>
        <w:tblLayout w:type="fixed"/>
      </w:tblPr>
      <w:tblGrid>
        <w:gridCol w:w="3206"/>
        <w:gridCol w:w="2640"/>
        <w:gridCol w:w="2304"/>
        <w:gridCol w:w="1723"/>
      </w:tblGrid>
      <w:tr>
        <w:trPr>
          <w:trHeight w:val="43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北京天中方环保科技有限公司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协议收购</w:t>
            </w: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上海橡领高分子材料有限公司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350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协议收购</w:t>
            </w:r>
          </w:p>
        </w:tc>
      </w:tr>
    </w:tbl>
    <w:p>
      <w:pPr>
        <w:pStyle w:val="Style51"/>
        <w:keepNext w:val="0"/>
        <w:keepLines w:val="0"/>
        <w:widowControl w:val="0"/>
        <w:shd w:val="clear" w:color="auto" w:fill="auto"/>
        <w:bidi w:val="0"/>
        <w:spacing w:before="0" w:after="640" w:line="240" w:lineRule="auto"/>
        <w:ind w:left="0" w:right="0" w:firstLine="0"/>
        <w:jc w:val="both"/>
      </w:pPr>
      <w:r>
        <w:rPr>
          <w:color w:val="000000"/>
          <w:spacing w:val="0"/>
          <w:w w:val="100"/>
          <w:position w:val="0"/>
          <w:sz w:val="24"/>
          <w:szCs w:val="24"/>
        </w:rPr>
        <w:t>北京天中方环保科技有限公司、上海橡领高分子材料有限公司报告期纳入合并范围。</w:t>
      </w:r>
    </w:p>
    <w:p>
      <w:pPr>
        <w:pStyle w:val="Style36"/>
        <w:keepNext/>
        <w:keepLines/>
        <w:widowControl w:val="0"/>
        <w:shd w:val="clear" w:color="auto" w:fill="auto"/>
        <w:tabs>
          <w:tab w:pos="488"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96,216,371.44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38,616,480.00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18,632,478.63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17,388,888.89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10,831,623.93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10,746,899.99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96,216,371.44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r>
    </w:tbl>
    <w:p>
      <w:pPr>
        <w:widowControl w:val="0"/>
        <w:spacing w:after="5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27,092,915.48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8,641,452.99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5,987,606.84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5,450,940.23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4,398,111.12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bl>
    <w:p>
      <w:pPr>
        <w:spacing w:lineRule="exact" w:line="1"/>
        <w:rPr>
          <w:sz w:val="2"/>
          <w:szCs w:val="2"/>
        </w:rPr>
      </w:pPr>
      <w:r>
        <w:br w:type="page"/>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2,614,804.30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27,092,915.48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39" w:line="1" w:lineRule="exact"/>
      </w:pPr>
    </w:p>
    <w:p>
      <w:pPr>
        <w:pStyle w:val="Style40"/>
        <w:keepNext w:val="0"/>
        <w:keepLines w:val="0"/>
        <w:widowControl w:val="0"/>
        <w:shd w:val="clear" w:color="auto" w:fill="auto"/>
        <w:bidi w:val="0"/>
        <w:spacing w:before="0" w:after="340" w:line="240" w:lineRule="auto"/>
        <w:ind w:left="0" w:right="0" w:firstLine="0"/>
        <w:jc w:val="left"/>
      </w:pPr>
      <w:bookmarkStart w:id="144" w:name="bookmark144"/>
      <w:r>
        <w:rPr>
          <w:rFonts w:ascii="Times New Roman" w:eastAsia="Times New Roman" w:hAnsi="Times New Roman" w:cs="Times New Roman"/>
          <w:b/>
          <w:bCs/>
          <w:color w:val="000000"/>
          <w:spacing w:val="0"/>
          <w:w w:val="100"/>
          <w:position w:val="0"/>
        </w:rPr>
        <w:t>3</w:t>
      </w:r>
      <w:bookmarkEnd w:id="144"/>
      <w:r>
        <w:rPr>
          <w:b/>
          <w:bCs/>
          <w:color w:val="000000"/>
          <w:spacing w:val="0"/>
          <w:w w:val="100"/>
          <w:position w:val="0"/>
        </w:rPr>
        <w:t>、费用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3,641,130.04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4,036,228.54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41,472,570.27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35,163,357.22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-40,250.96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-1,643,401.05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主要系利息支出增加所致</w:t>
            </w:r>
          </w:p>
        </w:tc>
      </w:tr>
    </w:tbl>
    <w:p>
      <w:pPr>
        <w:widowControl w:val="0"/>
        <w:spacing w:after="259" w:line="1" w:lineRule="exact"/>
      </w:pPr>
    </w:p>
    <w:p>
      <w:pPr>
        <w:pStyle w:val="Style36"/>
        <w:keepNext/>
        <w:keepLines/>
        <w:widowControl w:val="0"/>
        <w:shd w:val="clear" w:color="auto" w:fill="auto"/>
        <w:bidi w:val="0"/>
        <w:spacing w:before="0" w:after="340" w:line="315" w:lineRule="exact"/>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315" w:lineRule="exact"/>
        <w:ind w:left="0" w:right="0" w:firstLine="260"/>
        <w:jc w:val="left"/>
      </w:pPr>
      <w:r>
        <w:rPr>
          <w:color w:val="000000"/>
          <w:spacing w:val="0"/>
          <w:w w:val="100"/>
          <w:position w:val="0"/>
        </w:rPr>
        <w:t>公司作为国家级高新技术企业，为取得技术领先的市场地位，公司持续进行大力的研发投入，并取得了 一定的研发成果。研发手段不断完善，</w:t>
      </w:r>
      <w:r>
        <w:rPr>
          <w:rFonts w:ascii="Times New Roman" w:eastAsia="Times New Roman" w:hAnsi="Times New Roman" w:cs="Times New Roman"/>
          <w:color w:val="000000"/>
          <w:spacing w:val="0"/>
          <w:w w:val="100"/>
          <w:position w:val="0"/>
        </w:rPr>
        <w:t>PLM</w:t>
      </w:r>
      <w:r>
        <w:rPr>
          <w:color w:val="000000"/>
          <w:spacing w:val="0"/>
          <w:w w:val="100"/>
          <w:position w:val="0"/>
        </w:rPr>
        <w:t>软件项目的实施逐步实现从二维向三维转换。研发团队不断 壮大、充实，报告期末研发人员达到</w:t>
      </w:r>
      <w:r>
        <w:rPr>
          <w:rFonts w:ascii="Times New Roman" w:eastAsia="Times New Roman" w:hAnsi="Times New Roman" w:cs="Times New Roman"/>
          <w:color w:val="000000"/>
          <w:spacing w:val="0"/>
          <w:w w:val="100"/>
          <w:position w:val="0"/>
        </w:rPr>
        <w:t>95</w:t>
      </w:r>
      <w:r>
        <w:rPr>
          <w:color w:val="000000"/>
          <w:spacing w:val="0"/>
          <w:w w:val="100"/>
          <w:position w:val="0"/>
        </w:rPr>
        <w:t>人，占公司人员总数的</w:t>
      </w:r>
      <w:r>
        <w:rPr>
          <w:rFonts w:ascii="Times New Roman" w:eastAsia="Times New Roman" w:hAnsi="Times New Roman" w:cs="Times New Roman"/>
          <w:color w:val="000000"/>
          <w:spacing w:val="0"/>
          <w:w w:val="100"/>
          <w:position w:val="0"/>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年研发投入金额</w:t>
      </w:r>
      <w:r>
        <w:rPr>
          <w:rFonts w:ascii="Times New Roman" w:eastAsia="Times New Roman" w:hAnsi="Times New Roman" w:cs="Times New Roman"/>
          <w:color w:val="000000"/>
          <w:spacing w:val="0"/>
          <w:w w:val="100"/>
          <w:position w:val="0"/>
        </w:rPr>
        <w:t>15,579,409.50</w:t>
      </w:r>
      <w:r>
        <w:rPr>
          <w:color w:val="000000"/>
          <w:spacing w:val="0"/>
          <w:w w:val="100"/>
          <w:position w:val="0"/>
        </w:rPr>
        <w:t>元, 占当年营业收入的</w:t>
      </w:r>
      <w:r>
        <w:rPr>
          <w:rFonts w:ascii="Times New Roman" w:eastAsia="Times New Roman" w:hAnsi="Times New Roman" w:cs="Times New Roman"/>
          <w:color w:val="000000"/>
          <w:spacing w:val="0"/>
          <w:w w:val="100"/>
          <w:position w:val="0"/>
        </w:rPr>
        <w:t>7.11%</w:t>
      </w:r>
      <w:r>
        <w:rPr>
          <w:color w:val="000000"/>
          <w:spacing w:val="0"/>
          <w:w w:val="100"/>
          <w:position w:val="0"/>
        </w:rPr>
        <w:t>。公司累计获得了各种专利及著作权</w:t>
      </w:r>
      <w:r>
        <w:rPr>
          <w:rFonts w:ascii="Times New Roman" w:eastAsia="Times New Roman" w:hAnsi="Times New Roman" w:cs="Times New Roman"/>
          <w:color w:val="000000"/>
          <w:spacing w:val="0"/>
          <w:w w:val="100"/>
          <w:position w:val="0"/>
        </w:rPr>
        <w:t>101</w:t>
      </w:r>
      <w:r>
        <w:rPr>
          <w:color w:val="000000"/>
          <w:spacing w:val="0"/>
          <w:w w:val="100"/>
          <w:position w:val="0"/>
        </w:rPr>
        <w:t>项，其中发明专利</w:t>
      </w:r>
      <w:r>
        <w:rPr>
          <w:rFonts w:ascii="Times New Roman" w:eastAsia="Times New Roman" w:hAnsi="Times New Roman" w:cs="Times New Roman"/>
          <w:color w:val="000000"/>
          <w:spacing w:val="0"/>
          <w:w w:val="100"/>
          <w:position w:val="0"/>
        </w:rPr>
        <w:t>19</w:t>
      </w:r>
      <w:r>
        <w:rPr>
          <w:color w:val="000000"/>
          <w:spacing w:val="0"/>
          <w:w w:val="100"/>
          <w:position w:val="0"/>
        </w:rPr>
        <w:t>项，实用新型</w:t>
      </w:r>
      <w:r>
        <w:rPr>
          <w:rFonts w:ascii="Times New Roman" w:eastAsia="Times New Roman" w:hAnsi="Times New Roman" w:cs="Times New Roman"/>
          <w:color w:val="000000"/>
          <w:spacing w:val="0"/>
          <w:w w:val="100"/>
          <w:position w:val="0"/>
        </w:rPr>
        <w:t>40</w:t>
      </w:r>
      <w:r>
        <w:rPr>
          <w:color w:val="000000"/>
          <w:spacing w:val="0"/>
          <w:w w:val="100"/>
          <w:position w:val="0"/>
        </w:rPr>
        <w:t>项， 软件著作权</w:t>
      </w:r>
      <w:r>
        <w:rPr>
          <w:rFonts w:ascii="Times New Roman" w:eastAsia="Times New Roman" w:hAnsi="Times New Roman" w:cs="Times New Roman"/>
          <w:color w:val="000000"/>
          <w:spacing w:val="0"/>
          <w:w w:val="100"/>
          <w:position w:val="0"/>
        </w:rPr>
        <w:t>42</w:t>
      </w:r>
      <w:r>
        <w:rPr>
          <w:color w:val="000000"/>
          <w:spacing w:val="0"/>
          <w:w w:val="100"/>
          <w:position w:val="0"/>
        </w:rPr>
        <w:t>项。</w:t>
      </w:r>
    </w:p>
    <w:p>
      <w:pPr>
        <w:pStyle w:val="Style40"/>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年在各部门的共同努力下取得如下成果：一次法混炼新技术与应用、混炼胶片自动抓取系统（单、 多工位），胶片自动取样和输送系统、湿法炼胶挤出造粒系统、炼胶自动翻炼系统、新型小药自动上料和 自动计量系统、湿法炼胶生产线控制系统软件、数字化炼胶车间管控一体化系统、在线式小粉料自动配料 控制系统、天津实验室输送和测试系统、橡胶圈快速检测系统、硫化车间生产群控系统、炼胶车间条码防 误及产品追溯系统等。其中一次法混炼新技术与应用经中国化工学会鉴定，鉴定委员会一致认为该项目具 有炼胶质量好、自动化程度高、生产效率高、能源消耗低、环境友好的特点，形成了配方、工艺与装备及 产品应用的成套技术，创新性显著，建成国内领先的一次法炼胶新技术体系，为产业升级腾飞筑基加力。</w:t>
      </w:r>
    </w:p>
    <w:p>
      <w:pPr>
        <w:pStyle w:val="Style40"/>
        <w:keepNext w:val="0"/>
        <w:keepLines w:val="0"/>
        <w:widowControl w:val="0"/>
        <w:shd w:val="clear" w:color="auto" w:fill="auto"/>
        <w:bidi w:val="0"/>
        <w:spacing w:before="0" w:after="420" w:line="315" w:lineRule="exact"/>
        <w:ind w:left="0" w:right="0" w:firstLine="360"/>
        <w:jc w:val="both"/>
      </w:pPr>
      <w:r>
        <w:rPr>
          <w:color w:val="000000"/>
          <w:spacing w:val="0"/>
          <w:w w:val="100"/>
          <w:position w:val="0"/>
        </w:rPr>
        <w:t>公司将进一步加强研发中心的建设，保证公司技术的领先水平，不断为公司后续发展储备内生增长动 力，不断完善研发管理机制，促进研发成果的快速转换，通过强化自主创新持续夯实和深化企业核心竞争 力，全面提升公司的整体实力。</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15,579,409.50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14,049,133.01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13,466,560.88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120,584,279.73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129,170,660.42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165,966,111.25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163,321,851.13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-45,381,831.52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-34,151,190.71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68,837,992.65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278,896.78%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102,959,870.51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85,941,257.76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-34,121,877.86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-85,916,584.36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180,961,300.00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14,324,106.17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37,452,749.77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52,875,893.83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143,508,550.23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-25,793,878.95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24,327,472.52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w:t>
            </w:r>
          </w:p>
        </w:tc>
      </w:tr>
    </w:tbl>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报告期内，经营活动现金流量净额较去年同期下降</w:t>
      </w:r>
      <w:r>
        <w:rPr>
          <w:rFonts w:ascii="Times New Roman" w:eastAsia="Times New Roman" w:hAnsi="Times New Roman" w:cs="Times New Roman"/>
          <w:color w:val="000000"/>
          <w:spacing w:val="0"/>
          <w:w w:val="100"/>
          <w:position w:val="0"/>
        </w:rPr>
        <w:t>32.89%</w:t>
      </w:r>
      <w:r>
        <w:rPr>
          <w:color w:val="000000"/>
          <w:spacing w:val="0"/>
          <w:w w:val="100"/>
          <w:position w:val="0"/>
        </w:rPr>
        <w:t>,主要系本期销售商品收到的现金及收到的税费返还下降所致； 报告期内，投资活动现金流量净额较去年同期增长</w:t>
      </w:r>
      <w:r>
        <w:rPr>
          <w:rFonts w:ascii="Times New Roman" w:eastAsia="Times New Roman" w:hAnsi="Times New Roman" w:cs="Times New Roman"/>
          <w:color w:val="000000"/>
          <w:spacing w:val="0"/>
          <w:w w:val="100"/>
          <w:position w:val="0"/>
        </w:rPr>
        <w:t>60.28%</w:t>
      </w:r>
      <w:r>
        <w:rPr>
          <w:color w:val="000000"/>
          <w:spacing w:val="0"/>
          <w:w w:val="100"/>
          <w:position w:val="0"/>
        </w:rPr>
        <w:t>，主要系本期理财产品到期所致；</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报告期内，筹资活动现金流量净额较去年同期减少</w:t>
      </w:r>
      <w:r>
        <w:rPr>
          <w:rFonts w:ascii="Times New Roman" w:eastAsia="Times New Roman" w:hAnsi="Times New Roman" w:cs="Times New Roman"/>
          <w:color w:val="000000"/>
          <w:spacing w:val="0"/>
          <w:w w:val="100"/>
          <w:position w:val="0"/>
        </w:rPr>
        <w:t>63.15%</w:t>
      </w:r>
      <w:r>
        <w:rPr>
          <w:color w:val="000000"/>
          <w:spacing w:val="0"/>
          <w:w w:val="100"/>
          <w:position w:val="0"/>
        </w:rPr>
        <w:t>，主要系去年同期首次公开发行新股，收到募集资金，而本期未 发生募集资金事项所致。</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本期经营活动产生的现金净流量与本年度净利润存在较大差异，由于受国内经济环境的影响，销售商品收到的现金减少，导 致经营活动现金净流量下降。</w:t>
      </w:r>
    </w:p>
    <w:p>
      <w:pPr>
        <w:pStyle w:val="Style26"/>
        <w:keepNext/>
        <w:keepLines/>
        <w:widowControl w:val="0"/>
        <w:shd w:val="clear" w:color="auto" w:fill="auto"/>
        <w:bidi w:val="0"/>
        <w:spacing w:before="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sz w:val="24"/>
          <w:szCs w:val="24"/>
        </w:rPr>
        <w:t>三</w:t>
      </w:r>
      <w:bookmarkEnd w:id="155"/>
      <w:r>
        <w:rPr>
          <w:color w:val="000000"/>
          <w:spacing w:val="0"/>
          <w:w w:val="100"/>
          <w:position w:val="0"/>
          <w:sz w:val="24"/>
          <w:szCs w:val="24"/>
        </w:rPr>
        <w:t>、非主营业务情况</w:t>
      </w:r>
      <w:bookmarkEnd w:id="153"/>
      <w:bookmarkEnd w:id="154"/>
      <w:bookmarkEnd w:id="156"/>
    </w:p>
    <w:p>
      <w:pPr>
        <w:pStyle w:val="Style30"/>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15,065,685.95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3,376,277.07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处置非流动资产损失、固定 资产损失等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四</w:t>
      </w:r>
      <w:bookmarkEnd w:id="159"/>
      <w:r>
        <w:rPr>
          <w:color w:val="000000"/>
          <w:spacing w:val="0"/>
          <w:w w:val="100"/>
          <w:position w:val="0"/>
          <w:sz w:val="24"/>
          <w:szCs w:val="24"/>
        </w:rPr>
        <w:t>、资产及负债状况</w:t>
      </w:r>
      <w:bookmarkEnd w:id="157"/>
      <w:bookmarkEnd w:id="158"/>
      <w:bookmarkEnd w:id="160"/>
    </w:p>
    <w:p>
      <w:pPr>
        <w:pStyle w:val="Style36"/>
        <w:keepNext/>
        <w:keepLines/>
        <w:widowControl w:val="0"/>
        <w:shd w:val="clear" w:color="auto" w:fill="auto"/>
        <w:bidi w:val="0"/>
        <w:spacing w:before="0" w:after="32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70,552,270.66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92,559,444.77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220,030,500.1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142,162,445.25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73,246,441.02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83,511,791.16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123,779,804.7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42,957,794.75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46,630,053.94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29,242,401.03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tabs>
          <w:tab w:pos="378" w:val="left"/>
        </w:tabs>
        <w:bidi w:val="0"/>
        <w:spacing w:before="0" w:after="32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以公允价值计量的资产和负债</w:t>
      </w:r>
      <w:bookmarkEnd w:id="165"/>
      <w:bookmarkEnd w:id="166"/>
      <w:bookmarkEnd w:id="168"/>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2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截至报告期末的资产权利受限情况</w:t>
      </w:r>
      <w:bookmarkEnd w:id="169"/>
      <w:bookmarkEnd w:id="170"/>
      <w:bookmarkEnd w:id="172"/>
    </w:p>
    <w:p>
      <w:pPr>
        <w:pStyle w:val="Style51"/>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日以本公司及子公司万向新元工程商用房作为抵押与北京银行北京总部基地支 行签订综合授信合同，授信额度</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w:t>
      </w:r>
    </w:p>
    <w:p>
      <w:pPr>
        <w:pStyle w:val="Style26"/>
        <w:keepNext/>
        <w:keepLines/>
        <w:widowControl w:val="0"/>
        <w:shd w:val="clear" w:color="auto" w:fill="auto"/>
        <w:bidi w:val="0"/>
        <w:spacing w:before="0" w:after="320" w:line="317" w:lineRule="exact"/>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五</w:t>
      </w:r>
      <w:bookmarkEnd w:id="175"/>
      <w:r>
        <w:rPr>
          <w:color w:val="000000"/>
          <w:spacing w:val="0"/>
          <w:w w:val="100"/>
          <w:position w:val="0"/>
          <w:sz w:val="24"/>
          <w:szCs w:val="24"/>
        </w:rPr>
        <w:t>、投资状况分析</w:t>
      </w:r>
      <w:bookmarkEnd w:id="173"/>
      <w:bookmarkEnd w:id="174"/>
      <w:bookmarkEnd w:id="176"/>
    </w:p>
    <w:p>
      <w:pPr>
        <w:pStyle w:val="Style36"/>
        <w:keepNext/>
        <w:keepLines/>
        <w:widowControl w:val="0"/>
        <w:shd w:val="clear" w:color="auto" w:fill="auto"/>
        <w:bidi w:val="0"/>
        <w:spacing w:before="0" w:after="32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30"/>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numPr>
          <w:ilvl w:val="0"/>
          <w:numId w:val="7"/>
        </w:numPr>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bookmarkEnd w:id="199"/>
      <w:r>
        <w:rPr>
          <w:color w:val="000000"/>
          <w:spacing w:val="0"/>
          <w:w w:val="100"/>
          <w:position w:val="0"/>
        </w:rPr>
        <w:t>募集资金总体使用情况</w:t>
      </w:r>
      <w:bookmarkEnd w:id="197"/>
      <w:bookmarkEnd w:id="198"/>
      <w:bookmarkEnd w:id="200"/>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累计变更 用途的募 集资金总</w:t>
            </w:r>
          </w:p>
          <w:p>
            <w:pPr>
              <w:pStyle w:val="Style21"/>
              <w:keepNext w:val="0"/>
              <w:keepLines w:val="0"/>
              <w:widowControl w:val="0"/>
              <w:shd w:val="clear" w:color="auto" w:fill="auto"/>
              <w:bidi w:val="0"/>
              <w:spacing w:before="0" w:after="0" w:line="312" w:lineRule="exact"/>
              <w:ind w:left="0" w:right="0" w:firstLine="340"/>
              <w:jc w:val="left"/>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尚未使用 募集资金 用途及去</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公开发行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存放于募 集资金专 用账户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4,107.28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年度，公司募集资金使用情况为：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日，公司第二届董事会第十二次会议通过了《关于使用部分闲置募 集资金暂时补充流动资金事项的议案》，同意公司使用部分闲置募集资金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8"/>
                <w:szCs w:val="18"/>
              </w:rPr>
              <w:t>万元暂时性补充流动资金。</w:t>
            </w:r>
          </w:p>
        </w:tc>
      </w:tr>
    </w:tbl>
    <w:p>
      <w:pPr>
        <w:widowControl w:val="0"/>
        <w:spacing w:after="299" w:line="1" w:lineRule="exact"/>
      </w:pPr>
    </w:p>
    <w:p>
      <w:pPr>
        <w:pStyle w:val="Style36"/>
        <w:keepNext/>
        <w:keepLines/>
        <w:widowControl w:val="0"/>
        <w:numPr>
          <w:ilvl w:val="0"/>
          <w:numId w:val="7"/>
        </w:numPr>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bookmarkEnd w:id="203"/>
      <w:r>
        <w:rPr>
          <w:color w:val="000000"/>
          <w:spacing w:val="0"/>
          <w:w w:val="100"/>
          <w:position w:val="0"/>
        </w:rPr>
        <w:t>募集资金承诺项目情况</w:t>
      </w:r>
      <w:bookmarkEnd w:id="201"/>
      <w:bookmarkEnd w:id="202"/>
      <w:bookmarkEnd w:id="204"/>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2" w:lineRule="exact"/>
              <w:ind w:left="0" w:right="0" w:firstLine="0"/>
              <w:jc w:val="center"/>
              <w:rPr>
                <w:sz w:val="18"/>
                <w:szCs w:val="18"/>
              </w:rPr>
            </w:pPr>
            <w:r>
              <w:rPr>
                <w:color w:val="000000"/>
                <w:spacing w:val="0"/>
                <w:w w:val="100"/>
                <w:position w:val="0"/>
                <w:sz w:val="18"/>
                <w:szCs w:val="18"/>
              </w:rPr>
              <w:t>调整后投 资总额</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07" w:lineRule="exact"/>
              <w:ind w:left="0" w:right="0" w:firstLine="0"/>
              <w:jc w:val="left"/>
              <w:rPr>
                <w:sz w:val="18"/>
                <w:szCs w:val="18"/>
              </w:rPr>
            </w:pPr>
            <w:r>
              <w:rPr>
                <w:color w:val="000000"/>
                <w:spacing w:val="0"/>
                <w:w w:val="100"/>
                <w:position w:val="0"/>
                <w:sz w:val="18"/>
                <w:szCs w:val="18"/>
              </w:rPr>
              <w:t>截至期末 投资进度</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项目达到 预定可使 用状态日</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 xml:space="preserve">本报告期 实现的效 </w:t>
            </w:r>
            <w:r>
              <w:rPr>
                <w:color w:val="000000"/>
                <w:spacing w:val="0"/>
                <w:w w:val="100"/>
                <w:position w:val="0"/>
                <w:sz w:val="18"/>
                <w:szCs w:val="18"/>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是否达到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项目可行 性是否发 生重大变</w:t>
            </w:r>
          </w:p>
          <w:p>
            <w:pPr>
              <w:pStyle w:val="Style21"/>
              <w:keepNext w:val="0"/>
              <w:keepLines w:val="0"/>
              <w:widowControl w:val="0"/>
              <w:shd w:val="clear" w:color="auto" w:fill="auto"/>
              <w:bidi w:val="0"/>
              <w:spacing w:before="0" w:after="0" w:line="307" w:lineRule="exact"/>
              <w:ind w:left="0" w:right="300" w:firstLine="0"/>
              <w:jc w:val="right"/>
              <w:rPr>
                <w:sz w:val="18"/>
                <w:szCs w:val="18"/>
              </w:rPr>
            </w:pPr>
            <w:r>
              <w:rPr>
                <w:color w:val="000000"/>
                <w:spacing w:val="0"/>
                <w:w w:val="100"/>
                <w:position w:val="0"/>
                <w:sz w:val="18"/>
                <w:szCs w:val="18"/>
              </w:rPr>
              <w:t>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智能化输送配料系统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募集资金到位后，经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年第二届董事会第六次会议审议通过《关于使 用募集资金置换预先已投入募集资金投资项目的自筹资金》的议案，公司以募集资金置换预先已投 入募集资金投资项目的自筹资金</w:t>
            </w:r>
            <w:r>
              <w:rPr>
                <w:rFonts w:ascii="Times New Roman" w:eastAsia="Times New Roman" w:hAnsi="Times New Roman" w:cs="Times New Roman"/>
                <w:color w:val="000000"/>
                <w:spacing w:val="0"/>
                <w:w w:val="100"/>
                <w:position w:val="0"/>
                <w:sz w:val="18"/>
                <w:szCs w:val="18"/>
              </w:rPr>
              <w:t>2,187.68</w:t>
            </w:r>
            <w:r>
              <w:rPr>
                <w:color w:val="000000"/>
                <w:spacing w:val="0"/>
                <w:w w:val="100"/>
                <w:position w:val="0"/>
                <w:sz w:val="18"/>
                <w:szCs w:val="18"/>
              </w:rPr>
              <w:t>万元。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用闲置募集资金暂时 补充流动资金情况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日，公司第二届董事会第十二次会议通过了《关于使用部分闲置募集资金暂时补充 流动资金事项的议案》，同意公司使用部分闲置募集资金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8"/>
                <w:szCs w:val="18"/>
              </w:rPr>
              <w:t>万元暂时性补充流动资金。</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项目实施出现募集资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金结余的金额及原因</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尚未使用的募集资金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用途及去向</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尚未使用的募集资金仍存放于募集资金专用账户，募集资金用途未发生变更。</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299" w:line="1" w:lineRule="exact"/>
      </w:pPr>
    </w:p>
    <w:p>
      <w:pPr>
        <w:pStyle w:val="Style36"/>
        <w:keepNext/>
        <w:keepLines/>
        <w:widowControl w:val="0"/>
        <w:numPr>
          <w:ilvl w:val="0"/>
          <w:numId w:val="7"/>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募集资金变更项目情况</w:t>
      </w:r>
      <w:bookmarkEnd w:id="205"/>
      <w:bookmarkEnd w:id="206"/>
      <w:bookmarkEnd w:id="208"/>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31"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重大资产和股权出售</w:t>
      </w:r>
      <w:bookmarkEnd w:id="209"/>
      <w:bookmarkEnd w:id="210"/>
      <w:bookmarkEnd w:id="212"/>
    </w:p>
    <w:p>
      <w:pPr>
        <w:pStyle w:val="Style36"/>
        <w:keepNext/>
        <w:keepLines/>
        <w:widowControl w:val="0"/>
        <w:shd w:val="clear" w:color="auto" w:fill="auto"/>
        <w:tabs>
          <w:tab w:pos="531" w:val="left"/>
        </w:tabs>
        <w:bidi w:val="0"/>
        <w:spacing w:before="0" w:after="280" w:line="326"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531" w:val="left"/>
        </w:tabs>
        <w:bidi w:val="0"/>
        <w:spacing w:before="0" w:after="280" w:line="326"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31"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w:t>
        <w:tab/>
        <w:t>主要控股参股公司分析</w:t>
      </w:r>
      <w:bookmarkEnd w:id="221"/>
      <w:bookmarkEnd w:id="222"/>
      <w:bookmarkEnd w:id="224"/>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26"/>
        <w:keepNext/>
        <w:keepLines/>
        <w:widowControl w:val="0"/>
        <w:shd w:val="clear" w:color="auto" w:fill="auto"/>
        <w:tabs>
          <w:tab w:pos="531"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31" w:val="left"/>
        </w:tabs>
        <w:bidi w:val="0"/>
        <w:spacing w:before="0" w:after="2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40"/>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近几年，随着汽车工业的迅速发展和国家基础建设的巨大投入，轮胎橡胶行业发展迅猛，市场需求快 速增长。随着经济创新改革之路的发展，橡胶机械行业也处于持续优化的转型阶段。轮胎行业正在向绿色 制造、绿色产品方向发展，这给橡胶机械发展提供了较大的挑战和机遇，从绿色化、标准化、信息化、国 际化等方面入手，让产品实现全面升级，扩展市场容量与生存空间，是橡胶机械行业未来发展的新方向。 由于公司拥有丰富的人才资源、技术资源、市场资源，只要能抓住机遇，发展前景非常广阔。技术水平在 国内、外均属于领先地位，市场潜力巨大，设备和技术成熟，具有很好的发展前景。</w:t>
      </w:r>
    </w:p>
    <w:p>
      <w:pPr>
        <w:pStyle w:val="Style40"/>
        <w:keepNext w:val="0"/>
        <w:keepLines w:val="0"/>
        <w:widowControl w:val="0"/>
        <w:numPr>
          <w:ilvl w:val="0"/>
          <w:numId w:val="9"/>
        </w:numPr>
        <w:shd w:val="clear" w:color="auto" w:fill="auto"/>
        <w:tabs>
          <w:tab w:pos="755" w:val="left"/>
        </w:tabs>
        <w:bidi w:val="0"/>
        <w:spacing w:before="0" w:after="0" w:line="326" w:lineRule="auto"/>
        <w:ind w:left="0" w:right="0" w:firstLine="440"/>
        <w:jc w:val="both"/>
      </w:pPr>
      <w:bookmarkStart w:id="233" w:name="bookmark233"/>
      <w:bookmarkEnd w:id="233"/>
      <w:r>
        <w:rPr>
          <w:color w:val="000000"/>
          <w:spacing w:val="0"/>
          <w:w w:val="100"/>
          <w:position w:val="0"/>
        </w:rPr>
        <w:t>发展战略</w:t>
      </w:r>
    </w:p>
    <w:p>
      <w:pPr>
        <w:pStyle w:val="Style4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根据客户资源的分布情况，公司规划在未来以北京总部为中心，建立天津、安徽生产、研发、服务体 系，以满足市场快速发展的需要，也将大大缩短工厂与华东、华南、中、西部客户之间的距离，解决业务 的地域均衡性、打造快捷服务体系，推动企业的快速发展和提高加工实力。公司抓住市场需求和技术储备 带来的发展机遇，做好技术研发和市场推广工作，在提高自身主业核心竞争力的同时，对行业的技术发展 做出了贡献。在今后的五年内，公司有着明确的目标和发展计划：</w:t>
      </w:r>
    </w:p>
    <w:p>
      <w:pPr>
        <w:pStyle w:val="Style40"/>
        <w:keepNext w:val="0"/>
        <w:keepLines w:val="0"/>
        <w:widowControl w:val="0"/>
        <w:numPr>
          <w:ilvl w:val="0"/>
          <w:numId w:val="11"/>
        </w:numPr>
        <w:shd w:val="clear" w:color="auto" w:fill="auto"/>
        <w:tabs>
          <w:tab w:pos="810" w:val="left"/>
        </w:tabs>
        <w:bidi w:val="0"/>
        <w:spacing w:before="0" w:after="120" w:line="312" w:lineRule="exact"/>
        <w:ind w:left="0" w:right="0" w:firstLine="440"/>
        <w:jc w:val="both"/>
      </w:pPr>
      <w:bookmarkStart w:id="234" w:name="bookmark234"/>
      <w:bookmarkEnd w:id="234"/>
      <w:r>
        <w:rPr>
          <w:color w:val="000000"/>
          <w:spacing w:val="0"/>
          <w:w w:val="100"/>
          <w:position w:val="0"/>
        </w:rPr>
        <w:t>继续引进优秀人才，充实研发队伍，大力加强对研发中心建设的投入，根据技术划分，分别成立三 个研发中心：配料技术应用研发中心、物联网及信息化研发中心、环保设备研发中心。</w:t>
      </w:r>
    </w:p>
    <w:p>
      <w:pPr>
        <w:pStyle w:val="Style40"/>
        <w:keepNext w:val="0"/>
        <w:keepLines w:val="0"/>
        <w:widowControl w:val="0"/>
        <w:numPr>
          <w:ilvl w:val="0"/>
          <w:numId w:val="11"/>
        </w:numPr>
        <w:shd w:val="clear" w:color="auto" w:fill="auto"/>
        <w:tabs>
          <w:tab w:pos="810" w:val="left"/>
        </w:tabs>
        <w:bidi w:val="0"/>
        <w:spacing w:before="0" w:after="120" w:line="317" w:lineRule="exact"/>
        <w:ind w:left="0" w:right="0" w:firstLine="440"/>
        <w:jc w:val="both"/>
      </w:pPr>
      <w:bookmarkStart w:id="235" w:name="bookmark235"/>
      <w:bookmarkEnd w:id="235"/>
      <w:r>
        <w:rPr>
          <w:color w:val="000000"/>
          <w:spacing w:val="0"/>
          <w:w w:val="100"/>
          <w:position w:val="0"/>
        </w:rPr>
        <w:t>做好研究成果知识产权的申报工作，积极参与申报项目国家和行业标准的制定，做好新技术成果市 场化工作。</w:t>
      </w:r>
    </w:p>
    <w:p>
      <w:pPr>
        <w:pStyle w:val="Style40"/>
        <w:keepNext w:val="0"/>
        <w:keepLines w:val="0"/>
        <w:widowControl w:val="0"/>
        <w:numPr>
          <w:ilvl w:val="0"/>
          <w:numId w:val="11"/>
        </w:numPr>
        <w:shd w:val="clear" w:color="auto" w:fill="auto"/>
        <w:tabs>
          <w:tab w:pos="837" w:val="left"/>
        </w:tabs>
        <w:bidi w:val="0"/>
        <w:spacing w:before="0" w:after="120" w:line="312" w:lineRule="exact"/>
        <w:ind w:left="0" w:right="0" w:firstLine="440"/>
        <w:jc w:val="both"/>
      </w:pPr>
      <w:bookmarkStart w:id="236" w:name="bookmark236"/>
      <w:bookmarkEnd w:id="236"/>
      <w:r>
        <w:rPr>
          <w:color w:val="000000"/>
          <w:spacing w:val="0"/>
          <w:w w:val="100"/>
          <w:position w:val="0"/>
        </w:rPr>
        <w:t>实行品牌战略，做好产品推广和公司形象的打造。</w:t>
      </w:r>
    </w:p>
    <w:p>
      <w:pPr>
        <w:pStyle w:val="Style40"/>
        <w:keepNext w:val="0"/>
        <w:keepLines w:val="0"/>
        <w:widowControl w:val="0"/>
        <w:numPr>
          <w:ilvl w:val="0"/>
          <w:numId w:val="11"/>
        </w:numPr>
        <w:shd w:val="clear" w:color="auto" w:fill="auto"/>
        <w:tabs>
          <w:tab w:pos="837" w:val="left"/>
        </w:tabs>
        <w:bidi w:val="0"/>
        <w:spacing w:before="0" w:after="160" w:line="312" w:lineRule="exact"/>
        <w:ind w:left="0" w:right="0" w:firstLine="440"/>
        <w:jc w:val="left"/>
      </w:pPr>
      <w:bookmarkStart w:id="237" w:name="bookmark237"/>
      <w:bookmarkEnd w:id="237"/>
      <w:r>
        <w:rPr>
          <w:color w:val="000000"/>
          <w:spacing w:val="0"/>
          <w:w w:val="100"/>
          <w:position w:val="0"/>
        </w:rPr>
        <w:t>通过资本市场和品牌战略，提升综合实力和影响力，实现公司集团化、国际化。</w:t>
      </w:r>
    </w:p>
    <w:p>
      <w:pPr>
        <w:pStyle w:val="Style40"/>
        <w:keepNext w:val="0"/>
        <w:keepLines w:val="0"/>
        <w:widowControl w:val="0"/>
        <w:numPr>
          <w:ilvl w:val="0"/>
          <w:numId w:val="9"/>
        </w:numPr>
        <w:shd w:val="clear" w:color="auto" w:fill="auto"/>
        <w:tabs>
          <w:tab w:pos="774" w:val="left"/>
        </w:tabs>
        <w:bidi w:val="0"/>
        <w:spacing w:before="0" w:after="280" w:line="326" w:lineRule="auto"/>
        <w:ind w:left="0" w:right="0" w:firstLine="440"/>
        <w:jc w:val="both"/>
      </w:pPr>
      <w:bookmarkStart w:id="238" w:name="bookmark238"/>
      <w:bookmarkEnd w:id="238"/>
      <w:r>
        <w:rPr>
          <w:color w:val="000000"/>
          <w:spacing w:val="0"/>
          <w:w w:val="100"/>
          <w:position w:val="0"/>
        </w:rPr>
        <w:t>人力资源</w:t>
      </w:r>
    </w:p>
    <w:p>
      <w:pPr>
        <w:pStyle w:val="Style40"/>
        <w:keepNext w:val="0"/>
        <w:keepLines w:val="0"/>
        <w:widowControl w:val="0"/>
        <w:shd w:val="clear" w:color="auto" w:fill="auto"/>
        <w:bidi w:val="0"/>
        <w:spacing w:before="0" w:after="100" w:line="317" w:lineRule="exact"/>
        <w:ind w:left="0" w:right="0" w:firstLine="420"/>
        <w:jc w:val="both"/>
      </w:pPr>
      <w:r>
        <w:rPr>
          <w:color w:val="000000"/>
          <w:spacing w:val="0"/>
          <w:w w:val="100"/>
          <w:position w:val="0"/>
        </w:rPr>
        <w:t>人才是企业发展的核心之源，为保证企业高效运作，更需要高端的管理人才实施有效的组织协调，因 此公司必须站在战略的高度，建立完善的人力资源选育、用留管理体系，为企业长期持续发展提供人才支 撑。</w:t>
      </w:r>
    </w:p>
    <w:p>
      <w:pPr>
        <w:pStyle w:val="Style40"/>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公司注重引进专业的管理人才和高端技术人才，导入新的管理思路和理念，促进内部经营管理水平不 断提升。通过接班人计划选拔建立管理梯队，考核岗位能力胜任，有效评价现有人员的能力和水平，为优 秀人才提供广阔的空间和舞台。根据人员需求，公司建立与多家人才中介机构及猎头公司的合作关系；根 据业务增长，不断引进人才充实到管理、技术、营销、服务等岗位，为公司持续快速发展提供不竭的源动 力。</w:t>
      </w:r>
    </w:p>
    <w:p>
      <w:pPr>
        <w:pStyle w:val="Style40"/>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其次，建立层级培训体系，多方位推进管理水平和业务技能提升。针对高层管理者开展外部培训，提 升战略决策能力。针对中层管理者开展内外部相结合的培训，提升综合管理能力。针对现场员工开展操作 技能培训和技术竞赛，实现现场操作标准化作业。</w:t>
      </w:r>
    </w:p>
    <w:p>
      <w:pPr>
        <w:pStyle w:val="Style40"/>
        <w:keepNext w:val="0"/>
        <w:keepLines w:val="0"/>
        <w:widowControl w:val="0"/>
        <w:shd w:val="clear" w:color="auto" w:fill="auto"/>
        <w:bidi w:val="0"/>
        <w:spacing w:before="0" w:after="160" w:line="312" w:lineRule="exact"/>
        <w:ind w:left="0" w:right="0" w:firstLine="420"/>
        <w:jc w:val="both"/>
      </w:pPr>
      <w:r>
        <w:rPr>
          <w:color w:val="000000"/>
          <w:spacing w:val="0"/>
          <w:w w:val="100"/>
          <w:position w:val="0"/>
        </w:rPr>
        <w:t>最后，完善绩效管理体系和薪酬体系，建立薪酬、绩效和经营业绩挂钩的动态薪酬体系，通过绩效管 理充分调动员工的主观能动性，并且建立晋升体系，结合员工个人职业生涯规划，使员工从管理和专业通 道获得晋升。</w:t>
      </w:r>
    </w:p>
    <w:p>
      <w:pPr>
        <w:pStyle w:val="Style40"/>
        <w:keepNext w:val="0"/>
        <w:keepLines w:val="0"/>
        <w:widowControl w:val="0"/>
        <w:numPr>
          <w:ilvl w:val="0"/>
          <w:numId w:val="9"/>
        </w:numPr>
        <w:shd w:val="clear" w:color="auto" w:fill="auto"/>
        <w:tabs>
          <w:tab w:pos="704" w:val="left"/>
        </w:tabs>
        <w:bidi w:val="0"/>
        <w:spacing w:before="0" w:after="0" w:line="326" w:lineRule="auto"/>
        <w:ind w:left="0" w:right="0" w:firstLine="420"/>
        <w:jc w:val="both"/>
      </w:pPr>
      <w:bookmarkStart w:id="239" w:name="bookmark239"/>
      <w:bookmarkEnd w:id="239"/>
      <w:r>
        <w:rPr>
          <w:color w:val="000000"/>
          <w:spacing w:val="0"/>
          <w:w w:val="100"/>
          <w:position w:val="0"/>
        </w:rPr>
        <w:t>企业文化</w:t>
      </w:r>
    </w:p>
    <w:p>
      <w:pPr>
        <w:pStyle w:val="Style40"/>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企业的文化建设是企业发展的催化剂，更是企业持续健康发展的基础。公司的核心价值观是</w:t>
      </w:r>
      <w:r>
        <w:rPr>
          <w:rFonts w:ascii="Times New Roman" w:eastAsia="Times New Roman" w:hAnsi="Times New Roman" w:cs="Times New Roman"/>
          <w:color w:val="000000"/>
          <w:spacing w:val="0"/>
          <w:w w:val="100"/>
          <w:position w:val="0"/>
        </w:rPr>
        <w:t>“</w:t>
      </w:r>
      <w:r>
        <w:rPr>
          <w:color w:val="000000"/>
          <w:spacing w:val="0"/>
          <w:w w:val="100"/>
          <w:position w:val="0"/>
        </w:rPr>
        <w:t>成为世 界级品牌企业''、</w:t>
      </w:r>
      <w:r>
        <w:rPr>
          <w:rFonts w:ascii="Times New Roman" w:eastAsia="Times New Roman" w:hAnsi="Times New Roman" w:cs="Times New Roman"/>
          <w:color w:val="000000"/>
          <w:spacing w:val="0"/>
          <w:w w:val="100"/>
          <w:position w:val="0"/>
        </w:rPr>
        <w:t>“</w:t>
      </w:r>
      <w:r>
        <w:rPr>
          <w:color w:val="000000"/>
          <w:spacing w:val="0"/>
          <w:w w:val="100"/>
          <w:position w:val="0"/>
        </w:rPr>
        <w:t>发展核心技术体系''、</w:t>
      </w:r>
      <w:r>
        <w:rPr>
          <w:rFonts w:ascii="Times New Roman" w:eastAsia="Times New Roman" w:hAnsi="Times New Roman" w:cs="Times New Roman"/>
          <w:color w:val="000000"/>
          <w:spacing w:val="0"/>
          <w:w w:val="100"/>
          <w:position w:val="0"/>
        </w:rPr>
        <w:t>“</w:t>
      </w:r>
      <w:r>
        <w:rPr>
          <w:color w:val="000000"/>
          <w:spacing w:val="0"/>
          <w:w w:val="100"/>
          <w:position w:val="0"/>
        </w:rPr>
        <w:t>员工是企业最大的财富''及</w:t>
      </w:r>
      <w:r>
        <w:rPr>
          <w:rFonts w:ascii="Times New Roman" w:eastAsia="Times New Roman" w:hAnsi="Times New Roman" w:cs="Times New Roman"/>
          <w:color w:val="000000"/>
          <w:spacing w:val="0"/>
          <w:w w:val="100"/>
          <w:position w:val="0"/>
        </w:rPr>
        <w:t>“</w:t>
      </w:r>
      <w:r>
        <w:rPr>
          <w:color w:val="000000"/>
          <w:spacing w:val="0"/>
          <w:w w:val="100"/>
          <w:position w:val="0"/>
        </w:rPr>
        <w:t>合作营造利益共同体</w:t>
      </w:r>
      <w:r>
        <w:rPr>
          <w:color w:val="000000"/>
          <w:spacing w:val="0"/>
          <w:w w:val="100"/>
          <w:position w:val="0"/>
        </w:rPr>
        <w:t>''；</w:t>
      </w:r>
      <w:r>
        <w:rPr>
          <w:color w:val="000000"/>
          <w:spacing w:val="0"/>
          <w:w w:val="100"/>
          <w:position w:val="0"/>
        </w:rPr>
        <w:t>管理方针是</w:t>
      </w:r>
      <w:r>
        <w:rPr>
          <w:rFonts w:ascii="Times New Roman" w:eastAsia="Times New Roman" w:hAnsi="Times New Roman" w:cs="Times New Roman"/>
          <w:color w:val="000000"/>
          <w:spacing w:val="0"/>
          <w:w w:val="100"/>
          <w:position w:val="0"/>
        </w:rPr>
        <w:t>“</w:t>
      </w:r>
      <w:r>
        <w:rPr>
          <w:color w:val="000000"/>
          <w:spacing w:val="0"/>
          <w:w w:val="100"/>
          <w:position w:val="0"/>
        </w:rPr>
        <w:t>管 理以制度为基，以人为本</w:t>
      </w:r>
      <w:r>
        <w:rPr>
          <w:color w:val="000000"/>
          <w:spacing w:val="0"/>
          <w:w w:val="100"/>
          <w:position w:val="0"/>
        </w:rPr>
        <w:t>''；</w:t>
      </w:r>
      <w:r>
        <w:rPr>
          <w:color w:val="000000"/>
          <w:spacing w:val="0"/>
          <w:w w:val="100"/>
          <w:position w:val="0"/>
        </w:rPr>
        <w:t>经营理念是</w:t>
      </w:r>
      <w:r>
        <w:rPr>
          <w:rFonts w:ascii="Times New Roman" w:eastAsia="Times New Roman" w:hAnsi="Times New Roman" w:cs="Times New Roman"/>
          <w:color w:val="000000"/>
          <w:spacing w:val="0"/>
          <w:w w:val="100"/>
          <w:position w:val="0"/>
        </w:rPr>
        <w:t>“</w:t>
      </w:r>
      <w:r>
        <w:rPr>
          <w:color w:val="000000"/>
          <w:spacing w:val="0"/>
          <w:w w:val="100"/>
          <w:position w:val="0"/>
        </w:rPr>
        <w:t>诚信合作</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精益求精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多边共赢''及</w:t>
      </w:r>
      <w:r>
        <w:rPr>
          <w:rFonts w:ascii="Times New Roman" w:eastAsia="Times New Roman" w:hAnsi="Times New Roman" w:cs="Times New Roman"/>
          <w:color w:val="000000"/>
          <w:spacing w:val="0"/>
          <w:w w:val="100"/>
          <w:position w:val="0"/>
        </w:rPr>
        <w:t>“</w:t>
      </w:r>
      <w:r>
        <w:rPr>
          <w:color w:val="000000"/>
          <w:spacing w:val="0"/>
          <w:w w:val="100"/>
          <w:position w:val="0"/>
        </w:rPr>
        <w:t>共荣共享</w:t>
      </w:r>
      <w:r>
        <w:rPr>
          <w:color w:val="000000"/>
          <w:spacing w:val="0"/>
          <w:w w:val="100"/>
          <w:position w:val="0"/>
        </w:rPr>
        <w:t>''；</w:t>
      </w:r>
      <w:r>
        <w:rPr>
          <w:color w:val="000000"/>
          <w:spacing w:val="0"/>
          <w:w w:val="100"/>
          <w:position w:val="0"/>
        </w:rPr>
        <w:t>执行力文化 也是公司的重要文化之一：</w:t>
      </w:r>
      <w:r>
        <w:rPr>
          <w:rFonts w:ascii="Times New Roman" w:eastAsia="Times New Roman" w:hAnsi="Times New Roman" w:cs="Times New Roman"/>
          <w:color w:val="000000"/>
          <w:spacing w:val="0"/>
          <w:w w:val="100"/>
          <w:position w:val="0"/>
        </w:rPr>
        <w:t>“</w:t>
      </w:r>
      <w:r>
        <w:rPr>
          <w:color w:val="000000"/>
          <w:spacing w:val="0"/>
          <w:w w:val="100"/>
          <w:position w:val="0"/>
        </w:rPr>
        <w:t>注重承诺</w:t>
      </w:r>
      <w:r>
        <w:rPr>
          <w:rFonts w:ascii="Times New Roman" w:eastAsia="Times New Roman" w:hAnsi="Times New Roman" w:cs="Times New Roman"/>
          <w:color w:val="000000"/>
          <w:spacing w:val="0"/>
          <w:w w:val="100"/>
          <w:position w:val="0"/>
        </w:rPr>
        <w:t>“</w:t>
      </w:r>
      <w:r>
        <w:rPr>
          <w:color w:val="000000"/>
          <w:spacing w:val="0"/>
          <w:w w:val="100"/>
          <w:position w:val="0"/>
        </w:rPr>
        <w:t>责任心</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强调以结果为导向</w:t>
      </w:r>
    </w:p>
    <w:p>
      <w:pPr>
        <w:pStyle w:val="Style40"/>
        <w:keepNext w:val="0"/>
        <w:keepLines w:val="0"/>
        <w:widowControl w:val="0"/>
        <w:shd w:val="clear" w:color="auto" w:fill="auto"/>
        <w:bidi w:val="0"/>
        <w:spacing w:before="0" w:after="160" w:line="312" w:lineRule="exact"/>
        <w:ind w:left="0" w:right="0" w:firstLine="420"/>
        <w:jc w:val="both"/>
      </w:pPr>
      <w:r>
        <w:rPr>
          <w:color w:val="000000"/>
          <w:spacing w:val="0"/>
          <w:w w:val="100"/>
          <w:position w:val="0"/>
        </w:rPr>
        <w:t>未来将成立企业文化建设机构，分别从企业环境、价值观、标兵人物、仪式与典礼、礼仪、员工培训、 规则制度、沟通方式等方面建设良好的企业文化。</w:t>
      </w:r>
    </w:p>
    <w:p>
      <w:pPr>
        <w:pStyle w:val="Style40"/>
        <w:keepNext w:val="0"/>
        <w:keepLines w:val="0"/>
        <w:widowControl w:val="0"/>
        <w:numPr>
          <w:ilvl w:val="0"/>
          <w:numId w:val="9"/>
        </w:numPr>
        <w:shd w:val="clear" w:color="auto" w:fill="auto"/>
        <w:tabs>
          <w:tab w:pos="704" w:val="left"/>
        </w:tabs>
        <w:bidi w:val="0"/>
        <w:spacing w:before="0" w:after="0" w:line="326" w:lineRule="auto"/>
        <w:ind w:left="0" w:right="0" w:firstLine="420"/>
        <w:jc w:val="both"/>
      </w:pPr>
      <w:bookmarkStart w:id="240" w:name="bookmark240"/>
      <w:bookmarkEnd w:id="240"/>
      <w:r>
        <w:rPr>
          <w:color w:val="000000"/>
          <w:spacing w:val="0"/>
          <w:w w:val="100"/>
          <w:position w:val="0"/>
        </w:rPr>
        <w:t>风险应对</w:t>
      </w:r>
    </w:p>
    <w:p>
      <w:pPr>
        <w:pStyle w:val="Style40"/>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公司的主营业务为工业智能化输送配料系统及配套设施的研发、生产和销售，是工业智能化应用的 重要组成部分，可满足工业生产过程中各种原材料的全程自动输送、贮存、称重配料与投料的工艺要求， 在减轻劳动强度、提升劳动保护的同时可提升工业企业的经济效益与环境效益，智能化输送配料系统可 广泛应用于橡胶轮胎、电线电缆、石油化工、建材装饰等行业。</w:t>
      </w:r>
    </w:p>
    <w:p>
      <w:pPr>
        <w:pStyle w:val="Style40"/>
        <w:keepNext w:val="0"/>
        <w:keepLines w:val="0"/>
        <w:widowControl w:val="0"/>
        <w:shd w:val="clear" w:color="auto" w:fill="auto"/>
        <w:bidi w:val="0"/>
        <w:spacing w:before="0" w:after="1220" w:line="312" w:lineRule="exact"/>
        <w:ind w:left="0" w:right="0" w:firstLine="420"/>
        <w:jc w:val="both"/>
      </w:pPr>
      <w:r>
        <w:rPr>
          <w:color w:val="000000"/>
          <w:spacing w:val="0"/>
          <w:w w:val="100"/>
          <w:position w:val="0"/>
        </w:rPr>
        <w:t>面对激烈的市场竞争，公司将通过过硬的产品质量、专业化的服务树立品牌形象，增强客户稳定性； 加大研发投入，提高产品技术含量，增强公司的核心竞争力；不断跟踪新的应用需求，不断推出新技术产 品，使公司产品在上述细分市场领域中始终保持着领先的优势。另外，公司近年来加大了对环保、化工、 建材、新材料等其他行业客户的市场开拓力度，在保持业绩稳步增长的情况下，保持竞争优势，提高创新 能力，努力将公司的业务发展得更加多元化。</w:t>
      </w:r>
    </w:p>
    <w:p>
      <w:pPr>
        <w:pStyle w:val="Style26"/>
        <w:keepNext/>
        <w:keepLines/>
        <w:widowControl w:val="0"/>
        <w:shd w:val="clear" w:color="auto" w:fill="auto"/>
        <w:bidi w:val="0"/>
        <w:spacing w:before="0" w:after="320" w:line="240" w:lineRule="auto"/>
        <w:ind w:left="0" w:right="0" w:firstLine="0"/>
        <w:jc w:val="left"/>
      </w:pPr>
      <w:bookmarkStart w:id="241" w:name="bookmark241"/>
      <w:bookmarkStart w:id="242" w:name="bookmark242"/>
      <w:bookmarkStart w:id="243" w:name="bookmark243"/>
      <w:r>
        <w:rPr>
          <w:color w:val="000000"/>
          <w:spacing w:val="0"/>
          <w:w w:val="100"/>
          <w:position w:val="0"/>
          <w:sz w:val="24"/>
          <w:szCs w:val="24"/>
        </w:rPr>
        <w:t>十、接待调研、沟通、采访等活动登记表</w:t>
      </w:r>
      <w:bookmarkEnd w:id="241"/>
      <w:bookmarkEnd w:id="242"/>
      <w:bookmarkEnd w:id="243"/>
    </w:p>
    <w:p>
      <w:pPr>
        <w:pStyle w:val="Style36"/>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、报告期内接待调研、沟通、采访等活动登记表</w:t>
      </w:r>
      <w:bookmarkEnd w:id="244"/>
      <w:bookmarkEnd w:id="245"/>
      <w:bookmarkEnd w:id="247"/>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接待对象类型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调研的基本情况索引</w:t>
            </w:r>
          </w:p>
        </w:tc>
      </w:tr>
    </w:tbl>
    <w:p>
      <w:pPr>
        <w:spacing w:lineRule="exact" w:line="1"/>
        <w:rPr>
          <w:sz w:val="2"/>
          <w:szCs w:val="2"/>
        </w:rPr>
      </w:pPr>
      <w:r>
        <w:br w:type="page"/>
      </w:r>
    </w:p>
    <w:tbl>
      <w:tblPr>
        <w:tblOverlap w:val="never"/>
        <w:jc w:val="center"/>
        <w:tblLayout w:type="fixed"/>
      </w:tblPr>
      <w:tblGrid>
        <w:gridCol w:w="2184"/>
        <w:gridCol w:w="2179"/>
        <w:gridCol w:w="2174"/>
        <w:gridCol w:w="3048"/>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日与特定对象沟通情 况，披露日期：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 披露网站：巨潮资讯网</w:t>
            </w:r>
          </w:p>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u w:val="single"/>
              </w:rPr>
              <w:t>www.cninfo.com.cn)</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日与特定对象沟通情 况，披露日期：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 披露网站：巨潮资讯网</w:t>
            </w:r>
          </w:p>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u w:val="single"/>
              </w:rPr>
              <w:t>www.cninfo.com.cn)</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日与特定对象沟通情 况，披露日期：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 披露网站：巨潮资讯网</w:t>
            </w:r>
          </w:p>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u w:val="single"/>
              </w:rPr>
              <w:t>www.cninfo.com.cn)</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日与特定对象沟通情 况，披露日期：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 披露网站：巨潮资讯网</w:t>
            </w:r>
          </w:p>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u w:val="single"/>
              </w:rPr>
              <w:t>www.cninfo.com.cn)</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日与特定对象沟通情 况，披露日期：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 披露网站：巨潮资讯网</w:t>
            </w:r>
          </w:p>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u w:val="single"/>
              </w:rPr>
              <w:t>www.cninfo.com.cn)</w:t>
            </w:r>
          </w:p>
        </w:tc>
      </w:tr>
    </w:tbl>
    <w:p>
      <w:pPr>
        <w:sectPr>
          <w:footnotePr>
            <w:pos w:val="pageBottom"/>
            <w:numFmt w:val="decimal"/>
            <w:numRestart w:val="continuous"/>
          </w:footnotePr>
          <w:pgSz w:w="11900" w:h="16840"/>
          <w:pgMar w:top="1398" w:right="975" w:bottom="1489" w:left="1041"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26"/>
        <w:keepNext/>
        <w:keepLines/>
        <w:widowControl w:val="0"/>
        <w:shd w:val="clear" w:color="auto" w:fill="auto"/>
        <w:bidi w:val="0"/>
        <w:spacing w:before="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一</w:t>
      </w:r>
      <w:bookmarkEnd w:id="253"/>
      <w:r>
        <w:rPr>
          <w:color w:val="000000"/>
          <w:spacing w:val="0"/>
          <w:w w:val="100"/>
          <w:position w:val="0"/>
          <w:sz w:val="24"/>
          <w:szCs w:val="24"/>
        </w:rPr>
        <w:t>、公司普通股利润分配及资本公积金转增股本情况</w:t>
      </w:r>
      <w:bookmarkEnd w:id="251"/>
      <w:bookmarkEnd w:id="252"/>
      <w:bookmarkEnd w:id="254"/>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日，公司董事会审议通过了如下分配预案：以截至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66,670,000</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股，合计 转增股本</w:t>
      </w:r>
      <w:r>
        <w:rPr>
          <w:rFonts w:ascii="Times New Roman" w:eastAsia="Times New Roman" w:hAnsi="Times New Roman" w:cs="Times New Roman"/>
          <w:color w:val="000000"/>
          <w:spacing w:val="0"/>
          <w:w w:val="100"/>
          <w:position w:val="0"/>
        </w:rPr>
        <w:t>33,335,000</w:t>
      </w:r>
      <w:r>
        <w:rPr>
          <w:color w:val="000000"/>
          <w:spacing w:val="0"/>
          <w:w w:val="100"/>
          <w:position w:val="0"/>
        </w:rPr>
        <w:t>股，转增后总股本增加至</w:t>
      </w:r>
      <w:r>
        <w:rPr>
          <w:rFonts w:ascii="Times New Roman" w:eastAsia="Times New Roman" w:hAnsi="Times New Roman" w:cs="Times New Roman"/>
          <w:color w:val="000000"/>
          <w:spacing w:val="0"/>
          <w:w w:val="100"/>
          <w:position w:val="0"/>
        </w:rPr>
        <w:t>100,005,000</w:t>
      </w:r>
      <w:r>
        <w:rPr>
          <w:color w:val="000000"/>
          <w:spacing w:val="0"/>
          <w:w w:val="100"/>
          <w:position w:val="0"/>
        </w:rPr>
        <w:t>股。剩余未分配利润滚存至以后年度分配。</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3,300,165.00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120,349,559.03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1310" w:hRule="exact"/>
        </w:trPr>
        <w:tc>
          <w:tcPr>
            <w:gridSpan w:val="2"/>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年度利润分配方案</w:t>
            </w:r>
            <w:r>
              <w:rPr>
                <w:color w:val="000000"/>
                <w:spacing w:val="0"/>
                <w:w w:val="100"/>
                <w:position w:val="0"/>
                <w:sz w:val="18"/>
                <w:szCs w:val="18"/>
              </w:rPr>
              <w:t>，</w:t>
            </w:r>
            <w:r>
              <w:rPr>
                <w:color w:val="000000"/>
                <w:spacing w:val="0"/>
                <w:w w:val="100"/>
                <w:position w:val="0"/>
                <w:sz w:val="18"/>
                <w:szCs w:val="18"/>
              </w:rPr>
              <w:t>经华普天健会计师事务所（特殊普通合伙）审计确认，公司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年度实现归属于上市公司股 东的净利润为</w:t>
            </w:r>
            <w:r>
              <w:rPr>
                <w:rFonts w:ascii="Times New Roman" w:eastAsia="Times New Roman" w:hAnsi="Times New Roman" w:cs="Times New Roman"/>
                <w:color w:val="000000"/>
                <w:spacing w:val="0"/>
                <w:w w:val="100"/>
                <w:position w:val="0"/>
                <w:sz w:val="18"/>
                <w:szCs w:val="18"/>
              </w:rPr>
              <w:t>16,196,857.68</w:t>
            </w:r>
            <w:r>
              <w:rPr>
                <w:color w:val="000000"/>
                <w:spacing w:val="0"/>
                <w:w w:val="100"/>
                <w:position w:val="0"/>
                <w:sz w:val="18"/>
                <w:szCs w:val="18"/>
              </w:rPr>
              <w:t>元，根据《公司章程》规定，按照母公司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年实现的净利润的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提取法定盈余公积金 </w:t>
            </w:r>
            <w:r>
              <w:rPr>
                <w:rFonts w:ascii="Times New Roman" w:eastAsia="Times New Roman" w:hAnsi="Times New Roman" w:cs="Times New Roman"/>
                <w:color w:val="000000"/>
                <w:spacing w:val="0"/>
                <w:w w:val="100"/>
                <w:position w:val="0"/>
                <w:sz w:val="18"/>
                <w:szCs w:val="18"/>
              </w:rPr>
              <w:t>2,192,013.12</w:t>
            </w:r>
            <w:r>
              <w:rPr>
                <w:color w:val="000000"/>
                <w:spacing w:val="0"/>
                <w:w w:val="100"/>
                <w:position w:val="0"/>
                <w:sz w:val="18"/>
                <w:szCs w:val="18"/>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日，公司累计未分配利润为</w:t>
            </w:r>
            <w:r>
              <w:rPr>
                <w:rFonts w:ascii="Times New Roman" w:eastAsia="Times New Roman" w:hAnsi="Times New Roman" w:cs="Times New Roman"/>
                <w:color w:val="000000"/>
                <w:spacing w:val="0"/>
                <w:w w:val="100"/>
                <w:position w:val="0"/>
                <w:sz w:val="18"/>
                <w:szCs w:val="18"/>
              </w:rPr>
              <w:t>120,349,559.03</w:t>
            </w:r>
            <w:r>
              <w:rPr>
                <w:color w:val="000000"/>
                <w:spacing w:val="0"/>
                <w:w w:val="100"/>
                <w:position w:val="0"/>
                <w:sz w:val="18"/>
                <w:szCs w:val="18"/>
              </w:rPr>
              <w:t>元。鉴于公司目前经营情况良好，为了 保障股东合理的投资回报，根据中国证券监督管理委员会《关于进一步落实上市公司现金分红有关事项的通知》、《上市公</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left"/>
      </w:pPr>
      <w:r>
        <w:rPr>
          <w:color w:val="000000"/>
          <w:spacing w:val="0"/>
          <w:w w:val="100"/>
          <w:position w:val="0"/>
        </w:rPr>
        <w:t>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号——上市公司现金分红》等有关规定及《公司章程》的相关规定，经综合考虑投资者的合理回报和公司 的长远发展，在保证公司正常经营业务发展的前提下，董事会拟定如下分配预案：以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100,005,000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0.33</w:t>
      </w:r>
      <w:r>
        <w:rPr>
          <w:color w:val="000000"/>
          <w:spacing w:val="0"/>
          <w:w w:val="100"/>
          <w:position w:val="0"/>
        </w:rPr>
        <w:t>元（含税）；剩余未分配利润滚存至以后年度分配。二、</w:t>
      </w:r>
      <w:r>
        <w:rPr>
          <w:rFonts w:ascii="Times New Roman" w:eastAsia="Times New Roman" w:hAnsi="Times New Roman" w:cs="Times New Roman"/>
          <w:color w:val="000000"/>
          <w:spacing w:val="0"/>
          <w:w w:val="100"/>
          <w:position w:val="0"/>
        </w:rPr>
        <w:t>2016</w:t>
      </w:r>
      <w:r>
        <w:rPr>
          <w:color w:val="000000"/>
          <w:spacing w:val="0"/>
          <w:w w:val="100"/>
          <w:position w:val="0"/>
        </w:rPr>
        <w:t>年度利 润分配方案对公司未来发展的影响该方案的实施不会造成公司流动资金短缺或其他不良影响。三、公司董事会意见公司 第二届董事会第十七次会议审议并通过了《关于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年度利润分配预案的议案》。董事会认为</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年年度利润分配预案 与公司未来的发展规划和成长性相匹配，符合相关法律、法规以及《公司章程》的规定，具备合法性、合规性、合理性， 同意将《关于</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年度利润分配预案的议案》提交公司股东大会审议。四、公司独立董事意见公司独立董事核查后认为： 该方案充分考虑了对广大投资者的合理投资回报，与公司的实际情况以及发展战略相匹配，有利于全体股东共享公司的经 营成果，并且上述利润分配方案不会造成公司流动资金短缺或其他不良影响，上述方案符合相关法律、法规以及《公司章 程》的规定，具备合法性、合规性、合理性。我们同意该利润分配方案，并同意将该议案提交公司股东大会审议。五、 公司监事会意见公司第二届监事会第十一次会议审议认为：《</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年度利润分配预案》与公司未来的发展规划和成长性相 匹配，符合相关法律、法规以及《公司章程》的规定，具备合法性、合规性、合理性，未损害公司股东尤其是中小股东的 利益，有利于公司的正常经营和健康发展。</w:t>
      </w:r>
    </w:p>
    <w:p>
      <w:pPr>
        <w:pStyle w:val="Style30"/>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5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经华普天健会计师事务所（特殊普通合伙）审计确认，公司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年度实现归属于上市 公司股东的净利润为</w:t>
      </w:r>
      <w:r>
        <w:rPr>
          <w:rFonts w:ascii="Times New Roman" w:eastAsia="Times New Roman" w:hAnsi="Times New Roman" w:cs="Times New Roman"/>
          <w:color w:val="000000"/>
          <w:spacing w:val="0"/>
          <w:w w:val="100"/>
          <w:position w:val="0"/>
          <w:sz w:val="24"/>
          <w:szCs w:val="24"/>
        </w:rPr>
        <w:t>16,196,857.68</w:t>
      </w:r>
      <w:r>
        <w:rPr>
          <w:color w:val="000000"/>
          <w:spacing w:val="0"/>
          <w:w w:val="100"/>
          <w:position w:val="0"/>
          <w:sz w:val="24"/>
          <w:szCs w:val="24"/>
        </w:rPr>
        <w:t>元，根据《公司章程》规定，按照母公司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年实现的净 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提取法定盈余公积金</w:t>
      </w:r>
      <w:r>
        <w:rPr>
          <w:rFonts w:ascii="Times New Roman" w:eastAsia="Times New Roman" w:hAnsi="Times New Roman" w:cs="Times New Roman"/>
          <w:color w:val="000000"/>
          <w:spacing w:val="0"/>
          <w:w w:val="100"/>
          <w:position w:val="0"/>
          <w:sz w:val="24"/>
          <w:szCs w:val="24"/>
        </w:rPr>
        <w:t>2,192,013.12</w:t>
      </w:r>
      <w:r>
        <w:rPr>
          <w:color w:val="000000"/>
          <w:spacing w:val="0"/>
          <w:w w:val="100"/>
          <w:position w:val="0"/>
          <w:sz w:val="24"/>
          <w:szCs w:val="24"/>
        </w:rPr>
        <w:t>元；截至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日，公司累计未分配利润 为</w:t>
      </w:r>
      <w:r>
        <w:rPr>
          <w:rFonts w:ascii="Times New Roman" w:eastAsia="Times New Roman" w:hAnsi="Times New Roman" w:cs="Times New Roman"/>
          <w:color w:val="000000"/>
          <w:spacing w:val="0"/>
          <w:w w:val="100"/>
          <w:position w:val="0"/>
          <w:sz w:val="24"/>
          <w:szCs w:val="24"/>
        </w:rPr>
        <w:t>120,349,559.03</w:t>
      </w:r>
      <w:r>
        <w:rPr>
          <w:color w:val="000000"/>
          <w:spacing w:val="0"/>
          <w:w w:val="100"/>
          <w:position w:val="0"/>
          <w:sz w:val="24"/>
          <w:szCs w:val="24"/>
        </w:rPr>
        <w:t>元。鉴于公司目前经营情况良好，为了保障股东合理的投资回报，根据中国 证券监督管理委员会《关于进一步落实上市公司现金分红有关事项的通知》、《上市公司监 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号一上市公司现金分红》等有关规定及《公司章程》的相关规定，经综合考虑投 资者的合理回报和公司的长远发展，在保证公司正常经营业务发展的前提下，董事会拟定如 下分配预案：以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w:t>
      </w:r>
      <w:r>
        <w:rPr>
          <w:rFonts w:ascii="Times New Roman" w:eastAsia="Times New Roman" w:hAnsi="Times New Roman" w:cs="Times New Roman"/>
          <w:color w:val="000000"/>
          <w:spacing w:val="0"/>
          <w:w w:val="100"/>
          <w:position w:val="0"/>
          <w:sz w:val="24"/>
          <w:szCs w:val="24"/>
        </w:rPr>
        <w:t>100,005,000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 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元（含税）；剩余未分配利润滚存至以后年度分配。</w:t>
      </w:r>
    </w:p>
    <w:p>
      <w:pPr>
        <w:pStyle w:val="Style51"/>
        <w:keepNext w:val="0"/>
        <w:keepLines w:val="0"/>
        <w:widowControl w:val="0"/>
        <w:shd w:val="clear" w:color="auto" w:fill="auto"/>
        <w:bidi w:val="0"/>
        <w:spacing w:before="0" w:after="720"/>
        <w:ind w:left="0" w:right="0" w:firstLine="0"/>
        <w:jc w:val="left"/>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年度实现归属于母公司股东的净利润为</w:t>
      </w:r>
      <w:r>
        <w:rPr>
          <w:rFonts w:ascii="Times New Roman" w:eastAsia="Times New Roman" w:hAnsi="Times New Roman" w:cs="Times New Roman"/>
          <w:color w:val="000000"/>
          <w:spacing w:val="0"/>
          <w:w w:val="100"/>
          <w:position w:val="0"/>
          <w:sz w:val="24"/>
          <w:szCs w:val="24"/>
        </w:rPr>
        <w:t>25,228,234.56</w:t>
      </w:r>
      <w:r>
        <w:rPr>
          <w:color w:val="000000"/>
          <w:spacing w:val="0"/>
          <w:w w:val="100"/>
          <w:position w:val="0"/>
          <w:sz w:val="24"/>
          <w:szCs w:val="24"/>
        </w:rPr>
        <w:t>元，根据《公司章程》 规定，按照净利润的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,522,823.46</w:t>
      </w:r>
      <w:r>
        <w:rPr>
          <w:color w:val="000000"/>
          <w:spacing w:val="0"/>
          <w:w w:val="100"/>
          <w:position w:val="0"/>
          <w:sz w:val="24"/>
          <w:szCs w:val="24"/>
        </w:rPr>
        <w:t>元；截至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日，公司累 计未分配利润为</w:t>
      </w:r>
      <w:r>
        <w:rPr>
          <w:rFonts w:ascii="Times New Roman" w:eastAsia="Times New Roman" w:hAnsi="Times New Roman" w:cs="Times New Roman"/>
          <w:color w:val="000000"/>
          <w:spacing w:val="0"/>
          <w:w w:val="100"/>
          <w:position w:val="0"/>
          <w:sz w:val="24"/>
          <w:szCs w:val="24"/>
        </w:rPr>
        <w:t>111,678,314.47</w:t>
      </w:r>
      <w:r>
        <w:rPr>
          <w:color w:val="000000"/>
          <w:spacing w:val="0"/>
          <w:w w:val="100"/>
          <w:position w:val="0"/>
          <w:sz w:val="24"/>
          <w:szCs w:val="24"/>
        </w:rPr>
        <w:t>元。鉴于公司目前经营情况良好，为了保障股东合理的投资回 报，根据中国证券监督管理委员会《关于进一步落实上市公司现金分红有关事项的通知》、 《上市公司监管指引第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号——上市公司现金分红》等有关规定及《公司章程》的相关规定, 经综合考虑投资者的合理回报和公司的长远发展，在保 证公司正常经营业务发展的前提下， 董事会拟定如下分配预案：以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w:t>
      </w:r>
      <w:r>
        <w:rPr>
          <w:rFonts w:ascii="Times New Roman" w:eastAsia="Times New Roman" w:hAnsi="Times New Roman" w:cs="Times New Roman"/>
          <w:color w:val="000000"/>
          <w:spacing w:val="0"/>
          <w:w w:val="100"/>
          <w:position w:val="0"/>
          <w:sz w:val="24"/>
          <w:szCs w:val="24"/>
        </w:rPr>
        <w:t>66,670,000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0.8</w:t>
      </w:r>
      <w:r>
        <w:rPr>
          <w:color w:val="000000"/>
          <w:spacing w:val="0"/>
          <w:w w:val="100"/>
          <w:position w:val="0"/>
          <w:sz w:val="24"/>
          <w:szCs w:val="24"/>
        </w:rPr>
        <w:t>元（含税）；同时以资本公积向全体股东每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股，合计转增股本 </w:t>
      </w:r>
      <w:r>
        <w:rPr>
          <w:rFonts w:ascii="Times New Roman" w:eastAsia="Times New Roman" w:hAnsi="Times New Roman" w:cs="Times New Roman"/>
          <w:color w:val="000000"/>
          <w:spacing w:val="0"/>
          <w:w w:val="100"/>
          <w:position w:val="0"/>
          <w:sz w:val="24"/>
          <w:szCs w:val="24"/>
        </w:rPr>
        <w:t>33,335,000</w:t>
      </w:r>
      <w:r>
        <w:rPr>
          <w:color w:val="000000"/>
          <w:spacing w:val="0"/>
          <w:w w:val="100"/>
          <w:position w:val="0"/>
          <w:sz w:val="24"/>
          <w:szCs w:val="24"/>
        </w:rPr>
        <w:t>股，转增后总股本增加至</w:t>
      </w:r>
      <w:r>
        <w:rPr>
          <w:rFonts w:ascii="Times New Roman" w:eastAsia="Times New Roman" w:hAnsi="Times New Roman" w:cs="Times New Roman"/>
          <w:color w:val="000000"/>
          <w:spacing w:val="0"/>
          <w:w w:val="100"/>
          <w:position w:val="0"/>
          <w:sz w:val="24"/>
          <w:szCs w:val="24"/>
        </w:rPr>
        <w:t>100,005,000</w:t>
      </w:r>
      <w:r>
        <w:rPr>
          <w:color w:val="000000"/>
          <w:spacing w:val="0"/>
          <w:w w:val="100"/>
          <w:position w:val="0"/>
          <w:sz w:val="24"/>
          <w:szCs w:val="24"/>
        </w:rPr>
        <w:t xml:space="preserve">股。剩余未分配利润滚存至以后年度分配。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年：经华普天健会计师事务所（特殊普通合伙）对公司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年度财务进行审计，公司</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sz w:val="24"/>
          <w:szCs w:val="24"/>
        </w:rPr>
        <w:t>年共产生利润</w:t>
      </w:r>
      <w:r>
        <w:rPr>
          <w:rFonts w:ascii="Times New Roman" w:eastAsia="Times New Roman" w:hAnsi="Times New Roman" w:cs="Times New Roman"/>
          <w:color w:val="000000"/>
          <w:spacing w:val="0"/>
          <w:w w:val="100"/>
          <w:position w:val="0"/>
          <w:sz w:val="24"/>
          <w:szCs w:val="24"/>
        </w:rPr>
        <w:t>3453.5</w:t>
      </w:r>
      <w:r>
        <w:rPr>
          <w:color w:val="000000"/>
          <w:spacing w:val="0"/>
          <w:w w:val="100"/>
          <w:position w:val="0"/>
          <w:sz w:val="24"/>
          <w:szCs w:val="24"/>
        </w:rPr>
        <w:t>万元。经协商确定，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年分配公司利润</w:t>
      </w:r>
      <w:r>
        <w:rPr>
          <w:rFonts w:ascii="Times New Roman" w:eastAsia="Times New Roman" w:hAnsi="Times New Roman" w:cs="Times New Roman"/>
          <w:color w:val="000000"/>
          <w:spacing w:val="0"/>
          <w:w w:val="100"/>
          <w:position w:val="0"/>
          <w:sz w:val="24"/>
          <w:szCs w:val="24"/>
        </w:rPr>
        <w:t>700</w:t>
      </w:r>
      <w:r>
        <w:rPr>
          <w:color w:val="000000"/>
          <w:spacing w:val="0"/>
          <w:w w:val="100"/>
          <w:position w:val="0"/>
          <w:sz w:val="24"/>
          <w:szCs w:val="24"/>
        </w:rPr>
        <w:t>万元。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现金分红金额（含</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分红年度合并报表 中归属于上市公司 普通股股东的净利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占合并报表中归属 于上市公司普通股 股东的净利润的比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以其他方式现金分 红的金额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以其他方式现金分 红的比例</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3,300,165.00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16,196,857.68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5,333,600.00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25,228,234.56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34,535,460.14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二</w:t>
      </w:r>
      <w:bookmarkEnd w:id="257"/>
      <w:r>
        <w:rPr>
          <w:color w:val="000000"/>
          <w:spacing w:val="0"/>
          <w:w w:val="100"/>
          <w:position w:val="0"/>
          <w:sz w:val="24"/>
          <w:szCs w:val="24"/>
        </w:rPr>
        <w:t>、承诺事项履行情况</w:t>
      </w:r>
      <w:bookmarkEnd w:id="255"/>
      <w:bookmarkEnd w:id="256"/>
      <w:bookmarkEnd w:id="258"/>
    </w:p>
    <w:p>
      <w:pPr>
        <w:pStyle w:val="Style36"/>
        <w:keepNext/>
        <w:keepLines/>
        <w:widowControl w:val="0"/>
        <w:shd w:val="clear" w:color="auto" w:fill="auto"/>
        <w:bidi w:val="0"/>
        <w:spacing w:before="0" w:line="322" w:lineRule="exact"/>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、公司实际控制人、股东、关联方、收购人以及公司等承诺相关方在报告期内履行完毕及截至报告期末 尚未履行完毕的承诺事项</w:t>
      </w:r>
      <w:bookmarkEnd w:id="259"/>
      <w:bookmarkEnd w:id="260"/>
      <w:bookmarkEnd w:id="262"/>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7"/>
        <w:gridCol w:w="1128"/>
        <w:gridCol w:w="1123"/>
        <w:gridCol w:w="1128"/>
        <w:gridCol w:w="1128"/>
        <w:gridCol w:w="1118"/>
        <w:gridCol w:w="11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自公司股票 上市之日起 十二个月内， 不转让或者 委托他人管 理其持有的 发行人股份， 也不会由公 司回购其直 接或间接持 有的本公司 公开发行股 票前已发行 的股份；所持 股票在上述 锁定期满后 两年内减持 的，其减持价 格不低于发 行价；公司上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 如公司股票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 易日的收盘 价均低于发 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末收盘价低 于发行价，持 有公司股票 的锁定期限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 月。在上述承 诺涉及期间 内，不因职务 变更、离职等 原因而放弃 履行上述承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自公司股票 上市之日起 十二个月内， 不转让或者 委托他人管 理其间接持 有的发行人 股份，也不由 发行人回购 其间接持有 的发行人股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自公司 股票上市之 日起三十六 个月内，不转 让或者委托 他人管理其 持有的发行 人股份，也不 会由公司回 购其直接或 间接持有的 本公司公开 发行股票前 已发行的股 份；所持股票 在上述锁定 期满后两年 内减持的，其 减持价格不 低于发行价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（若上述期 间公司发生 派发股利、送 红股、转增股 本、增发新股 或配股等除 权、除息行为 的，该发行价 应进行相应 调整。下同）； 公司上市后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个月内如公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 的收盘价均 低于发行价， 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个月期末收 盘价低于发 行价，持有公 司股票的锁 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 在上述承诺 涉及期间内， 不因职务变 更、离职等原 因而放弃履 行上述承诺。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自公司股票 上市之日起 三十六个月 内，不转让或 者委托他人 管理其持有 的发行人股 份，也不由发 行人回购其 持有的股份。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苏州思科华 泽创业投资 中心（有限合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自公司股票 上市之日起 十二个月内， 不转让或者 委托他人管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理其持有的 发行人股份， 也不由发行 人回购其持 有的股份。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北京世纪万 向投资咨询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自公司股票 上市之日起 三十六个月 内，不转让或 者委托他人 管理其持有 的发行人股 份，也不会由 公司回购其 直接或间接 持有的本公 司公开发行 股票前已发 行的股份；所 持股票在上 述锁定期满 后两年内减 持的，其减持 价格不低于 发行价（若上 述期间公司 发生派发股 利、送红股、 转增股本、增 发新股或配 股等除权、除 息行为的，该 发行价应进 行相应调整。 下同）；公司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 期末收盘价 低于发行价，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持有公司股 票的锁定期 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个月。在上述 承诺涉及期 间内，不因职 务变更、离职 等原因而放 弃履行上述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王际松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自公司股票 上市之日起 三十六个月 内，不转让或 者委托他人 管理其持有 的发行人股 份，也不会由 公司回购其 直接或间接 持有的本公 司公开发行 股票前已发 行的股份。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北京世纪万 向投资咨询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贾 丽娟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姜承法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瞿绪标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李国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潘帮南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 际松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于波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曾 维斌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张德强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张继霞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张瑞 英涨玉生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朱 业胜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、触发和停 止股价稳定 方案的条件 发行人首次 公开发行并 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 月内，如出现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 易日收盘价 低于最近一 期定期报告 披露的每股 净资产时，触 发股价稳定 方案。自股 价稳定方案 触发之日起， 公司董事会 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日内召 开董事会会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议并告知股 价稳定方案 履行义务人。 董事会公告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 内，相关履行 增持义务人 将启动股票 稳定方案。 如触发股价 稳定方案时 点至股价稳 定方案尚未 正式实施前 或股价稳定 方案实施后， 某日公司股 票收盘价高 于最近一期 定期报告披 露的每股净 资产时，则暂 停实施股价 稳定方案。</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、股价稳定 方案的具体 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 票增持计划 ①启动股价 稳定方案后， 公司控股股 东、实际控制 人朱业胜、曾 维斌、姜承法 及法人股东 世纪万向将 在公告增持 意向后，在</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个月内通过 集合竞价或 大宗交易方 式，运用自有 资金合计增 持不少于增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持前公司股 本总额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不超过增持 前公司股本 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的股 份，具体将根 据首次公开 发行前上述 股东各自的 持股数量占 合计持股数 量的比例进 行增持，且在 公司上市后 三年内不因 其职务变更、 离职等原因 而放弃履行 该承诺；② 启动股价稳 定方案后，公 司发行上市 前股东王际 松、张玉生、 李国兵、贾丽 娟、张德强、 张继霞、于 波、潘帮南将 在公告增持 意向后，在</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个月内通过 集合竞价或 大宗交易方 式，运用自有 资金合计增 持不少于增 持前公司股 本总额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不超过增持 前公司股本 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的股 份，具体将根 据首次公开 发行前上述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28"/>
        <w:gridCol w:w="1128"/>
        <w:gridCol w:w="1118"/>
        <w:gridCol w:w="1118"/>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股东各自的 持股数量占 合计持股数 量的比例进 行增持，且在 公司上市后 三年内不因 其职务变更、 离职、股份转 让等原因而 放弃履行该 承诺；③启 动股价稳定 方案后，公司 发行上市前 未持有公司 股份的董事</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（独立董事 除外）瞿绪 标、高级管理 人员张瑞英、 公司上市后 三年内新聘 任的董事（独 立董事除 外）、高级管 理人员将在 公告增持意 向后，在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 月内通过集 合竞价或大 宗交易方式， 运用自有资 金个人增持 不低于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万股 公司股份，且 在公司上市 后三年内不 因其职务变 更、离职等原 因而放弃履 行该承诺。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37"/>
        <w:gridCol w:w="674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4"/>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、公司资产或项目存在盈利预测，且报告期仍处在盈利预测期间，公司就资产或项目达到原盈利预测及 其原因做出说明</w:t>
      </w:r>
    </w:p>
    <w:p>
      <w:pPr>
        <w:widowControl w:val="0"/>
        <w:spacing w:after="379" w:line="1" w:lineRule="exact"/>
      </w:pP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340" w:line="312"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w:t>
        <w:tab/>
        <w:t>控股股东及其关联方对上市公司的非经营性占用资金情况</w:t>
      </w:r>
      <w:bookmarkEnd w:id="263"/>
      <w:bookmarkEnd w:id="264"/>
      <w:bookmarkEnd w:id="26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6" w:val="left"/>
        </w:tabs>
        <w:bidi w:val="0"/>
        <w:spacing w:before="0" w:after="340" w:line="312"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四</w:t>
      </w:r>
      <w:bookmarkEnd w:id="26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7"/>
      <w:bookmarkEnd w:id="268"/>
      <w:bookmarkEnd w:id="270"/>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340" w:line="312"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五</w:t>
      </w:r>
      <w:bookmarkEnd w:id="27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1"/>
      <w:bookmarkEnd w:id="272"/>
      <w:bookmarkEnd w:id="27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340" w:line="312"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六</w:t>
      </w:r>
      <w:bookmarkEnd w:id="277"/>
      <w:r>
        <w:rPr>
          <w:color w:val="000000"/>
          <w:spacing w:val="0"/>
          <w:w w:val="100"/>
          <w:position w:val="0"/>
          <w:sz w:val="24"/>
          <w:szCs w:val="24"/>
        </w:rPr>
        <w:t>、</w:t>
        <w:tab/>
        <w:t>董事会关于报告期会计政策、会计估计变更或重大会计差错更正的说明</w:t>
      </w:r>
      <w:bookmarkEnd w:id="275"/>
      <w:bookmarkEnd w:id="276"/>
      <w:bookmarkEnd w:id="27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340" w:line="312"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七</w:t>
      </w:r>
      <w:bookmarkEnd w:id="281"/>
      <w:r>
        <w:rPr>
          <w:color w:val="000000"/>
          <w:spacing w:val="0"/>
          <w:w w:val="100"/>
          <w:position w:val="0"/>
          <w:sz w:val="24"/>
          <w:szCs w:val="24"/>
        </w:rPr>
        <w:t>、</w:t>
        <w:tab/>
        <w:t>与上年度财务报告相比，合并报表范围发生变化的情况说明</w:t>
      </w:r>
      <w:bookmarkEnd w:id="279"/>
      <w:bookmarkEnd w:id="280"/>
      <w:bookmarkEnd w:id="282"/>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ind w:left="0" w:right="0" w:firstLine="0"/>
        <w:jc w:val="left"/>
      </w:pPr>
      <w:r>
        <w:rPr>
          <w:color w:val="000000"/>
          <w:spacing w:val="0"/>
          <w:w w:val="100"/>
          <w:position w:val="0"/>
          <w:sz w:val="24"/>
          <w:szCs w:val="24"/>
        </w:rPr>
        <w:t>报告期新增非同一控制下企业合并控股子公司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北京天中方环保科技有限公司、上海橡领高分 子材料有限公司。具体情况如下：</w:t>
      </w:r>
    </w:p>
    <w:tbl>
      <w:tblPr>
        <w:tblOverlap w:val="never"/>
        <w:jc w:val="center"/>
        <w:tblLayout w:type="fixed"/>
      </w:tblPr>
      <w:tblGrid>
        <w:gridCol w:w="3206"/>
        <w:gridCol w:w="2640"/>
        <w:gridCol w:w="2304"/>
        <w:gridCol w:w="1723"/>
      </w:tblGrid>
      <w:tr>
        <w:trPr>
          <w:trHeight w:val="43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交易对方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股权取得成本（万元）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股权取得比例（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股权取得方式</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北京天中方环保科技有限公司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协议收购</w:t>
            </w: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上海橡领高分子材料有限公司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350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协议收购</w:t>
            </w:r>
          </w:p>
        </w:tc>
      </w:tr>
    </w:tbl>
    <w:p>
      <w:pPr>
        <w:pStyle w:val="Style3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北京天中方环保科技有限公司、上海橡领高分子材料有限公司报告期纳入合并范围。</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八</w:t>
      </w:r>
      <w:bookmarkEnd w:id="285"/>
      <w:r>
        <w:rPr>
          <w:color w:val="000000"/>
          <w:spacing w:val="0"/>
          <w:w w:val="100"/>
          <w:position w:val="0"/>
          <w:sz w:val="24"/>
          <w:szCs w:val="24"/>
        </w:rPr>
        <w:t>、聘任、解聘会计师事务所情况</w:t>
      </w:r>
      <w:bookmarkEnd w:id="283"/>
      <w:bookmarkEnd w:id="284"/>
      <w:bookmarkEnd w:id="286"/>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华普天健会计师事务所（特殊普通合伙）</w:t>
            </w:r>
          </w:p>
        </w:tc>
      </w:tr>
    </w:tbl>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肖桂莲、张雪咏、孙建伟</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九</w:t>
      </w:r>
      <w:bookmarkEnd w:id="289"/>
      <w:r>
        <w:rPr>
          <w:color w:val="000000"/>
          <w:spacing w:val="0"/>
          <w:w w:val="100"/>
          <w:position w:val="0"/>
          <w:sz w:val="24"/>
          <w:szCs w:val="24"/>
        </w:rPr>
        <w:t>、年度报告披露后面临暂停上市和终止上市情况</w:t>
      </w:r>
      <w:bookmarkEnd w:id="287"/>
      <w:bookmarkEnd w:id="288"/>
      <w:bookmarkEnd w:id="29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十、破产重整相关事项</w:t>
      </w:r>
      <w:bookmarkEnd w:id="291"/>
      <w:bookmarkEnd w:id="292"/>
      <w:bookmarkEnd w:id="293"/>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十一、重大诉讼、仲裁事项</w:t>
      </w:r>
      <w:bookmarkEnd w:id="294"/>
      <w:bookmarkEnd w:id="295"/>
      <w:bookmarkEnd w:id="29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十二、处罚及整改情况</w:t>
      </w:r>
      <w:bookmarkEnd w:id="297"/>
      <w:bookmarkEnd w:id="298"/>
      <w:bookmarkEnd w:id="299"/>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十三、公司及其控股股东、实际控制人的诚信状况</w:t>
      </w:r>
      <w:bookmarkEnd w:id="300"/>
      <w:bookmarkEnd w:id="301"/>
      <w:bookmarkEnd w:id="30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十四、公司股权激励计划、员工持股计划或其他员工激励措施的实施情况</w:t>
      </w:r>
      <w:bookmarkEnd w:id="303"/>
      <w:bookmarkEnd w:id="304"/>
      <w:bookmarkEnd w:id="30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十五、重大关联交易</w:t>
      </w:r>
      <w:bookmarkEnd w:id="306"/>
      <w:bookmarkEnd w:id="307"/>
      <w:bookmarkEnd w:id="308"/>
    </w:p>
    <w:p>
      <w:pPr>
        <w:pStyle w:val="Style36"/>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、与日常经营相关的关联交易</w:t>
      </w:r>
      <w:bookmarkEnd w:id="309"/>
      <w:bookmarkEnd w:id="310"/>
      <w:bookmarkEnd w:id="312"/>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资产或股权收购、出售发生的关联交易</w:t>
      </w:r>
      <w:bookmarkEnd w:id="313"/>
      <w:bookmarkEnd w:id="314"/>
      <w:bookmarkEnd w:id="31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共同对外投资的关联交易</w:t>
      </w:r>
      <w:bookmarkEnd w:id="317"/>
      <w:bookmarkEnd w:id="318"/>
      <w:bookmarkEnd w:id="32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关联债权债务往来</w:t>
      </w:r>
      <w:bookmarkEnd w:id="321"/>
      <w:bookmarkEnd w:id="322"/>
      <w:bookmarkEnd w:id="3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5</w:t>
      </w:r>
      <w:bookmarkEnd w:id="327"/>
      <w:r>
        <w:rPr>
          <w:color w:val="000000"/>
          <w:spacing w:val="0"/>
          <w:w w:val="100"/>
          <w:position w:val="0"/>
        </w:rPr>
        <w:t>、</w:t>
        <w:tab/>
        <w:t>其他重大关联交易</w:t>
      </w:r>
      <w:bookmarkEnd w:id="325"/>
      <w:bookmarkEnd w:id="326"/>
      <w:bookmarkEnd w:id="32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十六、重大合同及其履行情况</w:t>
      </w:r>
      <w:bookmarkEnd w:id="329"/>
      <w:bookmarkEnd w:id="330"/>
      <w:bookmarkEnd w:id="331"/>
    </w:p>
    <w:p>
      <w:pPr>
        <w:pStyle w:val="Style36"/>
        <w:keepNext/>
        <w:keepLines/>
        <w:widowControl w:val="0"/>
        <w:shd w:val="clear" w:color="auto" w:fill="auto"/>
        <w:tabs>
          <w:tab w:pos="36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托管、承包、租赁事项情况</w:t>
      </w:r>
      <w:bookmarkEnd w:id="332"/>
      <w:bookmarkEnd w:id="333"/>
      <w:bookmarkEnd w:id="335"/>
    </w:p>
    <w:p>
      <w:pPr>
        <w:pStyle w:val="Style36"/>
        <w:keepNext/>
        <w:keepLines/>
        <w:widowControl w:val="0"/>
        <w:numPr>
          <w:ilvl w:val="0"/>
          <w:numId w:val="13"/>
        </w:numPr>
        <w:shd w:val="clear" w:color="auto" w:fill="auto"/>
        <w:tabs>
          <w:tab w:pos="488" w:val="left"/>
        </w:tabs>
        <w:bidi w:val="0"/>
        <w:spacing w:before="0" w:line="240" w:lineRule="auto"/>
        <w:ind w:left="0" w:right="0" w:firstLine="0"/>
        <w:jc w:val="left"/>
      </w:pPr>
      <w:bookmarkStart w:id="332" w:name="bookmark332"/>
      <w:bookmarkStart w:id="333" w:name="bookmark333"/>
      <w:bookmarkStart w:id="336" w:name="bookmark336"/>
      <w:bookmarkStart w:id="337" w:name="bookmark337"/>
      <w:bookmarkEnd w:id="336"/>
      <w:r>
        <w:rPr>
          <w:color w:val="000000"/>
          <w:spacing w:val="0"/>
          <w:w w:val="100"/>
          <w:position w:val="0"/>
        </w:rPr>
        <w:t>托管情况</w:t>
      </w:r>
      <w:bookmarkEnd w:id="332"/>
      <w:bookmarkEnd w:id="333"/>
      <w:bookmarkEnd w:id="33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6"/>
        <w:keepNext/>
        <w:keepLines/>
        <w:widowControl w:val="0"/>
        <w:numPr>
          <w:ilvl w:val="0"/>
          <w:numId w:val="13"/>
        </w:numPr>
        <w:shd w:val="clear" w:color="auto" w:fill="auto"/>
        <w:tabs>
          <w:tab w:pos="488" w:val="left"/>
        </w:tabs>
        <w:bidi w:val="0"/>
        <w:spacing w:before="0" w:line="240" w:lineRule="auto"/>
        <w:ind w:left="0" w:right="0" w:firstLine="0"/>
        <w:jc w:val="left"/>
      </w:pPr>
      <w:bookmarkStart w:id="338" w:name="bookmark338"/>
      <w:bookmarkStart w:id="339" w:name="bookmark339"/>
      <w:bookmarkStart w:id="340" w:name="bookmark340"/>
      <w:bookmarkStart w:id="341" w:name="bookmark341"/>
      <w:bookmarkEnd w:id="340"/>
      <w:r>
        <w:rPr>
          <w:color w:val="000000"/>
          <w:spacing w:val="0"/>
          <w:w w:val="100"/>
          <w:position w:val="0"/>
        </w:rPr>
        <w:t>承包情况</w:t>
      </w:r>
      <w:bookmarkEnd w:id="338"/>
      <w:bookmarkEnd w:id="339"/>
      <w:bookmarkEnd w:id="3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6"/>
        <w:keepNext/>
        <w:keepLines/>
        <w:widowControl w:val="0"/>
        <w:numPr>
          <w:ilvl w:val="0"/>
          <w:numId w:val="13"/>
        </w:numPr>
        <w:shd w:val="clear" w:color="auto" w:fill="auto"/>
        <w:tabs>
          <w:tab w:pos="488" w:val="left"/>
        </w:tabs>
        <w:bidi w:val="0"/>
        <w:spacing w:before="0" w:line="240" w:lineRule="auto"/>
        <w:ind w:left="0" w:right="0" w:firstLine="0"/>
        <w:jc w:val="left"/>
      </w:pPr>
      <w:bookmarkStart w:id="342" w:name="bookmark342"/>
      <w:bookmarkStart w:id="343" w:name="bookmark343"/>
      <w:bookmarkStart w:id="344" w:name="bookmark344"/>
      <w:bookmarkStart w:id="345" w:name="bookmark345"/>
      <w:bookmarkEnd w:id="344"/>
      <w:r>
        <w:rPr>
          <w:color w:val="000000"/>
          <w:spacing w:val="0"/>
          <w:w w:val="100"/>
          <w:position w:val="0"/>
        </w:rPr>
        <w:t>租赁情况</w:t>
      </w:r>
      <w:bookmarkEnd w:id="342"/>
      <w:bookmarkEnd w:id="343"/>
      <w:bookmarkEnd w:id="34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重大担保</w:t>
      </w:r>
      <w:bookmarkEnd w:id="346"/>
      <w:bookmarkEnd w:id="347"/>
      <w:bookmarkEnd w:id="34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委托他人进行现金资产管理情况</w:t>
      </w:r>
      <w:bookmarkEnd w:id="350"/>
      <w:bookmarkEnd w:id="351"/>
      <w:bookmarkEnd w:id="353"/>
    </w:p>
    <w:p>
      <w:pPr>
        <w:pStyle w:val="Style36"/>
        <w:keepNext/>
        <w:keepLines/>
        <w:widowControl w:val="0"/>
        <w:shd w:val="clear" w:color="auto" w:fill="auto"/>
        <w:tabs>
          <w:tab w:pos="488" w:val="left"/>
        </w:tabs>
        <w:bidi w:val="0"/>
        <w:spacing w:before="0" w:after="240" w:line="240" w:lineRule="auto"/>
        <w:ind w:left="0" w:right="0" w:firstLine="0"/>
        <w:jc w:val="left"/>
      </w:pPr>
      <w:bookmarkStart w:id="350" w:name="bookmark350"/>
      <w:bookmarkStart w:id="351" w:name="bookmark351"/>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50"/>
      <w:bookmarkEnd w:id="351"/>
      <w:bookmarkEnd w:id="355"/>
    </w:p>
    <w:p>
      <w:pPr>
        <w:pStyle w:val="Style30"/>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公司报告期不存在委托理财。</w:t>
      </w:r>
    </w:p>
    <w:p>
      <w:pPr>
        <w:pStyle w:val="Style36"/>
        <w:keepNext/>
        <w:keepLines/>
        <w:widowControl w:val="0"/>
        <w:shd w:val="clear" w:color="auto" w:fill="auto"/>
        <w:tabs>
          <w:tab w:pos="488" w:val="left"/>
        </w:tabs>
        <w:bidi w:val="0"/>
        <w:spacing w:before="0" w:after="24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56"/>
      <w:bookmarkEnd w:id="357"/>
      <w:bookmarkEnd w:id="359"/>
    </w:p>
    <w:p>
      <w:pPr>
        <w:pStyle w:val="Style30"/>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公司报告期不存在委托贷款。</w:t>
      </w:r>
    </w:p>
    <w:p>
      <w:pPr>
        <w:pStyle w:val="Style36"/>
        <w:keepNext/>
        <w:keepLines/>
        <w:widowControl w:val="0"/>
        <w:shd w:val="clear" w:color="auto" w:fill="auto"/>
        <w:tabs>
          <w:tab w:pos="378" w:val="left"/>
        </w:tabs>
        <w:bidi w:val="0"/>
        <w:spacing w:before="0" w:after="24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其他重大合同</w:t>
      </w:r>
      <w:bookmarkEnd w:id="360"/>
      <w:bookmarkEnd w:id="361"/>
      <w:bookmarkEnd w:id="363"/>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十七、社会责任情况</w:t>
      </w:r>
      <w:bookmarkEnd w:id="364"/>
      <w:bookmarkEnd w:id="365"/>
      <w:bookmarkEnd w:id="366"/>
    </w:p>
    <w:p>
      <w:pPr>
        <w:pStyle w:val="Style36"/>
        <w:keepNext/>
        <w:keepLines/>
        <w:widowControl w:val="0"/>
        <w:shd w:val="clear" w:color="auto" w:fill="auto"/>
        <w:tabs>
          <w:tab w:pos="368" w:val="left"/>
        </w:tabs>
        <w:bidi w:val="0"/>
        <w:spacing w:before="0" w:after="24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履行精准扶贫社会责任情况</w:t>
      </w:r>
      <w:bookmarkEnd w:id="367"/>
      <w:bookmarkEnd w:id="368"/>
      <w:bookmarkEnd w:id="370"/>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4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履行其他社会责任的情况</w:t>
      </w:r>
      <w:bookmarkEnd w:id="371"/>
      <w:bookmarkEnd w:id="372"/>
      <w:bookmarkEnd w:id="374"/>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公司积极履行企业公民应尽的义务，承担社会责任。公司在不断为股东创造价值的同时，也积极承担对职工、客户、 社会等其他利益相关者的责任。</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的要求，及时、准确、真实、完整地进行信息披露，通过投资者电话、电子邮箱、公司网站和投资者关系互动平台等多种方 式与投资者进行沟通交流，提高了公司的透明度和诚信度。公司非常重视对投资者的合理回报，制定了相对稳定的利润分配 政策和分红方案以回报股东。</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公司一直坚持以人为本的人才理念，实施企业人才战略，严格遵守《劳动法》、《劳动合同法》等相关法律法规，尊 重和维护员工的个人权益，切实关注员工健康、安全和满意度；通过知识技能的理论培训及实践操作技能培训等方式使员工 得到切实的提高和发展，维护员工权益。公司始终将依法经营作为公司运行的基本原则，注重企业经济效益与社会效益的同 步共赢。公司严格遵守国家法律、法规、政策的规定，始终依法经营，积极纳税，发展就业岗位，支持地方经济的发展；同 时，积极投身社会公益事业。</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是否发布社会责任报告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十八、其他重大事项的说明</w:t>
      </w:r>
      <w:bookmarkEnd w:id="375"/>
      <w:bookmarkEnd w:id="376"/>
      <w:bookmarkEnd w:id="37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公司报告期不存在需要说明的其他重大事项。</w:t>
      </w:r>
    </w:p>
    <w:p>
      <w:pPr>
        <w:pStyle w:val="Style26"/>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十九、公司子公司重大事项</w:t>
      </w:r>
      <w:bookmarkEnd w:id="378"/>
      <w:bookmarkEnd w:id="379"/>
      <w:bookmarkEnd w:id="380"/>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98" w:right="1000" w:bottom="1470" w:left="101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384" w:name="bookmark384"/>
      <w:bookmarkStart w:id="385" w:name="bookmark385"/>
      <w:bookmarkStart w:id="386" w:name="bookmark386"/>
      <w:r>
        <w:rPr>
          <w:color w:val="000000"/>
          <w:spacing w:val="0"/>
          <w:w w:val="100"/>
          <w:position w:val="0"/>
        </w:rPr>
        <w:t>第六节股份变动及股东情况</w:t>
      </w:r>
      <w:bookmarkEnd w:id="384"/>
      <w:bookmarkEnd w:id="385"/>
      <w:bookmarkEnd w:id="386"/>
    </w:p>
    <w:p>
      <w:pPr>
        <w:pStyle w:val="Style26"/>
        <w:keepNext/>
        <w:keepLines/>
        <w:widowControl w:val="0"/>
        <w:shd w:val="clear" w:color="auto" w:fill="auto"/>
        <w:bidi w:val="0"/>
        <w:spacing w:before="0" w:after="34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sz w:val="24"/>
          <w:szCs w:val="24"/>
        </w:rPr>
        <w:t>一</w:t>
      </w:r>
      <w:bookmarkEnd w:id="389"/>
      <w:r>
        <w:rPr>
          <w:color w:val="000000"/>
          <w:spacing w:val="0"/>
          <w:w w:val="100"/>
          <w:position w:val="0"/>
          <w:sz w:val="24"/>
          <w:szCs w:val="24"/>
        </w:rPr>
        <w:t>、股份变动情况</w:t>
      </w:r>
      <w:bookmarkEnd w:id="387"/>
      <w:bookmarkEnd w:id="388"/>
      <w:bookmarkEnd w:id="390"/>
    </w:p>
    <w:p>
      <w:pPr>
        <w:pStyle w:val="Style36"/>
        <w:keepNext/>
        <w:keepLines/>
        <w:widowControl w:val="0"/>
        <w:shd w:val="clear" w:color="auto" w:fill="auto"/>
        <w:bidi w:val="0"/>
        <w:spacing w:before="0" w:after="34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、股份变动情况</w:t>
      </w:r>
      <w:bookmarkEnd w:id="391"/>
      <w:bookmarkEnd w:id="392"/>
      <w:bookmarkEnd w:id="3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r>
              <w:rPr>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公积金转</w:t>
            </w:r>
          </w:p>
          <w:p>
            <w:pPr>
              <w:pStyle w:val="Style21"/>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61,800,00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25,005,00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25,005,00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33,335,00</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公司上一年度经营情况良好，为了保障股东合理的投资回报，根据中国证券监督管理委员会《关于进一步落实上市公司现金 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号——上市公司现金分红》等有关规定及《公司章程》的相关规定，经综 合考虑投资者的合理回报和公司的长远发展，在保证公司正常经营业务发展的前提下，以公司总股本</w:t>
      </w:r>
      <w:r>
        <w:rPr>
          <w:rFonts w:ascii="Times New Roman" w:eastAsia="Times New Roman" w:hAnsi="Times New Roman" w:cs="Times New Roman"/>
          <w:color w:val="000000"/>
          <w:spacing w:val="0"/>
          <w:w w:val="100"/>
          <w:position w:val="0"/>
        </w:rPr>
        <w:t>66,670,000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30"/>
        <w:keepNext w:val="0"/>
        <w:keepLines w:val="0"/>
        <w:widowControl w:val="0"/>
        <w:shd w:val="clear" w:color="auto" w:fill="auto"/>
        <w:bidi w:val="0"/>
        <w:spacing w:before="0" w:line="307"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年年度权益分派方案已获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w:t>
      </w:r>
    </w:p>
    <w:p>
      <w:pPr>
        <w:pStyle w:val="Style30"/>
        <w:keepNext w:val="0"/>
        <w:keepLines w:val="0"/>
        <w:widowControl w:val="0"/>
        <w:shd w:val="clear" w:color="auto" w:fill="auto"/>
        <w:bidi w:val="0"/>
        <w:spacing w:before="0" w:line="307"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股份变动前每股收益为</w:t>
      </w:r>
      <w:r>
        <w:rPr>
          <w:rFonts w:ascii="Times New Roman" w:eastAsia="Times New Roman" w:hAnsi="Times New Roman" w:cs="Times New Roman"/>
          <w:color w:val="000000"/>
          <w:spacing w:val="0"/>
          <w:w w:val="100"/>
          <w:position w:val="0"/>
        </w:rPr>
        <w:t>0.045</w:t>
      </w:r>
      <w:r>
        <w:rPr>
          <w:color w:val="000000"/>
          <w:spacing w:val="0"/>
          <w:w w:val="100"/>
          <w:position w:val="0"/>
        </w:rPr>
        <w:t>元，股份变动后每股收益为</w:t>
      </w:r>
      <w:r>
        <w:rPr>
          <w:rFonts w:ascii="Times New Roman" w:eastAsia="Times New Roman" w:hAnsi="Times New Roman" w:cs="Times New Roman"/>
          <w:color w:val="000000"/>
          <w:spacing w:val="0"/>
          <w:w w:val="100"/>
          <w:position w:val="0"/>
        </w:rPr>
        <w:t>0.04</w:t>
      </w:r>
      <w:r>
        <w:rPr>
          <w:rFonts w:ascii="Times New Roman" w:eastAsia="Times New Roman" w:hAnsi="Times New Roman" w:cs="Times New Roman"/>
          <w:color w:val="000000"/>
          <w:spacing w:val="0"/>
          <w:w w:val="100"/>
          <w:position w:val="0"/>
        </w:rPr>
        <w:t>1</w:t>
      </w:r>
      <w:r>
        <w:rPr>
          <w:color w:val="000000"/>
          <w:spacing w:val="0"/>
          <w:w w:val="100"/>
          <w:position w:val="0"/>
        </w:rPr>
        <w:t>元；股份变动前归属于公司普通股东的每股净资产为</w:t>
      </w:r>
      <w:r>
        <w:rPr>
          <w:rFonts w:ascii="Times New Roman" w:eastAsia="Times New Roman" w:hAnsi="Times New Roman" w:cs="Times New Roman"/>
          <w:color w:val="000000"/>
          <w:spacing w:val="0"/>
          <w:w w:val="100"/>
          <w:position w:val="0"/>
        </w:rPr>
        <w:t>5.587</w:t>
      </w:r>
      <w:r>
        <w:rPr>
          <w:color w:val="000000"/>
          <w:spacing w:val="0"/>
          <w:w w:val="100"/>
          <w:position w:val="0"/>
        </w:rPr>
        <w:t>元, 股份变动后归属于公司普通股东的每股净资产为</w:t>
      </w:r>
      <w:r>
        <w:rPr>
          <w:rFonts w:ascii="Times New Roman" w:eastAsia="Times New Roman" w:hAnsi="Times New Roman" w:cs="Times New Roman"/>
          <w:color w:val="000000"/>
          <w:spacing w:val="0"/>
          <w:w w:val="100"/>
          <w:position w:val="0"/>
        </w:rPr>
        <w:t>3.725</w:t>
      </w:r>
      <w:r>
        <w:rPr>
          <w:color w:val="000000"/>
          <w:spacing w:val="0"/>
          <w:w w:val="100"/>
          <w:position w:val="0"/>
        </w:rPr>
        <w:t>元。</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、限售股份变动情况</w:t>
      </w:r>
      <w:bookmarkEnd w:id="395"/>
      <w:bookmarkEnd w:id="396"/>
      <w:bookmarkEnd w:id="398"/>
    </w:p>
    <w:p>
      <w:pPr>
        <w:pStyle w:val="Style30"/>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拟解除限售日期</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苏州思科华泽创 业投资中心（有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首发限售股锁定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期届满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芜湖润瑞投资管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首发限售股锁定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期届满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新疆智泉股权投 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首发限售股锁定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期届满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高管锁定股每年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解锁</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sz w:val="24"/>
          <w:szCs w:val="24"/>
        </w:rPr>
        <w:t>二</w:t>
      </w:r>
      <w:bookmarkEnd w:id="401"/>
      <w:r>
        <w:rPr>
          <w:color w:val="000000"/>
          <w:spacing w:val="0"/>
          <w:w w:val="100"/>
          <w:position w:val="0"/>
          <w:sz w:val="24"/>
          <w:szCs w:val="24"/>
        </w:rPr>
        <w:t>、证券发行与上市情况</w:t>
      </w:r>
      <w:bookmarkEnd w:id="399"/>
      <w:bookmarkEnd w:id="400"/>
      <w:bookmarkEnd w:id="402"/>
    </w:p>
    <w:p>
      <w:pPr>
        <w:pStyle w:val="Style36"/>
        <w:keepNext/>
        <w:keepLines/>
        <w:widowControl w:val="0"/>
        <w:shd w:val="clear" w:color="auto" w:fill="auto"/>
        <w:tabs>
          <w:tab w:pos="368" w:val="left"/>
        </w:tabs>
        <w:bidi w:val="0"/>
        <w:spacing w:before="0" w:line="312" w:lineRule="exact"/>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报告期内证券发行（不含优先股）情况</w:t>
      </w:r>
      <w:bookmarkEnd w:id="403"/>
      <w:bookmarkEnd w:id="404"/>
      <w:bookmarkEnd w:id="406"/>
    </w:p>
    <w:p>
      <w:pPr>
        <w:pStyle w:val="Style3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312" w:lineRule="exact"/>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公司股份总数及股东结构的变动、公司资产和负债结构的变动情况说明</w:t>
      </w:r>
      <w:bookmarkEnd w:id="407"/>
      <w:bookmarkEnd w:id="408"/>
      <w:bookmarkEnd w:id="410"/>
    </w:p>
    <w:p>
      <w:pPr>
        <w:pStyle w:val="Style30"/>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60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日，公司董事会审议通过了如下分配预案：以截至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66,670,000</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股，合计 转增股本</w:t>
      </w:r>
      <w:r>
        <w:rPr>
          <w:rFonts w:ascii="Times New Roman" w:eastAsia="Times New Roman" w:hAnsi="Times New Roman" w:cs="Times New Roman"/>
          <w:color w:val="000000"/>
          <w:spacing w:val="0"/>
          <w:w w:val="100"/>
          <w:position w:val="0"/>
        </w:rPr>
        <w:t>33,335,000</w:t>
      </w:r>
      <w:r>
        <w:rPr>
          <w:color w:val="000000"/>
          <w:spacing w:val="0"/>
          <w:w w:val="100"/>
          <w:position w:val="0"/>
        </w:rPr>
        <w:t>股，转增后总股本增加至</w:t>
      </w:r>
      <w:r>
        <w:rPr>
          <w:rFonts w:ascii="Times New Roman" w:eastAsia="Times New Roman" w:hAnsi="Times New Roman" w:cs="Times New Roman"/>
          <w:color w:val="000000"/>
          <w:spacing w:val="0"/>
          <w:w w:val="100"/>
          <w:position w:val="0"/>
        </w:rPr>
        <w:t>100,005,000</w:t>
      </w:r>
      <w:r>
        <w:rPr>
          <w:color w:val="000000"/>
          <w:spacing w:val="0"/>
          <w:w w:val="100"/>
          <w:position w:val="0"/>
        </w:rPr>
        <w:t>股。</w:t>
      </w:r>
    </w:p>
    <w:p>
      <w:pPr>
        <w:pStyle w:val="Style36"/>
        <w:keepNext/>
        <w:keepLines/>
        <w:widowControl w:val="0"/>
        <w:shd w:val="clear" w:color="auto" w:fill="auto"/>
        <w:tabs>
          <w:tab w:pos="378" w:val="left"/>
        </w:tabs>
        <w:bidi w:val="0"/>
        <w:spacing w:before="0" w:line="312" w:lineRule="exact"/>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现存的内部职工股情况</w:t>
      </w:r>
      <w:bookmarkEnd w:id="411"/>
      <w:bookmarkEnd w:id="412"/>
      <w:bookmarkEnd w:id="414"/>
    </w:p>
    <w:p>
      <w:pPr>
        <w:pStyle w:val="Style30"/>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、股东和实际控制人情况</w:t>
      </w:r>
      <w:bookmarkEnd w:id="415"/>
      <w:bookmarkEnd w:id="416"/>
      <w:bookmarkEnd w:id="418"/>
    </w:p>
    <w:p>
      <w:pPr>
        <w:pStyle w:val="Style36"/>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、公司股东数量及持股情况</w:t>
      </w:r>
      <w:bookmarkEnd w:id="419"/>
      <w:bookmarkEnd w:id="420"/>
      <w:bookmarkEnd w:id="42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7"/>
        <w:gridCol w:w="744"/>
        <w:gridCol w:w="773"/>
        <w:gridCol w:w="802"/>
        <w:gridCol w:w="336"/>
        <w:gridCol w:w="456"/>
        <w:gridCol w:w="802"/>
        <w:gridCol w:w="821"/>
        <w:gridCol w:w="312"/>
        <w:gridCol w:w="1037"/>
        <w:gridCol w:w="293"/>
        <w:gridCol w:w="1066"/>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报告期末普通股 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7,557</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报告期末表决权 恢复的优先股股 东总数（如有）</w:t>
            </w:r>
          </w:p>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报告期末 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11,175,02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11,175,02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5,440,000</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6,509,761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6,509,761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6,509,761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6,509,761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北京世纪万向投</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资咨询有限公司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贾丽娟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张德强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李国兵</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王际松</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5,425,041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张继霞</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4,340,123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4,340,123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上述股东关联关系或一致行动的说 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、朱业胜先生、曾维斌先生及姜承法先生为一致行动人；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、除上述一致行动人关 系外，前十名股东之间不存在其他关联关系，且不存在一致行动人的情况。</w:t>
            </w: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6"/>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股份种类</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r>
        <w:trPr>
          <w:trHeight w:val="715"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四川信托有限公司一睿进</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号证券 投资集合资金信托计划</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2,739,426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2,739,426</w:t>
            </w:r>
          </w:p>
        </w:tc>
      </w:tr>
      <w:tr>
        <w:trPr>
          <w:trHeight w:val="403"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李欣</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2,591,697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2,591,697</w:t>
            </w:r>
          </w:p>
        </w:tc>
      </w:tr>
      <w:tr>
        <w:trPr>
          <w:trHeight w:val="403"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新疆智泉股权投资有限公司</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1,875,000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1,875,000</w:t>
            </w:r>
          </w:p>
        </w:tc>
      </w:tr>
      <w:tr>
        <w:trPr>
          <w:trHeight w:val="398"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周信钢</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1,116,450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1,116,450</w:t>
            </w:r>
          </w:p>
        </w:tc>
      </w:tr>
      <w:tr>
        <w:trPr>
          <w:trHeight w:val="725" w:hRule="exact"/>
        </w:trPr>
        <w:tc>
          <w:tcPr>
            <w:gridSpan w:val="4"/>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云南国际信托有限公司一睿金一汇</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赢通</w:t>
            </w:r>
            <w:r>
              <w:rPr>
                <w:rFonts w:ascii="Times New Roman" w:eastAsia="Times New Roman" w:hAnsi="Times New Roman" w:cs="Times New Roman"/>
                <w:color w:val="000000"/>
                <w:spacing w:val="0"/>
                <w:w w:val="100"/>
                <w:position w:val="0"/>
                <w:sz w:val="18"/>
                <w:szCs w:val="18"/>
              </w:rPr>
              <w:t>294</w:t>
            </w:r>
            <w:r>
              <w:rPr>
                <w:color w:val="000000"/>
                <w:spacing w:val="0"/>
                <w:w w:val="100"/>
                <w:position w:val="0"/>
                <w:sz w:val="18"/>
                <w:szCs w:val="18"/>
              </w:rPr>
              <w:t>号单一资金信托</w:t>
            </w:r>
          </w:p>
        </w:tc>
        <w:tc>
          <w:tcPr>
            <w:gridSpan w:val="6"/>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794,700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794,700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林宜坦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舒志兵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梁立勤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234,792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,四川信托有限公司一睿进</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号证券投资集合资金信托计划、李欣女士、周信钢先 生、云南国际信托有限公司一睿金一汇赢通</w:t>
            </w:r>
            <w:r>
              <w:rPr>
                <w:rFonts w:ascii="Times New Roman" w:eastAsia="Times New Roman" w:hAnsi="Times New Roman" w:cs="Times New Roman"/>
                <w:color w:val="000000"/>
                <w:spacing w:val="0"/>
                <w:w w:val="100"/>
                <w:position w:val="0"/>
                <w:sz w:val="18"/>
                <w:szCs w:val="18"/>
              </w:rPr>
              <w:t>294</w:t>
            </w:r>
            <w:r>
              <w:rPr>
                <w:color w:val="000000"/>
                <w:spacing w:val="0"/>
                <w:w w:val="100"/>
                <w:position w:val="0"/>
                <w:sz w:val="18"/>
                <w:szCs w:val="18"/>
              </w:rPr>
              <w:t>号单一资金信托、周晨女士为一致行 动人；</w:t>
            </w:r>
          </w:p>
        </w:tc>
      </w:tr>
      <w:tr>
        <w:trPr>
          <w:trHeight w:val="259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公司股东李欣除通过普通证券账户持有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股外，还通过中信建投证券股份有限公司信 用交易担保证券账户持有</w:t>
            </w:r>
            <w:r>
              <w:rPr>
                <w:rFonts w:ascii="Times New Roman" w:eastAsia="Times New Roman" w:hAnsi="Times New Roman" w:cs="Times New Roman"/>
                <w:color w:val="000000"/>
                <w:spacing w:val="0"/>
                <w:w w:val="100"/>
                <w:position w:val="0"/>
                <w:sz w:val="18"/>
                <w:szCs w:val="18"/>
              </w:rPr>
              <w:t>2,591,697</w:t>
            </w:r>
            <w:r>
              <w:rPr>
                <w:color w:val="000000"/>
                <w:spacing w:val="0"/>
                <w:w w:val="100"/>
                <w:position w:val="0"/>
                <w:sz w:val="18"/>
                <w:szCs w:val="18"/>
              </w:rPr>
              <w:t xml:space="preserve">股；公司股东周信钢除通过普通证券账户持有 </w:t>
            </w:r>
            <w:r>
              <w:rPr>
                <w:rFonts w:ascii="Times New Roman" w:eastAsia="Times New Roman" w:hAnsi="Times New Roman" w:cs="Times New Roman"/>
                <w:color w:val="000000"/>
                <w:spacing w:val="0"/>
                <w:w w:val="100"/>
                <w:position w:val="0"/>
                <w:sz w:val="18"/>
                <w:szCs w:val="18"/>
              </w:rPr>
              <w:t>186,700</w:t>
            </w:r>
            <w:r>
              <w:rPr>
                <w:color w:val="000000"/>
                <w:spacing w:val="0"/>
                <w:w w:val="100"/>
                <w:position w:val="0"/>
                <w:sz w:val="18"/>
                <w:szCs w:val="18"/>
              </w:rPr>
              <w:t>股外，还通过国信证券股份有限公司客户信用交易担保证券账户持有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929,750 </w:t>
            </w:r>
            <w:r>
              <w:rPr>
                <w:color w:val="000000"/>
                <w:spacing w:val="0"/>
                <w:w w:val="100"/>
                <w:position w:val="0"/>
                <w:sz w:val="18"/>
                <w:szCs w:val="18"/>
              </w:rPr>
              <w:t>股；公司股东周晨除通过普通证券账户持有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股外，还通过国信证券股份有限公司客 户信用交易担保证券账户持有</w:t>
            </w:r>
            <w:r>
              <w:rPr>
                <w:rFonts w:ascii="Times New Roman" w:eastAsia="Times New Roman" w:hAnsi="Times New Roman" w:cs="Times New Roman"/>
                <w:color w:val="000000"/>
                <w:spacing w:val="0"/>
                <w:w w:val="100"/>
                <w:position w:val="0"/>
                <w:sz w:val="18"/>
                <w:szCs w:val="18"/>
              </w:rPr>
              <w:t>628,560</w:t>
            </w:r>
            <w:r>
              <w:rPr>
                <w:color w:val="000000"/>
                <w:spacing w:val="0"/>
                <w:w w:val="100"/>
                <w:position w:val="0"/>
                <w:sz w:val="18"/>
                <w:szCs w:val="18"/>
              </w:rPr>
              <w:t xml:space="preserve">股；公司股东林宜坦除通过普通证券账户持有 </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股外，还通过兴业证券股份有限公司信用交易担保证券账户持有</w:t>
            </w:r>
            <w:r>
              <w:rPr>
                <w:rFonts w:ascii="Times New Roman" w:eastAsia="Times New Roman" w:hAnsi="Times New Roman" w:cs="Times New Roman"/>
                <w:color w:val="000000"/>
                <w:spacing w:val="0"/>
                <w:w w:val="100"/>
                <w:position w:val="0"/>
                <w:sz w:val="18"/>
                <w:szCs w:val="18"/>
              </w:rPr>
              <w:t>287,715</w:t>
            </w:r>
            <w:r>
              <w:rPr>
                <w:color w:val="000000"/>
                <w:spacing w:val="0"/>
                <w:w w:val="100"/>
                <w:position w:val="0"/>
                <w:sz w:val="18"/>
                <w:szCs w:val="18"/>
              </w:rPr>
              <w:t>股；公司 股东舒志兵除通过普通证券账户持有</w:t>
            </w:r>
            <w:r>
              <w:rPr>
                <w:rFonts w:ascii="Times New Roman" w:eastAsia="Times New Roman" w:hAnsi="Times New Roman" w:cs="Times New Roman"/>
                <w:color w:val="000000"/>
                <w:spacing w:val="0"/>
                <w:w w:val="100"/>
                <w:position w:val="0"/>
                <w:sz w:val="18"/>
                <w:szCs w:val="18"/>
              </w:rPr>
              <w:t>45,900</w:t>
            </w:r>
            <w:r>
              <w:rPr>
                <w:color w:val="000000"/>
                <w:spacing w:val="0"/>
                <w:w w:val="100"/>
                <w:position w:val="0"/>
                <w:sz w:val="18"/>
                <w:szCs w:val="18"/>
              </w:rPr>
              <w:t>股外，还通过华泰证券股份有限公司信用 交易担保证券账户持有</w:t>
            </w:r>
            <w:r>
              <w:rPr>
                <w:rFonts w:ascii="Times New Roman" w:eastAsia="Times New Roman" w:hAnsi="Times New Roman" w:cs="Times New Roman"/>
                <w:color w:val="000000"/>
                <w:spacing w:val="0"/>
                <w:w w:val="100"/>
                <w:position w:val="0"/>
                <w:sz w:val="18"/>
                <w:szCs w:val="18"/>
              </w:rPr>
              <w:t>223,232</w:t>
            </w:r>
            <w:r>
              <w:rPr>
                <w:color w:val="000000"/>
                <w:spacing w:val="0"/>
                <w:w w:val="100"/>
                <w:position w:val="0"/>
                <w:sz w:val="18"/>
                <w:szCs w:val="18"/>
              </w:rPr>
              <w:t>股。</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、公司控股股东情况</w:t>
      </w:r>
      <w:bookmarkEnd w:id="423"/>
      <w:bookmarkEnd w:id="424"/>
      <w:bookmarkEnd w:id="42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朱业胜、曾维斌、姜承法（通过一致行动协 议的安排形成对公司的实际控制）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朱业胜任公司董事长、总经理；曾维斌任公司董事、副总经理；姜承法任公司 董事、副总经理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控股股东报告期内变更</w:t>
      </w:r>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公司报告期控股股东未发生变更。</w:t>
      </w:r>
    </w:p>
    <w:p>
      <w:pPr>
        <w:pStyle w:val="Style36"/>
        <w:keepNext/>
        <w:keepLines/>
        <w:widowControl w:val="0"/>
        <w:shd w:val="clear" w:color="auto" w:fill="auto"/>
        <w:bidi w:val="0"/>
        <w:spacing w:before="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、公司实际控制人情况</w:t>
      </w:r>
      <w:bookmarkEnd w:id="427"/>
      <w:bookmarkEnd w:id="428"/>
      <w:bookmarkEnd w:id="430"/>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实际控制人性质：境内自然人</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实际控制人类型：自然人</w:t>
      </w:r>
      <w:r>
        <w:br w:type="page"/>
      </w:r>
    </w:p>
    <w:tbl>
      <w:tblPr>
        <w:tblOverlap w:val="never"/>
        <w:jc w:val="center"/>
        <w:tblLayout w:type="fixed"/>
      </w:tblPr>
      <w:tblGrid>
        <w:gridCol w:w="3341"/>
        <w:gridCol w:w="2059"/>
        <w:gridCol w:w="41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朱业胜、曾维斌、姜承法（通过一致行动 协议的安排形成对公司的实际控制）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朱业胜任公司董事长、总经理；曾维斌任公司董事、副总经理；姜承法任公司 董事、副总经理</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0415" cy="337121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90415" cy="3371215"/>
                    </a:xfrm>
                    <a:prstGeom prst="rect"/>
                  </pic:spPr>
                </pic:pic>
              </a:graphicData>
            </a:graphic>
          </wp:inline>
        </w:drawing>
      </w:r>
    </w:p>
    <w:p>
      <w:pPr>
        <w:widowControl w:val="0"/>
        <w:spacing w:after="359" w:line="1" w:lineRule="exact"/>
      </w:pPr>
    </w:p>
    <w:p>
      <w:pPr>
        <w:pStyle w:val="Style5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1"/>
      <w:bookmarkEnd w:id="432"/>
      <w:bookmarkEnd w:id="434"/>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w:t>
        <w:tab/>
        <w:t>控股股东、实际控制人、重组方及其他承诺主体股份限制减持情况</w:t>
      </w:r>
      <w:bookmarkEnd w:id="435"/>
      <w:bookmarkEnd w:id="436"/>
      <w:bookmarkEnd w:id="438"/>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2716530</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381" w:name="bookmark381"/>
                            <w:bookmarkStart w:id="382" w:name="bookmark382"/>
                            <w:bookmarkStart w:id="383" w:name="bookmark383"/>
                            <w:r>
                              <w:rPr>
                                <w:color w:val="000000"/>
                                <w:spacing w:val="0"/>
                                <w:w w:val="100"/>
                                <w:position w:val="0"/>
                              </w:rPr>
                              <w:t>第七节优先股相关情况</w:t>
                            </w:r>
                            <w:bookmarkEnd w:id="381"/>
                            <w:bookmarkEnd w:id="382"/>
                            <w:bookmarkEnd w:id="383"/>
                          </w:p>
                        </w:txbxContent>
                      </wps:txbx>
                      <wps:bodyPr wrap="none" lIns="0" tIns="0" rIns="0" bIns="0">
                        <a:noAutoFit/>
                      </wps:bodyPr>
                    </wps:wsp>
                  </a:graphicData>
                </a:graphic>
              </wp:anchor>
            </w:drawing>
          </mc:Choice>
          <mc:Fallback>
            <w:pict>
              <v:shape id="_x0000_s1048" type="#_x0000_t202" style="position:absolute;margin-left:213.90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381" w:name="bookmark381"/>
                      <w:bookmarkStart w:id="382" w:name="bookmark382"/>
                      <w:bookmarkStart w:id="383" w:name="bookmark383"/>
                      <w:r>
                        <w:rPr>
                          <w:color w:val="000000"/>
                          <w:spacing w:val="0"/>
                          <w:w w:val="100"/>
                          <w:position w:val="0"/>
                        </w:rPr>
                        <w:t>第七节优先股相关情况</w:t>
                      </w:r>
                      <w:bookmarkEnd w:id="381"/>
                      <w:bookmarkEnd w:id="382"/>
                      <w:bookmarkEnd w:id="383"/>
                    </w:p>
                  </w:txbxContent>
                </v:textbox>
                <w10:wrap type="topAndBottom" anchorx="page"/>
              </v:shape>
            </w:pict>
          </mc:Fallback>
        </mc:AlternateConten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20" w:line="240" w:lineRule="auto"/>
        <w:ind w:left="0" w:right="0" w:firstLine="0"/>
        <w:jc w:val="center"/>
      </w:pPr>
      <w:bookmarkStart w:id="439" w:name="bookmark439"/>
      <w:bookmarkStart w:id="440" w:name="bookmark440"/>
      <w:bookmarkStart w:id="441" w:name="bookmark441"/>
      <w:r>
        <w:rPr>
          <w:color w:val="000000"/>
          <w:spacing w:val="0"/>
          <w:w w:val="100"/>
          <w:position w:val="0"/>
        </w:rPr>
        <w:t>第八节 董事、监事、高级管理人员和员工情况</w:t>
      </w:r>
      <w:bookmarkEnd w:id="439"/>
      <w:bookmarkEnd w:id="440"/>
      <w:bookmarkEnd w:id="441"/>
    </w:p>
    <w:p>
      <w:pPr>
        <w:pStyle w:val="Style26"/>
        <w:keepNext/>
        <w:keepLines/>
        <w:widowControl w:val="0"/>
        <w:shd w:val="clear" w:color="auto" w:fill="auto"/>
        <w:bidi w:val="0"/>
        <w:spacing w:before="0" w:after="320" w:line="240" w:lineRule="auto"/>
        <w:ind w:left="0" w:right="0" w:firstLine="240"/>
        <w:jc w:val="left"/>
      </w:pPr>
      <w:bookmarkStart w:id="442" w:name="bookmark442"/>
      <w:bookmarkStart w:id="443" w:name="bookmark443"/>
      <w:bookmarkStart w:id="444" w:name="bookmark444"/>
      <w:r>
        <w:rPr>
          <w:color w:val="000000"/>
          <w:spacing w:val="0"/>
          <w:w w:val="100"/>
          <w:position w:val="0"/>
          <w:sz w:val="24"/>
          <w:szCs w:val="24"/>
        </w:rPr>
        <w:t>、董事、监事和高级管理人员持股变动</w:t>
      </w:r>
      <w:bookmarkEnd w:id="442"/>
      <w:bookmarkEnd w:id="443"/>
      <w:bookmarkEnd w:id="444"/>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220" w:right="0" w:hanging="220"/>
              <w:jc w:val="both"/>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both"/>
              <w:rPr>
                <w:sz w:val="18"/>
                <w:szCs w:val="18"/>
              </w:rPr>
            </w:pPr>
            <w:r>
              <w:rPr>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left"/>
              <w:rPr>
                <w:sz w:val="18"/>
                <w:szCs w:val="18"/>
              </w:rPr>
            </w:pPr>
            <w:r>
              <w:rPr>
                <w:color w:val="000000"/>
                <w:spacing w:val="0"/>
                <w:w w:val="100"/>
                <w:position w:val="0"/>
                <w:sz w:val="18"/>
                <w:szCs w:val="18"/>
              </w:rPr>
              <w:t>本期增持 股份数量</w:t>
            </w:r>
          </w:p>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left"/>
              <w:rPr>
                <w:sz w:val="18"/>
                <w:szCs w:val="18"/>
              </w:rPr>
            </w:pPr>
            <w:r>
              <w:rPr>
                <w:color w:val="000000"/>
                <w:spacing w:val="0"/>
                <w:w w:val="100"/>
                <w:position w:val="0"/>
                <w:sz w:val="18"/>
                <w:szCs w:val="18"/>
              </w:rPr>
              <w:t>本期减持 股份数量</w:t>
            </w:r>
          </w:p>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期末持股 数（股）</w:t>
            </w: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董事长、 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3,725,009</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2,169,920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6,509,761</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董事、副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2,169,920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6,509,761</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陈业进</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王际松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5,425,041</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孙建国</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双国庆</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1,808,347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5,425,041</w:t>
            </w:r>
          </w:p>
        </w:tc>
      </w:tr>
    </w:tbl>
    <w:p>
      <w:pPr>
        <w:widowControl w:val="0"/>
        <w:spacing w:line="1" w:lineRule="exact"/>
      </w:pPr>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董事会秘 书、副总 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24,563,08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36,444,63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260"/>
        <w:jc w:val="both"/>
      </w:pPr>
      <w:bookmarkStart w:id="445" w:name="bookmark445"/>
      <w:bookmarkStart w:id="446" w:name="bookmark446"/>
      <w:bookmarkStart w:id="447" w:name="bookmark447"/>
      <w:r>
        <w:rPr>
          <w:color w:val="000000"/>
          <w:spacing w:val="0"/>
          <w:w w:val="100"/>
          <w:position w:val="0"/>
          <w:sz w:val="24"/>
          <w:szCs w:val="24"/>
        </w:rPr>
        <w:t>、公司董事、监事、高级管理人员变动情况</w:t>
      </w:r>
      <w:bookmarkEnd w:id="445"/>
      <w:bookmarkEnd w:id="446"/>
      <w:bookmarkEnd w:id="447"/>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448" w:name="bookmark448"/>
      <w:bookmarkStart w:id="449" w:name="bookmark449"/>
      <w:bookmarkStart w:id="450" w:name="bookmark450"/>
      <w:r>
        <w:rPr>
          <w:color w:val="000000"/>
          <w:spacing w:val="0"/>
          <w:w w:val="100"/>
          <w:position w:val="0"/>
          <w:sz w:val="24"/>
          <w:szCs w:val="24"/>
        </w:rPr>
        <w:t>三、任职情况</w:t>
      </w:r>
      <w:bookmarkEnd w:id="448"/>
      <w:bookmarkEnd w:id="449"/>
      <w:bookmarkEnd w:id="450"/>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tabs>
          <w:tab w:pos="329" w:val="left"/>
        </w:tabs>
        <w:bidi w:val="0"/>
        <w:spacing w:before="0" w:after="0" w:line="313" w:lineRule="exact"/>
        <w:ind w:left="0" w:right="0" w:firstLine="0"/>
        <w:jc w:val="both"/>
      </w:pPr>
      <w:bookmarkStart w:id="451" w:name="bookmark451"/>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朱业胜男，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年出生，中国国籍，无境外永久居留权，工程硕士，高级工程师。曾就职于北京橡胶 工业研究设计院，高级工程师；</w:t>
      </w:r>
      <w:r>
        <w:rPr>
          <w:rFonts w:ascii="Times New Roman" w:eastAsia="Times New Roman" w:hAnsi="Times New Roman" w:cs="Times New Roman"/>
          <w:color w:val="000000"/>
          <w:spacing w:val="0"/>
          <w:w w:val="100"/>
          <w:position w:val="0"/>
        </w:rPr>
        <w:t>2003</w:t>
      </w:r>
      <w:r>
        <w:rPr>
          <w:color w:val="000000"/>
          <w:spacing w:val="0"/>
          <w:w w:val="100"/>
          <w:position w:val="0"/>
        </w:rPr>
        <w:t>年起就职于本公司，现任本公司董事长、总经理，兼任《橡胶技术与 装备》杂志编委，橡胶技术信息中心高级顾问，橡胶再生与循环利用协会委员，石化协会</w:t>
      </w:r>
      <w:r>
        <w:rPr>
          <w:rFonts w:ascii="Times New Roman" w:eastAsia="Times New Roman" w:hAnsi="Times New Roman" w:cs="Times New Roman"/>
          <w:color w:val="000000"/>
          <w:spacing w:val="0"/>
          <w:w w:val="100"/>
          <w:position w:val="0"/>
        </w:rPr>
        <w:t>“</w:t>
      </w:r>
      <w:r>
        <w:rPr>
          <w:color w:val="000000"/>
          <w:spacing w:val="0"/>
          <w:w w:val="100"/>
          <w:position w:val="0"/>
        </w:rPr>
        <w:t>石油和化工橡 塑节能环保中心</w:t>
      </w:r>
      <w:r>
        <w:rPr>
          <w:color w:val="000000"/>
          <w:spacing w:val="0"/>
          <w:w w:val="100"/>
          <w:position w:val="0"/>
        </w:rPr>
        <w:t>''</w:t>
      </w:r>
      <w:r>
        <w:rPr>
          <w:color w:val="000000"/>
          <w:spacing w:val="0"/>
          <w:w w:val="100"/>
          <w:position w:val="0"/>
        </w:rPr>
        <w:t>理事。朱业胜先生从事密炼机上辅机、小料自动配料系统、轮胎成型机、硫化机、胶片 冷却机、截断机等多种橡胶设备的开发工作</w:t>
      </w:r>
      <w:r>
        <w:rPr>
          <w:rFonts w:ascii="Times New Roman" w:eastAsia="Times New Roman" w:hAnsi="Times New Roman" w:cs="Times New Roman"/>
          <w:color w:val="000000"/>
          <w:spacing w:val="0"/>
          <w:w w:val="100"/>
          <w:position w:val="0"/>
        </w:rPr>
        <w:t>20</w:t>
      </w:r>
      <w:r>
        <w:rPr>
          <w:color w:val="000000"/>
          <w:spacing w:val="0"/>
          <w:w w:val="100"/>
          <w:position w:val="0"/>
        </w:rPr>
        <w:t>余年，其主导研发的密炼机上辅机和小料配料系统被列为国 家级技术创新项目，是</w:t>
      </w:r>
      <w:r>
        <w:rPr>
          <w:rFonts w:ascii="Times New Roman" w:eastAsia="Times New Roman" w:hAnsi="Times New Roman" w:cs="Times New Roman"/>
          <w:color w:val="000000"/>
          <w:spacing w:val="0"/>
          <w:w w:val="100"/>
          <w:position w:val="0"/>
        </w:rPr>
        <w:t>“</w:t>
      </w:r>
      <w:r>
        <w:rPr>
          <w:color w:val="000000"/>
          <w:spacing w:val="0"/>
          <w:w w:val="100"/>
          <w:position w:val="0"/>
        </w:rPr>
        <w:t>小粉料配料系统存储斗转台装置''、</w:t>
      </w:r>
      <w:r>
        <w:rPr>
          <w:rFonts w:ascii="Times New Roman" w:eastAsia="Times New Roman" w:hAnsi="Times New Roman" w:cs="Times New Roman"/>
          <w:color w:val="000000"/>
          <w:spacing w:val="0"/>
          <w:w w:val="100"/>
          <w:position w:val="0"/>
        </w:rPr>
        <w:t>“</w:t>
      </w:r>
      <w:r>
        <w:rPr>
          <w:color w:val="000000"/>
          <w:spacing w:val="0"/>
          <w:w w:val="100"/>
          <w:position w:val="0"/>
        </w:rPr>
        <w:t>应用于密炼机上辅机及小药配料系统的远程监 控系统''、“胶烟尘混合异味废气净化处理装置''、“自动制袋套袋装置''、“智能化物料输送装置''等专利的主 要发明人之一，同时朱业胜先生还是</w:t>
      </w:r>
      <w:r>
        <w:rPr>
          <w:color w:val="000000"/>
          <w:spacing w:val="0"/>
          <w:w w:val="100"/>
          <w:position w:val="0"/>
        </w:rPr>
        <w:t>《</w:t>
      </w:r>
      <w:r>
        <w:rPr>
          <w:rFonts w:ascii="Times New Roman" w:eastAsia="Times New Roman" w:hAnsi="Times New Roman" w:cs="Times New Roman"/>
          <w:color w:val="000000"/>
          <w:spacing w:val="0"/>
          <w:w w:val="100"/>
          <w:position w:val="0"/>
        </w:rPr>
        <w:t>GB/T 25939-2010</w:t>
      </w:r>
      <w:r>
        <w:rPr>
          <w:color w:val="000000"/>
          <w:spacing w:val="0"/>
          <w:w w:val="100"/>
          <w:position w:val="0"/>
        </w:rPr>
        <w:t>密闭式炼胶上辅机系统》国家标准的主要起草人 之一。</w:t>
      </w:r>
    </w:p>
    <w:p>
      <w:pPr>
        <w:pStyle w:val="Style40"/>
        <w:keepNext w:val="0"/>
        <w:keepLines w:val="0"/>
        <w:widowControl w:val="0"/>
        <w:shd w:val="clear" w:color="auto" w:fill="auto"/>
        <w:tabs>
          <w:tab w:pos="329" w:val="left"/>
        </w:tabs>
        <w:bidi w:val="0"/>
        <w:spacing w:before="0" w:after="0" w:line="313" w:lineRule="exact"/>
        <w:ind w:left="0" w:right="0" w:firstLine="0"/>
        <w:jc w:val="both"/>
      </w:pPr>
      <w:bookmarkStart w:id="452" w:name="bookmark452"/>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曾维斌男，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年出生，中国国籍，无境外永久居留权，本科学历。曾就职于北京橡胶工业研究设计 院；</w:t>
      </w:r>
      <w:r>
        <w:rPr>
          <w:rFonts w:ascii="Times New Roman" w:eastAsia="Times New Roman" w:hAnsi="Times New Roman" w:cs="Times New Roman"/>
          <w:color w:val="000000"/>
          <w:spacing w:val="0"/>
          <w:w w:val="100"/>
          <w:position w:val="0"/>
        </w:rPr>
        <w:t>2004</w:t>
      </w:r>
      <w:r>
        <w:rPr>
          <w:color w:val="000000"/>
          <w:spacing w:val="0"/>
          <w:w w:val="100"/>
          <w:position w:val="0"/>
        </w:rPr>
        <w:t>年起就职于本公司；现任本公司董事、副总经理。曾维斌先生从事粉体输送、计量和配料的开发 与研究工作近</w:t>
      </w:r>
      <w:r>
        <w:rPr>
          <w:rFonts w:ascii="Times New Roman" w:eastAsia="Times New Roman" w:hAnsi="Times New Roman" w:cs="Times New Roman"/>
          <w:color w:val="000000"/>
          <w:spacing w:val="0"/>
          <w:w w:val="100"/>
          <w:position w:val="0"/>
        </w:rPr>
        <w:t>20</w:t>
      </w:r>
      <w:r>
        <w:rPr>
          <w:color w:val="000000"/>
          <w:spacing w:val="0"/>
          <w:w w:val="100"/>
          <w:position w:val="0"/>
        </w:rPr>
        <w:t>年，具有丰富智能化输送配料系统研发经验。</w:t>
      </w:r>
    </w:p>
    <w:p>
      <w:pPr>
        <w:pStyle w:val="Style40"/>
        <w:keepNext w:val="0"/>
        <w:keepLines w:val="0"/>
        <w:widowControl w:val="0"/>
        <w:shd w:val="clear" w:color="auto" w:fill="auto"/>
        <w:tabs>
          <w:tab w:pos="329" w:val="left"/>
        </w:tabs>
        <w:bidi w:val="0"/>
        <w:spacing w:before="0" w:after="0" w:line="313" w:lineRule="exact"/>
        <w:ind w:left="0" w:right="0" w:firstLine="0"/>
        <w:jc w:val="both"/>
      </w:pPr>
      <w:bookmarkStart w:id="453" w:name="bookmark453"/>
      <w:r>
        <w:rPr>
          <w:rFonts w:ascii="Times New Roman" w:eastAsia="Times New Roman" w:hAnsi="Times New Roman" w:cs="Times New Roman"/>
          <w:color w:val="000000"/>
          <w:spacing w:val="0"/>
          <w:w w:val="100"/>
          <w:position w:val="0"/>
        </w:rPr>
        <w:t>3</w:t>
      </w:r>
      <w:bookmarkEnd w:id="453"/>
      <w:r>
        <w:rPr>
          <w:color w:val="000000"/>
          <w:spacing w:val="0"/>
          <w:w w:val="100"/>
          <w:position w:val="0"/>
        </w:rPr>
        <w:t>、</w:t>
        <w:tab/>
        <w:t>姜承法男，</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年出生，中国国籍，无境外永久居留权，本科学历，高级工程师。曾就职于北京橡胶 工业研究设计院；</w:t>
      </w:r>
      <w:r>
        <w:rPr>
          <w:rFonts w:ascii="Times New Roman" w:eastAsia="Times New Roman" w:hAnsi="Times New Roman" w:cs="Times New Roman"/>
          <w:color w:val="000000"/>
          <w:spacing w:val="0"/>
          <w:w w:val="100"/>
          <w:position w:val="0"/>
        </w:rPr>
        <w:t>2004</w:t>
      </w:r>
      <w:r>
        <w:rPr>
          <w:color w:val="000000"/>
          <w:spacing w:val="0"/>
          <w:w w:val="100"/>
          <w:position w:val="0"/>
        </w:rPr>
        <w:t>年起就职于本公司，现任本公司董事、副总经理，兼任国家标准化委员会橡胶专业 委员会分会委员。姜承法先生从事粉料输送和运输、计量和配料等设备的开发和设计工作</w:t>
      </w:r>
      <w:r>
        <w:rPr>
          <w:rFonts w:ascii="Times New Roman" w:eastAsia="Times New Roman" w:hAnsi="Times New Roman" w:cs="Times New Roman"/>
          <w:color w:val="000000"/>
          <w:spacing w:val="0"/>
          <w:w w:val="100"/>
          <w:position w:val="0"/>
        </w:rPr>
        <w:t>20</w:t>
      </w:r>
      <w:r>
        <w:rPr>
          <w:color w:val="000000"/>
          <w:spacing w:val="0"/>
          <w:w w:val="100"/>
          <w:position w:val="0"/>
        </w:rPr>
        <w:t>余年，其主导 的</w:t>
      </w:r>
      <w:r>
        <w:rPr>
          <w:rFonts w:ascii="Times New Roman" w:eastAsia="Times New Roman" w:hAnsi="Times New Roman" w:cs="Times New Roman"/>
          <w:color w:val="000000"/>
          <w:spacing w:val="0"/>
          <w:w w:val="100"/>
          <w:position w:val="0"/>
        </w:rPr>
        <w:t>“2000</w:t>
      </w:r>
      <w:r>
        <w:rPr>
          <w:color w:val="000000"/>
          <w:spacing w:val="0"/>
          <w:w w:val="100"/>
          <w:position w:val="0"/>
        </w:rPr>
        <w:t>升混合机细氧化剂自动加料工艺研究</w:t>
      </w:r>
      <w:r>
        <w:rPr>
          <w:rFonts w:ascii="Times New Roman" w:eastAsia="Times New Roman" w:hAnsi="Times New Roman" w:cs="Times New Roman"/>
          <w:color w:val="000000"/>
          <w:spacing w:val="0"/>
          <w:w w:val="100"/>
          <w:position w:val="0"/>
        </w:rPr>
        <w:t>”</w:t>
      </w:r>
      <w:r>
        <w:rPr>
          <w:color w:val="000000"/>
          <w:spacing w:val="0"/>
          <w:w w:val="100"/>
          <w:position w:val="0"/>
        </w:rPr>
        <w:t>获得航天部科技成果一等奖，姜承法先生还是</w:t>
      </w:r>
      <w:r>
        <w:rPr>
          <w:rFonts w:ascii="Times New Roman" w:eastAsia="Times New Roman" w:hAnsi="Times New Roman" w:cs="Times New Roman"/>
          <w:color w:val="000000"/>
          <w:spacing w:val="0"/>
          <w:w w:val="100"/>
          <w:position w:val="0"/>
        </w:rPr>
        <w:t>“</w:t>
      </w:r>
      <w:r>
        <w:rPr>
          <w:color w:val="000000"/>
          <w:spacing w:val="0"/>
          <w:w w:val="100"/>
          <w:position w:val="0"/>
        </w:rPr>
        <w:t>自动制袋套袋 装置，，等专利的主要发明人之一，同时姜承法先生还是</w:t>
      </w:r>
      <w:r>
        <w:rPr>
          <w:color w:val="000000"/>
          <w:spacing w:val="0"/>
          <w:w w:val="100"/>
          <w:position w:val="0"/>
        </w:rPr>
        <w:t>《</w:t>
      </w:r>
      <w:r>
        <w:rPr>
          <w:rFonts w:ascii="Times New Roman" w:eastAsia="Times New Roman" w:hAnsi="Times New Roman" w:cs="Times New Roman"/>
          <w:color w:val="000000"/>
          <w:spacing w:val="0"/>
          <w:w w:val="100"/>
          <w:position w:val="0"/>
        </w:rPr>
        <w:t>GB/T 25939-2010</w:t>
      </w:r>
      <w:r>
        <w:rPr>
          <w:color w:val="000000"/>
          <w:spacing w:val="0"/>
          <w:w w:val="100"/>
          <w:position w:val="0"/>
        </w:rPr>
        <w:t>密闭式炼胶上辅机系统》国家标 准的主要起草人之一。</w:t>
      </w:r>
    </w:p>
    <w:p>
      <w:pPr>
        <w:pStyle w:val="Style40"/>
        <w:keepNext w:val="0"/>
        <w:keepLines w:val="0"/>
        <w:widowControl w:val="0"/>
        <w:shd w:val="clear" w:color="auto" w:fill="auto"/>
        <w:tabs>
          <w:tab w:pos="329" w:val="left"/>
        </w:tabs>
        <w:bidi w:val="0"/>
        <w:spacing w:before="0" w:after="300" w:line="313" w:lineRule="exact"/>
        <w:ind w:left="0" w:right="0" w:firstLine="0"/>
        <w:jc w:val="both"/>
      </w:pPr>
      <w:bookmarkStart w:id="454" w:name="bookmark454"/>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瞿绪标先生，中国国籍，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年出生，工商管理硕士，注册会计师。曾在新疆财政科学研究所、新疆 自治区财政厅从事研究工作，曾任德农种业投资发展集团公司董事副总裁、赤峰德农松州种业有限公司董 事长，华冠科技</w:t>
      </w:r>
      <w:r>
        <w:rPr>
          <w:rFonts w:ascii="Times New Roman" w:eastAsia="Times New Roman" w:hAnsi="Times New Roman" w:cs="Times New Roman"/>
          <w:color w:val="000000"/>
          <w:spacing w:val="0"/>
          <w:w w:val="100"/>
          <w:position w:val="0"/>
        </w:rPr>
        <w:t>（600371）</w:t>
      </w:r>
      <w:r>
        <w:rPr>
          <w:color w:val="000000"/>
          <w:spacing w:val="0"/>
          <w:w w:val="100"/>
          <w:position w:val="0"/>
        </w:rPr>
        <w:t>常务副总经理，新疆华西种业有限公司董事长，深圳市中科招商创业投资管理有 限公司董事执行副总裁。现任上海思科瑞新投资管理中心（有限合伙）执行合伙人，苏州思科投资管理企 业（有限合伙）执行合伙人，上海市思科瑞新资产管理有限责任公司执行董事，南京亚东启天药业有限公 司董事，四川思科同汇股权投资基金管理有限公司董事长，北京万向新元科技股份有限公司（</w:t>
      </w:r>
      <w:r>
        <w:rPr>
          <w:rFonts w:ascii="Times New Roman" w:eastAsia="Times New Roman" w:hAnsi="Times New Roman" w:cs="Times New Roman"/>
          <w:color w:val="000000"/>
          <w:spacing w:val="0"/>
          <w:w w:val="100"/>
          <w:position w:val="0"/>
        </w:rPr>
        <w:t>300472</w:t>
      </w:r>
      <w:r>
        <w:rPr>
          <w:color w:val="000000"/>
          <w:spacing w:val="0"/>
          <w:w w:val="100"/>
          <w:position w:val="0"/>
        </w:rPr>
        <w:t>）董 事，山东旭业新材料股份有限公司董事，华油惠博普科技股份有限公司（</w:t>
      </w:r>
      <w:r>
        <w:rPr>
          <w:rFonts w:ascii="Times New Roman" w:eastAsia="Times New Roman" w:hAnsi="Times New Roman" w:cs="Times New Roman"/>
          <w:color w:val="000000"/>
          <w:spacing w:val="0"/>
          <w:w w:val="100"/>
          <w:position w:val="0"/>
        </w:rPr>
        <w:t>002554</w:t>
      </w:r>
      <w:r>
        <w:rPr>
          <w:color w:val="000000"/>
          <w:spacing w:val="0"/>
          <w:w w:val="100"/>
          <w:position w:val="0"/>
        </w:rPr>
        <w:t>）董事。</w:t>
      </w:r>
    </w:p>
    <w:p>
      <w:pPr>
        <w:pStyle w:val="Style40"/>
        <w:keepNext w:val="0"/>
        <w:keepLines w:val="0"/>
        <w:widowControl w:val="0"/>
        <w:shd w:val="clear" w:color="auto" w:fill="auto"/>
        <w:bidi w:val="0"/>
        <w:spacing w:before="0" w:after="0" w:line="313" w:lineRule="exact"/>
        <w:ind w:left="0" w:right="0" w:firstLine="0"/>
        <w:jc w:val="both"/>
      </w:pPr>
      <w:bookmarkStart w:id="455" w:name="bookmark455"/>
      <w:r>
        <w:rPr>
          <w:rFonts w:ascii="Times New Roman" w:eastAsia="Times New Roman" w:hAnsi="Times New Roman" w:cs="Times New Roman"/>
          <w:color w:val="000000"/>
          <w:spacing w:val="0"/>
          <w:w w:val="100"/>
          <w:position w:val="0"/>
        </w:rPr>
        <w:t>5</w:t>
      </w:r>
      <w:bookmarkEnd w:id="455"/>
      <w:r>
        <w:rPr>
          <w:color w:val="000000"/>
          <w:spacing w:val="0"/>
          <w:w w:val="100"/>
          <w:position w:val="0"/>
        </w:rPr>
        <w:t>、 叶蜀君女，</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年出生，中国国籍，无境外永久居留权，博士、教授、博士生导师。</w:t>
      </w:r>
      <w:r>
        <w:rPr>
          <w:rFonts w:ascii="Times New Roman" w:eastAsia="Times New Roman" w:hAnsi="Times New Roman" w:cs="Times New Roman"/>
          <w:color w:val="000000"/>
          <w:spacing w:val="0"/>
          <w:w w:val="100"/>
          <w:position w:val="0"/>
        </w:rPr>
        <w:t>1983</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1985 </w:t>
      </w:r>
      <w:r>
        <w:rPr>
          <w:color w:val="000000"/>
          <w:spacing w:val="0"/>
          <w:w w:val="100"/>
          <w:position w:val="0"/>
        </w:rPr>
        <w:t>年就职于北京机械工业管理学院；</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年就职于太原工业大学；</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 xml:space="preserve">年清华大学读研； </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年就职于北京交通大学，</w:t>
      </w:r>
      <w:r>
        <w:rPr>
          <w:rFonts w:ascii="Times New Roman" w:eastAsia="Times New Roman" w:hAnsi="Times New Roman" w:cs="Times New Roman"/>
          <w:color w:val="000000"/>
          <w:spacing w:val="0"/>
          <w:w w:val="100"/>
          <w:position w:val="0"/>
        </w:rPr>
        <w:t>2008</w:t>
      </w:r>
      <w:r>
        <w:rPr>
          <w:color w:val="000000"/>
          <w:spacing w:val="0"/>
          <w:w w:val="100"/>
          <w:position w:val="0"/>
        </w:rPr>
        <w:t>年起至今任北京交通大学金融系主任；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月起就任本公 司独立董事；目前兼任北京三夫户外用品股份有限公司独立董事。</w:t>
      </w:r>
    </w:p>
    <w:p>
      <w:pPr>
        <w:pStyle w:val="Style40"/>
        <w:keepNext w:val="0"/>
        <w:keepLines w:val="0"/>
        <w:widowControl w:val="0"/>
        <w:shd w:val="clear" w:color="auto" w:fill="auto"/>
        <w:tabs>
          <w:tab w:pos="367" w:val="left"/>
        </w:tabs>
        <w:bidi w:val="0"/>
        <w:spacing w:before="0" w:after="0" w:line="313" w:lineRule="exact"/>
        <w:ind w:left="0" w:right="0" w:firstLine="0"/>
        <w:jc w:val="both"/>
      </w:pPr>
      <w:bookmarkStart w:id="456" w:name="bookmark456"/>
      <w:r>
        <w:rPr>
          <w:rFonts w:ascii="Times New Roman" w:eastAsia="Times New Roman" w:hAnsi="Times New Roman" w:cs="Times New Roman"/>
          <w:color w:val="000000"/>
          <w:spacing w:val="0"/>
          <w:w w:val="100"/>
          <w:position w:val="0"/>
        </w:rPr>
        <w:t>6</w:t>
      </w:r>
      <w:bookmarkEnd w:id="456"/>
      <w:r>
        <w:rPr>
          <w:color w:val="000000"/>
          <w:spacing w:val="0"/>
          <w:w w:val="100"/>
          <w:position w:val="0"/>
        </w:rPr>
        <w:t>、</w:t>
        <w:tab/>
        <w:t>许春华女，</w:t>
      </w:r>
      <w:r>
        <w:rPr>
          <w:rFonts w:ascii="Times New Roman" w:eastAsia="Times New Roman" w:hAnsi="Times New Roman" w:cs="Times New Roman"/>
          <w:color w:val="000000"/>
          <w:spacing w:val="0"/>
          <w:w w:val="100"/>
          <w:position w:val="0"/>
        </w:rPr>
        <w:t>1943</w:t>
      </w:r>
      <w:r>
        <w:rPr>
          <w:color w:val="000000"/>
          <w:spacing w:val="0"/>
          <w:w w:val="100"/>
          <w:position w:val="0"/>
        </w:rPr>
        <w:t>年出生，中国国籍，无境外永久居留权，本科学历，教授级高级工程师。</w:t>
      </w:r>
      <w:r>
        <w:rPr>
          <w:rFonts w:ascii="Times New Roman" w:eastAsia="Times New Roman" w:hAnsi="Times New Roman" w:cs="Times New Roman"/>
          <w:color w:val="000000"/>
          <w:spacing w:val="0"/>
          <w:w w:val="100"/>
          <w:position w:val="0"/>
        </w:rPr>
        <w:t>1965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年就职于北京橡胶工业研究设计院，</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年任北京橡胶工业研究设计院副院长；</w:t>
      </w:r>
      <w:r>
        <w:rPr>
          <w:rFonts w:ascii="Times New Roman" w:eastAsia="Times New Roman" w:hAnsi="Times New Roman" w:cs="Times New Roman"/>
          <w:color w:val="000000"/>
          <w:spacing w:val="0"/>
          <w:w w:val="100"/>
          <w:position w:val="0"/>
        </w:rPr>
        <w:t>2003</w:t>
      </w:r>
      <w:r>
        <w:rPr>
          <w:color w:val="000000"/>
          <w:spacing w:val="0"/>
          <w:w w:val="100"/>
          <w:position w:val="0"/>
        </w:rPr>
        <w:t>年至今任中 国橡胶工业协会副会长。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月起任本公司独立董事；目前兼任山东大业股份有限公司、天津市科迈 化工股份有限公司独立董事，青岛橡胶轮胎工程专修学院院长。</w:t>
      </w:r>
    </w:p>
    <w:p>
      <w:pPr>
        <w:pStyle w:val="Style40"/>
        <w:keepNext w:val="0"/>
        <w:keepLines w:val="0"/>
        <w:widowControl w:val="0"/>
        <w:shd w:val="clear" w:color="auto" w:fill="auto"/>
        <w:tabs>
          <w:tab w:pos="367" w:val="left"/>
        </w:tabs>
        <w:bidi w:val="0"/>
        <w:spacing w:before="0" w:after="0" w:line="313" w:lineRule="exact"/>
        <w:ind w:left="0" w:right="0" w:firstLine="0"/>
        <w:jc w:val="both"/>
      </w:pPr>
      <w:bookmarkStart w:id="457" w:name="bookmark457"/>
      <w:r>
        <w:rPr>
          <w:rFonts w:ascii="Times New Roman" w:eastAsia="Times New Roman" w:hAnsi="Times New Roman" w:cs="Times New Roman"/>
          <w:color w:val="000000"/>
          <w:spacing w:val="0"/>
          <w:w w:val="100"/>
          <w:position w:val="0"/>
        </w:rPr>
        <w:t>7</w:t>
      </w:r>
      <w:bookmarkEnd w:id="457"/>
      <w:r>
        <w:rPr>
          <w:color w:val="000000"/>
          <w:spacing w:val="0"/>
          <w:w w:val="100"/>
          <w:position w:val="0"/>
        </w:rPr>
        <w:t>、</w:t>
        <w:tab/>
        <w:t>陈业进男，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年出生，中国国籍，无境外永久居留权，硕士研究生，高级会计师。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 就职于安徽省化工进出口股份有限公司任财务部经理；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年就职于合肥荣事达集团有限责任公 司任集团财务副总经理，兼上市公司合肥荣事达三洋电器股份有限公司监事会主席；</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 职于中拓国际经贸集团公司任总会计师；</w:t>
      </w:r>
      <w:r>
        <w:rPr>
          <w:rFonts w:ascii="Times New Roman" w:eastAsia="Times New Roman" w:hAnsi="Times New Roman" w:cs="Times New Roman"/>
          <w:color w:val="000000"/>
          <w:spacing w:val="0"/>
          <w:w w:val="100"/>
          <w:position w:val="0"/>
        </w:rPr>
        <w:t>2006</w:t>
      </w:r>
      <w:r>
        <w:rPr>
          <w:color w:val="000000"/>
          <w:spacing w:val="0"/>
          <w:w w:val="100"/>
          <w:position w:val="0"/>
        </w:rPr>
        <w:t>年至今，就职于中国轻工业出版社，现任中国轻工业出版社 社长助理、财务处处长；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月起任本公司独立董事；目前兼任中青旅控股股份有限公司独立董事。</w:t>
      </w:r>
    </w:p>
    <w:p>
      <w:pPr>
        <w:pStyle w:val="Style40"/>
        <w:keepNext w:val="0"/>
        <w:keepLines w:val="0"/>
        <w:widowControl w:val="0"/>
        <w:shd w:val="clear" w:color="auto" w:fill="auto"/>
        <w:tabs>
          <w:tab w:pos="367" w:val="left"/>
        </w:tabs>
        <w:bidi w:val="0"/>
        <w:spacing w:before="0" w:after="0" w:line="313" w:lineRule="exact"/>
        <w:ind w:left="0" w:right="0" w:firstLine="0"/>
        <w:jc w:val="both"/>
      </w:pPr>
      <w:bookmarkStart w:id="458" w:name="bookmark458"/>
      <w:r>
        <w:rPr>
          <w:rFonts w:ascii="Times New Roman" w:eastAsia="Times New Roman" w:hAnsi="Times New Roman" w:cs="Times New Roman"/>
          <w:color w:val="000000"/>
          <w:spacing w:val="0"/>
          <w:w w:val="100"/>
          <w:position w:val="0"/>
        </w:rPr>
        <w:t>8</w:t>
      </w:r>
      <w:bookmarkEnd w:id="458"/>
      <w:r>
        <w:rPr>
          <w:color w:val="000000"/>
          <w:spacing w:val="0"/>
          <w:w w:val="100"/>
          <w:position w:val="0"/>
        </w:rPr>
        <w:t>、</w:t>
        <w:tab/>
        <w:t>王际松男，</w:t>
      </w:r>
      <w:r>
        <w:rPr>
          <w:rFonts w:ascii="Times New Roman" w:eastAsia="Times New Roman" w:hAnsi="Times New Roman" w:cs="Times New Roman"/>
          <w:color w:val="000000"/>
          <w:spacing w:val="0"/>
          <w:w w:val="100"/>
          <w:position w:val="0"/>
        </w:rPr>
        <w:t>1953</w:t>
      </w:r>
      <w:r>
        <w:rPr>
          <w:color w:val="000000"/>
          <w:spacing w:val="0"/>
          <w:w w:val="100"/>
          <w:position w:val="0"/>
        </w:rPr>
        <w:t>年出生，中国国籍，无境外永久居留权，本科学历。曾就职于北京橡胶工业研究设计 院；</w:t>
      </w:r>
      <w:r>
        <w:rPr>
          <w:rFonts w:ascii="Times New Roman" w:eastAsia="Times New Roman" w:hAnsi="Times New Roman" w:cs="Times New Roman"/>
          <w:color w:val="000000"/>
          <w:spacing w:val="0"/>
          <w:w w:val="100"/>
          <w:position w:val="0"/>
        </w:rPr>
        <w:t>2005</w:t>
      </w:r>
      <w:r>
        <w:rPr>
          <w:color w:val="000000"/>
          <w:spacing w:val="0"/>
          <w:w w:val="100"/>
          <w:position w:val="0"/>
        </w:rPr>
        <w:t>年起就职于本公司，现任本公司监事会主席。王际松先生对橡胶设备的物料输送、存储和自动配 料系统有丰富的设计及现场经验，承担并完成多项橡胶机械设备国家攻关项目，获得过大容量密炼机上辅 机微机控制系统获化工部科技进步二等奖、</w:t>
      </w:r>
      <w:r>
        <w:rPr>
          <w:rFonts w:ascii="Times New Roman" w:eastAsia="Times New Roman" w:hAnsi="Times New Roman" w:cs="Times New Roman"/>
          <w:color w:val="000000"/>
          <w:spacing w:val="0"/>
          <w:w w:val="100"/>
          <w:position w:val="0"/>
        </w:rPr>
        <w:t>2000</w:t>
      </w:r>
      <w:r>
        <w:rPr>
          <w:color w:val="000000"/>
          <w:spacing w:val="0"/>
          <w:w w:val="100"/>
          <w:position w:val="0"/>
        </w:rPr>
        <w:t>升混合机细氧化剂自动机料工艺研究获国家技术发明三等 奖、物料气力输送装置和密炼机微机控制系统获部级科技进步三等奖等重要奖项，同时，王际松先生还是</w:t>
      </w:r>
    </w:p>
    <w:p>
      <w:pPr>
        <w:pStyle w:val="Style4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GB/T 25938-2010</w:t>
      </w:r>
      <w:r>
        <w:rPr>
          <w:color w:val="000000"/>
          <w:spacing w:val="0"/>
          <w:w w:val="100"/>
          <w:position w:val="0"/>
        </w:rPr>
        <w:t>炼胶工序中小料自动配料称量系统》国家标准的主要起草人之一。</w:t>
      </w:r>
    </w:p>
    <w:p>
      <w:pPr>
        <w:pStyle w:val="Style40"/>
        <w:keepNext w:val="0"/>
        <w:keepLines w:val="0"/>
        <w:widowControl w:val="0"/>
        <w:shd w:val="clear" w:color="auto" w:fill="auto"/>
        <w:tabs>
          <w:tab w:pos="367" w:val="left"/>
        </w:tabs>
        <w:bidi w:val="0"/>
        <w:spacing w:before="0" w:after="0" w:line="313" w:lineRule="exact"/>
        <w:ind w:left="0" w:right="0" w:firstLine="0"/>
        <w:jc w:val="both"/>
      </w:pPr>
      <w:bookmarkStart w:id="459" w:name="bookmark459"/>
      <w:r>
        <w:rPr>
          <w:rFonts w:ascii="Times New Roman" w:eastAsia="Times New Roman" w:hAnsi="Times New Roman" w:cs="Times New Roman"/>
          <w:color w:val="000000"/>
          <w:spacing w:val="0"/>
          <w:w w:val="100"/>
          <w:position w:val="0"/>
        </w:rPr>
        <w:t>9</w:t>
      </w:r>
      <w:bookmarkEnd w:id="459"/>
      <w:r>
        <w:rPr>
          <w:color w:val="000000"/>
          <w:spacing w:val="0"/>
          <w:w w:val="100"/>
          <w:position w:val="0"/>
        </w:rPr>
        <w:t>、</w:t>
        <w:tab/>
        <w:t>孙建国男，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年出生，中国国籍，无境外永久居留权，硕士研究生。</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年任中国华闻投 资控股有限责任公司项目经理；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年任北京龙鼎投资管理有限公司总经理助理；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年任首创证券有限责任公司投行总部高级经理；</w:t>
      </w:r>
      <w:r>
        <w:rPr>
          <w:rFonts w:ascii="Times New Roman" w:eastAsia="Times New Roman" w:hAnsi="Times New Roman" w:cs="Times New Roman"/>
          <w:color w:val="000000"/>
          <w:spacing w:val="0"/>
          <w:w w:val="100"/>
          <w:position w:val="0"/>
        </w:rPr>
        <w:t>2010</w:t>
      </w:r>
      <w:r>
        <w:rPr>
          <w:color w:val="000000"/>
          <w:spacing w:val="0"/>
          <w:w w:val="100"/>
          <w:position w:val="0"/>
        </w:rPr>
        <w:t>年至今任盛世金泉（天津）股权投资基金管理有限公 司副总经理、董事会秘书；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月至今任本公司监事。</w:t>
      </w:r>
    </w:p>
    <w:p>
      <w:pPr>
        <w:pStyle w:val="Style40"/>
        <w:keepNext w:val="0"/>
        <w:keepLines w:val="0"/>
        <w:widowControl w:val="0"/>
        <w:shd w:val="clear" w:color="auto" w:fill="auto"/>
        <w:tabs>
          <w:tab w:pos="414" w:val="left"/>
        </w:tabs>
        <w:bidi w:val="0"/>
        <w:spacing w:before="0" w:after="0" w:line="313" w:lineRule="exact"/>
        <w:ind w:left="0" w:right="0" w:firstLine="0"/>
        <w:jc w:val="both"/>
      </w:pPr>
      <w:bookmarkStart w:id="460" w:name="bookmark460"/>
      <w:r>
        <w:rPr>
          <w:rFonts w:ascii="Times New Roman" w:eastAsia="Times New Roman" w:hAnsi="Times New Roman" w:cs="Times New Roman"/>
          <w:color w:val="000000"/>
          <w:spacing w:val="0"/>
          <w:w w:val="100"/>
          <w:position w:val="0"/>
        </w:rPr>
        <w:t>1</w:t>
      </w:r>
      <w:bookmarkEnd w:id="460"/>
      <w:r>
        <w:rPr>
          <w:rFonts w:ascii="Times New Roman" w:eastAsia="Times New Roman" w:hAnsi="Times New Roman" w:cs="Times New Roman"/>
          <w:color w:val="000000"/>
          <w:spacing w:val="0"/>
          <w:w w:val="100"/>
          <w:position w:val="0"/>
        </w:rPr>
        <w:t>0</w:t>
      </w:r>
      <w:r>
        <w:rPr>
          <w:color w:val="000000"/>
          <w:spacing w:val="0"/>
          <w:w w:val="100"/>
          <w:position w:val="0"/>
        </w:rPr>
        <w:t>、</w:t>
        <w:tab/>
        <w:t>双国庆男，</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年出生，中国国籍，无境外永久居留权，本科学历，工程师。曾就职于北京橡胶工 业研究设计院；</w:t>
      </w:r>
      <w:r>
        <w:rPr>
          <w:rFonts w:ascii="Times New Roman" w:eastAsia="Times New Roman" w:hAnsi="Times New Roman" w:cs="Times New Roman"/>
          <w:color w:val="000000"/>
          <w:spacing w:val="0"/>
          <w:w w:val="100"/>
          <w:position w:val="0"/>
        </w:rPr>
        <w:t>2004</w:t>
      </w:r>
      <w:r>
        <w:rPr>
          <w:color w:val="000000"/>
          <w:spacing w:val="0"/>
          <w:w w:val="100"/>
          <w:position w:val="0"/>
        </w:rPr>
        <w:t>年起就职于本公司，现任本公司设计部部门经理，本公司职工代表监事。</w:t>
      </w:r>
    </w:p>
    <w:p>
      <w:pPr>
        <w:pStyle w:val="Style40"/>
        <w:keepNext w:val="0"/>
        <w:keepLines w:val="0"/>
        <w:widowControl w:val="0"/>
        <w:shd w:val="clear" w:color="auto" w:fill="auto"/>
        <w:tabs>
          <w:tab w:pos="399" w:val="left"/>
        </w:tabs>
        <w:bidi w:val="0"/>
        <w:spacing w:before="0" w:after="0" w:line="313" w:lineRule="exact"/>
        <w:ind w:left="0" w:right="0" w:firstLine="0"/>
        <w:jc w:val="both"/>
      </w:pPr>
      <w:bookmarkStart w:id="461" w:name="bookmark461"/>
      <w:r>
        <w:rPr>
          <w:rFonts w:ascii="Times New Roman" w:eastAsia="Times New Roman" w:hAnsi="Times New Roman" w:cs="Times New Roman"/>
          <w:color w:val="000000"/>
          <w:spacing w:val="0"/>
          <w:w w:val="100"/>
          <w:position w:val="0"/>
        </w:rPr>
        <w:t>1</w:t>
      </w:r>
      <w:bookmarkEnd w:id="461"/>
      <w:r>
        <w:rPr>
          <w:rFonts w:ascii="Times New Roman" w:eastAsia="Times New Roman" w:hAnsi="Times New Roman" w:cs="Times New Roman"/>
          <w:color w:val="000000"/>
          <w:spacing w:val="0"/>
          <w:w w:val="100"/>
          <w:position w:val="0"/>
        </w:rPr>
        <w:t>1</w:t>
      </w:r>
      <w:r>
        <w:rPr>
          <w:color w:val="000000"/>
          <w:spacing w:val="0"/>
          <w:w w:val="100"/>
          <w:position w:val="0"/>
        </w:rPr>
        <w:t>、</w:t>
        <w:tab/>
        <w:t>张玉生男，</w:t>
      </w:r>
      <w:r>
        <w:rPr>
          <w:rFonts w:ascii="Times New Roman" w:eastAsia="Times New Roman" w:hAnsi="Times New Roman" w:cs="Times New Roman"/>
          <w:color w:val="000000"/>
          <w:spacing w:val="0"/>
          <w:w w:val="100"/>
          <w:position w:val="0"/>
        </w:rPr>
        <w:t>1955</w:t>
      </w:r>
      <w:r>
        <w:rPr>
          <w:color w:val="000000"/>
          <w:spacing w:val="0"/>
          <w:w w:val="100"/>
          <w:position w:val="0"/>
        </w:rPr>
        <w:t>年出生，中国国籍，无境外永久居留权，本科学历曾就职于北京橡胶工业研究设计 院；</w:t>
      </w:r>
      <w:r>
        <w:rPr>
          <w:rFonts w:ascii="Times New Roman" w:eastAsia="Times New Roman" w:hAnsi="Times New Roman" w:cs="Times New Roman"/>
          <w:color w:val="000000"/>
          <w:spacing w:val="0"/>
          <w:w w:val="100"/>
          <w:position w:val="0"/>
        </w:rPr>
        <w:t>2005</w:t>
      </w:r>
      <w:r>
        <w:rPr>
          <w:color w:val="000000"/>
          <w:spacing w:val="0"/>
          <w:w w:val="100"/>
          <w:position w:val="0"/>
        </w:rPr>
        <w:t>年至今任职于本公司，主管市场开发和营销工作，现任本公司副总经理。</w:t>
      </w:r>
    </w:p>
    <w:p>
      <w:pPr>
        <w:pStyle w:val="Style40"/>
        <w:keepNext w:val="0"/>
        <w:keepLines w:val="0"/>
        <w:widowControl w:val="0"/>
        <w:shd w:val="clear" w:color="auto" w:fill="auto"/>
        <w:tabs>
          <w:tab w:pos="409" w:val="left"/>
        </w:tabs>
        <w:bidi w:val="0"/>
        <w:spacing w:before="0" w:after="0" w:line="313" w:lineRule="exact"/>
        <w:ind w:left="0" w:right="0" w:firstLine="0"/>
        <w:jc w:val="both"/>
      </w:pPr>
      <w:bookmarkStart w:id="462" w:name="bookmark462"/>
      <w:r>
        <w:rPr>
          <w:rFonts w:ascii="Times New Roman" w:eastAsia="Times New Roman" w:hAnsi="Times New Roman" w:cs="Times New Roman"/>
          <w:color w:val="000000"/>
          <w:spacing w:val="0"/>
          <w:w w:val="100"/>
          <w:position w:val="0"/>
        </w:rPr>
        <w:t>1</w:t>
      </w:r>
      <w:bookmarkEnd w:id="462"/>
      <w:r>
        <w:rPr>
          <w:rFonts w:ascii="Times New Roman" w:eastAsia="Times New Roman" w:hAnsi="Times New Roman" w:cs="Times New Roman"/>
          <w:color w:val="000000"/>
          <w:spacing w:val="0"/>
          <w:w w:val="100"/>
          <w:position w:val="0"/>
        </w:rPr>
        <w:t>2</w:t>
      </w:r>
      <w:r>
        <w:rPr>
          <w:color w:val="000000"/>
          <w:spacing w:val="0"/>
          <w:w w:val="100"/>
          <w:position w:val="0"/>
        </w:rPr>
        <w:t>、</w:t>
        <w:tab/>
        <w:t>潘帮南男，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年出生，中国国籍，无境外永久居留权，高级工程师，本科学历。曾先后就职于原 辽宁盘锦乙烯有限责任公司、辽宁国民律师事务所、北京市泰福律师事务所、北京市铭滔律师事务所、北 京市地平线律师事务所；</w:t>
      </w:r>
      <w:r>
        <w:rPr>
          <w:rFonts w:ascii="Times New Roman" w:eastAsia="Times New Roman" w:hAnsi="Times New Roman" w:cs="Times New Roman"/>
          <w:color w:val="000000"/>
          <w:spacing w:val="0"/>
          <w:w w:val="100"/>
          <w:position w:val="0"/>
        </w:rPr>
        <w:t>2011</w:t>
      </w:r>
      <w:r>
        <w:rPr>
          <w:color w:val="000000"/>
          <w:spacing w:val="0"/>
          <w:w w:val="100"/>
          <w:position w:val="0"/>
        </w:rPr>
        <w:t>年至今任职于本公司，现任本公司副总经理兼董事会秘书。</w:t>
      </w:r>
    </w:p>
    <w:p>
      <w:pPr>
        <w:pStyle w:val="Style40"/>
        <w:keepNext w:val="0"/>
        <w:keepLines w:val="0"/>
        <w:widowControl w:val="0"/>
        <w:shd w:val="clear" w:color="auto" w:fill="auto"/>
        <w:tabs>
          <w:tab w:pos="414" w:val="left"/>
        </w:tabs>
        <w:bidi w:val="0"/>
        <w:spacing w:before="0" w:after="420" w:line="313" w:lineRule="exact"/>
        <w:ind w:left="0" w:right="0" w:firstLine="0"/>
        <w:jc w:val="both"/>
      </w:pPr>
      <w:bookmarkStart w:id="463" w:name="bookmark463"/>
      <w:r>
        <w:rPr>
          <w:rFonts w:ascii="Times New Roman" w:eastAsia="Times New Roman" w:hAnsi="Times New Roman" w:cs="Times New Roman"/>
          <w:color w:val="000000"/>
          <w:spacing w:val="0"/>
          <w:w w:val="100"/>
          <w:position w:val="0"/>
        </w:rPr>
        <w:t>1</w:t>
      </w:r>
      <w:bookmarkEnd w:id="463"/>
      <w:r>
        <w:rPr>
          <w:rFonts w:ascii="Times New Roman" w:eastAsia="Times New Roman" w:hAnsi="Times New Roman" w:cs="Times New Roman"/>
          <w:color w:val="000000"/>
          <w:spacing w:val="0"/>
          <w:w w:val="100"/>
          <w:position w:val="0"/>
        </w:rPr>
        <w:t>3</w:t>
      </w:r>
      <w:r>
        <w:rPr>
          <w:color w:val="000000"/>
          <w:spacing w:val="0"/>
          <w:w w:val="100"/>
          <w:position w:val="0"/>
        </w:rPr>
        <w:t>、</w:t>
        <w:tab/>
        <w:t>张瑞英女，</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年出生，中国国籍，无境外永久居留权，硕士研究生。曾先后就职于北京机床研究 所、北京科勒卫浴用品有限公司、北京中信投资顾问有限公司、北京中宣育会计师事务所、中实集团物业 物流系统；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月至今任本公司财务总监。</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在股东单位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在股东单位是否领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北京世纪万向投资咨询有限公司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54"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在其他单位任职情况</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在其他单位是否领</w:t>
            </w:r>
          </w:p>
        </w:tc>
      </w:tr>
    </w:tbl>
    <w:p>
      <w:pPr>
        <w:widowControl w:val="0"/>
        <w:spacing w:line="1" w:lineRule="exact"/>
      </w:pPr>
      <w:r>
        <w:br w:type="page"/>
      </w:r>
    </w:p>
    <w:tbl>
      <w:tblPr>
        <w:tblOverlap w:val="never"/>
        <w:jc w:val="center"/>
        <w:tblLayout w:type="fixed"/>
      </w:tblPr>
      <w:tblGrid>
        <w:gridCol w:w="1205"/>
        <w:gridCol w:w="3192"/>
        <w:gridCol w:w="1066"/>
        <w:gridCol w:w="1195"/>
        <w:gridCol w:w="1325"/>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上海思科瑞新投资管理中心（有限合伙）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苏州思科投资管理企业（有限合伙）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上海市思科瑞新资产管理有限责任公司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南京亚东启天药业有限公司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四川思科同汇股权投资基金管理有限公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山东旭业新材料股份有限公司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华油惠博普科技股份有限公司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北京交通大学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北京三夫户外用品股份有限公司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中国橡胶工业协会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山东大业股份有限公司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天津市科迈化工股份有限公司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青岛橡胶轮胎工程专修学院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陈业进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中国轻工业出版社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副社长、财务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处处长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陈业进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中青旅控股股份有限公司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孙建国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盛世金泉（天津）股权投资基金管理有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副总经理、董 事会秘书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四</w:t>
      </w:r>
      <w:bookmarkEnd w:id="466"/>
      <w:r>
        <w:rPr>
          <w:color w:val="000000"/>
          <w:spacing w:val="0"/>
          <w:w w:val="100"/>
          <w:position w:val="0"/>
          <w:sz w:val="24"/>
          <w:szCs w:val="24"/>
        </w:rPr>
        <w:t>、董事、监事、高级管理人员报酬情况</w:t>
      </w:r>
      <w:bookmarkEnd w:id="464"/>
      <w:bookmarkEnd w:id="465"/>
      <w:bookmarkEnd w:id="467"/>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40"/>
        <w:keepNext w:val="0"/>
        <w:keepLines w:val="0"/>
        <w:widowControl w:val="0"/>
        <w:shd w:val="clear" w:color="auto" w:fill="auto"/>
        <w:bidi w:val="0"/>
        <w:spacing w:before="0" w:after="440" w:line="310" w:lineRule="exact"/>
        <w:ind w:left="0" w:right="0" w:firstLine="0"/>
        <w:jc w:val="left"/>
      </w:pPr>
      <w:r>
        <w:rPr>
          <w:color w:val="000000"/>
          <w:spacing w:val="0"/>
          <w:w w:val="100"/>
          <w:position w:val="0"/>
        </w:rPr>
        <w:t>根据《公司章程》、《公司薪酬福利制度》以及《薪酬与考核委员会工作细则》的规定，公司董事、监事、 高级管理人员及其他核心人员的工资由工龄工资、基本工资、绩效工资、其他补贴组成，年终奖金以公司 当年业绩为基础根据绩效考核办法具体确定，并经董事会薪酬与考核委员会审议通过，公司独立董事薪酬 仅为履职津贴。截止本报告期末，公司共支付董监高报酬</w:t>
      </w:r>
      <w:r>
        <w:rPr>
          <w:rFonts w:ascii="Times New Roman" w:eastAsia="Times New Roman" w:hAnsi="Times New Roman" w:cs="Times New Roman"/>
          <w:color w:val="000000"/>
          <w:spacing w:val="0"/>
          <w:w w:val="100"/>
          <w:position w:val="0"/>
        </w:rPr>
        <w:t>220.29</w:t>
      </w:r>
      <w:r>
        <w:rPr>
          <w:color w:val="000000"/>
          <w:spacing w:val="0"/>
          <w:w w:val="100"/>
          <w:position w:val="0"/>
        </w:rPr>
        <w:t>万元。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曾维斌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姜承法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瞿绪标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陈业进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王际松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双国庆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张玉生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潘帮南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副总经理、董事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张瑞英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五</w:t>
      </w:r>
      <w:bookmarkEnd w:id="470"/>
      <w:r>
        <w:rPr>
          <w:color w:val="000000"/>
          <w:spacing w:val="0"/>
          <w:w w:val="100"/>
          <w:position w:val="0"/>
          <w:sz w:val="24"/>
          <w:szCs w:val="24"/>
        </w:rPr>
        <w:t>、公司员工情况</w:t>
      </w:r>
      <w:bookmarkEnd w:id="468"/>
      <w:bookmarkEnd w:id="469"/>
      <w:bookmarkEnd w:id="471"/>
    </w:p>
    <w:p>
      <w:pPr>
        <w:pStyle w:val="Style36"/>
        <w:keepNext/>
        <w:keepLines/>
        <w:widowControl w:val="0"/>
        <w:shd w:val="clear" w:color="auto" w:fill="auto"/>
        <w:bidi w:val="0"/>
        <w:spacing w:before="0" w:after="34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、员工数量、专业构成及教育程度</w:t>
      </w:r>
      <w:bookmarkEnd w:id="472"/>
      <w:bookmarkEnd w:id="473"/>
      <w:bookmarkEnd w:id="47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大学本科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bl>
    <w:p>
      <w:pPr>
        <w:widowControl w:val="0"/>
        <w:spacing w:after="259" w:line="1" w:lineRule="exact"/>
      </w:pPr>
    </w:p>
    <w:p>
      <w:pPr>
        <w:pStyle w:val="Style36"/>
        <w:keepNext/>
        <w:keepLines/>
        <w:widowControl w:val="0"/>
        <w:shd w:val="clear" w:color="auto" w:fill="auto"/>
        <w:tabs>
          <w:tab w:pos="378" w:val="left"/>
        </w:tabs>
        <w:bidi w:val="0"/>
        <w:spacing w:before="0" w:after="260" w:line="317" w:lineRule="exact"/>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薪酬政策</w:t>
      </w:r>
      <w:bookmarkEnd w:id="476"/>
      <w:bookmarkEnd w:id="477"/>
      <w:bookmarkEnd w:id="479"/>
    </w:p>
    <w:p>
      <w:pPr>
        <w:pStyle w:val="Style40"/>
        <w:keepNext w:val="0"/>
        <w:keepLines w:val="0"/>
        <w:widowControl w:val="0"/>
        <w:shd w:val="clear" w:color="auto" w:fill="auto"/>
        <w:bidi w:val="0"/>
        <w:spacing w:before="0" w:after="600" w:line="317" w:lineRule="exact"/>
        <w:ind w:left="0" w:right="0" w:firstLine="420"/>
        <w:jc w:val="both"/>
      </w:pPr>
      <w:r>
        <w:rPr>
          <w:color w:val="000000"/>
          <w:spacing w:val="0"/>
          <w:w w:val="100"/>
          <w:position w:val="0"/>
        </w:rPr>
        <w:t>报告期内，公司调整员工薪酬体系，完善岗位责任制和绩效评价体系，建立有序的岗位竞争、激励、 淘汰机制，增加岗位流动性，充分发挥员工的主观能动性，为员工提供职业发展的空间与平台。</w:t>
      </w:r>
    </w:p>
    <w:p>
      <w:pPr>
        <w:pStyle w:val="Style36"/>
        <w:keepNext/>
        <w:keepLines/>
        <w:widowControl w:val="0"/>
        <w:shd w:val="clear" w:color="auto" w:fill="auto"/>
        <w:tabs>
          <w:tab w:pos="378" w:val="left"/>
        </w:tabs>
        <w:bidi w:val="0"/>
        <w:spacing w:before="0" w:after="260" w:line="317" w:lineRule="exact"/>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培训计划</w:t>
      </w:r>
      <w:bookmarkEnd w:id="480"/>
      <w:bookmarkEnd w:id="481"/>
      <w:bookmarkEnd w:id="483"/>
    </w:p>
    <w:p>
      <w:pPr>
        <w:pStyle w:val="Style40"/>
        <w:keepNext w:val="0"/>
        <w:keepLines w:val="0"/>
        <w:widowControl w:val="0"/>
        <w:shd w:val="clear" w:color="auto" w:fill="auto"/>
        <w:bidi w:val="0"/>
        <w:spacing w:before="0" w:after="600" w:line="317" w:lineRule="exact"/>
        <w:ind w:left="0" w:right="0" w:firstLine="0"/>
        <w:jc w:val="center"/>
      </w:pPr>
      <w:r>
        <w:rPr>
          <w:color w:val="000000"/>
          <w:spacing w:val="0"/>
          <w:w w:val="100"/>
          <w:position w:val="0"/>
        </w:rPr>
        <w:t>报告期内，公司持续建立学习型组织，帮助员工制定职业生涯规划，制订科学有效的培训制度。</w:t>
      </w:r>
    </w:p>
    <w:p>
      <w:pPr>
        <w:pStyle w:val="Style36"/>
        <w:keepNext/>
        <w:keepLines/>
        <w:widowControl w:val="0"/>
        <w:shd w:val="clear" w:color="auto" w:fill="auto"/>
        <w:tabs>
          <w:tab w:pos="378" w:val="left"/>
        </w:tabs>
        <w:bidi w:val="0"/>
        <w:spacing w:before="0" w:line="317" w:lineRule="exact"/>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劳务外包情况</w:t>
      </w:r>
      <w:bookmarkEnd w:id="484"/>
      <w:bookmarkEnd w:id="485"/>
      <w:bookmarkEnd w:id="487"/>
    </w:p>
    <w:p>
      <w:pPr>
        <w:pStyle w:val="Style30"/>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88" w:right="1061" w:bottom="1450"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20" w:line="240" w:lineRule="auto"/>
        <w:ind w:left="0" w:right="0" w:firstLine="0"/>
        <w:jc w:val="center"/>
      </w:pPr>
      <w:bookmarkStart w:id="488" w:name="bookmark488"/>
      <w:bookmarkStart w:id="489" w:name="bookmark489"/>
      <w:bookmarkStart w:id="490" w:name="bookmark490"/>
      <w:r>
        <w:rPr>
          <w:color w:val="000000"/>
          <w:spacing w:val="0"/>
          <w:w w:val="100"/>
          <w:position w:val="0"/>
        </w:rPr>
        <w:t>第九节公司治理</w:t>
      </w:r>
      <w:bookmarkEnd w:id="488"/>
      <w:bookmarkEnd w:id="489"/>
      <w:bookmarkEnd w:id="490"/>
    </w:p>
    <w:p>
      <w:pPr>
        <w:pStyle w:val="Style26"/>
        <w:keepNext/>
        <w:keepLines/>
        <w:widowControl w:val="0"/>
        <w:shd w:val="clear" w:color="auto" w:fill="auto"/>
        <w:tabs>
          <w:tab w:pos="510" w:val="left"/>
        </w:tabs>
        <w:bidi w:val="0"/>
        <w:spacing w:before="0" w:after="28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一</w:t>
      </w:r>
      <w:bookmarkEnd w:id="493"/>
      <w:r>
        <w:rPr>
          <w:color w:val="000000"/>
          <w:spacing w:val="0"/>
          <w:w w:val="100"/>
          <w:position w:val="0"/>
          <w:sz w:val="24"/>
          <w:szCs w:val="24"/>
        </w:rPr>
        <w:t>、</w:t>
        <w:tab/>
        <w:t>公司治理的基本状况</w:t>
      </w:r>
      <w:bookmarkEnd w:id="491"/>
      <w:bookmarkEnd w:id="492"/>
      <w:bookmarkEnd w:id="494"/>
    </w:p>
    <w:p>
      <w:pPr>
        <w:pStyle w:val="Style4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律法规等的要求，不断完善公司的法人治理结构，建立健全公司内部管理和控制制度，持续深入开展公司 治理活动，促进公司规范运作，提高公司治理水平。报告期内，公司制定或修订了《公司章程》、《股东 大会议事规则》、《董事会议事规则》、《对外担保管理制度》、《关联交易制度》、重大投资管理制度》、 《内幕信息知情人登记管理制度》、《信息披露实施细则》等规章制度，并严格按照执行。不断完善公司 的法人治理结构，建立健全公司内部管理和控制制度，持续深入开展公司治理活动，促进了公司规范动作， 提高了公司治理水平。</w:t>
      </w:r>
    </w:p>
    <w:p>
      <w:pPr>
        <w:pStyle w:val="Style40"/>
        <w:keepNext w:val="0"/>
        <w:keepLines w:val="0"/>
        <w:widowControl w:val="0"/>
        <w:shd w:val="clear" w:color="auto" w:fill="auto"/>
        <w:bidi w:val="0"/>
        <w:spacing w:before="0" w:line="313" w:lineRule="exact"/>
        <w:ind w:left="0" w:right="0" w:firstLine="420"/>
        <w:jc w:val="both"/>
      </w:pPr>
      <w:r>
        <w:rPr>
          <w:color w:val="000000"/>
          <w:spacing w:val="0"/>
          <w:w w:val="100"/>
          <w:position w:val="0"/>
        </w:rPr>
        <w:t>报告期内，公司定期组织投资者调研沟通活动，通过与投资者面对面的交流以及实地介绍公司研发、 营销以及战略发展等问题，并将实地调研记录及时的在网上予以公告，保证全体投资者平等的共享相关信 息。同时，开通电话专线接听投资者的电话咨询，在投资者互动平台上及时反馈回复投资者的问题，与投 资者保持良好沟通。</w:t>
      </w:r>
    </w:p>
    <w:p>
      <w:pPr>
        <w:pStyle w:val="Style40"/>
        <w:keepNext w:val="0"/>
        <w:keepLines w:val="0"/>
        <w:widowControl w:val="0"/>
        <w:shd w:val="clear" w:color="auto" w:fill="auto"/>
        <w:tabs>
          <w:tab w:pos="769" w:val="left"/>
        </w:tabs>
        <w:bidi w:val="0"/>
        <w:spacing w:before="0" w:after="0" w:line="326" w:lineRule="auto"/>
        <w:ind w:left="0" w:right="0" w:firstLine="420"/>
        <w:jc w:val="both"/>
      </w:pPr>
      <w:bookmarkStart w:id="495" w:name="bookmark495"/>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t>关于股东和股东大会</w:t>
      </w:r>
    </w:p>
    <w:p>
      <w:pPr>
        <w:pStyle w:val="Style40"/>
        <w:keepNext w:val="0"/>
        <w:keepLines w:val="0"/>
        <w:widowControl w:val="0"/>
        <w:shd w:val="clear" w:color="auto" w:fill="auto"/>
        <w:bidi w:val="0"/>
        <w:spacing w:before="0" w:line="313" w:lineRule="exact"/>
        <w:ind w:left="0" w:right="0" w:firstLine="420"/>
        <w:jc w:val="both"/>
      </w:pPr>
      <w:r>
        <w:rPr>
          <w:color w:val="000000"/>
          <w:spacing w:val="0"/>
          <w:w w:val="100"/>
          <w:position w:val="0"/>
        </w:rPr>
        <w:t xml:space="preserve">公司严格按照《公司法》、《公司章程》和《股东大会议事规则》等法律、法规要求，规范股东大会 召集、召开、表决程序，确保所有股东享有平等地位、平等权利，充分行使自己的权利，并承担相应的义 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次临时股东大会，会议均由董事会召集、召开。</w:t>
      </w:r>
    </w:p>
    <w:p>
      <w:pPr>
        <w:pStyle w:val="Style40"/>
        <w:keepNext w:val="0"/>
        <w:keepLines w:val="0"/>
        <w:widowControl w:val="0"/>
        <w:shd w:val="clear" w:color="auto" w:fill="auto"/>
        <w:tabs>
          <w:tab w:pos="782" w:val="left"/>
        </w:tabs>
        <w:bidi w:val="0"/>
        <w:spacing w:before="0" w:after="0" w:line="326" w:lineRule="auto"/>
        <w:ind w:left="0" w:right="0" w:firstLine="420"/>
        <w:jc w:val="both"/>
      </w:pPr>
      <w:bookmarkStart w:id="496" w:name="bookmark496"/>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关于董事和董事会</w:t>
      </w:r>
    </w:p>
    <w:p>
      <w:pPr>
        <w:pStyle w:val="Style40"/>
        <w:keepNext w:val="0"/>
        <w:keepLines w:val="0"/>
        <w:widowControl w:val="0"/>
        <w:shd w:val="clear" w:color="auto" w:fill="auto"/>
        <w:bidi w:val="0"/>
        <w:spacing w:before="0" w:line="313" w:lineRule="exact"/>
        <w:ind w:left="0" w:right="0" w:firstLine="42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名，董事会人数及人员构成符合法律、法规和《公 司章程》的要求。各位董事能够依据《深圳证券交易所创业板上市公司规范运作指引》、《公司董事会议 事规则》和《公司独立董事工作细则》等开展工作，诚信、勤勉地履行职责和义务，同时积极参加有关培 训，熟悉有关法律法规。报告期内，公司共召开</w:t>
      </w:r>
      <w:r>
        <w:rPr>
          <w:rFonts w:ascii="Times New Roman" w:eastAsia="Times New Roman" w:hAnsi="Times New Roman" w:cs="Times New Roman"/>
          <w:color w:val="000000"/>
          <w:spacing w:val="0"/>
          <w:w w:val="100"/>
          <w:position w:val="0"/>
        </w:rPr>
        <w:t>9</w:t>
      </w:r>
      <w:r>
        <w:rPr>
          <w:color w:val="000000"/>
          <w:spacing w:val="0"/>
          <w:w w:val="100"/>
          <w:position w:val="0"/>
        </w:rPr>
        <w:t>次董事会，均由董事长召集、召开。</w:t>
      </w:r>
    </w:p>
    <w:p>
      <w:pPr>
        <w:pStyle w:val="Style40"/>
        <w:keepNext w:val="0"/>
        <w:keepLines w:val="0"/>
        <w:widowControl w:val="0"/>
        <w:shd w:val="clear" w:color="auto" w:fill="auto"/>
        <w:tabs>
          <w:tab w:pos="782" w:val="left"/>
        </w:tabs>
        <w:bidi w:val="0"/>
        <w:spacing w:before="0" w:after="0" w:line="326" w:lineRule="auto"/>
        <w:ind w:left="0" w:right="0" w:firstLine="420"/>
        <w:jc w:val="both"/>
      </w:pPr>
      <w:bookmarkStart w:id="497" w:name="bookmark497"/>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关于监事和监事会</w:t>
      </w:r>
    </w:p>
    <w:p>
      <w:pPr>
        <w:pStyle w:val="Style40"/>
        <w:keepNext w:val="0"/>
        <w:keepLines w:val="0"/>
        <w:widowControl w:val="0"/>
        <w:shd w:val="clear" w:color="auto" w:fill="auto"/>
        <w:bidi w:val="0"/>
        <w:spacing w:before="0" w:after="440" w:line="313" w:lineRule="exact"/>
        <w:ind w:left="0" w:right="0" w:firstLine="42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 格按照《公司法》、《公司章程》和《监事会议事规则》的有关规定认真履行职责，对公司财务状况、重 大事项以及公司董事及高级管理人员履行职责的合法合规性等进行监督，维护公司及股东的合法权益。报 告期内，公司共召开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次监事会，会议均由监事会主席召集、召开。</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0" w:val="left"/>
        </w:tabs>
        <w:bidi w:val="0"/>
        <w:spacing w:before="0" w:after="2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w:t>
        <w:tab/>
        <w:t>公司相对于控股股东在业务、人员、资产、机构、财务等方面的独立情况</w:t>
      </w:r>
      <w:bookmarkEnd w:id="498"/>
      <w:bookmarkEnd w:id="499"/>
      <w:bookmarkEnd w:id="501"/>
    </w:p>
    <w:p>
      <w:pPr>
        <w:pStyle w:val="Style40"/>
        <w:keepNext w:val="0"/>
        <w:keepLines w:val="0"/>
        <w:widowControl w:val="0"/>
        <w:shd w:val="clear" w:color="auto" w:fill="auto"/>
        <w:bidi w:val="0"/>
        <w:spacing w:before="0" w:line="317" w:lineRule="exact"/>
        <w:ind w:left="0" w:right="0" w:firstLine="420"/>
        <w:jc w:val="left"/>
      </w:pPr>
      <w:r>
        <w:rPr>
          <w:color w:val="000000"/>
          <w:spacing w:val="0"/>
          <w:w w:val="100"/>
          <w:position w:val="0"/>
        </w:rPr>
        <w:t>公司自成立以来，严格按照《公司法》、《证券法》等有关法律法规及《公司章程》的要求规范运作， 在业务、资产、人员、机构和财务等方面均独立于控股股东、实际控制人及其控制的其他企业，具有完整 的业务体系及面向市场独立经营的能力。</w:t>
      </w:r>
    </w:p>
    <w:p>
      <w:pPr>
        <w:pStyle w:val="Style40"/>
        <w:keepNext w:val="0"/>
        <w:keepLines w:val="0"/>
        <w:widowControl w:val="0"/>
        <w:shd w:val="clear" w:color="auto" w:fill="auto"/>
        <w:bidi w:val="0"/>
        <w:spacing w:before="0" w:after="0" w:line="331" w:lineRule="auto"/>
        <w:ind w:left="0" w:right="0"/>
        <w:jc w:val="both"/>
      </w:pPr>
      <w:bookmarkStart w:id="502" w:name="bookmark502"/>
      <w:r>
        <w:rPr>
          <w:rFonts w:ascii="Times New Roman" w:eastAsia="Times New Roman" w:hAnsi="Times New Roman" w:cs="Times New Roman"/>
          <w:color w:val="000000"/>
          <w:spacing w:val="0"/>
          <w:w w:val="100"/>
          <w:position w:val="0"/>
        </w:rPr>
        <w:t>1</w:t>
      </w:r>
      <w:bookmarkEnd w:id="502"/>
      <w:r>
        <w:rPr>
          <w:color w:val="000000"/>
          <w:spacing w:val="0"/>
          <w:w w:val="100"/>
          <w:position w:val="0"/>
        </w:rPr>
        <w:t>、业务独立</w:t>
      </w:r>
    </w:p>
    <w:p>
      <w:pPr>
        <w:pStyle w:val="Style40"/>
        <w:keepNext w:val="0"/>
        <w:keepLines w:val="0"/>
        <w:widowControl w:val="0"/>
        <w:shd w:val="clear" w:color="auto" w:fill="auto"/>
        <w:bidi w:val="0"/>
        <w:spacing w:before="0" w:line="317" w:lineRule="exact"/>
        <w:ind w:left="0" w:right="0"/>
        <w:jc w:val="both"/>
      </w:pPr>
      <w:r>
        <w:rPr>
          <w:color w:val="000000"/>
          <w:spacing w:val="0"/>
          <w:w w:val="100"/>
          <w:position w:val="0"/>
        </w:rPr>
        <w:t xml:space="preserve">公司专业从为轮胎橡胶行业提供炼胶生产成套方案、自动化装备和信息化技术，致力于节能环保型物 </w:t>
      </w:r>
      <w:r>
        <w:rPr>
          <w:color w:val="000000"/>
          <w:spacing w:val="0"/>
          <w:w w:val="100"/>
          <w:position w:val="0"/>
        </w:rPr>
        <w:t>料气力输送系统、智能型密炼机上辅机系统、智能型小粉料自动称量配料系统、生胶破碎、称量及转运系 统、一次法低温炼胶生产线、除尘除味环保设备、计算机信息化技术的研究、设计、制造和技术服务。公 司拥有从事上述业务完整、独立的产、供、销系统和人员，不存在依赖股东单位及其他关联方的情况。</w:t>
      </w:r>
    </w:p>
    <w:p>
      <w:pPr>
        <w:pStyle w:val="Style40"/>
        <w:keepNext w:val="0"/>
        <w:keepLines w:val="0"/>
        <w:widowControl w:val="0"/>
        <w:shd w:val="clear" w:color="auto" w:fill="auto"/>
        <w:tabs>
          <w:tab w:pos="810" w:val="left"/>
        </w:tabs>
        <w:bidi w:val="0"/>
        <w:spacing w:before="0" w:after="0" w:line="326" w:lineRule="auto"/>
        <w:ind w:left="0" w:right="0" w:firstLine="440"/>
        <w:jc w:val="both"/>
      </w:pPr>
      <w:bookmarkStart w:id="503" w:name="bookmark503"/>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资产完整</w:t>
      </w:r>
    </w:p>
    <w:p>
      <w:pPr>
        <w:pStyle w:val="Style40"/>
        <w:keepNext w:val="0"/>
        <w:keepLines w:val="0"/>
        <w:widowControl w:val="0"/>
        <w:shd w:val="clear" w:color="auto" w:fill="auto"/>
        <w:bidi w:val="0"/>
        <w:spacing w:before="0" w:line="312" w:lineRule="exact"/>
        <w:ind w:left="0" w:right="0" w:firstLine="440"/>
        <w:jc w:val="left"/>
      </w:pPr>
      <w:r>
        <w:rPr>
          <w:color w:val="000000"/>
          <w:spacing w:val="0"/>
          <w:w w:val="100"/>
          <w:position w:val="0"/>
        </w:rPr>
        <w:t>公司资产与股东资产严格分开，并完全独立运营。目前公司业务和生产经营相关的全部资产权属完全 由公司独立享有，不存在与股东单位共用的情况。公司对所有资产拥有完全的控制和支配权，不存在资产、 资金被股东占用而损害公司利益的情况。</w:t>
      </w:r>
    </w:p>
    <w:p>
      <w:pPr>
        <w:pStyle w:val="Style40"/>
        <w:keepNext w:val="0"/>
        <w:keepLines w:val="0"/>
        <w:widowControl w:val="0"/>
        <w:shd w:val="clear" w:color="auto" w:fill="auto"/>
        <w:tabs>
          <w:tab w:pos="810" w:val="left"/>
        </w:tabs>
        <w:bidi w:val="0"/>
        <w:spacing w:before="0" w:after="0" w:line="326" w:lineRule="auto"/>
        <w:ind w:left="0" w:right="0" w:firstLine="440"/>
        <w:jc w:val="both"/>
      </w:pPr>
      <w:bookmarkStart w:id="504" w:name="bookmark504"/>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人员独立</w:t>
      </w:r>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公司的研发、采购、生产、销售、行政管理和财务人员均完全独立于股东，公司所有员工均与公司签 订了劳动合同。公司根据工资管理制度按月发放员工工资，并代扣代缴个人所得税。公司总经理、副总经 理、财务总监、销售总监、董事会秘书均专职在公司工作并领取薪酬，均未在控股股东、实际控制人及其 控制的其他企业中担任除董事、监事以外的其他职务；公司的财务人员不存在在控股股东、实际控制人及 其控制的其他企业中兼职的情况。</w:t>
      </w:r>
    </w:p>
    <w:p>
      <w:pPr>
        <w:pStyle w:val="Style40"/>
        <w:keepNext w:val="0"/>
        <w:keepLines w:val="0"/>
        <w:widowControl w:val="0"/>
        <w:shd w:val="clear" w:color="auto" w:fill="auto"/>
        <w:tabs>
          <w:tab w:pos="810" w:val="left"/>
        </w:tabs>
        <w:bidi w:val="0"/>
        <w:spacing w:before="0" w:after="0" w:line="326" w:lineRule="auto"/>
        <w:ind w:left="0" w:right="0" w:firstLine="440"/>
        <w:jc w:val="both"/>
      </w:pPr>
      <w:bookmarkStart w:id="505" w:name="bookmark505"/>
      <w:r>
        <w:rPr>
          <w:rFonts w:ascii="Times New Roman" w:eastAsia="Times New Roman" w:hAnsi="Times New Roman" w:cs="Times New Roman"/>
          <w:color w:val="000000"/>
          <w:spacing w:val="0"/>
          <w:w w:val="100"/>
          <w:position w:val="0"/>
        </w:rPr>
        <w:t>4</w:t>
      </w:r>
      <w:bookmarkEnd w:id="505"/>
      <w:r>
        <w:rPr>
          <w:color w:val="000000"/>
          <w:spacing w:val="0"/>
          <w:w w:val="100"/>
          <w:position w:val="0"/>
        </w:rPr>
        <w:t>、</w:t>
        <w:tab/>
        <w:t>财务独立</w:t>
      </w:r>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公司设有独立的财务部门，有独立的财务核算体系，具有独立、规范的财务会计制度和对分公司、子 公司的财务管理制度。公司开设有独立的银行账户，作为独立的纳税人，依法独立纳税。公司不存在为股 东提供担保，也不存在资产、资金被股东占用或其它损害公司利益的情况。</w:t>
      </w:r>
    </w:p>
    <w:p>
      <w:pPr>
        <w:pStyle w:val="Style40"/>
        <w:keepNext w:val="0"/>
        <w:keepLines w:val="0"/>
        <w:widowControl w:val="0"/>
        <w:shd w:val="clear" w:color="auto" w:fill="auto"/>
        <w:tabs>
          <w:tab w:pos="810" w:val="left"/>
        </w:tabs>
        <w:bidi w:val="0"/>
        <w:spacing w:before="0" w:after="0" w:line="326" w:lineRule="auto"/>
        <w:ind w:left="0" w:right="0" w:firstLine="440"/>
        <w:jc w:val="both"/>
      </w:pPr>
      <w:bookmarkStart w:id="506" w:name="bookmark506"/>
      <w:r>
        <w:rPr>
          <w:rFonts w:ascii="Times New Roman" w:eastAsia="Times New Roman" w:hAnsi="Times New Roman" w:cs="Times New Roman"/>
          <w:color w:val="000000"/>
          <w:spacing w:val="0"/>
          <w:w w:val="100"/>
          <w:position w:val="0"/>
        </w:rPr>
        <w:t>5</w:t>
      </w:r>
      <w:bookmarkEnd w:id="506"/>
      <w:r>
        <w:rPr>
          <w:color w:val="000000"/>
          <w:spacing w:val="0"/>
          <w:w w:val="100"/>
          <w:position w:val="0"/>
        </w:rPr>
        <w:t>、</w:t>
        <w:tab/>
        <w:t>机构独立</w:t>
      </w:r>
    </w:p>
    <w:p>
      <w:pPr>
        <w:pStyle w:val="Style40"/>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公司拥有独立的生产经营和办公场所，与控股股东、实际控制人及其控制的其他企业间不存在混合经 营的情形。公司依法设置股东大会作为最高权力机构、设置董事会为决策机构、设置监事会为监督机构， 并设有研发、采购、生产、质量、销售、企划、信息部等业务部门及财务部、行政人事部等管理部门。各 职能部门分工协作，形成有机的独立运营主体。控股股东根据公司章程行使股东权利。</w:t>
      </w:r>
    </w:p>
    <w:p>
      <w:pPr>
        <w:pStyle w:val="Style26"/>
        <w:keepNext/>
        <w:keepLines/>
        <w:widowControl w:val="0"/>
        <w:shd w:val="clear" w:color="auto" w:fill="auto"/>
        <w:tabs>
          <w:tab w:pos="524" w:val="left"/>
        </w:tabs>
        <w:bidi w:val="0"/>
        <w:spacing w:before="0" w:after="34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w:t>
        <w:tab/>
        <w:t>同业竞争情况</w:t>
      </w:r>
      <w:bookmarkEnd w:id="507"/>
      <w:bookmarkEnd w:id="508"/>
      <w:bookmarkEnd w:id="510"/>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4" w:val="left"/>
        </w:tabs>
        <w:bidi w:val="0"/>
        <w:spacing w:before="0" w:after="3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w:t>
        <w:tab/>
        <w:t>报告期内召开的年度股东大会和临时股东大会的有关情况</w:t>
      </w:r>
      <w:bookmarkEnd w:id="511"/>
      <w:bookmarkEnd w:id="512"/>
      <w:bookmarkEnd w:id="514"/>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披露索引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年年度股东大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-2016-015</w:t>
            </w:r>
            <w:r>
              <w:rPr>
                <w:color w:val="000000"/>
                <w:spacing w:val="0"/>
                <w:w w:val="100"/>
                <w:position w:val="0"/>
                <w:sz w:val="18"/>
                <w:szCs w:val="18"/>
              </w:rPr>
              <w:t>；</w:t>
            </w:r>
            <w:r>
              <w:rPr>
                <w:color w:val="000000"/>
                <w:spacing w:val="0"/>
                <w:w w:val="100"/>
                <w:position w:val="0"/>
                <w:sz w:val="18"/>
                <w:szCs w:val="18"/>
              </w:rPr>
              <w:t>公告名 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年年度股 东大会决议公告》； 披露网站：巨潮资讯 网。</w:t>
            </w: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-2016-032</w:t>
            </w:r>
            <w:r>
              <w:rPr>
                <w:color w:val="000000"/>
                <w:spacing w:val="0"/>
                <w:w w:val="100"/>
                <w:position w:val="0"/>
                <w:sz w:val="18"/>
                <w:szCs w:val="18"/>
              </w:rPr>
              <w:t>；</w:t>
            </w:r>
            <w:r>
              <w:rPr>
                <w:color w:val="000000"/>
                <w:spacing w:val="0"/>
                <w:w w:val="100"/>
                <w:position w:val="0"/>
                <w:sz w:val="18"/>
                <w:szCs w:val="18"/>
              </w:rPr>
              <w:t>公告名 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年第一次 临时股东大会决议 公告》；披露网站：</w:t>
            </w:r>
          </w:p>
        </w:tc>
      </w:tr>
    </w:tbl>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公告编号：临 </w:t>
            </w:r>
            <w:r>
              <w:rPr>
                <w:rFonts w:ascii="Times New Roman" w:eastAsia="Times New Roman" w:hAnsi="Times New Roman" w:cs="Times New Roman"/>
                <w:color w:val="000000"/>
                <w:spacing w:val="0"/>
                <w:w w:val="100"/>
                <w:position w:val="0"/>
                <w:sz w:val="18"/>
                <w:szCs w:val="18"/>
              </w:rPr>
              <w:t>-2016-064</w:t>
            </w:r>
            <w:r>
              <w:rPr>
                <w:color w:val="000000"/>
                <w:spacing w:val="0"/>
                <w:w w:val="100"/>
                <w:position w:val="0"/>
                <w:sz w:val="18"/>
                <w:szCs w:val="18"/>
              </w:rPr>
              <w:t>；</w:t>
            </w:r>
            <w:r>
              <w:rPr>
                <w:color w:val="000000"/>
                <w:spacing w:val="0"/>
                <w:w w:val="100"/>
                <w:position w:val="0"/>
                <w:sz w:val="18"/>
                <w:szCs w:val="18"/>
              </w:rPr>
              <w:t>公告名 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年第二次 临时股东大会决议 公告》；披露网站： 巨潮资讯网。</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、表决权恢复的优先股股东请求召开临时股东大会</w:t>
      </w:r>
      <w:bookmarkEnd w:id="515"/>
      <w:bookmarkEnd w:id="516"/>
      <w:bookmarkEnd w:id="518"/>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五</w:t>
      </w:r>
      <w:bookmarkEnd w:id="521"/>
      <w:r>
        <w:rPr>
          <w:color w:val="000000"/>
          <w:spacing w:val="0"/>
          <w:w w:val="100"/>
          <w:position w:val="0"/>
          <w:sz w:val="24"/>
          <w:szCs w:val="24"/>
        </w:rPr>
        <w:t>、报告期内独立董事履行职责的情况</w:t>
      </w:r>
      <w:bookmarkEnd w:id="519"/>
      <w:bookmarkEnd w:id="520"/>
      <w:bookmarkEnd w:id="522"/>
    </w:p>
    <w:p>
      <w:pPr>
        <w:pStyle w:val="Style36"/>
        <w:keepNext/>
        <w:keepLines/>
        <w:widowControl w:val="0"/>
        <w:shd w:val="clear" w:color="auto" w:fill="auto"/>
        <w:bidi w:val="0"/>
        <w:spacing w:before="0" w:after="34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、独立董事出席董事会及股东大会的情况</w:t>
      </w:r>
      <w:bookmarkEnd w:id="523"/>
      <w:bookmarkEnd w:id="524"/>
      <w:bookmarkEnd w:id="526"/>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叶蜀君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许春华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陈业进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连续两次未亲自出席董事会的说明</w:t>
      </w:r>
    </w:p>
    <w:p>
      <w:pPr>
        <w:pStyle w:val="Style36"/>
        <w:keepNext/>
        <w:keepLines/>
        <w:widowControl w:val="0"/>
        <w:shd w:val="clear" w:color="auto" w:fill="auto"/>
        <w:tabs>
          <w:tab w:pos="378" w:val="left"/>
        </w:tabs>
        <w:bidi w:val="0"/>
        <w:spacing w:before="0" w:after="34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独立董事对公司有关事项提出异议的情况</w:t>
      </w:r>
      <w:bookmarkEnd w:id="527"/>
      <w:bookmarkEnd w:id="528"/>
      <w:bookmarkEnd w:id="530"/>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4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独立董事履行职责的其他说明</w:t>
      </w:r>
      <w:bookmarkEnd w:id="531"/>
      <w:bookmarkEnd w:id="532"/>
      <w:bookmarkEnd w:id="534"/>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line="240" w:lineRule="auto"/>
        <w:ind w:left="0" w:right="0" w:firstLine="0"/>
        <w:jc w:val="both"/>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独立董事对公司有关建议被采纳或未被采纳的说明</w:t>
      </w:r>
    </w:p>
    <w:p>
      <w:pPr>
        <w:pStyle w:val="Style40"/>
        <w:keepNext w:val="0"/>
        <w:keepLines w:val="0"/>
        <w:widowControl w:val="0"/>
        <w:shd w:val="clear" w:color="auto" w:fill="auto"/>
        <w:bidi w:val="0"/>
        <w:spacing w:before="0" w:after="660" w:line="240" w:lineRule="auto"/>
        <w:ind w:left="0" w:right="0" w:firstLine="0"/>
        <w:jc w:val="both"/>
      </w:pPr>
      <w:r>
        <w:rPr>
          <w:color w:val="000000"/>
          <w:spacing w:val="0"/>
          <w:w w:val="100"/>
          <w:position w:val="0"/>
        </w:rPr>
        <w:t>报告期内，独立董事对公司提出的各项合理建议均被采纳。</w:t>
      </w:r>
    </w:p>
    <w:p>
      <w:pPr>
        <w:pStyle w:val="Style26"/>
        <w:keepNext/>
        <w:keepLines/>
        <w:widowControl w:val="0"/>
        <w:shd w:val="clear" w:color="auto" w:fill="auto"/>
        <w:bidi w:val="0"/>
        <w:spacing w:before="0" w:after="34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六</w:t>
      </w:r>
      <w:bookmarkEnd w:id="537"/>
      <w:r>
        <w:rPr>
          <w:color w:val="000000"/>
          <w:spacing w:val="0"/>
          <w:w w:val="100"/>
          <w:position w:val="0"/>
          <w:sz w:val="24"/>
          <w:szCs w:val="24"/>
        </w:rPr>
        <w:t>、董事会下设专门委员会在报告期内履行职责情况</w:t>
      </w:r>
      <w:bookmarkEnd w:id="535"/>
      <w:bookmarkEnd w:id="536"/>
      <w:bookmarkEnd w:id="538"/>
    </w:p>
    <w:p>
      <w:pPr>
        <w:pStyle w:val="Style40"/>
        <w:keepNext w:val="0"/>
        <w:keepLines w:val="0"/>
        <w:widowControl w:val="0"/>
        <w:shd w:val="clear" w:color="auto" w:fill="auto"/>
        <w:bidi w:val="0"/>
        <w:spacing w:before="0" w:after="660" w:line="240" w:lineRule="auto"/>
        <w:ind w:left="0" w:right="0" w:firstLine="0"/>
        <w:jc w:val="both"/>
      </w:pPr>
      <w:r>
        <w:rPr>
          <w:color w:val="000000"/>
          <w:spacing w:val="0"/>
          <w:w w:val="100"/>
          <w:position w:val="0"/>
        </w:rPr>
        <w:t>审计委员会：报告期内共召开</w:t>
      </w:r>
      <w:r>
        <w:rPr>
          <w:rFonts w:ascii="Times New Roman" w:eastAsia="Times New Roman" w:hAnsi="Times New Roman" w:cs="Times New Roman"/>
          <w:color w:val="000000"/>
          <w:spacing w:val="0"/>
          <w:w w:val="100"/>
          <w:position w:val="0"/>
        </w:rPr>
        <w:t>3</w:t>
      </w:r>
      <w:r>
        <w:rPr>
          <w:color w:val="000000"/>
          <w:spacing w:val="0"/>
          <w:w w:val="100"/>
          <w:position w:val="0"/>
        </w:rPr>
        <w:t>次会议，分别审议了</w:t>
      </w:r>
      <w:r>
        <w:rPr>
          <w:rFonts w:ascii="Times New Roman" w:eastAsia="Times New Roman" w:hAnsi="Times New Roman" w:cs="Times New Roman"/>
          <w:color w:val="000000"/>
          <w:spacing w:val="0"/>
          <w:w w:val="100"/>
          <w:position w:val="0"/>
        </w:rPr>
        <w:t>2015</w:t>
      </w:r>
      <w:r>
        <w:rPr>
          <w:color w:val="000000"/>
          <w:spacing w:val="0"/>
          <w:w w:val="100"/>
          <w:position w:val="0"/>
        </w:rPr>
        <w:t>年年度财务报告、</w:t>
      </w:r>
      <w:r>
        <w:rPr>
          <w:rFonts w:ascii="Times New Roman" w:eastAsia="Times New Roman" w:hAnsi="Times New Roman" w:cs="Times New Roman"/>
          <w:color w:val="000000"/>
          <w:spacing w:val="0"/>
          <w:w w:val="100"/>
          <w:position w:val="0"/>
        </w:rPr>
        <w:t>2016</w:t>
      </w:r>
      <w:r>
        <w:rPr>
          <w:color w:val="000000"/>
          <w:spacing w:val="0"/>
          <w:w w:val="100"/>
          <w:position w:val="0"/>
        </w:rPr>
        <w:t>年半年度财务报告、</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年第三季度财务报告、</w:t>
      </w:r>
      <w:r>
        <w:rPr>
          <w:rFonts w:ascii="Times New Roman" w:eastAsia="Times New Roman" w:hAnsi="Times New Roman" w:cs="Times New Roman"/>
          <w:color w:val="000000"/>
          <w:spacing w:val="0"/>
          <w:w w:val="100"/>
          <w:position w:val="0"/>
        </w:rPr>
        <w:t>2016</w:t>
      </w:r>
      <w:r>
        <w:rPr>
          <w:color w:val="000000"/>
          <w:spacing w:val="0"/>
          <w:w w:val="100"/>
          <w:position w:val="0"/>
        </w:rPr>
        <w:t>年第三季度募集资金专项审计报告等议案，并形成决议。</w:t>
      </w:r>
    </w:p>
    <w:p>
      <w:pPr>
        <w:pStyle w:val="Style26"/>
        <w:keepNext/>
        <w:keepLines/>
        <w:widowControl w:val="0"/>
        <w:shd w:val="clear" w:color="auto" w:fill="auto"/>
        <w:tabs>
          <w:tab w:pos="526" w:val="left"/>
        </w:tabs>
        <w:bidi w:val="0"/>
        <w:spacing w:before="0" w:after="34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sz w:val="24"/>
          <w:szCs w:val="24"/>
        </w:rPr>
        <w:t>七</w:t>
      </w:r>
      <w:bookmarkEnd w:id="541"/>
      <w:r>
        <w:rPr>
          <w:color w:val="000000"/>
          <w:spacing w:val="0"/>
          <w:w w:val="100"/>
          <w:position w:val="0"/>
          <w:sz w:val="24"/>
          <w:szCs w:val="24"/>
        </w:rPr>
        <w:t>、</w:t>
        <w:tab/>
        <w:t>监事会工作情况</w:t>
      </w:r>
      <w:bookmarkEnd w:id="539"/>
      <w:bookmarkEnd w:id="540"/>
      <w:bookmarkEnd w:id="542"/>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公司监事会对报告期内的监督事项无异议。</w:t>
      </w:r>
    </w:p>
    <w:p>
      <w:pPr>
        <w:pStyle w:val="Style26"/>
        <w:keepNext/>
        <w:keepLines/>
        <w:widowControl w:val="0"/>
        <w:shd w:val="clear" w:color="auto" w:fill="auto"/>
        <w:tabs>
          <w:tab w:pos="526" w:val="left"/>
        </w:tabs>
        <w:bidi w:val="0"/>
        <w:spacing w:before="0" w:after="28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sz w:val="24"/>
          <w:szCs w:val="24"/>
        </w:rPr>
        <w:t>八</w:t>
      </w:r>
      <w:bookmarkEnd w:id="545"/>
      <w:r>
        <w:rPr>
          <w:color w:val="000000"/>
          <w:spacing w:val="0"/>
          <w:w w:val="100"/>
          <w:position w:val="0"/>
          <w:sz w:val="24"/>
          <w:szCs w:val="24"/>
        </w:rPr>
        <w:t>、</w:t>
        <w:tab/>
        <w:t>高级管理人员的考评及激励情况</w:t>
      </w:r>
      <w:bookmarkEnd w:id="543"/>
      <w:bookmarkEnd w:id="544"/>
      <w:bookmarkEnd w:id="546"/>
    </w:p>
    <w:p>
      <w:pPr>
        <w:pStyle w:val="Style40"/>
        <w:keepNext w:val="0"/>
        <w:keepLines w:val="0"/>
        <w:widowControl w:val="0"/>
        <w:shd w:val="clear" w:color="auto" w:fill="auto"/>
        <w:bidi w:val="0"/>
        <w:spacing w:before="0" w:after="980" w:line="309" w:lineRule="exact"/>
        <w:ind w:left="0" w:right="0" w:firstLine="440"/>
        <w:jc w:val="both"/>
      </w:pPr>
      <w:r>
        <w:rPr>
          <w:color w:val="000000"/>
          <w:spacing w:val="0"/>
          <w:w w:val="100"/>
          <w:position w:val="0"/>
        </w:rPr>
        <w:t>公司根据管理制度，建立了高级管理人员的薪酬与公司业绩挂钩的绩效考核与激励约束机制，公司高 级管理人员实行基本年薪和年终绩效考核相结合的薪酬制度。根据公司年度经营目标完成情况以及高级管 理人员的工作业绩，对高级管理人员进行年度绩效考核，并监督薪酬制度执行情况。公司则根据绩效考核 结果兑现其绩效年薪，并进行奖惩。</w:t>
      </w:r>
      <w:r>
        <w:rPr>
          <w:rFonts w:ascii="Times New Roman" w:eastAsia="Times New Roman" w:hAnsi="Times New Roman" w:cs="Times New Roman"/>
          <w:color w:val="000000"/>
          <w:spacing w:val="0"/>
          <w:w w:val="100"/>
          <w:position w:val="0"/>
        </w:rPr>
        <w:t>2016</w:t>
      </w:r>
      <w:r>
        <w:rPr>
          <w:color w:val="000000"/>
          <w:spacing w:val="0"/>
          <w:w w:val="100"/>
          <w:position w:val="0"/>
        </w:rPr>
        <w:t>年度公司高级管理人员薪酬方案严格执行了公司薪酬管理制度。</w:t>
      </w:r>
    </w:p>
    <w:p>
      <w:pPr>
        <w:pStyle w:val="Style26"/>
        <w:keepNext/>
        <w:keepLines/>
        <w:widowControl w:val="0"/>
        <w:shd w:val="clear" w:color="auto" w:fill="auto"/>
        <w:bidi w:val="0"/>
        <w:spacing w:before="0" w:after="34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九</w:t>
      </w:r>
      <w:bookmarkEnd w:id="549"/>
      <w:r>
        <w:rPr>
          <w:color w:val="000000"/>
          <w:spacing w:val="0"/>
          <w:w w:val="100"/>
          <w:position w:val="0"/>
          <w:sz w:val="24"/>
          <w:szCs w:val="24"/>
        </w:rPr>
        <w:t>、内部控制评价报告</w:t>
      </w:r>
      <w:bookmarkEnd w:id="547"/>
      <w:bookmarkEnd w:id="548"/>
      <w:bookmarkEnd w:id="550"/>
    </w:p>
    <w:p>
      <w:pPr>
        <w:pStyle w:val="Style36"/>
        <w:keepNext/>
        <w:keepLines/>
        <w:widowControl w:val="0"/>
        <w:shd w:val="clear" w:color="auto" w:fill="auto"/>
        <w:bidi w:val="0"/>
        <w:spacing w:before="0" w:after="34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、报告期内发现的内部控制重大缺陷的具体情况</w:t>
      </w:r>
      <w:bookmarkEnd w:id="551"/>
      <w:bookmarkEnd w:id="552"/>
      <w:bookmarkEnd w:id="554"/>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、内控自我评价报告</w:t>
      </w:r>
      <w:bookmarkEnd w:id="555"/>
      <w:bookmarkEnd w:id="556"/>
      <w:bookmarkEnd w:id="55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日在巨潮资讯网刊登的《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年度内部控制自我评 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2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公司确定的财务报告内部控制缺陷评价的 定性标准如下：（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）重大缺陷：控制环境 无效；公司董事、监事和高级管理人员舞 弊行为；外部审计发现的重大错报未被公 司内部控制识别；审计委员会和内部审计 机构对内部控制的监督无效；内部控制评 价的结果特别是重大缺陷未得到整改。（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出现以下情形的，可认定为重大缺陷， 其他情形按影响程度分别确定为重要 缺陷或一般缺陷：（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）公司经营或决策 严重违反国家法律法规；（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）对于公司 重大事项缺乏民主决策程序或虽有程 序但未有效执行，导致重大损失；（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中高级管理人员和高级技术人员流失</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重要缺陷：未依照公认会计准则选择和应 用会计政策；公司缺乏反舞弊控制措施； 对于非常规或特殊交易的账务处理，没有 建立相应的控制机制或没有实施且没有相 应的补偿性控制；对于期末财务报告过程 的控制存在一项或多项缺陷且不能合理保 证编制的财务报表达到真实、准确的目标。</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一般缺陷：未构成重大缺陷、重要缺 陷标准的其他内部控制缺陷。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严重，对公司业务造成重大影响；（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重要业务缺乏制度控制或系统性失效， 且缺乏有效的补偿性控制；（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）公司内 控重大缺陷或重要缺陷未得到整改。</w:t>
            </w:r>
          </w:p>
        </w:tc>
      </w:tr>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）重大缺陷：当一个或一组内控缺陷的 存在，有合理的可能性导致无法及时地预 防或发现财务报告中出现影响利润总额的 错报大于等于利润总额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或者影响资产、 负债和权益错报漏报大于等于资产总额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的情形时，被认定为重大缺陷；（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 要缺陷：当一个或一组内控缺陷的存在， 有合理的可能性导致无法及时地预防或发 现财务报告中出现影响利润总额的错报大 于等于利润总额的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且小于利润总额</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或者影响资产、负债和权益错报漏报大于 等于资产总额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且小于合并资产总额</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的情形时，被认定为重要缺陷；（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一般 缺陷：对不构成重大缺陷和重要缺陷之外 的其他缺陷，会被视为一般缺陷。即：影 响利润总额的错报小于利润总额的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 者影响资产、负债和权益错报漏报小于资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公司确定的非财务报告内部控制缺陷 评价的定量标准如下：影响利润总额的 错报大于利润总额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的认定为重大缺 陷；影响利润总额的错报大于等于利润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且小于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的，则认定为重 要缺陷；影响利润总额的错报小于利润 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的，则认定为一般缺陷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r>
        <w:rPr>
          <w:color w:val="000000"/>
          <w:spacing w:val="0"/>
          <w:w w:val="100"/>
          <w:position w:val="0"/>
          <w:sz w:val="24"/>
          <w:szCs w:val="24"/>
        </w:rPr>
        <w:t>十、内部控制审计报告或鉴证报告</w:t>
      </w:r>
      <w:bookmarkEnd w:id="559"/>
      <w:bookmarkEnd w:id="560"/>
      <w:bookmarkEnd w:id="561"/>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7" w:right="1044" w:bottom="1465" w:left="1065"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560" w:line="240" w:lineRule="auto"/>
        <w:ind w:left="0" w:right="0" w:firstLine="0"/>
        <w:jc w:val="center"/>
      </w:pPr>
      <w:bookmarkStart w:id="562" w:name="bookmark562"/>
      <w:bookmarkStart w:id="563" w:name="bookmark563"/>
      <w:bookmarkStart w:id="564" w:name="bookmark564"/>
      <w:r>
        <w:rPr>
          <w:color w:val="000000"/>
          <w:spacing w:val="0"/>
          <w:w w:val="100"/>
          <w:position w:val="0"/>
        </w:rPr>
        <w:t>第十节公司债券相关情况</w:t>
      </w:r>
      <w:bookmarkEnd w:id="562"/>
      <w:bookmarkEnd w:id="563"/>
      <w:bookmarkEnd w:id="56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6" w:bottom="1930" w:left="111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20" w:after="520" w:line="240" w:lineRule="auto"/>
        <w:ind w:left="0" w:right="0" w:firstLine="0"/>
        <w:jc w:val="center"/>
      </w:pPr>
      <w:bookmarkStart w:id="565" w:name="bookmark565"/>
      <w:bookmarkStart w:id="566" w:name="bookmark566"/>
      <w:bookmarkStart w:id="567" w:name="bookmark567"/>
      <w:r>
        <w:rPr>
          <w:color w:val="000000"/>
          <w:spacing w:val="0"/>
          <w:w w:val="100"/>
          <w:position w:val="0"/>
        </w:rPr>
        <w:t>第十一节财务报告</w:t>
      </w:r>
      <w:bookmarkEnd w:id="565"/>
      <w:bookmarkEnd w:id="566"/>
      <w:bookmarkEnd w:id="567"/>
    </w:p>
    <w:p>
      <w:pPr>
        <w:pStyle w:val="Style26"/>
        <w:keepNext/>
        <w:keepLines/>
        <w:widowControl w:val="0"/>
        <w:shd w:val="clear" w:color="auto" w:fill="auto"/>
        <w:bidi w:val="0"/>
        <w:spacing w:before="0" w:after="320" w:line="240" w:lineRule="auto"/>
        <w:ind w:left="0" w:right="0" w:firstLine="260"/>
        <w:jc w:val="both"/>
      </w:pPr>
      <w:bookmarkStart w:id="568" w:name="bookmark568"/>
      <w:bookmarkStart w:id="569" w:name="bookmark569"/>
      <w:bookmarkStart w:id="570" w:name="bookmark570"/>
      <w:r>
        <w:rPr>
          <w:color w:val="000000"/>
          <w:spacing w:val="0"/>
          <w:w w:val="100"/>
          <w:position w:val="0"/>
          <w:sz w:val="24"/>
          <w:szCs w:val="24"/>
        </w:rPr>
        <w:t>、审计报告</w:t>
      </w:r>
      <w:bookmarkEnd w:id="568"/>
      <w:bookmarkEnd w:id="569"/>
      <w:bookmarkEnd w:id="57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华普天健会计师事务所（特殊普通合伙）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会审字</w:t>
            </w:r>
            <w:r>
              <w:rPr>
                <w:rFonts w:ascii="Times New Roman" w:eastAsia="Times New Roman" w:hAnsi="Times New Roman" w:cs="Times New Roman"/>
                <w:color w:val="000000"/>
                <w:spacing w:val="0"/>
                <w:w w:val="100"/>
                <w:position w:val="0"/>
                <w:sz w:val="18"/>
                <w:szCs w:val="18"/>
              </w:rPr>
              <w:t>[2017]0365</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肖桂莲，张雪咏，孙建伟</w:t>
            </w:r>
          </w:p>
        </w:tc>
      </w:tr>
    </w:tbl>
    <w:p>
      <w:pPr>
        <w:pStyle w:val="Style3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9" w:line="1" w:lineRule="exact"/>
      </w:pPr>
    </w:p>
    <w:p>
      <w:pPr>
        <w:pStyle w:val="Style40"/>
        <w:keepNext w:val="0"/>
        <w:keepLines w:val="0"/>
        <w:widowControl w:val="0"/>
        <w:shd w:val="clear" w:color="auto" w:fill="auto"/>
        <w:bidi w:val="0"/>
        <w:spacing w:before="0" w:after="120" w:line="305" w:lineRule="exact"/>
        <w:ind w:left="0" w:right="0" w:firstLine="0"/>
        <w:jc w:val="left"/>
      </w:pPr>
      <w:r>
        <w:rPr>
          <w:color w:val="000000"/>
          <w:spacing w:val="0"/>
          <w:w w:val="100"/>
          <w:position w:val="0"/>
        </w:rPr>
        <w:t>北京万向新元科技股份有限公司全体股东：</w:t>
      </w:r>
    </w:p>
    <w:p>
      <w:pPr>
        <w:pStyle w:val="Style4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我们审计了后附的北京万向新元科技股份有限公司（以下简称新元科技）财务报表，包括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 及母公司所有者权益变动表，以及财务报表附注。</w:t>
      </w:r>
    </w:p>
    <w:p>
      <w:pPr>
        <w:pStyle w:val="Style36"/>
        <w:keepNext/>
        <w:keepLines/>
        <w:widowControl w:val="0"/>
        <w:shd w:val="clear" w:color="auto" w:fill="auto"/>
        <w:tabs>
          <w:tab w:pos="978" w:val="left"/>
        </w:tabs>
        <w:bidi w:val="0"/>
        <w:spacing w:before="0" w:after="120" w:line="305" w:lineRule="exact"/>
        <w:ind w:left="0" w:right="0" w:firstLine="500"/>
        <w:jc w:val="both"/>
      </w:pPr>
      <w:bookmarkStart w:id="571" w:name="bookmark571"/>
      <w:bookmarkStart w:id="572" w:name="bookmark572"/>
      <w:bookmarkStart w:id="573" w:name="bookmark573"/>
      <w:bookmarkStart w:id="574" w:name="bookmark574"/>
      <w:r>
        <w:rPr>
          <w:color w:val="000000"/>
          <w:spacing w:val="0"/>
          <w:w w:val="100"/>
          <w:position w:val="0"/>
        </w:rPr>
        <w:t>一</w:t>
      </w:r>
      <w:bookmarkEnd w:id="573"/>
      <w:r>
        <w:rPr>
          <w:color w:val="000000"/>
          <w:spacing w:val="0"/>
          <w:w w:val="100"/>
          <w:position w:val="0"/>
        </w:rPr>
        <w:t>、</w:t>
        <w:tab/>
        <w:t>管理层对财务报表的责任</w:t>
      </w:r>
      <w:bookmarkEnd w:id="571"/>
      <w:bookmarkEnd w:id="572"/>
      <w:bookmarkEnd w:id="574"/>
    </w:p>
    <w:p>
      <w:pPr>
        <w:pStyle w:val="Style40"/>
        <w:keepNext w:val="0"/>
        <w:keepLines w:val="0"/>
        <w:widowControl w:val="0"/>
        <w:shd w:val="clear" w:color="auto" w:fill="auto"/>
        <w:bidi w:val="0"/>
        <w:spacing w:before="0" w:after="120" w:line="295" w:lineRule="exact"/>
        <w:ind w:left="0" w:right="0" w:firstLine="500"/>
        <w:jc w:val="both"/>
      </w:pPr>
      <w:r>
        <w:rPr>
          <w:color w:val="000000"/>
          <w:spacing w:val="0"/>
          <w:w w:val="100"/>
          <w:position w:val="0"/>
        </w:rPr>
        <w:t>编制和公允列报财务报表是新元科技管理层的责任，这种责任包括：（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于舞弊或错误而导致的重大错报。</w:t>
      </w:r>
    </w:p>
    <w:p>
      <w:pPr>
        <w:pStyle w:val="Style36"/>
        <w:keepNext/>
        <w:keepLines/>
        <w:widowControl w:val="0"/>
        <w:shd w:val="clear" w:color="auto" w:fill="auto"/>
        <w:tabs>
          <w:tab w:pos="978" w:val="left"/>
        </w:tabs>
        <w:bidi w:val="0"/>
        <w:spacing w:before="0" w:after="120" w:line="305" w:lineRule="exact"/>
        <w:ind w:left="0" w:right="0" w:firstLine="500"/>
        <w:jc w:val="both"/>
      </w:pPr>
      <w:bookmarkStart w:id="575" w:name="bookmark575"/>
      <w:bookmarkStart w:id="576" w:name="bookmark576"/>
      <w:bookmarkStart w:id="577" w:name="bookmark577"/>
      <w:bookmarkStart w:id="578" w:name="bookmark578"/>
      <w:r>
        <w:rPr>
          <w:color w:val="000000"/>
          <w:spacing w:val="0"/>
          <w:w w:val="100"/>
          <w:position w:val="0"/>
        </w:rPr>
        <w:t>二</w:t>
      </w:r>
      <w:bookmarkEnd w:id="577"/>
      <w:r>
        <w:rPr>
          <w:color w:val="000000"/>
          <w:spacing w:val="0"/>
          <w:w w:val="100"/>
          <w:position w:val="0"/>
        </w:rPr>
        <w:t>、</w:t>
        <w:tab/>
        <w:t>注册会计师的责任</w:t>
      </w:r>
      <w:bookmarkEnd w:id="575"/>
      <w:bookmarkEnd w:id="576"/>
      <w:bookmarkEnd w:id="578"/>
    </w:p>
    <w:p>
      <w:pPr>
        <w:pStyle w:val="Style40"/>
        <w:keepNext w:val="0"/>
        <w:keepLines w:val="0"/>
        <w:widowControl w:val="0"/>
        <w:shd w:val="clear" w:color="auto" w:fill="auto"/>
        <w:bidi w:val="0"/>
        <w:spacing w:before="0" w:after="120" w:line="293"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0"/>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40"/>
        <w:keepNext w:val="0"/>
        <w:keepLines w:val="0"/>
        <w:widowControl w:val="0"/>
        <w:shd w:val="clear" w:color="auto" w:fill="auto"/>
        <w:bidi w:val="0"/>
        <w:spacing w:before="0" w:after="120" w:line="305" w:lineRule="exact"/>
        <w:ind w:left="0" w:right="0" w:firstLine="500"/>
        <w:jc w:val="both"/>
      </w:pPr>
      <w:r>
        <w:rPr>
          <w:color w:val="000000"/>
          <w:spacing w:val="0"/>
          <w:w w:val="100"/>
          <w:position w:val="0"/>
        </w:rPr>
        <w:t>我们相信，我们获取的审计证据是充分、适当的，为发表审计意见提供了基础。</w:t>
      </w:r>
    </w:p>
    <w:p>
      <w:pPr>
        <w:pStyle w:val="Style36"/>
        <w:keepNext/>
        <w:keepLines/>
        <w:widowControl w:val="0"/>
        <w:shd w:val="clear" w:color="auto" w:fill="auto"/>
        <w:tabs>
          <w:tab w:pos="978" w:val="left"/>
        </w:tabs>
        <w:bidi w:val="0"/>
        <w:spacing w:before="0" w:after="120" w:line="305" w:lineRule="exact"/>
        <w:ind w:left="0" w:right="0" w:firstLine="500"/>
        <w:jc w:val="both"/>
      </w:pPr>
      <w:bookmarkStart w:id="579" w:name="bookmark579"/>
      <w:bookmarkStart w:id="580" w:name="bookmark580"/>
      <w:bookmarkStart w:id="581" w:name="bookmark581"/>
      <w:bookmarkStart w:id="582" w:name="bookmark582"/>
      <w:r>
        <w:rPr>
          <w:color w:val="000000"/>
          <w:spacing w:val="0"/>
          <w:w w:val="100"/>
          <w:position w:val="0"/>
        </w:rPr>
        <w:t>三</w:t>
      </w:r>
      <w:bookmarkEnd w:id="581"/>
      <w:r>
        <w:rPr>
          <w:color w:val="000000"/>
          <w:spacing w:val="0"/>
          <w:w w:val="100"/>
          <w:position w:val="0"/>
        </w:rPr>
        <w:t>、</w:t>
        <w:tab/>
        <w:t>审计意见</w:t>
      </w:r>
      <w:bookmarkEnd w:id="579"/>
      <w:bookmarkEnd w:id="580"/>
      <w:bookmarkEnd w:id="582"/>
    </w:p>
    <w:p>
      <w:pPr>
        <w:pStyle w:val="Style40"/>
        <w:keepNext w:val="0"/>
        <w:keepLines w:val="0"/>
        <w:widowControl w:val="0"/>
        <w:shd w:val="clear" w:color="auto" w:fill="auto"/>
        <w:bidi w:val="0"/>
        <w:spacing w:before="0" w:after="780" w:line="298" w:lineRule="exact"/>
        <w:ind w:left="0" w:right="0" w:firstLine="500"/>
        <w:jc w:val="both"/>
      </w:pPr>
      <w:r>
        <w:rPr>
          <w:color w:val="000000"/>
          <w:spacing w:val="0"/>
          <w:w w:val="100"/>
          <w:position w:val="0"/>
        </w:rPr>
        <w:t xml:space="preserve">我们认为，新元科技财务报表在所有重大方面按照企业会计准则的规定编制，公允反映了新元科技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2 016</w:t>
      </w:r>
      <w:r>
        <w:rPr>
          <w:color w:val="000000"/>
          <w:spacing w:val="0"/>
          <w:w w:val="100"/>
          <w:position w:val="0"/>
        </w:rPr>
        <w:t>年度的合并及母公司经营成果和现金流量。</w:t>
      </w:r>
    </w:p>
    <w:p>
      <w:pPr>
        <w:pStyle w:val="Style26"/>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r>
        <w:rPr>
          <w:color w:val="000000"/>
          <w:spacing w:val="0"/>
          <w:w w:val="100"/>
          <w:position w:val="0"/>
          <w:sz w:val="24"/>
          <w:szCs w:val="24"/>
        </w:rPr>
        <w:t>二、财务报表</w:t>
      </w:r>
      <w:bookmarkEnd w:id="583"/>
      <w:bookmarkEnd w:id="584"/>
      <w:bookmarkEnd w:id="58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财务附注中报表的单位为：人民币元</w:t>
      </w:r>
      <w:r>
        <w:br w:type="page"/>
      </w:r>
    </w:p>
    <w:p>
      <w:pPr>
        <w:pStyle w:val="Style36"/>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、合并资产负债表</w:t>
      </w:r>
      <w:bookmarkEnd w:id="586"/>
      <w:bookmarkEnd w:id="587"/>
      <w:bookmarkEnd w:id="589"/>
    </w:p>
    <w:p>
      <w:pPr>
        <w:pStyle w:val="Style30"/>
        <w:keepNext w:val="0"/>
        <w:keepLines w:val="0"/>
        <w:widowControl w:val="0"/>
        <w:shd w:val="clear" w:color="auto" w:fill="auto"/>
        <w:bidi w:val="0"/>
        <w:spacing w:before="0" w:line="240" w:lineRule="auto"/>
        <w:ind w:left="0" w:right="0" w:firstLine="0"/>
        <w:jc w:val="left"/>
      </w:pPr>
      <w:bookmarkStart w:id="590" w:name="bookmark590"/>
      <w:r>
        <w:rPr>
          <w:color w:val="000000"/>
          <w:spacing w:val="0"/>
          <w:w w:val="100"/>
          <w:position w:val="0"/>
        </w:rPr>
        <w:t>编</w:t>
      </w:r>
      <w:bookmarkEnd w:id="590"/>
      <w:r>
        <w:rPr>
          <w:color w:val="000000"/>
          <w:spacing w:val="0"/>
          <w:w w:val="100"/>
          <w:position w:val="0"/>
        </w:rPr>
        <w:t>制单位：北京万向新元科技股份有限公司</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70,552,270.66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92,559,444.77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60,646,416.67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11,501,000.00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9,128,650.26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220,030,500.11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142,162,445.25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8,655,544.22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5,674,816.48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5,136,958.48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3,238,208.13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73,246,441.02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83,511,791.16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6,303,906.71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3,568,999.84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395,426,621.20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400,490,772.56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123,779,804.74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42,957,794.75</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46,630,053.94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29,242,401.03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36,270,683.65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24,569,171.02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2,112,888.07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7,907,995.06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4,385,339.00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1,514,669.24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1,367,798.00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218,216,094.70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102,522,503.80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613,642,715.90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503,013,276.36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37,851,393.28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35,367,948.83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69,245,594.80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46,353,551.70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25,852,042.10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24,251,852.79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4,869,720.05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4,359,744.94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13,007,641.11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9,544,381.86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1,280,581.07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443,011.07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211,789,735.87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120,320,491.19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374,636.52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14,671,566.38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7,141,393.26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96,962.50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14,759,752.00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7,612,992.28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226,549,487.87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127,933,483.47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151,374,742.00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184,709,742.00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14,213,749.54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12,021,736.42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120,349,559.03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111,678,314.47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385,943,050.57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375,079,792.89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1,150,177.46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387,093,228.03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375,079,792.89</w:t>
            </w:r>
          </w:p>
        </w:tc>
      </w:tr>
    </w:tbl>
    <w:p>
      <w:pPr>
        <w:spacing w:lineRule="exact" w:line="1"/>
        <w:rPr>
          <w:sz w:val="2"/>
          <w:szCs w:val="2"/>
        </w:rPr>
      </w:pPr>
      <w:r>
        <w:br w:type="page"/>
      </w:r>
    </w:p>
    <w:tbl>
      <w:tblPr>
        <w:tblOverlap w:val="never"/>
        <w:jc w:val="center"/>
        <w:tblLayout w:type="fixed"/>
      </w:tblPr>
      <w:tblGrid>
        <w:gridCol w:w="2971"/>
        <w:gridCol w:w="3302"/>
        <w:gridCol w:w="33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613,642,715.90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503,013,276.36</w:t>
            </w:r>
          </w:p>
        </w:tc>
      </w:tr>
      <w:tr>
        <w:trPr>
          <w:trHeight w:val="7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法定代表人：朱业胜</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主管会计工作负责人：张瑞英</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会计机构负责人：孙洪涛</w:t>
            </w:r>
          </w:p>
        </w:tc>
      </w:tr>
      <w:tr>
        <w:trPr>
          <w:trHeight w:val="1128" w:hRule="exact"/>
        </w:trPr>
        <w:tc>
          <w:tcPr>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、母公司资产负债表</w:t>
            </w:r>
          </w:p>
        </w:tc>
        <w:tc>
          <w:tcPr>
            <w:tcBorders/>
            <w:shd w:val="clear" w:color="auto" w:fill="FFFFFF"/>
            <w:vAlign w:val="top"/>
          </w:tcPr>
          <w:p>
            <w:pPr>
              <w:widowControl w:val="0"/>
              <w:rPr>
                <w:sz w:val="10"/>
                <w:szCs w:val="10"/>
              </w:rPr>
            </w:pP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59,752,181.05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69,308,252.65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60,646,416.67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11,251,000.00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8,621,603.66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207,851,158.19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133,664,495.56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6,505,497.83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5,060,438.07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168,908,199.80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61,448,539.96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45,512,761.60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60,042,358.15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361,254.81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2,768,343.04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500,142,053.28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401,560,447.76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38,844,000.00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5,414,548.06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4,964,751.55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447,874.85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5,252,266.35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3,383,449.11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54,403,473.54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47,640,075.51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554,545,526.82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449,200,523.27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35,851,393.28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36,067,948.83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33,836,663.26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23,992,830.75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23,774,382.62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21,936,649.15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1,682,273.28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1,685,331.57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11,202,231.99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8,070,445.34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82,763.46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18,677,712.91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3,816,066.66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184,707,420.80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95,569,272.30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22,986.32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305,699.99</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184,730,407.12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95,971,934.79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151,006,224.26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184,341,224.26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14,213,749.54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12,021,736.42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104,590,145.90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90,195,627.80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369,815,119.70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353,228,588.48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554,545,526.82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449,200,523.27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、合并利润表</w:t>
      </w:r>
      <w:bookmarkEnd w:id="591"/>
      <w:bookmarkEnd w:id="592"/>
      <w:bookmarkEnd w:id="59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214,272,084.27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214,272,084.27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204,364,878.30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193,272,582.37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141,074,424.29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144,967,131.67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提取保险合同准备金净额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3,151,318.71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1,712,919.23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3,641,130.04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4,036,228.54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41,472,570.27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35,163,357.22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-1,643,401.05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15,065,685.95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9,036,346.76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4" w:lineRule="exact"/>
              <w:ind w:left="0" w:right="0" w:firstLine="380"/>
              <w:jc w:val="left"/>
              <w:rPr>
                <w:sz w:val="18"/>
                <w:szCs w:val="18"/>
              </w:rPr>
            </w:pPr>
            <w:r>
              <w:rPr>
                <w:color w:val="000000"/>
                <w:spacing w:val="0"/>
                <w:w w:val="100"/>
                <w:position w:val="0"/>
                <w:sz w:val="18"/>
                <w:szCs w:val="18"/>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15,124,552.56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21,645,918.57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3,376,277.07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7,128,506.97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18,467,653.90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28,765,066.40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2,299,280.06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3,536,831.84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16,168,373.84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16,196,857.68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80"/>
              <w:jc w:val="left"/>
              <w:rPr>
                <w:sz w:val="18"/>
                <w:szCs w:val="18"/>
              </w:rPr>
            </w:pPr>
            <w:r>
              <w:rPr>
                <w:color w:val="000000"/>
                <w:spacing w:val="0"/>
                <w:w w:val="100"/>
                <w:position w:val="0"/>
                <w:sz w:val="18"/>
                <w:szCs w:val="18"/>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权益法下在被投资单位不</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80"/>
              <w:jc w:val="left"/>
              <w:rPr>
                <w:sz w:val="18"/>
                <w:szCs w:val="18"/>
              </w:rPr>
            </w:pPr>
            <w:r>
              <w:rPr>
                <w:color w:val="000000"/>
                <w:spacing w:val="0"/>
                <w:w w:val="100"/>
                <w:position w:val="0"/>
                <w:sz w:val="18"/>
                <w:szCs w:val="18"/>
              </w:rPr>
              <w:t>（二）以后将重分类进损益的其他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权益法下在被投资单位以</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持有至到期投资重分类为</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16,168,373.84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16,196,857.68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0"/>
        <w:keepNext w:val="0"/>
        <w:keepLines w:val="0"/>
        <w:widowControl w:val="0"/>
        <w:shd w:val="clear" w:color="auto" w:fill="auto"/>
        <w:tabs>
          <w:tab w:pos="3365" w:val="left"/>
          <w:tab w:pos="7512" w:val="left"/>
        </w:tabs>
        <w:bidi w:val="0"/>
        <w:spacing w:before="0" w:after="380" w:line="240" w:lineRule="auto"/>
        <w:ind w:left="0" w:right="0" w:firstLine="0"/>
        <w:jc w:val="left"/>
      </w:pPr>
      <w:r>
        <w:rPr>
          <w:color w:val="000000"/>
          <w:spacing w:val="0"/>
          <w:w w:val="100"/>
          <w:position w:val="0"/>
        </w:rPr>
        <w:t>法定代表人：朱业胜</w:t>
        <w:tab/>
        <w:t>主管会计工作负责人：张瑞英</w:t>
        <w:tab/>
        <w:t>会计机构负责人：孙洪涛</w:t>
      </w:r>
    </w:p>
    <w:p>
      <w:pPr>
        <w:pStyle w:val="Style36"/>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4</w:t>
      </w:r>
      <w:bookmarkEnd w:id="597"/>
      <w:r>
        <w:rPr>
          <w:color w:val="000000"/>
          <w:spacing w:val="0"/>
          <w:w w:val="100"/>
          <w:position w:val="0"/>
        </w:rPr>
        <w:t>、母公司利润表</w:t>
      </w:r>
      <w:bookmarkEnd w:id="595"/>
      <w:bookmarkEnd w:id="596"/>
      <w:bookmarkEnd w:id="5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214,617,951.57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167,137,570.08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149,067,925.78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118,177,865.34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1,494,271.88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839,295.84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2,377,789.09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2,209,606.91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24,085,733.31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22,845,739.45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377,628.64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-238,780.03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14,221,833.10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8,773,598.72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380"/>
              <w:jc w:val="left"/>
              <w:rPr>
                <w:sz w:val="18"/>
                <w:szCs w:val="18"/>
              </w:rPr>
            </w:pPr>
            <w:r>
              <w:rPr>
                <w:color w:val="000000"/>
                <w:spacing w:val="0"/>
                <w:w w:val="100"/>
                <w:position w:val="0"/>
                <w:sz w:val="18"/>
                <w:szCs w:val="18"/>
              </w:rPr>
              <w:t>加：公允价值变动收益（损失以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其中：对联营企业和合营企</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23,399,503.75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15,176,660.52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1,973,028.56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5,638,435.85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25,372,532.31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20,805,740.38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3,452,401.09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2,521,893.98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21,920,131.22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18,283,846.40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500"/>
              <w:jc w:val="both"/>
              <w:rPr>
                <w:sz w:val="18"/>
                <w:szCs w:val="18"/>
              </w:rPr>
            </w:pPr>
            <w:r>
              <w:rPr>
                <w:color w:val="000000"/>
                <w:spacing w:val="0"/>
                <w:w w:val="100"/>
                <w:position w:val="0"/>
                <w:sz w:val="18"/>
                <w:szCs w:val="18"/>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500"/>
              <w:jc w:val="both"/>
              <w:rPr>
                <w:sz w:val="18"/>
                <w:szCs w:val="18"/>
              </w:rPr>
            </w:pPr>
            <w:r>
              <w:rPr>
                <w:color w:val="000000"/>
                <w:spacing w:val="0"/>
                <w:w w:val="100"/>
                <w:position w:val="0"/>
                <w:sz w:val="18"/>
                <w:szCs w:val="18"/>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持有至到期投资重分类</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21,920,131.22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18,283,846.40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5</w:t>
      </w:r>
      <w:bookmarkEnd w:id="601"/>
      <w:r>
        <w:rPr>
          <w:color w:val="000000"/>
          <w:spacing w:val="0"/>
          <w:w w:val="100"/>
          <w:position w:val="0"/>
        </w:rPr>
        <w:t>、合并现金流量表</w:t>
      </w:r>
      <w:bookmarkEnd w:id="599"/>
      <w:bookmarkEnd w:id="600"/>
      <w:bookmarkEnd w:id="6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114,934,471.10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116,352,020.34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2,605,711.14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7,650,499.71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3,044,097.49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5,168,140.37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120,584,279.73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129,170,660.42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77,148,138.10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89,137,473.54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45,167,673.58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40,691,430.48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22,111,230.52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13,420,061.32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21,539,069.05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20,072,885.79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165,966,111.25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163,321,851.13</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-45,381,831.52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-34,151,190.71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67,769,342.00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68,837,992.65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101,912,483.55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25,941,257.76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1,047,386.96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102,959,870.51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85,941,257.76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-34,121,877.86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-85,916,584.36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175,961,300.00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67,200,000.00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67,200,000.00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180,961,300.00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6,724,106.17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8,748,757.17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8,803,992.60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14,324,106.17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37,452,749.77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52,875,893.83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143,508,550.23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四、汇率变动对现金及现金等价物的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833,936.60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886,697.36</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-25,793,878.95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24,327,472.52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89,628,436.92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65,300,964.40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63,834,557.97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89,628,436.92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6</w:t>
      </w:r>
      <w:bookmarkEnd w:id="605"/>
      <w:r>
        <w:rPr>
          <w:color w:val="000000"/>
          <w:spacing w:val="0"/>
          <w:w w:val="100"/>
          <w:position w:val="0"/>
        </w:rPr>
        <w:t>、母公司现金流量表</w:t>
      </w:r>
      <w:bookmarkEnd w:id="603"/>
      <w:bookmarkEnd w:id="604"/>
      <w:bookmarkEnd w:id="6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125,588,355.98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84,225,505.60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1,119,102.57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2,699,846.15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1,681,725.54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3,830,368.44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128,389,184.09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90,755,720.19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114,490,138.18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94,344,565.71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21,948,018.61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19,744,605.21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15,005,810.16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5,683,796.80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13,243,243.67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13,482,308.02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164,687,210.62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133,255,275.74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-36,298,026.53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-42,499,555.55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61,053,150.65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885,786.87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570,458.12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5,385,786.87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60,570,458.12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55,667,363.78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-60,545,784.72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175,961,300.00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59,600,000.00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20,481,595.50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18,839,904.60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80,081,595.50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199,801,204.60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6,714,923.17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8,748,757.17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106,852,278.22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38,673,537.40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113,567,201.39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67,322,294.57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-33,485,605.89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132,478,910.03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-13,342,776.44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29,443,681.72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66,377,244.80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36,933,563.08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53,034,468.36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66,377,244.80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7</w:t>
      </w:r>
      <w:bookmarkEnd w:id="609"/>
      <w:r>
        <w:rPr>
          <w:color w:val="000000"/>
          <w:spacing w:val="0"/>
          <w:w w:val="100"/>
          <w:position w:val="0"/>
        </w:rPr>
        <w:t>、合并所有者权益变动表</w:t>
      </w:r>
      <w:bookmarkEnd w:id="607"/>
      <w:bookmarkEnd w:id="608"/>
      <w:bookmarkEnd w:id="61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所有者</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权益合</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盈余公</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184,709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,792.89</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1,150,1</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1,178,6</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1,178,6</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151,374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387,093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所有者</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权益合</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盈余公</w:t>
            </w:r>
          </w:p>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95,278,</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前期差</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同一控</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95,278,</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193,761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181,318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,208.96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25,228,</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25,228,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234.56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股东投入的普 通股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,974.40</w:t>
            </w:r>
          </w:p>
        </w:tc>
      </w:tr>
    </w:tbl>
    <w:p>
      <w:pPr>
        <w:spacing w:lineRule="exact" w:line="1"/>
        <w:rPr>
          <w:sz w:val="2"/>
          <w:szCs w:val="2"/>
        </w:rPr>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184,709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,792.89</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8</w:t>
      </w:r>
      <w:bookmarkEnd w:id="613"/>
      <w:r>
        <w:rPr>
          <w:color w:val="000000"/>
          <w:spacing w:val="0"/>
          <w:w w:val="100"/>
          <w:position w:val="0"/>
        </w:rPr>
        <w:t>、母公司所有者权益变动表</w:t>
      </w:r>
      <w:bookmarkEnd w:id="611"/>
      <w:bookmarkEnd w:id="612"/>
      <w:bookmarkEnd w:id="61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bl>
    <w:p>
      <w:pPr>
        <w:spacing w:lineRule="exact" w:line="1"/>
        <w:rPr>
          <w:sz w:val="2"/>
          <w:szCs w:val="2"/>
        </w:rPr>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184,341,2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90,195,</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353,228,5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184,341,2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90,195,</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2,192,013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14,394,</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2,192,013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-7,525,6</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2,192,013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-5,333,6</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-33,335,0</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151,006,2</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14,213,74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369,815,1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37,921,24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10,193,35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178,854,7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37,921,24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10,193,35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178,854,7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174,373,8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18,283,84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146,419,9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163,089,9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r>
    </w:tbl>
    <w:p>
      <w:pPr>
        <w:widowControl w:val="0"/>
        <w:spacing w:after="279" w:line="1" w:lineRule="exact"/>
      </w:pPr>
    </w:p>
    <w:p>
      <w:pPr>
        <w:pStyle w:val="Style26"/>
        <w:keepNext/>
        <w:keepLines/>
        <w:widowControl w:val="0"/>
        <w:shd w:val="clear" w:color="auto" w:fill="auto"/>
        <w:bidi w:val="0"/>
        <w:spacing w:before="0" w:after="320" w:line="240" w:lineRule="auto"/>
        <w:ind w:left="0" w:right="0" w:firstLine="0"/>
        <w:jc w:val="both"/>
      </w:pPr>
      <w:bookmarkStart w:id="615" w:name="bookmark615"/>
      <w:bookmarkStart w:id="616" w:name="bookmark616"/>
      <w:bookmarkStart w:id="617" w:name="bookmark617"/>
      <w:r>
        <w:rPr>
          <w:color w:val="000000"/>
          <w:spacing w:val="0"/>
          <w:w w:val="100"/>
          <w:position w:val="0"/>
          <w:sz w:val="24"/>
          <w:szCs w:val="24"/>
        </w:rPr>
        <w:t>三、公司基本情况</w:t>
      </w:r>
      <w:bookmarkEnd w:id="615"/>
      <w:bookmarkEnd w:id="616"/>
      <w:bookmarkEnd w:id="617"/>
    </w:p>
    <w:p>
      <w:pPr>
        <w:pStyle w:val="Style26"/>
        <w:keepNext/>
        <w:keepLines/>
        <w:widowControl w:val="0"/>
        <w:numPr>
          <w:ilvl w:val="0"/>
          <w:numId w:val="15"/>
        </w:numPr>
        <w:shd w:val="clear" w:color="auto" w:fill="auto"/>
        <w:bidi w:val="0"/>
        <w:spacing w:before="0" w:after="100" w:line="309" w:lineRule="exact"/>
        <w:ind w:left="0" w:right="0" w:firstLine="480"/>
        <w:jc w:val="left"/>
      </w:pPr>
      <w:bookmarkStart w:id="615" w:name="bookmark615"/>
      <w:bookmarkStart w:id="616" w:name="bookmark616"/>
      <w:bookmarkStart w:id="618" w:name="bookmark618"/>
      <w:bookmarkStart w:id="619" w:name="bookmark619"/>
      <w:bookmarkEnd w:id="618"/>
      <w:r>
        <w:rPr>
          <w:color w:val="000000"/>
          <w:spacing w:val="0"/>
          <w:w w:val="100"/>
          <w:position w:val="0"/>
          <w:sz w:val="24"/>
          <w:szCs w:val="24"/>
        </w:rPr>
        <w:t>公司概况</w:t>
      </w:r>
      <w:bookmarkEnd w:id="615"/>
      <w:bookmarkEnd w:id="616"/>
      <w:bookmarkEnd w:id="619"/>
    </w:p>
    <w:p>
      <w:pPr>
        <w:pStyle w:val="Style51"/>
        <w:keepNext w:val="0"/>
        <w:keepLines w:val="0"/>
        <w:widowControl w:val="0"/>
        <w:shd w:val="clear" w:color="auto" w:fill="auto"/>
        <w:bidi w:val="0"/>
        <w:spacing w:before="0" w:after="100" w:line="309" w:lineRule="exact"/>
        <w:ind w:left="0" w:right="0" w:firstLine="480"/>
        <w:jc w:val="both"/>
      </w:pPr>
      <w:r>
        <w:rPr>
          <w:color w:val="000000"/>
          <w:spacing w:val="0"/>
          <w:w w:val="100"/>
          <w:position w:val="0"/>
          <w:sz w:val="24"/>
          <w:szCs w:val="24"/>
        </w:rPr>
        <w:t>北京万向新元科技股份有限公司（以下简称公司或本公司）系由北京万向新元科技有限 公司整体变更设立，并于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日在北京市工商行政管理局海淀分局办理工商变更登 记。</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日，中国证券监督管理委员会出具《关于核准北京万向新元科技股份有限公 司首次公开发行股票的批复》（证监许可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2015]951</w:t>
      </w:r>
      <w:r>
        <w:rPr>
          <w:color w:val="000000"/>
          <w:spacing w:val="0"/>
          <w:w w:val="100"/>
          <w:position w:val="0"/>
          <w:sz w:val="24"/>
          <w:szCs w:val="24"/>
        </w:rPr>
        <w:t>号文），核准本公司向社会公众发行人民 币普通股</w:t>
      </w:r>
      <w:r>
        <w:rPr>
          <w:rFonts w:ascii="Times New Roman" w:eastAsia="Times New Roman" w:hAnsi="Times New Roman" w:cs="Times New Roman"/>
          <w:color w:val="000000"/>
          <w:spacing w:val="0"/>
          <w:w w:val="100"/>
          <w:position w:val="0"/>
          <w:sz w:val="24"/>
          <w:szCs w:val="24"/>
        </w:rPr>
        <w:t>1,667</w:t>
      </w:r>
      <w:r>
        <w:rPr>
          <w:color w:val="000000"/>
          <w:spacing w:val="0"/>
          <w:w w:val="100"/>
          <w:position w:val="0"/>
          <w:sz w:val="24"/>
          <w:szCs w:val="24"/>
        </w:rPr>
        <w:t>万股，并于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日在深圳证券交易所创业板上市交易。截至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日，本公司股本总数</w:t>
      </w:r>
      <w:r>
        <w:rPr>
          <w:rFonts w:ascii="Times New Roman" w:eastAsia="Times New Roman" w:hAnsi="Times New Roman" w:cs="Times New Roman"/>
          <w:color w:val="000000"/>
          <w:spacing w:val="0"/>
          <w:w w:val="100"/>
          <w:position w:val="0"/>
          <w:sz w:val="24"/>
          <w:szCs w:val="24"/>
        </w:rPr>
        <w:t>10,000.50</w:t>
      </w:r>
      <w:r>
        <w:rPr>
          <w:color w:val="000000"/>
          <w:spacing w:val="0"/>
          <w:w w:val="100"/>
          <w:position w:val="0"/>
          <w:sz w:val="24"/>
          <w:szCs w:val="24"/>
        </w:rPr>
        <w:t>万股，注册资本为人民币</w:t>
      </w:r>
      <w:r>
        <w:rPr>
          <w:rFonts w:ascii="Times New Roman" w:eastAsia="Times New Roman" w:hAnsi="Times New Roman" w:cs="Times New Roman"/>
          <w:color w:val="000000"/>
          <w:spacing w:val="0"/>
          <w:w w:val="100"/>
          <w:position w:val="0"/>
          <w:sz w:val="24"/>
          <w:szCs w:val="24"/>
        </w:rPr>
        <w:t>10,000.50</w:t>
      </w:r>
      <w:r>
        <w:rPr>
          <w:color w:val="000000"/>
          <w:spacing w:val="0"/>
          <w:w w:val="100"/>
          <w:position w:val="0"/>
          <w:sz w:val="24"/>
          <w:szCs w:val="24"/>
        </w:rPr>
        <w:t>万元。</w:t>
      </w:r>
    </w:p>
    <w:p>
      <w:pPr>
        <w:pStyle w:val="Style51"/>
        <w:keepNext w:val="0"/>
        <w:keepLines w:val="0"/>
        <w:widowControl w:val="0"/>
        <w:shd w:val="clear" w:color="auto" w:fill="auto"/>
        <w:bidi w:val="0"/>
        <w:spacing w:before="0" w:after="100" w:line="309" w:lineRule="exact"/>
        <w:ind w:left="0" w:right="0" w:firstLine="480"/>
        <w:jc w:val="left"/>
      </w:pPr>
      <w:r>
        <w:rPr>
          <w:color w:val="000000"/>
          <w:spacing w:val="0"/>
          <w:w w:val="100"/>
          <w:position w:val="0"/>
          <w:sz w:val="24"/>
          <w:szCs w:val="24"/>
        </w:rPr>
        <w:t>公司住所：北京市海淀区阜成路</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号新洲商务大厦</w:t>
      </w:r>
      <w:r>
        <w:rPr>
          <w:rFonts w:ascii="Times New Roman" w:eastAsia="Times New Roman" w:hAnsi="Times New Roman" w:cs="Times New Roman"/>
          <w:color w:val="000000"/>
          <w:spacing w:val="0"/>
          <w:w w:val="100"/>
          <w:position w:val="0"/>
          <w:sz w:val="24"/>
          <w:szCs w:val="24"/>
        </w:rPr>
        <w:t>409</w:t>
      </w:r>
      <w:r>
        <w:rPr>
          <w:color w:val="000000"/>
          <w:spacing w:val="0"/>
          <w:w w:val="100"/>
          <w:position w:val="0"/>
          <w:sz w:val="24"/>
          <w:szCs w:val="24"/>
        </w:rPr>
        <w:t>房间</w:t>
      </w:r>
    </w:p>
    <w:p>
      <w:pPr>
        <w:pStyle w:val="Style51"/>
        <w:keepNext w:val="0"/>
        <w:keepLines w:val="0"/>
        <w:widowControl w:val="0"/>
        <w:shd w:val="clear" w:color="auto" w:fill="auto"/>
        <w:bidi w:val="0"/>
        <w:spacing w:before="0" w:after="100" w:line="309" w:lineRule="exact"/>
        <w:ind w:left="0" w:right="0" w:firstLine="480"/>
        <w:jc w:val="both"/>
      </w:pPr>
      <w:r>
        <w:rPr>
          <w:color w:val="000000"/>
          <w:spacing w:val="0"/>
          <w:w w:val="100"/>
          <w:position w:val="0"/>
          <w:sz w:val="24"/>
          <w:szCs w:val="24"/>
        </w:rPr>
        <w:t>公司法定代表人：朱业胜</w:t>
      </w:r>
    </w:p>
    <w:p>
      <w:pPr>
        <w:pStyle w:val="Style51"/>
        <w:keepNext w:val="0"/>
        <w:keepLines w:val="0"/>
        <w:widowControl w:val="0"/>
        <w:shd w:val="clear" w:color="auto" w:fill="auto"/>
        <w:bidi w:val="0"/>
        <w:spacing w:before="0" w:after="100" w:line="322" w:lineRule="exact"/>
        <w:ind w:left="0" w:right="0" w:firstLine="480"/>
        <w:jc w:val="both"/>
      </w:pPr>
      <w:r>
        <w:rPr>
          <w:color w:val="000000"/>
          <w:spacing w:val="0"/>
          <w:w w:val="100"/>
          <w:position w:val="0"/>
          <w:sz w:val="24"/>
          <w:szCs w:val="24"/>
        </w:rPr>
        <w:t>公司经营范围：许可经营项目：以下项目仅限分公司经营：加工制造环保设备、物料输 送设备、物料称量配料设备、橡胶塑料生产设备。</w:t>
      </w:r>
    </w:p>
    <w:p>
      <w:pPr>
        <w:pStyle w:val="Style51"/>
        <w:keepNext w:val="0"/>
        <w:keepLines w:val="0"/>
        <w:widowControl w:val="0"/>
        <w:shd w:val="clear" w:color="auto" w:fill="auto"/>
        <w:bidi w:val="0"/>
        <w:spacing w:before="0" w:after="0" w:line="309" w:lineRule="exact"/>
        <w:ind w:left="0" w:right="0" w:firstLine="480"/>
        <w:jc w:val="both"/>
      </w:pPr>
      <w:r>
        <w:rPr>
          <w:color w:val="000000"/>
          <w:spacing w:val="0"/>
          <w:w w:val="100"/>
          <w:position w:val="0"/>
          <w:sz w:val="24"/>
          <w:szCs w:val="24"/>
        </w:rPr>
        <w:t xml:space="preserve">一般经营项目：技术开发、技术推广、技术转让、技术咨询、技术服务；计算机系统服 </w:t>
      </w:r>
      <w:r>
        <w:rPr>
          <w:color w:val="000000"/>
          <w:spacing w:val="0"/>
          <w:w w:val="100"/>
          <w:position w:val="0"/>
          <w:sz w:val="24"/>
          <w:szCs w:val="24"/>
        </w:rPr>
        <w:t>务；数据处理；应用软件服务；销售机械设备；汽车尾气治理；烟气治理；废气治理；大气 污染治理；固体废物污染治理；噪音、光污染治理；货物进出口、技术进出口、代理进出口。</w:t>
      </w:r>
    </w:p>
    <w:p>
      <w:pPr>
        <w:pStyle w:val="Style51"/>
        <w:keepNext w:val="0"/>
        <w:keepLines w:val="0"/>
        <w:widowControl w:val="0"/>
        <w:shd w:val="clear" w:color="auto" w:fill="auto"/>
        <w:bidi w:val="0"/>
        <w:spacing w:before="0" w:after="120" w:line="314" w:lineRule="exact"/>
        <w:ind w:left="0" w:right="0" w:firstLine="0"/>
        <w:jc w:val="left"/>
      </w:pPr>
      <w:r>
        <w:rPr>
          <w:color w:val="000000"/>
          <w:spacing w:val="0"/>
          <w:w w:val="100"/>
          <w:position w:val="0"/>
          <w:sz w:val="24"/>
          <w:szCs w:val="24"/>
        </w:rPr>
        <w:t>（企业依法自主选择经营项目，开展经营活动；依法须经批准的项目，经相关部门批准后依 批准的内容开展经营活动；不得从事本市产业政策禁止和限制类项目的经营活动。）</w:t>
      </w:r>
    </w:p>
    <w:p>
      <w:pPr>
        <w:pStyle w:val="Style51"/>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24"/>
          <w:szCs w:val="24"/>
        </w:rPr>
        <w:t>财务报告批准报出日:本财务报表业经本公司董事会于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日决议批准报出。</w:t>
      </w:r>
    </w:p>
    <w:p>
      <w:pPr>
        <w:pStyle w:val="Style51"/>
        <w:keepNext w:val="0"/>
        <w:keepLines w:val="0"/>
        <w:widowControl w:val="0"/>
        <w:shd w:val="clear" w:color="auto" w:fill="auto"/>
        <w:bidi w:val="0"/>
        <w:spacing w:before="0" w:after="120" w:line="240" w:lineRule="auto"/>
        <w:ind w:left="0" w:right="0" w:firstLine="500"/>
        <w:jc w:val="left"/>
      </w:pPr>
      <w:bookmarkStart w:id="620" w:name="bookmark620"/>
      <w:r>
        <w:rPr>
          <w:rFonts w:ascii="Times New Roman" w:eastAsia="Times New Roman" w:hAnsi="Times New Roman" w:cs="Times New Roman"/>
          <w:color w:val="000000"/>
          <w:spacing w:val="0"/>
          <w:w w:val="100"/>
          <w:position w:val="0"/>
          <w:sz w:val="24"/>
          <w:szCs w:val="24"/>
        </w:rPr>
        <w:t>（</w:t>
      </w:r>
      <w:bookmarkEnd w:id="62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本报告期末纳入合并范围的子公司</w:t>
      </w:r>
    </w:p>
    <w:tbl>
      <w:tblPr>
        <w:tblOverlap w:val="never"/>
        <w:jc w:val="center"/>
        <w:tblLayout w:type="fixed"/>
      </w:tblPr>
      <w:tblGrid>
        <w:gridCol w:w="1066"/>
        <w:gridCol w:w="3758"/>
        <w:gridCol w:w="1958"/>
        <w:gridCol w:w="1200"/>
        <w:gridCol w:w="1344"/>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子公司简称</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b/>
                <w:bCs/>
                <w:color w:val="000000"/>
                <w:spacing w:val="0"/>
                <w:w w:val="100"/>
                <w:position w:val="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直接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间接</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北京四方同兴机电技术开发有限公司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四方同兴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北京万向新元环保工程技术有限公司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万向新元工程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芜湖万向新元环保科技有限公司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芜湖万向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天津京万科技有限公司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天津京万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北京天中方环保科技有限公司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天中方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上海橡领高分子材料有限公司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上海橡领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万向新元绿柱石（天津）科技有限公司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万向新元绿柱石</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51"/>
        <w:keepNext w:val="0"/>
        <w:keepLines w:val="0"/>
        <w:widowControl w:val="0"/>
        <w:shd w:val="clear" w:color="auto" w:fill="auto"/>
        <w:bidi w:val="0"/>
        <w:spacing w:before="0" w:after="120" w:line="240" w:lineRule="auto"/>
        <w:ind w:left="0" w:right="0" w:firstLine="500"/>
        <w:jc w:val="left"/>
      </w:pPr>
      <w:r>
        <w:rPr>
          <w:color w:val="000000"/>
          <w:spacing w:val="0"/>
          <w:w w:val="100"/>
          <w:position w:val="0"/>
          <w:sz w:val="24"/>
          <w:szCs w:val="24"/>
        </w:rPr>
        <w:t>上述子公司具体情况详见本附注九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1"/>
        <w:keepNext w:val="0"/>
        <w:keepLines w:val="0"/>
        <w:widowControl w:val="0"/>
        <w:shd w:val="clear" w:color="auto" w:fill="auto"/>
        <w:bidi w:val="0"/>
        <w:spacing w:before="0" w:after="120" w:line="240" w:lineRule="auto"/>
        <w:ind w:left="0" w:right="0" w:firstLine="500"/>
        <w:jc w:val="left"/>
      </w:pPr>
      <w:bookmarkStart w:id="621" w:name="bookmark621"/>
      <w:r>
        <w:rPr>
          <w:rFonts w:ascii="Times New Roman" w:eastAsia="Times New Roman" w:hAnsi="Times New Roman" w:cs="Times New Roman"/>
          <w:color w:val="000000"/>
          <w:spacing w:val="0"/>
          <w:w w:val="100"/>
          <w:position w:val="0"/>
          <w:sz w:val="24"/>
          <w:szCs w:val="24"/>
        </w:rPr>
        <w:t>（</w:t>
      </w:r>
      <w:bookmarkEnd w:id="6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本公司本期合并财务报表范围变化</w:t>
      </w:r>
    </w:p>
    <w:p>
      <w:pPr>
        <w:pStyle w:val="Style34"/>
        <w:keepNext w:val="0"/>
        <w:keepLines w:val="0"/>
        <w:widowControl w:val="0"/>
        <w:shd w:val="clear" w:color="auto" w:fill="auto"/>
        <w:bidi w:val="0"/>
        <w:spacing w:before="0" w:after="0" w:line="240" w:lineRule="auto"/>
        <w:ind w:left="590" w:right="0" w:firstLine="0"/>
        <w:jc w:val="left"/>
        <w:rPr>
          <w:sz w:val="24"/>
          <w:szCs w:val="24"/>
        </w:rPr>
      </w:pPr>
      <w:r>
        <w:rPr>
          <w:color w:val="000000"/>
          <w:spacing w:val="0"/>
          <w:w w:val="100"/>
          <w:position w:val="0"/>
          <w:sz w:val="24"/>
          <w:szCs w:val="24"/>
        </w:rPr>
        <w:t>本期新增子公司:</w:t>
      </w:r>
    </w:p>
    <w:tbl>
      <w:tblPr>
        <w:tblOverlap w:val="never"/>
        <w:jc w:val="left"/>
        <w:tblLayout w:type="fixed"/>
      </w:tblPr>
      <w:tblGrid>
        <w:gridCol w:w="859"/>
        <w:gridCol w:w="3686"/>
        <w:gridCol w:w="1843"/>
        <w:gridCol w:w="2438"/>
      </w:tblGrid>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本期纳入合并范围原因</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北京天中方环保科技有限公司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天中方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上海橡领高分子材料有限公司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上海橡领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非同一控制下企业合并</w:t>
            </w:r>
          </w:p>
        </w:tc>
      </w:tr>
      <w:tr>
        <w:trPr>
          <w:trHeight w:val="48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万向新元绿柱石（天津）有限公司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万向新元绿柱石</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pStyle w:val="Style34"/>
        <w:keepNext w:val="0"/>
        <w:keepLines w:val="0"/>
        <w:widowControl w:val="0"/>
        <w:shd w:val="clear" w:color="auto" w:fill="auto"/>
        <w:bidi w:val="0"/>
        <w:spacing w:before="0" w:after="0" w:line="240" w:lineRule="auto"/>
        <w:ind w:left="10" w:right="0" w:firstLine="0"/>
        <w:jc w:val="left"/>
        <w:rPr>
          <w:sz w:val="24"/>
          <w:szCs w:val="24"/>
        </w:rPr>
      </w:pPr>
      <w:r>
        <w:rPr>
          <w:b/>
          <w:bCs/>
          <w:color w:val="000000"/>
          <w:spacing w:val="0"/>
          <w:w w:val="100"/>
          <w:position w:val="0"/>
          <w:sz w:val="24"/>
          <w:szCs w:val="24"/>
        </w:rPr>
        <w:t>四、财务报表的编制基础</w:t>
      </w:r>
    </w:p>
    <w:p>
      <w:pPr>
        <w:widowControl w:val="0"/>
        <w:spacing w:after="279" w:line="1" w:lineRule="exact"/>
      </w:pPr>
    </w:p>
    <w:p>
      <w:pPr>
        <w:pStyle w:val="Style40"/>
        <w:keepNext w:val="0"/>
        <w:keepLines w:val="0"/>
        <w:widowControl w:val="0"/>
        <w:shd w:val="clear" w:color="auto" w:fill="auto"/>
        <w:bidi w:val="0"/>
        <w:spacing w:before="0" w:after="280" w:line="240" w:lineRule="auto"/>
        <w:ind w:left="0" w:right="0" w:firstLine="0"/>
        <w:jc w:val="left"/>
      </w:pPr>
      <w:bookmarkStart w:id="622" w:name="bookmark622"/>
      <w:r>
        <w:rPr>
          <w:rFonts w:ascii="Times New Roman" w:eastAsia="Times New Roman" w:hAnsi="Times New Roman" w:cs="Times New Roman"/>
          <w:b/>
          <w:bCs/>
          <w:color w:val="000000"/>
          <w:spacing w:val="0"/>
          <w:w w:val="100"/>
          <w:position w:val="0"/>
        </w:rPr>
        <w:t>1</w:t>
      </w:r>
      <w:bookmarkEnd w:id="622"/>
      <w:r>
        <w:rPr>
          <w:b/>
          <w:bCs/>
          <w:color w:val="000000"/>
          <w:spacing w:val="0"/>
          <w:w w:val="100"/>
          <w:position w:val="0"/>
        </w:rPr>
        <w:t>、编制基础</w:t>
      </w:r>
    </w:p>
    <w:p>
      <w:pPr>
        <w:pStyle w:val="Style51"/>
        <w:keepNext w:val="0"/>
        <w:keepLines w:val="0"/>
        <w:widowControl w:val="0"/>
        <w:shd w:val="clear" w:color="auto" w:fill="auto"/>
        <w:bidi w:val="0"/>
        <w:spacing w:before="0" w:after="640" w:line="317" w:lineRule="exact"/>
        <w:ind w:left="0" w:right="0" w:firstLine="500"/>
        <w:jc w:val="left"/>
      </w:pPr>
      <w:r>
        <w:rPr>
          <w:color w:val="000000"/>
          <w:spacing w:val="0"/>
          <w:w w:val="100"/>
          <w:position w:val="0"/>
          <w:sz w:val="24"/>
          <w:szCs w:val="24"/>
        </w:rPr>
        <w:t>本公司以持续经营为基础，根据实际发生的交易和事项，按照企业会计准则及其应用指 南和准则解释的规定进行确认和计量，在此基础上编制财务报表。</w:t>
      </w:r>
    </w:p>
    <w:p>
      <w:pPr>
        <w:pStyle w:val="Style40"/>
        <w:keepNext w:val="0"/>
        <w:keepLines w:val="0"/>
        <w:widowControl w:val="0"/>
        <w:shd w:val="clear" w:color="auto" w:fill="auto"/>
        <w:bidi w:val="0"/>
        <w:spacing w:before="0" w:after="280" w:line="240" w:lineRule="auto"/>
        <w:ind w:left="0" w:right="0" w:firstLine="0"/>
        <w:jc w:val="left"/>
      </w:pPr>
      <w:bookmarkStart w:id="623" w:name="bookmark623"/>
      <w:r>
        <w:rPr>
          <w:rFonts w:ascii="Times New Roman" w:eastAsia="Times New Roman" w:hAnsi="Times New Roman" w:cs="Times New Roman"/>
          <w:b/>
          <w:bCs/>
          <w:color w:val="000000"/>
          <w:spacing w:val="0"/>
          <w:w w:val="100"/>
          <w:position w:val="0"/>
        </w:rPr>
        <w:t>2</w:t>
      </w:r>
      <w:bookmarkEnd w:id="623"/>
      <w:r>
        <w:rPr>
          <w:b/>
          <w:bCs/>
          <w:color w:val="000000"/>
          <w:spacing w:val="0"/>
          <w:w w:val="100"/>
          <w:position w:val="0"/>
        </w:rPr>
        <w:t>、持续经营</w:t>
      </w:r>
    </w:p>
    <w:p>
      <w:pPr>
        <w:pStyle w:val="Style51"/>
        <w:keepNext w:val="0"/>
        <w:keepLines w:val="0"/>
        <w:widowControl w:val="0"/>
        <w:shd w:val="clear" w:color="auto" w:fill="auto"/>
        <w:bidi w:val="0"/>
        <w:spacing w:before="0" w:after="120" w:line="331" w:lineRule="exact"/>
        <w:ind w:left="0" w:right="0" w:firstLine="500"/>
        <w:jc w:val="left"/>
      </w:pPr>
      <w:r>
        <w:rPr>
          <w:color w:val="000000"/>
          <w:spacing w:val="0"/>
          <w:w w:val="100"/>
          <w:position w:val="0"/>
          <w:sz w:val="24"/>
          <w:szCs w:val="24"/>
        </w:rPr>
        <w:t>本公司对自报告期末起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个月的持续经营能力进行了评估，未发现影响本公司持续经营 能力的事项，本公司以持续经营为基础编制财务报表是合理的。</w:t>
      </w:r>
    </w:p>
    <w:p>
      <w:pPr>
        <w:pStyle w:val="Style26"/>
        <w:keepNext/>
        <w:keepLines/>
        <w:widowControl w:val="0"/>
        <w:shd w:val="clear" w:color="auto" w:fill="auto"/>
        <w:bidi w:val="0"/>
        <w:spacing w:before="0" w:line="317" w:lineRule="exact"/>
        <w:ind w:left="0" w:right="0" w:firstLine="0"/>
        <w:jc w:val="left"/>
      </w:pPr>
      <w:bookmarkStart w:id="624" w:name="bookmark624"/>
      <w:bookmarkStart w:id="625" w:name="bookmark625"/>
      <w:bookmarkStart w:id="626" w:name="bookmark626"/>
      <w:r>
        <w:rPr>
          <w:color w:val="000000"/>
          <w:spacing w:val="0"/>
          <w:w w:val="100"/>
          <w:position w:val="0"/>
          <w:sz w:val="24"/>
          <w:szCs w:val="24"/>
        </w:rPr>
        <w:t>五、重要会计政策及会计估计</w:t>
      </w:r>
      <w:bookmarkEnd w:id="624"/>
      <w:bookmarkEnd w:id="625"/>
      <w:bookmarkEnd w:id="62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51"/>
        <w:keepNext w:val="0"/>
        <w:keepLines w:val="0"/>
        <w:widowControl w:val="0"/>
        <w:shd w:val="clear" w:color="auto" w:fill="auto"/>
        <w:bidi w:val="0"/>
        <w:spacing w:before="0" w:after="640" w:line="317" w:lineRule="exact"/>
        <w:ind w:left="0" w:right="0" w:firstLine="500"/>
        <w:jc w:val="both"/>
      </w:pPr>
      <w:r>
        <w:rPr>
          <w:color w:val="000000"/>
          <w:spacing w:val="0"/>
          <w:w w:val="100"/>
          <w:position w:val="0"/>
          <w:sz w:val="24"/>
          <w:szCs w:val="24"/>
        </w:rPr>
        <w:t>本公司下列重要会计政策、会计估计根据企业会计准则制定。未提及的业务按企业会计 准则中相关会计政策执行。</w:t>
      </w:r>
    </w:p>
    <w:p>
      <w:pPr>
        <w:pStyle w:val="Style40"/>
        <w:keepNext w:val="0"/>
        <w:keepLines w:val="0"/>
        <w:widowControl w:val="0"/>
        <w:shd w:val="clear" w:color="auto" w:fill="auto"/>
        <w:bidi w:val="0"/>
        <w:spacing w:before="0" w:after="320" w:line="240" w:lineRule="auto"/>
        <w:ind w:left="0" w:right="0" w:firstLine="0"/>
        <w:jc w:val="left"/>
      </w:pPr>
      <w:bookmarkStart w:id="627" w:name="bookmark627"/>
      <w:r>
        <w:rPr>
          <w:rFonts w:ascii="Times New Roman" w:eastAsia="Times New Roman" w:hAnsi="Times New Roman" w:cs="Times New Roman"/>
          <w:b/>
          <w:bCs/>
          <w:color w:val="000000"/>
          <w:spacing w:val="0"/>
          <w:w w:val="100"/>
          <w:position w:val="0"/>
        </w:rPr>
        <w:t>1</w:t>
      </w:r>
      <w:bookmarkEnd w:id="627"/>
      <w:r>
        <w:rPr>
          <w:b/>
          <w:bCs/>
          <w:color w:val="000000"/>
          <w:spacing w:val="0"/>
          <w:w w:val="100"/>
          <w:position w:val="0"/>
        </w:rPr>
        <w:t>、遵循企业会计准则的声明</w:t>
      </w:r>
    </w:p>
    <w:p>
      <w:pPr>
        <w:pStyle w:val="Style51"/>
        <w:keepNext w:val="0"/>
        <w:keepLines w:val="0"/>
        <w:widowControl w:val="0"/>
        <w:shd w:val="clear" w:color="auto" w:fill="auto"/>
        <w:bidi w:val="0"/>
        <w:spacing w:before="0" w:after="640" w:line="307" w:lineRule="exact"/>
        <w:ind w:left="0" w:right="0" w:firstLine="500"/>
        <w:jc w:val="both"/>
      </w:pPr>
      <w:r>
        <w:rPr>
          <w:color w:val="000000"/>
          <w:spacing w:val="0"/>
          <w:w w:val="100"/>
          <w:position w:val="0"/>
          <w:sz w:val="24"/>
          <w:szCs w:val="24"/>
        </w:rPr>
        <w:t>本公司所编制的财务报表符合企业会计准则的要求，真实、完整地反映了公司的财务状 况、经营成果、所有者权益变动和现金流量等有关信息。</w:t>
      </w:r>
    </w:p>
    <w:p>
      <w:pPr>
        <w:pStyle w:val="Style40"/>
        <w:keepNext w:val="0"/>
        <w:keepLines w:val="0"/>
        <w:widowControl w:val="0"/>
        <w:shd w:val="clear" w:color="auto" w:fill="auto"/>
        <w:tabs>
          <w:tab w:pos="378" w:val="left"/>
        </w:tabs>
        <w:bidi w:val="0"/>
        <w:spacing w:before="0" w:after="320" w:line="240" w:lineRule="auto"/>
        <w:ind w:left="0" w:right="0" w:firstLine="0"/>
        <w:jc w:val="both"/>
      </w:pPr>
      <w:bookmarkStart w:id="628" w:name="bookmark628"/>
      <w:r>
        <w:rPr>
          <w:rFonts w:ascii="Times New Roman" w:eastAsia="Times New Roman" w:hAnsi="Times New Roman" w:cs="Times New Roman"/>
          <w:b/>
          <w:bCs/>
          <w:color w:val="000000"/>
          <w:spacing w:val="0"/>
          <w:w w:val="100"/>
          <w:position w:val="0"/>
        </w:rPr>
        <w:t>2</w:t>
      </w:r>
      <w:bookmarkEnd w:id="628"/>
      <w:r>
        <w:rPr>
          <w:b/>
          <w:bCs/>
          <w:color w:val="000000"/>
          <w:spacing w:val="0"/>
          <w:w w:val="100"/>
          <w:position w:val="0"/>
        </w:rPr>
        <w:t>、</w:t>
        <w:tab/>
        <w:t>会计期间</w:t>
      </w:r>
    </w:p>
    <w:p>
      <w:pPr>
        <w:pStyle w:val="Style51"/>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rPr>
        <w:t>本公司会计年度自公历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40"/>
        <w:keepNext w:val="0"/>
        <w:keepLines w:val="0"/>
        <w:widowControl w:val="0"/>
        <w:shd w:val="clear" w:color="auto" w:fill="auto"/>
        <w:tabs>
          <w:tab w:pos="378" w:val="left"/>
        </w:tabs>
        <w:bidi w:val="0"/>
        <w:spacing w:before="0" w:after="320" w:line="240" w:lineRule="auto"/>
        <w:ind w:left="0" w:right="0" w:firstLine="0"/>
        <w:jc w:val="both"/>
      </w:pPr>
      <w:bookmarkStart w:id="629" w:name="bookmark629"/>
      <w:r>
        <w:rPr>
          <w:rFonts w:ascii="Times New Roman" w:eastAsia="Times New Roman" w:hAnsi="Times New Roman" w:cs="Times New Roman"/>
          <w:b/>
          <w:bCs/>
          <w:color w:val="000000"/>
          <w:spacing w:val="0"/>
          <w:w w:val="100"/>
          <w:position w:val="0"/>
        </w:rPr>
        <w:t>3</w:t>
      </w:r>
      <w:bookmarkEnd w:id="629"/>
      <w:r>
        <w:rPr>
          <w:b/>
          <w:bCs/>
          <w:color w:val="000000"/>
          <w:spacing w:val="0"/>
          <w:w w:val="100"/>
          <w:position w:val="0"/>
        </w:rPr>
        <w:t>、</w:t>
        <w:tab/>
        <w:t>营业周期</w:t>
      </w:r>
    </w:p>
    <w:p>
      <w:pPr>
        <w:pStyle w:val="Style51"/>
        <w:keepNext w:val="0"/>
        <w:keepLines w:val="0"/>
        <w:widowControl w:val="0"/>
        <w:shd w:val="clear" w:color="auto" w:fill="auto"/>
        <w:bidi w:val="0"/>
        <w:spacing w:before="0" w:after="640" w:line="240" w:lineRule="auto"/>
        <w:ind w:left="0" w:right="0" w:firstLine="500"/>
        <w:jc w:val="both"/>
      </w:pPr>
      <w:r>
        <w:rPr>
          <w:color w:val="000000"/>
          <w:spacing w:val="0"/>
          <w:w w:val="100"/>
          <w:position w:val="0"/>
          <w:sz w:val="24"/>
          <w:szCs w:val="24"/>
        </w:rPr>
        <w:t>本公司正常营业周期为一年。</w:t>
      </w:r>
    </w:p>
    <w:p>
      <w:pPr>
        <w:pStyle w:val="Style40"/>
        <w:keepNext w:val="0"/>
        <w:keepLines w:val="0"/>
        <w:widowControl w:val="0"/>
        <w:shd w:val="clear" w:color="auto" w:fill="auto"/>
        <w:bidi w:val="0"/>
        <w:spacing w:before="0" w:after="360" w:line="240" w:lineRule="auto"/>
        <w:ind w:left="0" w:right="0" w:firstLine="0"/>
        <w:jc w:val="both"/>
      </w:pPr>
      <w:bookmarkStart w:id="630" w:name="bookmark630"/>
      <w:r>
        <w:rPr>
          <w:rFonts w:ascii="Times New Roman" w:eastAsia="Times New Roman" w:hAnsi="Times New Roman" w:cs="Times New Roman"/>
          <w:b/>
          <w:bCs/>
          <w:color w:val="000000"/>
          <w:spacing w:val="0"/>
          <w:w w:val="100"/>
          <w:position w:val="0"/>
        </w:rPr>
        <w:t>4</w:t>
      </w:r>
      <w:bookmarkEnd w:id="630"/>
      <w:r>
        <w:rPr>
          <w:b/>
          <w:bCs/>
          <w:color w:val="000000"/>
          <w:spacing w:val="0"/>
          <w:w w:val="100"/>
          <w:position w:val="0"/>
        </w:rPr>
        <w:t>、记账本位币</w:t>
      </w:r>
    </w:p>
    <w:p>
      <w:pPr>
        <w:pStyle w:val="Style51"/>
        <w:keepNext w:val="0"/>
        <w:keepLines w:val="0"/>
        <w:widowControl w:val="0"/>
        <w:shd w:val="clear" w:color="auto" w:fill="auto"/>
        <w:bidi w:val="0"/>
        <w:spacing w:before="0" w:after="640" w:line="240" w:lineRule="auto"/>
        <w:ind w:left="0" w:right="0" w:firstLine="500"/>
        <w:jc w:val="both"/>
      </w:pPr>
      <w:r>
        <w:rPr>
          <w:color w:val="000000"/>
          <w:spacing w:val="0"/>
          <w:w w:val="100"/>
          <w:position w:val="0"/>
          <w:sz w:val="24"/>
          <w:szCs w:val="24"/>
        </w:rPr>
        <w:t>本公司的记账本位币为人民币。</w:t>
      </w:r>
    </w:p>
    <w:p>
      <w:pPr>
        <w:pStyle w:val="Style40"/>
        <w:keepNext w:val="0"/>
        <w:keepLines w:val="0"/>
        <w:widowControl w:val="0"/>
        <w:shd w:val="clear" w:color="auto" w:fill="auto"/>
        <w:bidi w:val="0"/>
        <w:spacing w:before="0" w:after="320" w:line="240" w:lineRule="auto"/>
        <w:ind w:left="0" w:right="0" w:firstLine="0"/>
        <w:jc w:val="left"/>
      </w:pPr>
      <w:bookmarkStart w:id="631" w:name="bookmark631"/>
      <w:r>
        <w:rPr>
          <w:rFonts w:ascii="Times New Roman" w:eastAsia="Times New Roman" w:hAnsi="Times New Roman" w:cs="Times New Roman"/>
          <w:b/>
          <w:bCs/>
          <w:color w:val="000000"/>
          <w:spacing w:val="0"/>
          <w:w w:val="100"/>
          <w:position w:val="0"/>
        </w:rPr>
        <w:t>5</w:t>
      </w:r>
      <w:bookmarkEnd w:id="631"/>
      <w:r>
        <w:rPr>
          <w:b/>
          <w:bCs/>
          <w:color w:val="000000"/>
          <w:spacing w:val="0"/>
          <w:w w:val="100"/>
          <w:position w:val="0"/>
        </w:rPr>
        <w:t>、同一控制下和非同一控制下企业合并的会计处理方法</w:t>
      </w:r>
    </w:p>
    <w:p>
      <w:pPr>
        <w:pStyle w:val="Style26"/>
        <w:keepNext/>
        <w:keepLines/>
        <w:widowControl w:val="0"/>
        <w:numPr>
          <w:ilvl w:val="0"/>
          <w:numId w:val="17"/>
        </w:numPr>
        <w:shd w:val="clear" w:color="auto" w:fill="auto"/>
        <w:tabs>
          <w:tab w:pos="1031" w:val="left"/>
        </w:tabs>
        <w:bidi w:val="0"/>
        <w:spacing w:before="0" w:after="120" w:line="313" w:lineRule="exact"/>
        <w:ind w:left="0" w:right="0" w:firstLine="500"/>
        <w:jc w:val="both"/>
      </w:pPr>
      <w:bookmarkStart w:id="632" w:name="bookmark632"/>
      <w:bookmarkStart w:id="633" w:name="bookmark633"/>
      <w:bookmarkStart w:id="634" w:name="bookmark634"/>
      <w:bookmarkStart w:id="635" w:name="bookmark635"/>
      <w:bookmarkEnd w:id="634"/>
      <w:r>
        <w:rPr>
          <w:color w:val="000000"/>
          <w:spacing w:val="0"/>
          <w:w w:val="100"/>
          <w:position w:val="0"/>
          <w:sz w:val="24"/>
          <w:szCs w:val="24"/>
        </w:rPr>
        <w:t>同一控制下的企业合并</w:t>
      </w:r>
      <w:bookmarkEnd w:id="632"/>
      <w:bookmarkEnd w:id="633"/>
      <w:bookmarkEnd w:id="635"/>
    </w:p>
    <w:p>
      <w:pPr>
        <w:pStyle w:val="Style51"/>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本公司在企业合并中取得的资产和负债，在合并日按取得被合并方在最终控制方合并财 务报表中的账面价值计量。其中，对于被合并方与本公司在企业合并前采用的会计政策不同 的，基于重要性原则统一会计政策，即按照本公司的会计政策对被合并方资产、负债的账面 价值进行调整。本公司在企业合并中取得的净资产账面价值与所支付对价的账面价值之间存 在差额的，首先调整资本公积(资本溢价或股本溢价)，资本公积(资本溢价或股本溢价) 的余额不足冲减的，依次冲减盈余公积和未分配利润。</w:t>
      </w:r>
    </w:p>
    <w:p>
      <w:pPr>
        <w:pStyle w:val="Style51"/>
        <w:keepNext w:val="0"/>
        <w:keepLines w:val="0"/>
        <w:widowControl w:val="0"/>
        <w:numPr>
          <w:ilvl w:val="0"/>
          <w:numId w:val="17"/>
        </w:numPr>
        <w:shd w:val="clear" w:color="auto" w:fill="auto"/>
        <w:tabs>
          <w:tab w:pos="1036" w:val="left"/>
        </w:tabs>
        <w:bidi w:val="0"/>
        <w:spacing w:before="0" w:after="120" w:line="313" w:lineRule="exact"/>
        <w:ind w:left="0" w:right="0" w:firstLine="500"/>
        <w:jc w:val="both"/>
      </w:pPr>
      <w:bookmarkStart w:id="636" w:name="bookmark636"/>
      <w:bookmarkEnd w:id="636"/>
      <w:r>
        <w:rPr>
          <w:b/>
          <w:bCs/>
          <w:color w:val="000000"/>
          <w:spacing w:val="0"/>
          <w:w w:val="100"/>
          <w:position w:val="0"/>
          <w:sz w:val="24"/>
          <w:szCs w:val="24"/>
        </w:rPr>
        <w:t>非同一控制下的企业合并</w:t>
      </w:r>
    </w:p>
    <w:p>
      <w:pPr>
        <w:pStyle w:val="Style51"/>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 xml:space="preserve">本公司在企业合并中取得的被购买方各项可辨认资产和负债，在购买日按其公允价值计 量。其中，对于被购买方与本公司在企业合并前采用的会计政策不同的，基于重要性原则统 一会计政策，即按照本公司的会计政策对被购买方资产、负债的账面价值进行调整。本公司 在购买日的合并成本大于企业合并中取得的被购买方可辨认资产、负债公允价值的差额，确 </w:t>
      </w:r>
      <w:r>
        <w:rPr>
          <w:color w:val="000000"/>
          <w:spacing w:val="0"/>
          <w:w w:val="100"/>
          <w:position w:val="0"/>
          <w:sz w:val="24"/>
          <w:szCs w:val="24"/>
        </w:rPr>
        <w:t>认为商誉；如果合并成本小于企业合并中取得的被购买方可辨认资产、负债公允价值的差额, 首先对合并成本以及在企业合并中取得的被购买方可辨认资产、负债的公允价值进行复核， 经复核后合并成本仍小于取得的被购买方可辨认资产、负债公允价值的，其差额确认为合并 当期损益。</w:t>
      </w:r>
    </w:p>
    <w:p>
      <w:pPr>
        <w:pStyle w:val="Style40"/>
        <w:keepNext w:val="0"/>
        <w:keepLines w:val="0"/>
        <w:widowControl w:val="0"/>
        <w:shd w:val="clear" w:color="auto" w:fill="auto"/>
        <w:bidi w:val="0"/>
        <w:spacing w:before="0" w:after="320" w:line="240" w:lineRule="auto"/>
        <w:ind w:left="0" w:right="0" w:firstLine="0"/>
        <w:jc w:val="left"/>
      </w:pPr>
      <w:bookmarkStart w:id="637" w:name="bookmark637"/>
      <w:r>
        <w:rPr>
          <w:rFonts w:ascii="Times New Roman" w:eastAsia="Times New Roman" w:hAnsi="Times New Roman" w:cs="Times New Roman"/>
          <w:b/>
          <w:bCs/>
          <w:color w:val="000000"/>
          <w:spacing w:val="0"/>
          <w:w w:val="100"/>
          <w:position w:val="0"/>
        </w:rPr>
        <w:t>6</w:t>
      </w:r>
      <w:bookmarkEnd w:id="637"/>
      <w:r>
        <w:rPr>
          <w:b/>
          <w:bCs/>
          <w:color w:val="000000"/>
          <w:spacing w:val="0"/>
          <w:w w:val="100"/>
          <w:position w:val="0"/>
        </w:rPr>
        <w:t>、合并财务报表的编制方法</w:t>
      </w:r>
    </w:p>
    <w:p>
      <w:pPr>
        <w:pStyle w:val="Style26"/>
        <w:keepNext/>
        <w:keepLines/>
        <w:widowControl w:val="0"/>
        <w:shd w:val="clear" w:color="auto" w:fill="auto"/>
        <w:tabs>
          <w:tab w:pos="1036" w:val="left"/>
        </w:tabs>
        <w:bidi w:val="0"/>
        <w:spacing w:before="0" w:after="100" w:line="312" w:lineRule="exact"/>
        <w:ind w:left="0" w:right="0" w:firstLine="500"/>
        <w:jc w:val="left"/>
      </w:pPr>
      <w:bookmarkStart w:id="638" w:name="bookmark638"/>
      <w:bookmarkStart w:id="639" w:name="bookmark639"/>
      <w:bookmarkStart w:id="640" w:name="bookmark640"/>
      <w:bookmarkStart w:id="641" w:name="bookmark641"/>
      <w:r>
        <w:rPr>
          <w:color w:val="000000"/>
          <w:spacing w:val="0"/>
          <w:w w:val="100"/>
          <w:position w:val="0"/>
          <w:sz w:val="24"/>
          <w:szCs w:val="24"/>
        </w:rPr>
        <w:t>（</w:t>
      </w:r>
      <w:bookmarkEnd w:id="64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合并范围的确定</w:t>
      </w:r>
      <w:bookmarkEnd w:id="638"/>
      <w:bookmarkEnd w:id="639"/>
      <w:bookmarkEnd w:id="641"/>
    </w:p>
    <w:p>
      <w:pPr>
        <w:pStyle w:val="Style51"/>
        <w:keepNext w:val="0"/>
        <w:keepLines w:val="0"/>
        <w:widowControl w:val="0"/>
        <w:shd w:val="clear" w:color="auto" w:fill="auto"/>
        <w:bidi w:val="0"/>
        <w:spacing w:before="0" w:after="100" w:line="302" w:lineRule="exact"/>
        <w:ind w:left="0" w:right="0" w:firstLine="500"/>
        <w:jc w:val="left"/>
      </w:pPr>
      <w:r>
        <w:rPr>
          <w:color w:val="000000"/>
          <w:spacing w:val="0"/>
          <w:w w:val="100"/>
          <w:position w:val="0"/>
          <w:sz w:val="24"/>
          <w:szCs w:val="24"/>
        </w:rPr>
        <w:t>合并财务报表的合并范围以控制为基础予以确定，不仅包括根据表决权（或类似表决权） 本身或者结合其他安排确定的子公司，也包括基于一项或多项合同安排决定的结构化主体。</w:t>
      </w:r>
    </w:p>
    <w:p>
      <w:pPr>
        <w:pStyle w:val="Style51"/>
        <w:keepNext w:val="0"/>
        <w:keepLines w:val="0"/>
        <w:widowControl w:val="0"/>
        <w:shd w:val="clear" w:color="auto" w:fill="auto"/>
        <w:bidi w:val="0"/>
        <w:spacing w:before="0" w:after="100"/>
        <w:ind w:left="0" w:right="0" w:firstLine="500"/>
        <w:jc w:val="left"/>
      </w:pPr>
      <w:r>
        <w:rPr>
          <w:color w:val="000000"/>
          <w:spacing w:val="0"/>
          <w:w w:val="100"/>
          <w:position w:val="0"/>
          <w:sz w:val="24"/>
          <w:szCs w:val="24"/>
        </w:rPr>
        <w:t>控制是指本公司拥有对被投资方的权力，通过参与被投资方的相关活动而享有可变回报, 并且有能力运用对被投资方的权力影响其回报金额。子公司是指被本公司控制的主体（含企 业、被投资单位中可分割的部分，以及企业所控制的结构化主体等），结构化主体是指在确 定其控制方时没有将表决权或类似权利作为决定性因素而设计的主体（注：有时也称为特殊 目的主体）。</w:t>
      </w:r>
    </w:p>
    <w:p>
      <w:pPr>
        <w:pStyle w:val="Style51"/>
        <w:keepNext w:val="0"/>
        <w:keepLines w:val="0"/>
        <w:widowControl w:val="0"/>
        <w:shd w:val="clear" w:color="auto" w:fill="auto"/>
        <w:tabs>
          <w:tab w:pos="1036" w:val="left"/>
        </w:tabs>
        <w:bidi w:val="0"/>
        <w:spacing w:before="0" w:after="100"/>
        <w:ind w:left="0" w:right="0" w:firstLine="500"/>
        <w:jc w:val="left"/>
      </w:pPr>
      <w:bookmarkStart w:id="642" w:name="bookmark642"/>
      <w:r>
        <w:rPr>
          <w:b/>
          <w:bCs/>
          <w:color w:val="000000"/>
          <w:spacing w:val="0"/>
          <w:w w:val="100"/>
          <w:position w:val="0"/>
          <w:sz w:val="24"/>
          <w:szCs w:val="24"/>
        </w:rPr>
        <w:t>（</w:t>
      </w:r>
      <w:bookmarkEnd w:id="64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合并财务报表的编制方法</w:t>
      </w:r>
    </w:p>
    <w:p>
      <w:pPr>
        <w:pStyle w:val="Style51"/>
        <w:keepNext w:val="0"/>
        <w:keepLines w:val="0"/>
        <w:widowControl w:val="0"/>
        <w:shd w:val="clear" w:color="auto" w:fill="auto"/>
        <w:bidi w:val="0"/>
        <w:spacing w:before="0" w:after="100"/>
        <w:ind w:left="0" w:right="0" w:firstLine="500"/>
        <w:jc w:val="left"/>
      </w:pPr>
      <w:r>
        <w:rPr>
          <w:color w:val="000000"/>
          <w:spacing w:val="0"/>
          <w:w w:val="100"/>
          <w:position w:val="0"/>
          <w:sz w:val="24"/>
          <w:szCs w:val="24"/>
        </w:rPr>
        <w:t>本公司以自身和子公司的财务报表为基础，根据其他有关资料，编制合并财务报表。</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本公司编制合并财务报表，将整个企业集团视为一个会计主体，依据相关企业会计准则 的确认、计量和列报要求，按照统一的会计政策，反映企业集团整体财务状况、经营成果和 现金流量。</w:t>
      </w:r>
    </w:p>
    <w:p>
      <w:pPr>
        <w:pStyle w:val="Style51"/>
        <w:keepNext w:val="0"/>
        <w:keepLines w:val="0"/>
        <w:widowControl w:val="0"/>
        <w:numPr>
          <w:ilvl w:val="0"/>
          <w:numId w:val="19"/>
        </w:numPr>
        <w:shd w:val="clear" w:color="auto" w:fill="auto"/>
        <w:tabs>
          <w:tab w:pos="921" w:val="left"/>
        </w:tabs>
        <w:bidi w:val="0"/>
        <w:spacing w:before="0" w:after="100"/>
        <w:ind w:left="0" w:right="0" w:firstLine="500"/>
        <w:jc w:val="both"/>
      </w:pPr>
      <w:bookmarkStart w:id="643" w:name="bookmark643"/>
      <w:bookmarkEnd w:id="643"/>
      <w:r>
        <w:rPr>
          <w:color w:val="000000"/>
          <w:spacing w:val="0"/>
          <w:w w:val="100"/>
          <w:position w:val="0"/>
          <w:sz w:val="24"/>
          <w:szCs w:val="24"/>
        </w:rPr>
        <w:t>合并母公司与子公司的资产、负债、所有者权益、收入、费用和现金流等项目。</w:t>
      </w:r>
    </w:p>
    <w:p>
      <w:pPr>
        <w:pStyle w:val="Style51"/>
        <w:keepNext w:val="0"/>
        <w:keepLines w:val="0"/>
        <w:widowControl w:val="0"/>
        <w:numPr>
          <w:ilvl w:val="0"/>
          <w:numId w:val="19"/>
        </w:numPr>
        <w:shd w:val="clear" w:color="auto" w:fill="auto"/>
        <w:tabs>
          <w:tab w:pos="921" w:val="left"/>
        </w:tabs>
        <w:bidi w:val="0"/>
        <w:spacing w:before="0" w:after="100"/>
        <w:ind w:left="0" w:right="0" w:firstLine="500"/>
        <w:jc w:val="both"/>
      </w:pPr>
      <w:bookmarkStart w:id="644" w:name="bookmark644"/>
      <w:bookmarkEnd w:id="644"/>
      <w:r>
        <w:rPr>
          <w:color w:val="000000"/>
          <w:spacing w:val="0"/>
          <w:w w:val="100"/>
          <w:position w:val="0"/>
          <w:sz w:val="24"/>
          <w:szCs w:val="24"/>
        </w:rPr>
        <w:t>抵销母公司对子公司的长期股权投资与母公司在子公司所有者权益中所享有的份额。</w:t>
      </w:r>
    </w:p>
    <w:p>
      <w:pPr>
        <w:pStyle w:val="Style51"/>
        <w:keepNext w:val="0"/>
        <w:keepLines w:val="0"/>
        <w:widowControl w:val="0"/>
        <w:numPr>
          <w:ilvl w:val="0"/>
          <w:numId w:val="19"/>
        </w:numPr>
        <w:shd w:val="clear" w:color="auto" w:fill="auto"/>
        <w:tabs>
          <w:tab w:pos="901" w:val="left"/>
        </w:tabs>
        <w:bidi w:val="0"/>
        <w:spacing w:before="0" w:after="100" w:line="317" w:lineRule="exact"/>
        <w:ind w:left="0" w:right="0" w:firstLine="500"/>
        <w:jc w:val="both"/>
      </w:pPr>
      <w:bookmarkStart w:id="645" w:name="bookmark645"/>
      <w:bookmarkEnd w:id="645"/>
      <w:r>
        <w:rPr>
          <w:color w:val="000000"/>
          <w:spacing w:val="0"/>
          <w:w w:val="100"/>
          <w:position w:val="0"/>
          <w:sz w:val="24"/>
          <w:szCs w:val="24"/>
        </w:rPr>
        <w:t>抵销母公司与子公司、子公司相互之间发生的内部交易的影响。内部交易表明相关资 产发生减值损失的，应当全额确认该部分损失。</w:t>
      </w:r>
    </w:p>
    <w:p>
      <w:pPr>
        <w:pStyle w:val="Style51"/>
        <w:keepNext w:val="0"/>
        <w:keepLines w:val="0"/>
        <w:widowControl w:val="0"/>
        <w:numPr>
          <w:ilvl w:val="0"/>
          <w:numId w:val="19"/>
        </w:numPr>
        <w:shd w:val="clear" w:color="auto" w:fill="auto"/>
        <w:tabs>
          <w:tab w:pos="921" w:val="left"/>
        </w:tabs>
        <w:bidi w:val="0"/>
        <w:spacing w:before="0" w:after="100"/>
        <w:ind w:left="0" w:right="0" w:firstLine="500"/>
        <w:jc w:val="left"/>
      </w:pPr>
      <w:bookmarkStart w:id="646" w:name="bookmark646"/>
      <w:bookmarkEnd w:id="646"/>
      <w:r>
        <w:rPr>
          <w:color w:val="000000"/>
          <w:spacing w:val="0"/>
          <w:w w:val="100"/>
          <w:position w:val="0"/>
          <w:sz w:val="24"/>
          <w:szCs w:val="24"/>
        </w:rPr>
        <w:t>站在企业集团角度对特殊交易事项予以调整。</w:t>
      </w:r>
    </w:p>
    <w:p>
      <w:pPr>
        <w:pStyle w:val="Style51"/>
        <w:keepNext w:val="0"/>
        <w:keepLines w:val="0"/>
        <w:widowControl w:val="0"/>
        <w:shd w:val="clear" w:color="auto" w:fill="auto"/>
        <w:tabs>
          <w:tab w:pos="1036" w:val="left"/>
        </w:tabs>
        <w:bidi w:val="0"/>
        <w:spacing w:before="0" w:after="100"/>
        <w:ind w:left="0" w:right="0" w:firstLine="500"/>
        <w:jc w:val="left"/>
      </w:pPr>
      <w:bookmarkStart w:id="647" w:name="bookmark647"/>
      <w:r>
        <w:rPr>
          <w:b/>
          <w:bCs/>
          <w:color w:val="000000"/>
          <w:spacing w:val="0"/>
          <w:w w:val="100"/>
          <w:position w:val="0"/>
          <w:sz w:val="24"/>
          <w:szCs w:val="24"/>
        </w:rPr>
        <w:t>（</w:t>
      </w:r>
      <w:bookmarkEnd w:id="647"/>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特殊交易的会计处理</w:t>
      </w:r>
    </w:p>
    <w:p>
      <w:pPr>
        <w:pStyle w:val="Style51"/>
        <w:keepNext w:val="0"/>
        <w:keepLines w:val="0"/>
        <w:widowControl w:val="0"/>
        <w:shd w:val="clear" w:color="auto" w:fill="auto"/>
        <w:bidi w:val="0"/>
        <w:spacing w:before="0" w:after="640" w:line="313" w:lineRule="exact"/>
        <w:ind w:left="0" w:right="0" w:firstLine="500"/>
        <w:jc w:val="both"/>
      </w:pPr>
      <w:r>
        <w:rPr>
          <w:color w:val="000000"/>
          <w:spacing w:val="0"/>
          <w:w w:val="100"/>
          <w:position w:val="0"/>
          <w:sz w:val="24"/>
          <w:szCs w:val="24"/>
        </w:rPr>
        <w:t>本公司购买子公司少数股东拥有的子公司股权，在个别财务报表中，购买少数股权新取 得的长期股权投资的投资成本按照所支付对价的公允价值计量。在合并财务报表中，因购买 少数股权新取得的长期股权投资与按照新增持股比例计算应享有子公司自购买日或合并日开 始持续计算的净资产份额之间的差额，应当调整资本公积（资本溢价或股本溢价），资本公 积不足冲减的，依次冲减盈余公积和未分配利润。</w:t>
      </w:r>
    </w:p>
    <w:p>
      <w:pPr>
        <w:pStyle w:val="Style40"/>
        <w:keepNext w:val="0"/>
        <w:keepLines w:val="0"/>
        <w:widowControl w:val="0"/>
        <w:shd w:val="clear" w:color="auto" w:fill="auto"/>
        <w:tabs>
          <w:tab w:pos="373" w:val="left"/>
        </w:tabs>
        <w:bidi w:val="0"/>
        <w:spacing w:before="0" w:after="320" w:line="240" w:lineRule="auto"/>
        <w:ind w:left="0" w:right="0" w:firstLine="0"/>
        <w:jc w:val="left"/>
      </w:pPr>
      <w:bookmarkStart w:id="648" w:name="bookmark648"/>
      <w:r>
        <w:rPr>
          <w:rFonts w:ascii="Times New Roman" w:eastAsia="Times New Roman" w:hAnsi="Times New Roman" w:cs="Times New Roman"/>
          <w:b/>
          <w:bCs/>
          <w:color w:val="000000"/>
          <w:spacing w:val="0"/>
          <w:w w:val="100"/>
          <w:position w:val="0"/>
        </w:rPr>
        <w:t>7</w:t>
      </w:r>
      <w:bookmarkEnd w:id="648"/>
      <w:r>
        <w:rPr>
          <w:b/>
          <w:bCs/>
          <w:color w:val="000000"/>
          <w:spacing w:val="0"/>
          <w:w w:val="100"/>
          <w:position w:val="0"/>
        </w:rPr>
        <w:t>、</w:t>
        <w:tab/>
        <w:t>合营安排分类及共同经营会计处理方法</w:t>
      </w:r>
    </w:p>
    <w:p>
      <w:pPr>
        <w:pStyle w:val="Style40"/>
        <w:keepNext w:val="0"/>
        <w:keepLines w:val="0"/>
        <w:widowControl w:val="0"/>
        <w:shd w:val="clear" w:color="auto" w:fill="auto"/>
        <w:tabs>
          <w:tab w:pos="378" w:val="left"/>
        </w:tabs>
        <w:bidi w:val="0"/>
        <w:spacing w:before="0" w:after="320" w:line="240" w:lineRule="auto"/>
        <w:ind w:left="0" w:right="0" w:firstLine="0"/>
        <w:jc w:val="left"/>
      </w:pPr>
      <w:bookmarkStart w:id="649" w:name="bookmark649"/>
      <w:r>
        <w:rPr>
          <w:rFonts w:ascii="Times New Roman" w:eastAsia="Times New Roman" w:hAnsi="Times New Roman" w:cs="Times New Roman"/>
          <w:b/>
          <w:bCs/>
          <w:color w:val="000000"/>
          <w:spacing w:val="0"/>
          <w:w w:val="100"/>
          <w:position w:val="0"/>
        </w:rPr>
        <w:t>8</w:t>
      </w:r>
      <w:bookmarkEnd w:id="649"/>
      <w:r>
        <w:rPr>
          <w:b/>
          <w:bCs/>
          <w:color w:val="000000"/>
          <w:spacing w:val="0"/>
          <w:w w:val="100"/>
          <w:position w:val="0"/>
        </w:rPr>
        <w:t>、</w:t>
        <w:tab/>
        <w:t>现金及现金等价物的确定标准</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现金指企业库存现金及可以随时用于支付的存款。现金等价物指持有的期限短（一般是 指从购买日起三个月内到期）、流动性强、易于转换为已知金额现金、价值变动风险很小的</w:t>
      </w:r>
    </w:p>
    <w:p>
      <w:pPr>
        <w:pStyle w:val="Style51"/>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投资。</w:t>
      </w:r>
    </w:p>
    <w:p>
      <w:pPr>
        <w:pStyle w:val="Style40"/>
        <w:keepNext w:val="0"/>
        <w:keepLines w:val="0"/>
        <w:widowControl w:val="0"/>
        <w:shd w:val="clear" w:color="auto" w:fill="auto"/>
        <w:bidi w:val="0"/>
        <w:spacing w:before="0" w:after="300" w:line="240" w:lineRule="auto"/>
        <w:ind w:left="0" w:right="0" w:firstLine="0"/>
        <w:jc w:val="left"/>
      </w:pPr>
      <w:bookmarkStart w:id="650" w:name="bookmark650"/>
      <w:r>
        <w:rPr>
          <w:rFonts w:ascii="Times New Roman" w:eastAsia="Times New Roman" w:hAnsi="Times New Roman" w:cs="Times New Roman"/>
          <w:b/>
          <w:bCs/>
          <w:color w:val="000000"/>
          <w:spacing w:val="0"/>
          <w:w w:val="100"/>
          <w:position w:val="0"/>
        </w:rPr>
        <w:t>9</w:t>
      </w:r>
      <w:bookmarkEnd w:id="650"/>
      <w:r>
        <w:rPr>
          <w:b/>
          <w:bCs/>
          <w:color w:val="000000"/>
          <w:spacing w:val="0"/>
          <w:w w:val="100"/>
          <w:position w:val="0"/>
        </w:rPr>
        <w:t>、外币业务和外币报表折算</w:t>
      </w:r>
    </w:p>
    <w:p>
      <w:pPr>
        <w:pStyle w:val="Style26"/>
        <w:keepNext/>
        <w:keepLines/>
        <w:widowControl w:val="0"/>
        <w:shd w:val="clear" w:color="auto" w:fill="auto"/>
        <w:tabs>
          <w:tab w:pos="1031" w:val="left"/>
        </w:tabs>
        <w:bidi w:val="0"/>
        <w:spacing w:before="0" w:after="100" w:line="312" w:lineRule="exact"/>
        <w:ind w:left="0" w:right="0" w:firstLine="500"/>
        <w:jc w:val="left"/>
      </w:pPr>
      <w:bookmarkStart w:id="651" w:name="bookmark651"/>
      <w:bookmarkStart w:id="652" w:name="bookmark652"/>
      <w:bookmarkStart w:id="653" w:name="bookmark653"/>
      <w:bookmarkStart w:id="654" w:name="bookmark654"/>
      <w:r>
        <w:rPr>
          <w:color w:val="000000"/>
          <w:spacing w:val="0"/>
          <w:w w:val="100"/>
          <w:position w:val="0"/>
          <w:sz w:val="24"/>
          <w:szCs w:val="24"/>
        </w:rPr>
        <w:t>（</w:t>
      </w:r>
      <w:bookmarkEnd w:id="65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外币交易时折算汇率的确定方法</w:t>
      </w:r>
      <w:bookmarkEnd w:id="651"/>
      <w:bookmarkEnd w:id="652"/>
      <w:bookmarkEnd w:id="654"/>
    </w:p>
    <w:p>
      <w:pPr>
        <w:pStyle w:val="Style51"/>
        <w:keepNext w:val="0"/>
        <w:keepLines w:val="0"/>
        <w:widowControl w:val="0"/>
        <w:shd w:val="clear" w:color="auto" w:fill="auto"/>
        <w:bidi w:val="0"/>
        <w:spacing w:before="0" w:after="100" w:line="302" w:lineRule="exact"/>
        <w:ind w:left="0" w:right="0" w:firstLine="500"/>
        <w:jc w:val="both"/>
      </w:pPr>
      <w:r>
        <w:rPr>
          <w:color w:val="000000"/>
          <w:spacing w:val="0"/>
          <w:w w:val="100"/>
          <w:position w:val="0"/>
          <w:sz w:val="24"/>
          <w:szCs w:val="24"/>
        </w:rPr>
        <w:t>本公司外币交易初始确认时采用交易发生日的即期汇率或即期汇率的近似汇率折算为记 账本位币。</w:t>
      </w:r>
    </w:p>
    <w:p>
      <w:pPr>
        <w:pStyle w:val="Style51"/>
        <w:keepNext w:val="0"/>
        <w:keepLines w:val="0"/>
        <w:widowControl w:val="0"/>
        <w:shd w:val="clear" w:color="auto" w:fill="auto"/>
        <w:tabs>
          <w:tab w:pos="1031" w:val="left"/>
        </w:tabs>
        <w:bidi w:val="0"/>
        <w:spacing w:before="0" w:after="100"/>
        <w:ind w:left="0" w:right="0" w:firstLine="500"/>
        <w:jc w:val="left"/>
      </w:pPr>
      <w:bookmarkStart w:id="655" w:name="bookmark655"/>
      <w:r>
        <w:rPr>
          <w:b/>
          <w:bCs/>
          <w:color w:val="000000"/>
          <w:spacing w:val="0"/>
          <w:w w:val="100"/>
          <w:position w:val="0"/>
          <w:sz w:val="24"/>
          <w:szCs w:val="24"/>
        </w:rPr>
        <w:t>（</w:t>
      </w:r>
      <w:bookmarkEnd w:id="655"/>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资产负债表日外币货币性项目的折算方法</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在资产负债表日，对于外币货币性项目，采用资产负债表日的即期汇率折算。因资产负 债表日即期汇率与初始确认时或前一资产负债表日即期汇率不同而产生的汇兑差额，计入当 期损益。</w:t>
      </w:r>
    </w:p>
    <w:p>
      <w:pPr>
        <w:pStyle w:val="Style51"/>
        <w:keepNext w:val="0"/>
        <w:keepLines w:val="0"/>
        <w:widowControl w:val="0"/>
        <w:shd w:val="clear" w:color="auto" w:fill="auto"/>
        <w:tabs>
          <w:tab w:pos="1031" w:val="left"/>
        </w:tabs>
        <w:bidi w:val="0"/>
        <w:spacing w:before="0" w:after="100"/>
        <w:ind w:left="0" w:right="0" w:firstLine="500"/>
        <w:jc w:val="left"/>
      </w:pPr>
      <w:bookmarkStart w:id="656" w:name="bookmark656"/>
      <w:r>
        <w:rPr>
          <w:b/>
          <w:bCs/>
          <w:color w:val="000000"/>
          <w:spacing w:val="0"/>
          <w:w w:val="100"/>
          <w:position w:val="0"/>
          <w:sz w:val="24"/>
          <w:szCs w:val="24"/>
        </w:rPr>
        <w:t>（</w:t>
      </w:r>
      <w:bookmarkEnd w:id="656"/>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外币报表折算方法</w:t>
      </w:r>
    </w:p>
    <w:p>
      <w:pPr>
        <w:pStyle w:val="Style51"/>
        <w:keepNext w:val="0"/>
        <w:keepLines w:val="0"/>
        <w:widowControl w:val="0"/>
        <w:shd w:val="clear" w:color="auto" w:fill="auto"/>
        <w:bidi w:val="0"/>
        <w:spacing w:before="0" w:after="100" w:line="314" w:lineRule="exact"/>
        <w:ind w:left="0" w:right="0" w:firstLine="500"/>
        <w:jc w:val="both"/>
      </w:pPr>
      <w:r>
        <w:rPr>
          <w:color w:val="000000"/>
          <w:spacing w:val="0"/>
          <w:w w:val="100"/>
          <w:position w:val="0"/>
          <w:sz w:val="24"/>
          <w:szCs w:val="24"/>
        </w:rPr>
        <w:t>对企业境外经营财务报表进行折算前先调整境外经营的会计期间和会计政策，使之与企 业会计期间和会计政策相一致，再根据调整后会计政策及会计期间编制相应货币（记账本位 币以外的货币）的财务报表，再按照以下方法对境外经营财务报表进行折算：</w:t>
      </w:r>
    </w:p>
    <w:p>
      <w:pPr>
        <w:pStyle w:val="Style51"/>
        <w:keepNext w:val="0"/>
        <w:keepLines w:val="0"/>
        <w:widowControl w:val="0"/>
        <w:numPr>
          <w:ilvl w:val="0"/>
          <w:numId w:val="21"/>
        </w:numPr>
        <w:shd w:val="clear" w:color="auto" w:fill="auto"/>
        <w:tabs>
          <w:tab w:pos="853" w:val="left"/>
        </w:tabs>
        <w:bidi w:val="0"/>
        <w:spacing w:before="0" w:after="100" w:line="307" w:lineRule="exact"/>
        <w:ind w:left="0" w:right="0" w:firstLine="500"/>
        <w:jc w:val="both"/>
      </w:pPr>
      <w:bookmarkStart w:id="657" w:name="bookmark657"/>
      <w:bookmarkEnd w:id="657"/>
      <w:r>
        <w:rPr>
          <w:color w:val="000000"/>
          <w:spacing w:val="0"/>
          <w:w w:val="100"/>
          <w:position w:val="0"/>
          <w:sz w:val="24"/>
          <w:szCs w:val="24"/>
        </w:rPr>
        <w:t>资产负债表中的资产和负债项目，采用资产负债表日的即期汇率折算，所有者权益项 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项目外，其他项目采用发生时的即期汇率折算。</w:t>
      </w:r>
    </w:p>
    <w:p>
      <w:pPr>
        <w:pStyle w:val="Style51"/>
        <w:keepNext w:val="0"/>
        <w:keepLines w:val="0"/>
        <w:widowControl w:val="0"/>
        <w:numPr>
          <w:ilvl w:val="0"/>
          <w:numId w:val="21"/>
        </w:numPr>
        <w:shd w:val="clear" w:color="auto" w:fill="auto"/>
        <w:tabs>
          <w:tab w:pos="921" w:val="left"/>
        </w:tabs>
        <w:bidi w:val="0"/>
        <w:spacing w:before="0" w:after="100"/>
        <w:ind w:left="0" w:right="0" w:firstLine="500"/>
        <w:jc w:val="both"/>
      </w:pPr>
      <w:bookmarkStart w:id="658" w:name="bookmark658"/>
      <w:bookmarkEnd w:id="658"/>
      <w:r>
        <w:rPr>
          <w:color w:val="000000"/>
          <w:spacing w:val="0"/>
          <w:w w:val="100"/>
          <w:position w:val="0"/>
          <w:sz w:val="24"/>
          <w:szCs w:val="24"/>
        </w:rPr>
        <w:t>利润表中的收入和费用项目，采用交易发生日的即期汇率或即期汇率的近似汇率折算。</w:t>
      </w:r>
    </w:p>
    <w:p>
      <w:pPr>
        <w:pStyle w:val="Style51"/>
        <w:keepNext w:val="0"/>
        <w:keepLines w:val="0"/>
        <w:widowControl w:val="0"/>
        <w:numPr>
          <w:ilvl w:val="0"/>
          <w:numId w:val="21"/>
        </w:numPr>
        <w:shd w:val="clear" w:color="auto" w:fill="auto"/>
        <w:tabs>
          <w:tab w:pos="901" w:val="left"/>
        </w:tabs>
        <w:bidi w:val="0"/>
        <w:spacing w:before="0" w:after="100"/>
        <w:ind w:left="0" w:right="0" w:firstLine="500"/>
        <w:jc w:val="both"/>
      </w:pPr>
      <w:bookmarkStart w:id="659" w:name="bookmark659"/>
      <w:bookmarkEnd w:id="659"/>
      <w:r>
        <w:rPr>
          <w:color w:val="000000"/>
          <w:spacing w:val="0"/>
          <w:w w:val="100"/>
          <w:position w:val="0"/>
          <w:sz w:val="24"/>
          <w:szCs w:val="24"/>
        </w:rPr>
        <w:t>产生的外币财务报表折算差额，在编制合并财务报表时，在合并资产负债表中所有者 权益项目下单独列示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其他综合收益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1"/>
        <w:keepNext w:val="0"/>
        <w:keepLines w:val="0"/>
        <w:widowControl w:val="0"/>
        <w:numPr>
          <w:ilvl w:val="0"/>
          <w:numId w:val="21"/>
        </w:numPr>
        <w:shd w:val="clear" w:color="auto" w:fill="auto"/>
        <w:tabs>
          <w:tab w:pos="901" w:val="left"/>
        </w:tabs>
        <w:bidi w:val="0"/>
        <w:spacing w:before="0" w:after="640" w:line="307" w:lineRule="exact"/>
        <w:ind w:left="0" w:right="0" w:firstLine="500"/>
        <w:jc w:val="both"/>
      </w:pPr>
      <w:bookmarkStart w:id="660" w:name="bookmark660"/>
      <w:bookmarkEnd w:id="660"/>
      <w:r>
        <w:rPr>
          <w:color w:val="000000"/>
          <w:spacing w:val="0"/>
          <w:w w:val="100"/>
          <w:position w:val="0"/>
          <w:sz w:val="24"/>
          <w:szCs w:val="24"/>
        </w:rPr>
        <w:t>外币现金流量以及境外子公司的现金流量，采用现金流量发生日的即期汇率或即期汇 率的近似汇率折算。汇率变动对现金的影响额应当作为调节项目，在现金流量表中单独列报。</w:t>
      </w:r>
    </w:p>
    <w:p>
      <w:pPr>
        <w:pStyle w:val="Style40"/>
        <w:keepNext w:val="0"/>
        <w:keepLines w:val="0"/>
        <w:widowControl w:val="0"/>
        <w:shd w:val="clear" w:color="auto" w:fill="auto"/>
        <w:bidi w:val="0"/>
        <w:spacing w:before="0" w:after="300" w:line="240" w:lineRule="auto"/>
        <w:ind w:left="0" w:right="0" w:firstLine="0"/>
        <w:jc w:val="left"/>
      </w:pPr>
      <w:bookmarkStart w:id="661" w:name="bookmark661"/>
      <w:r>
        <w:rPr>
          <w:rFonts w:ascii="Times New Roman" w:eastAsia="Times New Roman" w:hAnsi="Times New Roman" w:cs="Times New Roman"/>
          <w:b/>
          <w:bCs/>
          <w:color w:val="000000"/>
          <w:spacing w:val="0"/>
          <w:w w:val="100"/>
          <w:position w:val="0"/>
        </w:rPr>
        <w:t>1</w:t>
      </w:r>
      <w:bookmarkEnd w:id="661"/>
      <w:r>
        <w:rPr>
          <w:rFonts w:ascii="Times New Roman" w:eastAsia="Times New Roman" w:hAnsi="Times New Roman" w:cs="Times New Roman"/>
          <w:b/>
          <w:bCs/>
          <w:color w:val="000000"/>
          <w:spacing w:val="0"/>
          <w:w w:val="100"/>
          <w:position w:val="0"/>
        </w:rPr>
        <w:t>0</w:t>
      </w:r>
      <w:r>
        <w:rPr>
          <w:b/>
          <w:bCs/>
          <w:color w:val="000000"/>
          <w:spacing w:val="0"/>
          <w:w w:val="100"/>
          <w:position w:val="0"/>
        </w:rPr>
        <w:t>、金融工具</w:t>
      </w:r>
    </w:p>
    <w:p>
      <w:pPr>
        <w:pStyle w:val="Style26"/>
        <w:keepNext/>
        <w:keepLines/>
        <w:widowControl w:val="0"/>
        <w:shd w:val="clear" w:color="auto" w:fill="auto"/>
        <w:bidi w:val="0"/>
        <w:spacing w:before="0" w:after="100" w:line="312" w:lineRule="exact"/>
        <w:ind w:left="0" w:right="0" w:firstLine="500"/>
        <w:jc w:val="both"/>
      </w:pPr>
      <w:bookmarkStart w:id="662" w:name="bookmark662"/>
      <w:bookmarkStart w:id="663" w:name="bookmark663"/>
      <w:bookmarkStart w:id="664" w:name="bookmark664"/>
      <w:bookmarkStart w:id="665" w:name="bookmark665"/>
      <w:r>
        <w:rPr>
          <w:color w:val="000000"/>
          <w:spacing w:val="0"/>
          <w:w w:val="100"/>
          <w:position w:val="0"/>
          <w:sz w:val="24"/>
          <w:szCs w:val="24"/>
        </w:rPr>
        <w:t>（</w:t>
      </w:r>
      <w:bookmarkEnd w:id="66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）金融资产的分类</w:t>
      </w:r>
      <w:bookmarkEnd w:id="662"/>
      <w:bookmarkEnd w:id="663"/>
      <w:bookmarkEnd w:id="665"/>
    </w:p>
    <w:p>
      <w:pPr>
        <w:pStyle w:val="Style51"/>
        <w:keepNext w:val="0"/>
        <w:keepLines w:val="0"/>
        <w:widowControl w:val="0"/>
        <w:numPr>
          <w:ilvl w:val="0"/>
          <w:numId w:val="23"/>
        </w:numPr>
        <w:shd w:val="clear" w:color="auto" w:fill="auto"/>
        <w:tabs>
          <w:tab w:pos="921" w:val="left"/>
        </w:tabs>
        <w:bidi w:val="0"/>
        <w:spacing w:before="0" w:after="100"/>
        <w:ind w:left="0" w:right="0" w:firstLine="500"/>
        <w:jc w:val="left"/>
      </w:pPr>
      <w:bookmarkStart w:id="666" w:name="bookmark666"/>
      <w:bookmarkEnd w:id="666"/>
      <w:r>
        <w:rPr>
          <w:color w:val="000000"/>
          <w:spacing w:val="0"/>
          <w:w w:val="100"/>
          <w:position w:val="0"/>
          <w:sz w:val="24"/>
          <w:szCs w:val="24"/>
        </w:rPr>
        <w:t>以公允价值计量且其变动计入当期损益的金融资产</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包括交易性金融资产和直接指定为以公允价值计量且其变动计入当期损益的金融资产， 前者主要是指本公司为了近期内出售而持有的股票、债券、基金以及不作为有效套期工具的 衍生工具投资。这类资产在初始计量时按照取得时的公允价值作为初始确认金额，相关的交 易费用在发生时计入当期损益。支付的价款中包含已宣告但尚未发放的现金股利或已到付息 但尚未领取的债券利息，单独确认为应收项目。在持有期间取得利息或现金股利，确认为投 资收益。资产负债表日，本公司将这类金融资产以公允价值计量且其变动计入当期损益。这 类金融资产在处置时，其公允价值与初始入账金额之间的差额确认为投资收益，同时调整公 允价值变动损益。</w:t>
      </w:r>
    </w:p>
    <w:p>
      <w:pPr>
        <w:pStyle w:val="Style51"/>
        <w:keepNext w:val="0"/>
        <w:keepLines w:val="0"/>
        <w:widowControl w:val="0"/>
        <w:numPr>
          <w:ilvl w:val="0"/>
          <w:numId w:val="23"/>
        </w:numPr>
        <w:shd w:val="clear" w:color="auto" w:fill="auto"/>
        <w:tabs>
          <w:tab w:pos="921" w:val="left"/>
        </w:tabs>
        <w:bidi w:val="0"/>
        <w:spacing w:before="0" w:after="100"/>
        <w:ind w:left="0" w:right="0" w:firstLine="500"/>
        <w:jc w:val="both"/>
      </w:pPr>
      <w:bookmarkStart w:id="667" w:name="bookmark667"/>
      <w:bookmarkEnd w:id="667"/>
      <w:r>
        <w:rPr>
          <w:color w:val="000000"/>
          <w:spacing w:val="0"/>
          <w:w w:val="100"/>
          <w:position w:val="0"/>
          <w:sz w:val="24"/>
          <w:szCs w:val="24"/>
        </w:rPr>
        <w:t>持有至到期投资</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 xml:space="preserve">主要是指到期日固定、回收金额固定或可确定，且本公司具有明确意图和能力持有至到 </w:t>
      </w:r>
      <w:r>
        <w:rPr>
          <w:color w:val="000000"/>
          <w:spacing w:val="0"/>
          <w:w w:val="100"/>
          <w:position w:val="0"/>
          <w:sz w:val="24"/>
          <w:szCs w:val="24"/>
        </w:rPr>
        <w:t>期的国债、公司债券等。这类金融资产按照取得时的公允价值和相关交易费用之和作为初始 确认金额。支付价款中包含的已到付息期但尚未发放的债券利息，单独确认为应收项目。持 有至到期投资在持有期间按照摊余成本和实际利率计算确认利息收入，计入投资收益。处置 持有至到期投资时，将所取得价款与该投资账面价值之间的差额计入投资收益。</w:t>
      </w:r>
    </w:p>
    <w:p>
      <w:pPr>
        <w:pStyle w:val="Style51"/>
        <w:keepNext w:val="0"/>
        <w:keepLines w:val="0"/>
        <w:widowControl w:val="0"/>
        <w:numPr>
          <w:ilvl w:val="0"/>
          <w:numId w:val="23"/>
        </w:numPr>
        <w:shd w:val="clear" w:color="auto" w:fill="auto"/>
        <w:tabs>
          <w:tab w:pos="898" w:val="left"/>
        </w:tabs>
        <w:bidi w:val="0"/>
        <w:spacing w:before="0" w:after="100" w:line="311" w:lineRule="exact"/>
        <w:ind w:left="0" w:right="0" w:firstLine="500"/>
        <w:jc w:val="both"/>
      </w:pPr>
      <w:bookmarkStart w:id="668" w:name="bookmark668"/>
      <w:bookmarkEnd w:id="668"/>
      <w:r>
        <w:rPr>
          <w:color w:val="000000"/>
          <w:spacing w:val="0"/>
          <w:w w:val="100"/>
          <w:position w:val="0"/>
          <w:sz w:val="24"/>
          <w:szCs w:val="24"/>
        </w:rPr>
        <w:t>应收款项</w:t>
      </w:r>
    </w:p>
    <w:p>
      <w:pPr>
        <w:pStyle w:val="Style51"/>
        <w:keepNext w:val="0"/>
        <w:keepLines w:val="0"/>
        <w:widowControl w:val="0"/>
        <w:shd w:val="clear" w:color="auto" w:fill="auto"/>
        <w:bidi w:val="0"/>
        <w:spacing w:before="0" w:after="100" w:line="307" w:lineRule="exact"/>
        <w:ind w:left="0" w:right="0" w:firstLine="500"/>
        <w:jc w:val="both"/>
      </w:pPr>
      <w:r>
        <w:rPr>
          <w:color w:val="000000"/>
          <w:spacing w:val="0"/>
          <w:w w:val="100"/>
          <w:position w:val="0"/>
          <w:sz w:val="24"/>
          <w:szCs w:val="24"/>
        </w:rPr>
        <w:t>应收款项主要包括应收账款和其他应收款等。应收账款是指本公司销售商品或提供劳务 形成的应收款项。应收账款按从购货方应收的合同或协议价款作为初始确认金额。</w:t>
      </w:r>
    </w:p>
    <w:p>
      <w:pPr>
        <w:pStyle w:val="Style51"/>
        <w:keepNext w:val="0"/>
        <w:keepLines w:val="0"/>
        <w:widowControl w:val="0"/>
        <w:numPr>
          <w:ilvl w:val="0"/>
          <w:numId w:val="23"/>
        </w:numPr>
        <w:shd w:val="clear" w:color="auto" w:fill="auto"/>
        <w:tabs>
          <w:tab w:pos="898" w:val="left"/>
        </w:tabs>
        <w:bidi w:val="0"/>
        <w:spacing w:before="0" w:after="100" w:line="311" w:lineRule="exact"/>
        <w:ind w:left="0" w:right="0" w:firstLine="500"/>
        <w:jc w:val="both"/>
      </w:pPr>
      <w:bookmarkStart w:id="669" w:name="bookmark669"/>
      <w:bookmarkEnd w:id="669"/>
      <w:r>
        <w:rPr>
          <w:color w:val="000000"/>
          <w:spacing w:val="0"/>
          <w:w w:val="100"/>
          <w:position w:val="0"/>
          <w:sz w:val="24"/>
          <w:szCs w:val="24"/>
        </w:rPr>
        <w:t>可供出售金融资产</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主要是指本公司没有划分为以公允价值计量且其变动计入当期损益的金融资产、持有至 到期投资、贷款和应收款项的金融资产。可供出售金融资产按照取得该金融资产的公允价值 和相关交易费用之和作为初始确认金额。支付的价款中包含的已到付息期但尚未领取的债券 利息或已宣告但尚未发放的现金股利，单独确认为应收项目。可供出售金融资产持有期间取 得的利息或现金股利计入投资收益。</w:t>
      </w:r>
    </w:p>
    <w:p>
      <w:pPr>
        <w:pStyle w:val="Style51"/>
        <w:keepNext w:val="0"/>
        <w:keepLines w:val="0"/>
        <w:widowControl w:val="0"/>
        <w:shd w:val="clear" w:color="auto" w:fill="auto"/>
        <w:bidi w:val="0"/>
        <w:spacing w:before="0" w:after="100" w:line="311" w:lineRule="exact"/>
        <w:ind w:left="0" w:right="0" w:firstLine="500"/>
        <w:jc w:val="both"/>
      </w:pPr>
      <w:r>
        <w:rPr>
          <w:color w:val="000000"/>
          <w:spacing w:val="0"/>
          <w:w w:val="100"/>
          <w:position w:val="0"/>
          <w:sz w:val="24"/>
          <w:szCs w:val="24"/>
        </w:rPr>
        <w:t>可供出售金融资产是外币货币性金融资产的，其形成的汇兑损益应当计入当期损益。采 用实际利率法计算的可供出售债务工具投资的利息，计入当期损益；可供出售权益工具投资 的现金股利，在被投资单位宣告发放股利时计入当期损益。资产负债表日，可供出售金融资 产以公允价值计量，且其变动计入其他综合收益。处置可供出售金融资产时，将取得的价款 与该金融资产账面价值之间差额计入投资收益；同时，将原计入所有者权益的公允价值变动 累计额对应处置部分的金额转出，计入投资收益。</w:t>
      </w:r>
    </w:p>
    <w:p>
      <w:pPr>
        <w:pStyle w:val="Style51"/>
        <w:keepNext w:val="0"/>
        <w:keepLines w:val="0"/>
        <w:widowControl w:val="0"/>
        <w:shd w:val="clear" w:color="auto" w:fill="auto"/>
        <w:tabs>
          <w:tab w:pos="1008" w:val="left"/>
        </w:tabs>
        <w:bidi w:val="0"/>
        <w:spacing w:before="0" w:after="100" w:line="311" w:lineRule="exact"/>
        <w:ind w:left="0" w:right="0" w:firstLine="500"/>
        <w:jc w:val="both"/>
      </w:pPr>
      <w:bookmarkStart w:id="670" w:name="bookmark670"/>
      <w:r>
        <w:rPr>
          <w:b/>
          <w:bCs/>
          <w:color w:val="000000"/>
          <w:spacing w:val="0"/>
          <w:w w:val="100"/>
          <w:position w:val="0"/>
          <w:sz w:val="24"/>
          <w:szCs w:val="24"/>
        </w:rPr>
        <w:t>（</w:t>
      </w:r>
      <w:bookmarkEnd w:id="670"/>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金融负债的分类</w:t>
      </w:r>
    </w:p>
    <w:p>
      <w:pPr>
        <w:pStyle w:val="Style51"/>
        <w:keepNext w:val="0"/>
        <w:keepLines w:val="0"/>
        <w:widowControl w:val="0"/>
        <w:numPr>
          <w:ilvl w:val="0"/>
          <w:numId w:val="25"/>
        </w:numPr>
        <w:shd w:val="clear" w:color="auto" w:fill="auto"/>
        <w:tabs>
          <w:tab w:pos="878" w:val="left"/>
        </w:tabs>
        <w:bidi w:val="0"/>
        <w:spacing w:before="0" w:after="100"/>
        <w:ind w:left="0" w:right="0" w:firstLine="500"/>
        <w:jc w:val="both"/>
      </w:pPr>
      <w:bookmarkStart w:id="671" w:name="bookmark671"/>
      <w:bookmarkEnd w:id="671"/>
      <w:r>
        <w:rPr>
          <w:color w:val="000000"/>
          <w:spacing w:val="0"/>
          <w:w w:val="100"/>
          <w:position w:val="0"/>
          <w:sz w:val="24"/>
          <w:szCs w:val="24"/>
        </w:rPr>
        <w:t>以公允价值计量且其变动计入当期损益的金融负债，包括交易性金融负债和指定为以 公允价值计量且其变动计入当期损益的金融负债；这类金融负债初始确认时以公允价值计量， 相关交易费用直接计入当期损益，资产负债表日将公允价值变动计入当期损益。</w:t>
      </w:r>
    </w:p>
    <w:p>
      <w:pPr>
        <w:pStyle w:val="Style51"/>
        <w:keepNext w:val="0"/>
        <w:keepLines w:val="0"/>
        <w:widowControl w:val="0"/>
        <w:numPr>
          <w:ilvl w:val="0"/>
          <w:numId w:val="25"/>
        </w:numPr>
        <w:shd w:val="clear" w:color="auto" w:fill="auto"/>
        <w:tabs>
          <w:tab w:pos="878" w:val="left"/>
        </w:tabs>
        <w:bidi w:val="0"/>
        <w:spacing w:before="0" w:after="100" w:line="322" w:lineRule="exact"/>
        <w:ind w:left="0" w:right="0" w:firstLine="500"/>
        <w:jc w:val="both"/>
      </w:pPr>
      <w:bookmarkStart w:id="672" w:name="bookmark672"/>
      <w:bookmarkEnd w:id="672"/>
      <w:r>
        <w:rPr>
          <w:color w:val="000000"/>
          <w:spacing w:val="0"/>
          <w:w w:val="100"/>
          <w:position w:val="0"/>
          <w:sz w:val="24"/>
          <w:szCs w:val="24"/>
        </w:rPr>
        <w:t>其他金融负债，是指以公允价值计量且其变动计入当期损益的金融负债以外的金融负 债。</w:t>
      </w:r>
    </w:p>
    <w:p>
      <w:pPr>
        <w:pStyle w:val="Style51"/>
        <w:keepNext w:val="0"/>
        <w:keepLines w:val="0"/>
        <w:widowControl w:val="0"/>
        <w:shd w:val="clear" w:color="auto" w:fill="auto"/>
        <w:tabs>
          <w:tab w:pos="1008" w:val="left"/>
        </w:tabs>
        <w:bidi w:val="0"/>
        <w:spacing w:before="0" w:after="100" w:line="311" w:lineRule="exact"/>
        <w:ind w:left="0" w:right="0" w:firstLine="500"/>
        <w:jc w:val="both"/>
      </w:pPr>
      <w:bookmarkStart w:id="673" w:name="bookmark673"/>
      <w:r>
        <w:rPr>
          <w:b/>
          <w:bCs/>
          <w:color w:val="000000"/>
          <w:spacing w:val="0"/>
          <w:w w:val="100"/>
          <w:position w:val="0"/>
          <w:sz w:val="24"/>
          <w:szCs w:val="24"/>
        </w:rPr>
        <w:t>（</w:t>
      </w:r>
      <w:bookmarkEnd w:id="673"/>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金融资产的重分类</w:t>
      </w:r>
    </w:p>
    <w:p>
      <w:pPr>
        <w:pStyle w:val="Style51"/>
        <w:keepNext w:val="0"/>
        <w:keepLines w:val="0"/>
        <w:widowControl w:val="0"/>
        <w:shd w:val="clear" w:color="auto" w:fill="auto"/>
        <w:bidi w:val="0"/>
        <w:spacing w:before="0" w:after="100" w:line="311" w:lineRule="exact"/>
        <w:ind w:left="0" w:right="0" w:firstLine="500"/>
        <w:jc w:val="both"/>
      </w:pPr>
      <w:r>
        <w:rPr>
          <w:color w:val="000000"/>
          <w:spacing w:val="0"/>
          <w:w w:val="100"/>
          <w:position w:val="0"/>
          <w:sz w:val="24"/>
          <w:szCs w:val="24"/>
        </w:rPr>
        <w:t>因持有意图或能力发生改变，使某项投资不再适合划分为持有至到期投资的，本公司将 其重分类为可供出售金融资产，并以公允价值进行后续计量。持有至到期投资部分出售或重 分类的金额较大，且不属于《企业会计准则第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号——金融工具确认和计量》第十六条所指 的例外情况，使该投资的剩余部分不再适合划分为持有至到期投资的，本公司应当将该投资 的剩余部分重分类为可供出售金融资产，并以公允价值进行后续计量，但在本会计年度及以 后两个完整的会计年度内不再将该金融资产划分为持有至到期投资。</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重分类日，该投资的账面价值与公允价值之间的差额计入其他综合收益，在该可供出售 金融资产发生减值或终止确认时转出，计入当期损益。</w:t>
      </w:r>
    </w:p>
    <w:p>
      <w:pPr>
        <w:pStyle w:val="Style51"/>
        <w:keepNext w:val="0"/>
        <w:keepLines w:val="0"/>
        <w:widowControl w:val="0"/>
        <w:shd w:val="clear" w:color="auto" w:fill="auto"/>
        <w:tabs>
          <w:tab w:pos="1008" w:val="left"/>
        </w:tabs>
        <w:bidi w:val="0"/>
        <w:spacing w:before="0" w:after="100" w:line="311" w:lineRule="exact"/>
        <w:ind w:left="0" w:right="0" w:firstLine="500"/>
        <w:jc w:val="both"/>
      </w:pPr>
      <w:bookmarkStart w:id="674" w:name="bookmark674"/>
      <w:r>
        <w:rPr>
          <w:b/>
          <w:bCs/>
          <w:color w:val="000000"/>
          <w:spacing w:val="0"/>
          <w:w w:val="100"/>
          <w:position w:val="0"/>
          <w:sz w:val="24"/>
          <w:szCs w:val="24"/>
        </w:rPr>
        <w:t>（</w:t>
      </w:r>
      <w:bookmarkEnd w:id="674"/>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金融负债与权益工具的区分</w:t>
      </w:r>
    </w:p>
    <w:p>
      <w:pPr>
        <w:pStyle w:val="Style51"/>
        <w:keepNext w:val="0"/>
        <w:keepLines w:val="0"/>
        <w:widowControl w:val="0"/>
        <w:shd w:val="clear" w:color="auto" w:fill="auto"/>
        <w:bidi w:val="0"/>
        <w:spacing w:before="0" w:after="100" w:line="311" w:lineRule="exact"/>
        <w:ind w:left="0" w:right="0" w:firstLine="500"/>
        <w:jc w:val="left"/>
      </w:pPr>
      <w:r>
        <w:rPr>
          <w:color w:val="000000"/>
          <w:spacing w:val="0"/>
          <w:w w:val="100"/>
          <w:position w:val="0"/>
          <w:sz w:val="24"/>
          <w:szCs w:val="24"/>
        </w:rPr>
        <w:t>除特殊情况外，金融负债与权益工具按照下列原则进行区分：</w:t>
      </w:r>
    </w:p>
    <w:p>
      <w:pPr>
        <w:pStyle w:val="Style51"/>
        <w:keepNext w:val="0"/>
        <w:keepLines w:val="0"/>
        <w:widowControl w:val="0"/>
        <w:numPr>
          <w:ilvl w:val="0"/>
          <w:numId w:val="27"/>
        </w:numPr>
        <w:shd w:val="clear" w:color="auto" w:fill="auto"/>
        <w:bidi w:val="0"/>
        <w:spacing w:before="0" w:after="100" w:line="319" w:lineRule="exact"/>
        <w:ind w:left="0" w:right="0" w:firstLine="500"/>
        <w:jc w:val="both"/>
      </w:pPr>
      <w:bookmarkStart w:id="675" w:name="bookmark675"/>
      <w:bookmarkEnd w:id="675"/>
      <w:r>
        <w:rPr>
          <w:color w:val="000000"/>
          <w:spacing w:val="0"/>
          <w:w w:val="100"/>
          <w:position w:val="0"/>
          <w:sz w:val="24"/>
          <w:szCs w:val="24"/>
        </w:rPr>
        <w:t>如果本公司不能无条件地避免以交付现金或其他金融资产来履行一项合同义务，则该 合同义务符合金融负债的定义。有些金融工具虽然没有明确地包含交付现金或其他金融资产 义务的条款和条件，但有可能通过其他条款和条件间接地形成合同义务。</w:t>
      </w:r>
    </w:p>
    <w:p>
      <w:pPr>
        <w:pStyle w:val="Style51"/>
        <w:keepNext w:val="0"/>
        <w:keepLines w:val="0"/>
        <w:widowControl w:val="0"/>
        <w:numPr>
          <w:ilvl w:val="0"/>
          <w:numId w:val="27"/>
        </w:numPr>
        <w:shd w:val="clear" w:color="auto" w:fill="auto"/>
        <w:bidi w:val="0"/>
        <w:spacing w:before="0" w:after="80" w:line="313" w:lineRule="exact"/>
        <w:ind w:left="0" w:right="0" w:firstLine="480"/>
        <w:jc w:val="both"/>
      </w:pPr>
      <w:bookmarkStart w:id="676" w:name="bookmark676"/>
      <w:bookmarkEnd w:id="676"/>
      <w:r>
        <w:rPr>
          <w:color w:val="000000"/>
          <w:spacing w:val="0"/>
          <w:w w:val="100"/>
          <w:position w:val="0"/>
          <w:sz w:val="24"/>
          <w:szCs w:val="24"/>
        </w:rPr>
        <w:t>如果一项金融工具须用或可用本公司自身权益工具进行结算，需要考虑用于结算该工 具的本公司自身权益工具，是作为现金或其他金融资产的替代品，还是为了使该工具持有方 享有在发行方扣除所有负债后的资产中的剩余权益。如果是前者，该工具是发行方的金融负 债；如果是后者，该工具是发行方的权益工具。在某些情况下，一项金融工具合同规定本公 司须用或可用自身权益工具结算该金融工具，其中合同权利或合同义务的金额等于可获取或 需交付的自身权益工具的数量乘以其结算时的公允价值，则无论该合同权利或合同义务的金 额是固定的，还是完全或部分地基于除本公司自身权益工具的市场价格以外变量（例如利率、 某种商品的价格或某项金融工具的价格）的变动而变动，该合同分类为金融负债。</w:t>
      </w:r>
    </w:p>
    <w:p>
      <w:pPr>
        <w:pStyle w:val="Style51"/>
        <w:keepNext w:val="0"/>
        <w:keepLines w:val="0"/>
        <w:widowControl w:val="0"/>
        <w:shd w:val="clear" w:color="auto" w:fill="auto"/>
        <w:bidi w:val="0"/>
        <w:spacing w:before="0" w:after="140" w:line="317" w:lineRule="exact"/>
        <w:ind w:left="0" w:right="0" w:firstLine="480"/>
        <w:jc w:val="left"/>
      </w:pPr>
      <w:bookmarkStart w:id="677" w:name="bookmark677"/>
      <w:r>
        <w:rPr>
          <w:b/>
          <w:bCs/>
          <w:color w:val="000000"/>
          <w:spacing w:val="0"/>
          <w:w w:val="100"/>
          <w:position w:val="0"/>
          <w:sz w:val="24"/>
          <w:szCs w:val="24"/>
        </w:rPr>
        <w:t>（</w:t>
      </w:r>
      <w:bookmarkEnd w:id="677"/>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）金融资产转移</w:t>
      </w:r>
    </w:p>
    <w:p>
      <w:pPr>
        <w:pStyle w:val="Style51"/>
        <w:keepNext w:val="0"/>
        <w:keepLines w:val="0"/>
        <w:widowControl w:val="0"/>
        <w:shd w:val="clear" w:color="auto" w:fill="auto"/>
        <w:bidi w:val="0"/>
        <w:spacing w:before="0" w:after="140" w:line="317" w:lineRule="exact"/>
        <w:ind w:left="0" w:right="0" w:firstLine="480"/>
        <w:jc w:val="left"/>
      </w:pPr>
      <w:r>
        <w:rPr>
          <w:color w:val="000000"/>
          <w:spacing w:val="0"/>
          <w:w w:val="100"/>
          <w:position w:val="0"/>
          <w:sz w:val="24"/>
          <w:szCs w:val="24"/>
        </w:rPr>
        <w:t>金融资产转移是指下列两种情形：</w:t>
      </w:r>
    </w:p>
    <w:p>
      <w:pPr>
        <w:pStyle w:val="Style51"/>
        <w:keepNext w:val="0"/>
        <w:keepLines w:val="0"/>
        <w:widowControl w:val="0"/>
        <w:numPr>
          <w:ilvl w:val="0"/>
          <w:numId w:val="29"/>
        </w:numPr>
        <w:shd w:val="clear" w:color="auto" w:fill="auto"/>
        <w:tabs>
          <w:tab w:pos="886" w:val="left"/>
        </w:tabs>
        <w:bidi w:val="0"/>
        <w:spacing w:before="0" w:after="80" w:line="276" w:lineRule="auto"/>
        <w:ind w:left="0" w:right="0" w:firstLine="480"/>
        <w:jc w:val="left"/>
      </w:pPr>
      <w:bookmarkStart w:id="678" w:name="bookmark678"/>
      <w:bookmarkEnd w:id="678"/>
      <w:r>
        <w:rPr>
          <w:color w:val="000000"/>
          <w:spacing w:val="0"/>
          <w:w w:val="100"/>
          <w:position w:val="0"/>
          <w:sz w:val="24"/>
          <w:szCs w:val="24"/>
        </w:rPr>
        <w:t>将收取金融资产现金流量的合同权利转移给另一方；</w:t>
      </w:r>
    </w:p>
    <w:p>
      <w:pPr>
        <w:pStyle w:val="Style51"/>
        <w:keepNext w:val="0"/>
        <w:keepLines w:val="0"/>
        <w:widowControl w:val="0"/>
        <w:numPr>
          <w:ilvl w:val="0"/>
          <w:numId w:val="29"/>
        </w:numPr>
        <w:shd w:val="clear" w:color="auto" w:fill="auto"/>
        <w:tabs>
          <w:tab w:pos="877" w:val="left"/>
        </w:tabs>
        <w:bidi w:val="0"/>
        <w:spacing w:before="0" w:after="80" w:line="331" w:lineRule="exact"/>
        <w:ind w:left="0" w:right="0" w:firstLine="480"/>
        <w:jc w:val="both"/>
      </w:pPr>
      <w:bookmarkStart w:id="679" w:name="bookmark679"/>
      <w:bookmarkEnd w:id="679"/>
      <w:r>
        <w:rPr>
          <w:color w:val="000000"/>
          <w:spacing w:val="0"/>
          <w:w w:val="100"/>
          <w:position w:val="0"/>
          <w:sz w:val="24"/>
          <w:szCs w:val="24"/>
        </w:rPr>
        <w:t>将金融资产整体或部分转移给另一方，但保留收取金融资产现金流量的合同权利，并 承担将收取的现金流量支付给一个或多个收款方的合同义务。</w:t>
      </w:r>
    </w:p>
    <w:p>
      <w:pPr>
        <w:pStyle w:val="Style51"/>
        <w:keepNext w:val="0"/>
        <w:keepLines w:val="0"/>
        <w:widowControl w:val="0"/>
        <w:numPr>
          <w:ilvl w:val="0"/>
          <w:numId w:val="31"/>
        </w:numPr>
        <w:shd w:val="clear" w:color="auto" w:fill="auto"/>
        <w:tabs>
          <w:tab w:pos="901" w:val="left"/>
        </w:tabs>
        <w:bidi w:val="0"/>
        <w:spacing w:before="0" w:after="140" w:line="317" w:lineRule="exact"/>
        <w:ind w:left="0" w:right="0" w:firstLine="480"/>
        <w:jc w:val="both"/>
      </w:pPr>
      <w:bookmarkStart w:id="680" w:name="bookmark680"/>
      <w:bookmarkEnd w:id="680"/>
      <w:r>
        <w:rPr>
          <w:color w:val="000000"/>
          <w:spacing w:val="0"/>
          <w:w w:val="100"/>
          <w:position w:val="0"/>
          <w:sz w:val="24"/>
          <w:szCs w:val="24"/>
        </w:rPr>
        <w:t>终止确认所转移的金融资产</w:t>
      </w:r>
    </w:p>
    <w:p>
      <w:pPr>
        <w:pStyle w:val="Style51"/>
        <w:keepNext w:val="0"/>
        <w:keepLines w:val="0"/>
        <w:widowControl w:val="0"/>
        <w:shd w:val="clear" w:color="auto" w:fill="auto"/>
        <w:bidi w:val="0"/>
        <w:spacing w:before="0" w:after="140" w:line="314" w:lineRule="exact"/>
        <w:ind w:left="0" w:right="0" w:firstLine="480"/>
        <w:jc w:val="both"/>
      </w:pPr>
      <w:r>
        <w:rPr>
          <w:color w:val="000000"/>
          <w:spacing w:val="0"/>
          <w:w w:val="100"/>
          <w:position w:val="0"/>
          <w:sz w:val="24"/>
          <w:szCs w:val="24"/>
        </w:rPr>
        <w:t>已将金融资产所有权上几乎所有的风险和报酬转移给转入方的，或既没有转移也没有保 留金融资产所有权上几乎所有的风险和报酬的，但放弃了对该金融资产控制的，终止确认该 金融资产。</w:t>
      </w:r>
    </w:p>
    <w:p>
      <w:pPr>
        <w:pStyle w:val="Style51"/>
        <w:keepNext w:val="0"/>
        <w:keepLines w:val="0"/>
        <w:widowControl w:val="0"/>
        <w:shd w:val="clear" w:color="auto" w:fill="auto"/>
        <w:bidi w:val="0"/>
        <w:spacing w:before="0" w:after="80" w:line="310" w:lineRule="exact"/>
        <w:ind w:left="0" w:right="0" w:firstLine="480"/>
        <w:jc w:val="both"/>
      </w:pPr>
      <w:r>
        <w:rPr>
          <w:color w:val="000000"/>
          <w:spacing w:val="0"/>
          <w:w w:val="100"/>
          <w:position w:val="0"/>
          <w:sz w:val="24"/>
          <w:szCs w:val="24"/>
        </w:rPr>
        <w:t>在判断是否已放弃对所转移金融资产的控制时，注重转入方出售该金融资产的实际能力。 转入方能够单独将转入的金融资产整体出售给与其不存在关联方关系的第三方，且没有额外 条件对此项出售加以限制的，表明企业已放弃对该金融资产的控制。</w:t>
      </w:r>
    </w:p>
    <w:p>
      <w:pPr>
        <w:pStyle w:val="Style51"/>
        <w:keepNext w:val="0"/>
        <w:keepLines w:val="0"/>
        <w:widowControl w:val="0"/>
        <w:shd w:val="clear" w:color="auto" w:fill="auto"/>
        <w:bidi w:val="0"/>
        <w:spacing w:before="0" w:after="80" w:line="326" w:lineRule="exact"/>
        <w:ind w:left="0" w:right="0" w:firstLine="480"/>
        <w:jc w:val="both"/>
      </w:pPr>
      <w:r>
        <w:rPr>
          <w:color w:val="000000"/>
          <w:spacing w:val="0"/>
          <w:w w:val="100"/>
          <w:position w:val="0"/>
          <w:sz w:val="24"/>
          <w:szCs w:val="24"/>
        </w:rPr>
        <w:t>本公司在判断金融资产转移是否满足金融资产终止确认条件时，注重金融资产转移的实 质。</w:t>
      </w:r>
    </w:p>
    <w:p>
      <w:pPr>
        <w:pStyle w:val="Style51"/>
        <w:keepNext w:val="0"/>
        <w:keepLines w:val="0"/>
        <w:widowControl w:val="0"/>
        <w:shd w:val="clear" w:color="auto" w:fill="auto"/>
        <w:bidi w:val="0"/>
        <w:spacing w:before="0" w:after="140" w:line="317" w:lineRule="exact"/>
        <w:ind w:left="0" w:right="0" w:firstLine="480"/>
        <w:jc w:val="left"/>
      </w:pPr>
      <w:r>
        <w:rPr>
          <w:color w:val="000000"/>
          <w:spacing w:val="0"/>
          <w:w w:val="100"/>
          <w:position w:val="0"/>
          <w:sz w:val="24"/>
          <w:szCs w:val="24"/>
        </w:rPr>
        <w:t>金融资产整体转移满足终止确认条件的，将下列两项金额的差额计入当期损益：</w:t>
      </w:r>
    </w:p>
    <w:p>
      <w:pPr>
        <w:pStyle w:val="Style51"/>
        <w:keepNext w:val="0"/>
        <w:keepLines w:val="0"/>
        <w:widowControl w:val="0"/>
        <w:numPr>
          <w:ilvl w:val="0"/>
          <w:numId w:val="33"/>
        </w:numPr>
        <w:shd w:val="clear" w:color="auto" w:fill="auto"/>
        <w:tabs>
          <w:tab w:pos="886" w:val="left"/>
        </w:tabs>
        <w:bidi w:val="0"/>
        <w:spacing w:before="0" w:after="80" w:line="276" w:lineRule="auto"/>
        <w:ind w:left="0" w:right="0" w:firstLine="480"/>
        <w:jc w:val="both"/>
      </w:pPr>
      <w:bookmarkStart w:id="681" w:name="bookmark681"/>
      <w:bookmarkEnd w:id="681"/>
      <w:r>
        <w:rPr>
          <w:color w:val="000000"/>
          <w:spacing w:val="0"/>
          <w:w w:val="100"/>
          <w:position w:val="0"/>
          <w:sz w:val="24"/>
          <w:szCs w:val="24"/>
        </w:rPr>
        <w:t>所转移金融资产的账面价值；</w:t>
      </w:r>
    </w:p>
    <w:p>
      <w:pPr>
        <w:pStyle w:val="Style51"/>
        <w:keepNext w:val="0"/>
        <w:keepLines w:val="0"/>
        <w:widowControl w:val="0"/>
        <w:numPr>
          <w:ilvl w:val="0"/>
          <w:numId w:val="33"/>
        </w:numPr>
        <w:shd w:val="clear" w:color="auto" w:fill="auto"/>
        <w:tabs>
          <w:tab w:pos="872" w:val="left"/>
        </w:tabs>
        <w:bidi w:val="0"/>
        <w:spacing w:before="0" w:after="80" w:line="331" w:lineRule="exact"/>
        <w:ind w:left="0" w:right="0" w:firstLine="480"/>
        <w:jc w:val="both"/>
      </w:pPr>
      <w:bookmarkStart w:id="682" w:name="bookmark682"/>
      <w:bookmarkEnd w:id="682"/>
      <w:r>
        <w:rPr>
          <w:color w:val="000000"/>
          <w:spacing w:val="0"/>
          <w:w w:val="100"/>
          <w:position w:val="0"/>
          <w:sz w:val="24"/>
          <w:szCs w:val="24"/>
        </w:rPr>
        <w:t>因转移而收到的对价，与原直接计入所有者权益的公允价值变动累计额（涉及转移的 金融资产为可供出售金融资产的情形）之和。</w:t>
      </w:r>
    </w:p>
    <w:p>
      <w:pPr>
        <w:pStyle w:val="Style51"/>
        <w:keepNext w:val="0"/>
        <w:keepLines w:val="0"/>
        <w:widowControl w:val="0"/>
        <w:shd w:val="clear" w:color="auto" w:fill="auto"/>
        <w:bidi w:val="0"/>
        <w:spacing w:before="0" w:after="140" w:line="319" w:lineRule="exact"/>
        <w:ind w:left="0" w:right="0" w:firstLine="480"/>
        <w:jc w:val="both"/>
      </w:pPr>
      <w:r>
        <w:rPr>
          <w:color w:val="000000"/>
          <w:spacing w:val="0"/>
          <w:w w:val="100"/>
          <w:position w:val="0"/>
          <w:sz w:val="24"/>
          <w:szCs w:val="24"/>
        </w:rPr>
        <w:t>金融资产部分转移满足终止确认条件的，将所转移金融资产整体的账面价值，在终止确 认部分和未终止确认部分（在此种情况下，所保留的服务资产视同未终止确认金融资产的一 部分）之间，按照各自的相对公允价值进行分摊，并将下列两项金额的差额计入当期损益：</w:t>
      </w:r>
    </w:p>
    <w:p>
      <w:pPr>
        <w:pStyle w:val="Style51"/>
        <w:keepNext w:val="0"/>
        <w:keepLines w:val="0"/>
        <w:widowControl w:val="0"/>
        <w:numPr>
          <w:ilvl w:val="0"/>
          <w:numId w:val="35"/>
        </w:numPr>
        <w:shd w:val="clear" w:color="auto" w:fill="auto"/>
        <w:tabs>
          <w:tab w:pos="886" w:val="left"/>
        </w:tabs>
        <w:bidi w:val="0"/>
        <w:spacing w:before="0" w:after="80" w:line="276" w:lineRule="auto"/>
        <w:ind w:left="0" w:right="0" w:firstLine="480"/>
        <w:jc w:val="both"/>
      </w:pPr>
      <w:bookmarkStart w:id="683" w:name="bookmark683"/>
      <w:bookmarkEnd w:id="683"/>
      <w:r>
        <w:rPr>
          <w:color w:val="000000"/>
          <w:spacing w:val="0"/>
          <w:w w:val="100"/>
          <w:position w:val="0"/>
          <w:sz w:val="24"/>
          <w:szCs w:val="24"/>
        </w:rPr>
        <w:t>终止确认部分的账面价值；</w:t>
      </w:r>
    </w:p>
    <w:p>
      <w:pPr>
        <w:pStyle w:val="Style51"/>
        <w:keepNext w:val="0"/>
        <w:keepLines w:val="0"/>
        <w:widowControl w:val="0"/>
        <w:numPr>
          <w:ilvl w:val="0"/>
          <w:numId w:val="35"/>
        </w:numPr>
        <w:shd w:val="clear" w:color="auto" w:fill="auto"/>
        <w:tabs>
          <w:tab w:pos="872" w:val="left"/>
        </w:tabs>
        <w:bidi w:val="0"/>
        <w:spacing w:before="0" w:after="80" w:line="326" w:lineRule="exact"/>
        <w:ind w:left="0" w:right="0" w:firstLine="480"/>
        <w:jc w:val="both"/>
      </w:pPr>
      <w:bookmarkStart w:id="684" w:name="bookmark684"/>
      <w:bookmarkEnd w:id="684"/>
      <w:r>
        <w:rPr>
          <w:color w:val="000000"/>
          <w:spacing w:val="0"/>
          <w:w w:val="100"/>
          <w:position w:val="0"/>
          <w:sz w:val="24"/>
          <w:szCs w:val="24"/>
        </w:rPr>
        <w:t>终止确认部分的对价，与原直接计入所有者权益的公允价值变动累计额中对应终止确 认部分的金额（涉及转移的金融资产为可供出售金融资产的情形）之和。</w:t>
      </w:r>
    </w:p>
    <w:p>
      <w:pPr>
        <w:pStyle w:val="Style51"/>
        <w:keepNext w:val="0"/>
        <w:keepLines w:val="0"/>
        <w:widowControl w:val="0"/>
        <w:numPr>
          <w:ilvl w:val="0"/>
          <w:numId w:val="31"/>
        </w:numPr>
        <w:shd w:val="clear" w:color="auto" w:fill="auto"/>
        <w:tabs>
          <w:tab w:pos="901" w:val="left"/>
        </w:tabs>
        <w:bidi w:val="0"/>
        <w:spacing w:before="0" w:after="80" w:line="317" w:lineRule="exact"/>
        <w:ind w:left="0" w:right="0" w:firstLine="480"/>
        <w:jc w:val="both"/>
      </w:pPr>
      <w:bookmarkStart w:id="685" w:name="bookmark685"/>
      <w:bookmarkEnd w:id="685"/>
      <w:r>
        <w:rPr>
          <w:color w:val="000000"/>
          <w:spacing w:val="0"/>
          <w:w w:val="100"/>
          <w:position w:val="0"/>
          <w:sz w:val="24"/>
          <w:szCs w:val="24"/>
        </w:rPr>
        <w:t>继续涉入所转移的金融资产</w:t>
      </w:r>
    </w:p>
    <w:p>
      <w:pPr>
        <w:pStyle w:val="Style51"/>
        <w:keepNext w:val="0"/>
        <w:keepLines w:val="0"/>
        <w:widowControl w:val="0"/>
        <w:shd w:val="clear" w:color="auto" w:fill="auto"/>
        <w:bidi w:val="0"/>
        <w:spacing w:before="0" w:after="80" w:line="324" w:lineRule="exact"/>
        <w:ind w:left="0" w:right="0" w:firstLine="480"/>
        <w:jc w:val="both"/>
      </w:pPr>
      <w:r>
        <w:rPr>
          <w:color w:val="000000"/>
          <w:spacing w:val="0"/>
          <w:w w:val="100"/>
          <w:position w:val="0"/>
          <w:sz w:val="24"/>
          <w:szCs w:val="24"/>
        </w:rPr>
        <w:t>既没有转移也没有保留金融资产所有权上几乎所有的风险和报酬的，且未放弃对该金融 资产控制的，应当按照其继续涉入所转移金融资产的程度确认有关金融资产，并相应确认有 关负债。</w:t>
      </w:r>
    </w:p>
    <w:p>
      <w:pPr>
        <w:pStyle w:val="Style51"/>
        <w:keepNext w:val="0"/>
        <w:keepLines w:val="0"/>
        <w:widowControl w:val="0"/>
        <w:shd w:val="clear" w:color="auto" w:fill="auto"/>
        <w:bidi w:val="0"/>
        <w:spacing w:before="0" w:after="80" w:line="317" w:lineRule="exact"/>
        <w:ind w:left="0" w:right="0" w:firstLine="480"/>
        <w:jc w:val="left"/>
      </w:pPr>
      <w:r>
        <w:rPr>
          <w:color w:val="000000"/>
          <w:spacing w:val="0"/>
          <w:w w:val="100"/>
          <w:position w:val="0"/>
          <w:sz w:val="24"/>
          <w:szCs w:val="24"/>
        </w:rPr>
        <w:t>继续涉入所转移金融资产的程度，是指该金融资产价值变动使企业面临的风险水平。</w:t>
      </w:r>
    </w:p>
    <w:p>
      <w:pPr>
        <w:pStyle w:val="Style51"/>
        <w:keepNext w:val="0"/>
        <w:keepLines w:val="0"/>
        <w:widowControl w:val="0"/>
        <w:numPr>
          <w:ilvl w:val="0"/>
          <w:numId w:val="31"/>
        </w:numPr>
        <w:shd w:val="clear" w:color="auto" w:fill="auto"/>
        <w:bidi w:val="0"/>
        <w:spacing w:before="0" w:after="100" w:line="240" w:lineRule="auto"/>
        <w:ind w:left="0" w:right="0" w:firstLine="480"/>
        <w:jc w:val="both"/>
      </w:pPr>
      <w:bookmarkStart w:id="686" w:name="bookmark686"/>
      <w:bookmarkEnd w:id="686"/>
      <w:r>
        <w:rPr>
          <w:color w:val="000000"/>
          <w:spacing w:val="0"/>
          <w:w w:val="100"/>
          <w:position w:val="0"/>
          <w:sz w:val="24"/>
          <w:szCs w:val="24"/>
        </w:rPr>
        <w:t>继续确认所转移的金融资产</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仍保留与所转移金融资产所有权上几乎所有的风险和报酬的，应当继续确认所转移金融 资产整体，并将收到的对价确认为一项金融负债。</w:t>
      </w:r>
    </w:p>
    <w:p>
      <w:pPr>
        <w:pStyle w:val="Style51"/>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该金融资产与确认的相关金融负债不得相互抵销。在随后的会计期间，企业应当继续确 认该金融资产产生的收入和该金融负债产生的费用。所转移的金融资产以摊余成本计量的， 确认的相关负债不得指定为以公允价值计量且其变动计入当期损益的金融负债。</w:t>
      </w:r>
    </w:p>
    <w:p>
      <w:pPr>
        <w:pStyle w:val="Style51"/>
        <w:keepNext w:val="0"/>
        <w:keepLines w:val="0"/>
        <w:widowControl w:val="0"/>
        <w:shd w:val="clear" w:color="auto" w:fill="auto"/>
        <w:tabs>
          <w:tab w:pos="1011" w:val="left"/>
        </w:tabs>
        <w:bidi w:val="0"/>
        <w:spacing w:before="0" w:after="100"/>
        <w:ind w:left="0" w:right="0" w:firstLine="480"/>
        <w:jc w:val="both"/>
      </w:pPr>
      <w:bookmarkStart w:id="687" w:name="bookmark687"/>
      <w:r>
        <w:rPr>
          <w:b/>
          <w:bCs/>
          <w:color w:val="000000"/>
          <w:spacing w:val="0"/>
          <w:w w:val="100"/>
          <w:position w:val="0"/>
          <w:sz w:val="24"/>
          <w:szCs w:val="24"/>
        </w:rPr>
        <w:t>（</w:t>
      </w:r>
      <w:bookmarkEnd w:id="687"/>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4"/>
          <w:szCs w:val="24"/>
        </w:rPr>
        <w:t>）</w:t>
        <w:tab/>
        <w:t>金融负债终止确认</w:t>
      </w:r>
    </w:p>
    <w:p>
      <w:pPr>
        <w:pStyle w:val="Style51"/>
        <w:keepNext w:val="0"/>
        <w:keepLines w:val="0"/>
        <w:widowControl w:val="0"/>
        <w:shd w:val="clear" w:color="auto" w:fill="auto"/>
        <w:bidi w:val="0"/>
        <w:spacing w:before="0" w:after="100"/>
        <w:ind w:left="0" w:right="0" w:firstLine="480"/>
        <w:jc w:val="left"/>
      </w:pPr>
      <w:r>
        <w:rPr>
          <w:color w:val="000000"/>
          <w:spacing w:val="0"/>
          <w:w w:val="100"/>
          <w:position w:val="0"/>
          <w:sz w:val="24"/>
          <w:szCs w:val="24"/>
        </w:rPr>
        <w:t>金融负债的现时义务全部或部分已经解除的，终止确认该金融负债或其一部分。</w:t>
      </w:r>
    </w:p>
    <w:p>
      <w:pPr>
        <w:pStyle w:val="Style51"/>
        <w:keepNext w:val="0"/>
        <w:keepLines w:val="0"/>
        <w:widowControl w:val="0"/>
        <w:shd w:val="clear" w:color="auto" w:fill="auto"/>
        <w:bidi w:val="0"/>
        <w:spacing w:before="0" w:after="100" w:line="302" w:lineRule="exact"/>
        <w:ind w:left="0" w:right="0" w:firstLine="480"/>
        <w:jc w:val="both"/>
      </w:pPr>
      <w:r>
        <w:rPr>
          <w:color w:val="000000"/>
          <w:spacing w:val="0"/>
          <w:w w:val="100"/>
          <w:position w:val="0"/>
          <w:sz w:val="24"/>
          <w:szCs w:val="24"/>
        </w:rPr>
        <w:t>将用于偿付金融负债的资产转入某个机构或设立信托，偿付债务的现时义务仍存在的， 不终止确认该金融负债，也不终止确认转出的资产。</w:t>
      </w:r>
    </w:p>
    <w:p>
      <w:pPr>
        <w:pStyle w:val="Style51"/>
        <w:keepNext w:val="0"/>
        <w:keepLines w:val="0"/>
        <w:widowControl w:val="0"/>
        <w:shd w:val="clear" w:color="auto" w:fill="auto"/>
        <w:bidi w:val="0"/>
        <w:spacing w:before="0" w:after="100" w:line="307" w:lineRule="exact"/>
        <w:ind w:left="0" w:right="0" w:firstLine="480"/>
        <w:jc w:val="both"/>
      </w:pPr>
      <w:r>
        <w:rPr>
          <w:color w:val="000000"/>
          <w:spacing w:val="0"/>
          <w:w w:val="100"/>
          <w:position w:val="0"/>
          <w:sz w:val="24"/>
          <w:szCs w:val="24"/>
        </w:rPr>
        <w:t>与债权人之间签订协议，以承担新金融负债方式替换现存金融负债，且新金融负债与现 存金融负债的合同条款实质上不同的，终止确认现存金融负债，并同时确认新金融负债。</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对现存金融负债全部或部分的合同条款作出实质性修改的，终止确认现存金融负债或其 一部分，同时将修改条款后的金融负债确认为一项新金融负债。</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金融负债全部或部分终止确认的，将终止确认部分的账面价值与支付的对价（包括转出 的非现金资产或承担的新金融负债）之间的差额，计入当期损益。</w:t>
      </w:r>
    </w:p>
    <w:p>
      <w:pPr>
        <w:pStyle w:val="Style51"/>
        <w:keepNext w:val="0"/>
        <w:keepLines w:val="0"/>
        <w:widowControl w:val="0"/>
        <w:shd w:val="clear" w:color="auto" w:fill="auto"/>
        <w:tabs>
          <w:tab w:pos="1011" w:val="left"/>
        </w:tabs>
        <w:bidi w:val="0"/>
        <w:spacing w:before="0" w:after="100"/>
        <w:ind w:left="0" w:right="0" w:firstLine="480"/>
        <w:jc w:val="both"/>
      </w:pPr>
      <w:bookmarkStart w:id="688" w:name="bookmark688"/>
      <w:r>
        <w:rPr>
          <w:b/>
          <w:bCs/>
          <w:color w:val="000000"/>
          <w:spacing w:val="0"/>
          <w:w w:val="100"/>
          <w:position w:val="0"/>
          <w:sz w:val="24"/>
          <w:szCs w:val="24"/>
        </w:rPr>
        <w:t>（</w:t>
      </w:r>
      <w:bookmarkEnd w:id="688"/>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4"/>
          <w:szCs w:val="24"/>
        </w:rPr>
        <w:t>）</w:t>
        <w:tab/>
        <w:t>金融资产和金融负债的抵销</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金融资产和金融负债应当在资产负债表内分别列示，不得相互抵销。但同时满足下列条 件的，以相互抵销后的净额在资产负债表内列示：</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本公司具有抵销已确认金额的法定权利，且该种法定权利是当前可执行的；</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本公司计划以净额结算，或同时变现该金融资产和清偿该金融负债。</w:t>
      </w:r>
    </w:p>
    <w:p>
      <w:pPr>
        <w:pStyle w:val="Style51"/>
        <w:keepNext w:val="0"/>
        <w:keepLines w:val="0"/>
        <w:widowControl w:val="0"/>
        <w:shd w:val="clear" w:color="auto" w:fill="auto"/>
        <w:bidi w:val="0"/>
        <w:spacing w:before="0" w:after="100" w:line="322" w:lineRule="exact"/>
        <w:ind w:left="0" w:right="0" w:firstLine="480"/>
        <w:jc w:val="both"/>
      </w:pPr>
      <w:r>
        <w:rPr>
          <w:color w:val="000000"/>
          <w:spacing w:val="0"/>
          <w:w w:val="100"/>
          <w:position w:val="0"/>
          <w:sz w:val="24"/>
          <w:szCs w:val="24"/>
        </w:rPr>
        <w:t>不满足终止确认条件的金融资产转移，转出方不得将已转移的金融资产和相关负债进行 抵销。</w:t>
      </w:r>
    </w:p>
    <w:p>
      <w:pPr>
        <w:pStyle w:val="Style51"/>
        <w:keepNext w:val="0"/>
        <w:keepLines w:val="0"/>
        <w:widowControl w:val="0"/>
        <w:shd w:val="clear" w:color="auto" w:fill="auto"/>
        <w:tabs>
          <w:tab w:pos="1011" w:val="left"/>
        </w:tabs>
        <w:bidi w:val="0"/>
        <w:spacing w:before="0" w:after="100"/>
        <w:ind w:left="0" w:right="0" w:firstLine="480"/>
        <w:jc w:val="left"/>
      </w:pPr>
      <w:bookmarkStart w:id="689" w:name="bookmark689"/>
      <w:r>
        <w:rPr>
          <w:b/>
          <w:bCs/>
          <w:color w:val="000000"/>
          <w:spacing w:val="0"/>
          <w:w w:val="100"/>
          <w:position w:val="0"/>
          <w:sz w:val="24"/>
          <w:szCs w:val="24"/>
        </w:rPr>
        <w:t>（</w:t>
      </w:r>
      <w:bookmarkEnd w:id="689"/>
      <w:r>
        <w:rPr>
          <w:rFonts w:ascii="Times New Roman" w:eastAsia="Times New Roman" w:hAnsi="Times New Roman" w:cs="Times New Roman"/>
          <w:b/>
          <w:bCs/>
          <w:color w:val="000000"/>
          <w:spacing w:val="0"/>
          <w:w w:val="100"/>
          <w:position w:val="0"/>
          <w:sz w:val="24"/>
          <w:szCs w:val="24"/>
        </w:rPr>
        <w:t>8</w:t>
      </w:r>
      <w:r>
        <w:rPr>
          <w:b/>
          <w:bCs/>
          <w:color w:val="000000"/>
          <w:spacing w:val="0"/>
          <w:w w:val="100"/>
          <w:position w:val="0"/>
          <w:sz w:val="24"/>
          <w:szCs w:val="24"/>
        </w:rPr>
        <w:t>）</w:t>
        <w:tab/>
        <w:t>金融资产减值测试方法及减值准备计提方法</w:t>
      </w:r>
    </w:p>
    <w:p>
      <w:pPr>
        <w:pStyle w:val="Style51"/>
        <w:keepNext w:val="0"/>
        <w:keepLines w:val="0"/>
        <w:widowControl w:val="0"/>
        <w:numPr>
          <w:ilvl w:val="0"/>
          <w:numId w:val="37"/>
        </w:numPr>
        <w:shd w:val="clear" w:color="auto" w:fill="auto"/>
        <w:bidi w:val="0"/>
        <w:spacing w:before="0" w:after="100"/>
        <w:ind w:left="0" w:right="0" w:firstLine="480"/>
        <w:jc w:val="left"/>
      </w:pPr>
      <w:bookmarkStart w:id="690" w:name="bookmark690"/>
      <w:bookmarkEnd w:id="690"/>
      <w:r>
        <w:rPr>
          <w:color w:val="000000"/>
          <w:spacing w:val="0"/>
          <w:w w:val="100"/>
          <w:position w:val="0"/>
          <w:sz w:val="24"/>
          <w:szCs w:val="24"/>
        </w:rPr>
        <w:t>金融资产发生减值的客观证据：</w:t>
      </w:r>
    </w:p>
    <w:p>
      <w:pPr>
        <w:pStyle w:val="Style51"/>
        <w:keepNext w:val="0"/>
        <w:keepLines w:val="0"/>
        <w:widowControl w:val="0"/>
        <w:numPr>
          <w:ilvl w:val="0"/>
          <w:numId w:val="39"/>
        </w:numPr>
        <w:shd w:val="clear" w:color="auto" w:fill="auto"/>
        <w:tabs>
          <w:tab w:pos="886" w:val="left"/>
        </w:tabs>
        <w:bidi w:val="0"/>
        <w:spacing w:before="0" w:after="100" w:line="271" w:lineRule="auto"/>
        <w:ind w:left="0" w:right="0" w:firstLine="480"/>
        <w:jc w:val="left"/>
      </w:pPr>
      <w:bookmarkStart w:id="691" w:name="bookmark691"/>
      <w:bookmarkEnd w:id="691"/>
      <w:r>
        <w:rPr>
          <w:color w:val="000000"/>
          <w:spacing w:val="0"/>
          <w:w w:val="100"/>
          <w:position w:val="0"/>
          <w:sz w:val="24"/>
          <w:szCs w:val="24"/>
        </w:rPr>
        <w:t>发行方或债务人发生严重财务困难；</w:t>
      </w:r>
    </w:p>
    <w:p>
      <w:pPr>
        <w:pStyle w:val="Style51"/>
        <w:keepNext w:val="0"/>
        <w:keepLines w:val="0"/>
        <w:widowControl w:val="0"/>
        <w:numPr>
          <w:ilvl w:val="0"/>
          <w:numId w:val="39"/>
        </w:numPr>
        <w:shd w:val="clear" w:color="auto" w:fill="auto"/>
        <w:tabs>
          <w:tab w:pos="886" w:val="left"/>
        </w:tabs>
        <w:bidi w:val="0"/>
        <w:spacing w:before="0" w:after="100" w:line="271" w:lineRule="auto"/>
        <w:ind w:left="0" w:right="0" w:firstLine="480"/>
        <w:jc w:val="left"/>
      </w:pPr>
      <w:bookmarkStart w:id="692" w:name="bookmark692"/>
      <w:bookmarkEnd w:id="692"/>
      <w:r>
        <w:rPr>
          <w:color w:val="000000"/>
          <w:spacing w:val="0"/>
          <w:w w:val="100"/>
          <w:position w:val="0"/>
          <w:sz w:val="24"/>
          <w:szCs w:val="24"/>
        </w:rPr>
        <w:t>债务人违反了合同条款，如偿付利息或本金发生违约或逾期等；</w:t>
      </w:r>
    </w:p>
    <w:p>
      <w:pPr>
        <w:pStyle w:val="Style51"/>
        <w:keepNext w:val="0"/>
        <w:keepLines w:val="0"/>
        <w:widowControl w:val="0"/>
        <w:numPr>
          <w:ilvl w:val="0"/>
          <w:numId w:val="39"/>
        </w:numPr>
        <w:shd w:val="clear" w:color="auto" w:fill="auto"/>
        <w:tabs>
          <w:tab w:pos="886" w:val="left"/>
        </w:tabs>
        <w:bidi w:val="0"/>
        <w:spacing w:before="0" w:after="100" w:line="271" w:lineRule="auto"/>
        <w:ind w:left="0" w:right="0" w:firstLine="480"/>
        <w:jc w:val="left"/>
      </w:pPr>
      <w:bookmarkStart w:id="693" w:name="bookmark693"/>
      <w:bookmarkEnd w:id="693"/>
      <w:r>
        <w:rPr>
          <w:color w:val="000000"/>
          <w:spacing w:val="0"/>
          <w:w w:val="100"/>
          <w:position w:val="0"/>
          <w:sz w:val="24"/>
          <w:szCs w:val="24"/>
        </w:rPr>
        <w:t>债权人出于经济或法律等方面的考虑，对发生财务困难的债务人作出让步；</w:t>
      </w:r>
    </w:p>
    <w:p>
      <w:pPr>
        <w:pStyle w:val="Style51"/>
        <w:keepNext w:val="0"/>
        <w:keepLines w:val="0"/>
        <w:widowControl w:val="0"/>
        <w:numPr>
          <w:ilvl w:val="0"/>
          <w:numId w:val="39"/>
        </w:numPr>
        <w:shd w:val="clear" w:color="auto" w:fill="auto"/>
        <w:tabs>
          <w:tab w:pos="891" w:val="left"/>
        </w:tabs>
        <w:bidi w:val="0"/>
        <w:spacing w:before="0" w:after="100" w:line="271" w:lineRule="auto"/>
        <w:ind w:left="0" w:right="0" w:firstLine="480"/>
        <w:jc w:val="left"/>
      </w:pPr>
      <w:bookmarkStart w:id="694" w:name="bookmark694"/>
      <w:bookmarkEnd w:id="694"/>
      <w:r>
        <w:rPr>
          <w:color w:val="000000"/>
          <w:spacing w:val="0"/>
          <w:w w:val="100"/>
          <w:position w:val="0"/>
          <w:sz w:val="24"/>
          <w:szCs w:val="24"/>
        </w:rPr>
        <w:t>债务人可能倒闭或进行其他财务重组；</w:t>
      </w:r>
    </w:p>
    <w:p>
      <w:pPr>
        <w:pStyle w:val="Style51"/>
        <w:keepNext w:val="0"/>
        <w:keepLines w:val="0"/>
        <w:widowControl w:val="0"/>
        <w:numPr>
          <w:ilvl w:val="0"/>
          <w:numId w:val="39"/>
        </w:numPr>
        <w:shd w:val="clear" w:color="auto" w:fill="auto"/>
        <w:tabs>
          <w:tab w:pos="891" w:val="left"/>
        </w:tabs>
        <w:bidi w:val="0"/>
        <w:spacing w:before="0" w:after="100" w:line="271" w:lineRule="auto"/>
        <w:ind w:left="0" w:right="0" w:firstLine="480"/>
        <w:jc w:val="left"/>
      </w:pPr>
      <w:bookmarkStart w:id="695" w:name="bookmark695"/>
      <w:bookmarkEnd w:id="695"/>
      <w:r>
        <w:rPr>
          <w:color w:val="000000"/>
          <w:spacing w:val="0"/>
          <w:w w:val="100"/>
          <w:position w:val="0"/>
          <w:sz w:val="24"/>
          <w:szCs w:val="24"/>
        </w:rPr>
        <w:t>因发行方发生重大财务困难，该金融资产无法在活跃市场继续交易；</w:t>
      </w:r>
    </w:p>
    <w:p>
      <w:pPr>
        <w:pStyle w:val="Style51"/>
        <w:keepNext w:val="0"/>
        <w:keepLines w:val="0"/>
        <w:widowControl w:val="0"/>
        <w:numPr>
          <w:ilvl w:val="0"/>
          <w:numId w:val="39"/>
        </w:numPr>
        <w:shd w:val="clear" w:color="auto" w:fill="auto"/>
        <w:tabs>
          <w:tab w:pos="877" w:val="left"/>
        </w:tabs>
        <w:bidi w:val="0"/>
        <w:spacing w:before="0" w:after="100"/>
        <w:ind w:left="0" w:right="0" w:firstLine="480"/>
        <w:jc w:val="both"/>
      </w:pPr>
      <w:bookmarkStart w:id="696" w:name="bookmark696"/>
      <w:bookmarkEnd w:id="696"/>
      <w:r>
        <w:rPr>
          <w:color w:val="000000"/>
          <w:spacing w:val="0"/>
          <w:w w:val="100"/>
          <w:position w:val="0"/>
          <w:sz w:val="24"/>
          <w:szCs w:val="24"/>
        </w:rPr>
        <w:t>无法辨认一组金融资产中的某项资产的现金流量是否已经减少，但根据公开的数据对 其进行总体评价后发现，该组金融资产自初始确认以来的预计未来现金流量确已减少且可计 量；</w:t>
      </w:r>
    </w:p>
    <w:p>
      <w:pPr>
        <w:pStyle w:val="Style51"/>
        <w:keepNext w:val="0"/>
        <w:keepLines w:val="0"/>
        <w:widowControl w:val="0"/>
        <w:numPr>
          <w:ilvl w:val="0"/>
          <w:numId w:val="39"/>
        </w:numPr>
        <w:shd w:val="clear" w:color="auto" w:fill="auto"/>
        <w:tabs>
          <w:tab w:pos="872" w:val="left"/>
        </w:tabs>
        <w:bidi w:val="0"/>
        <w:spacing w:before="0" w:after="100" w:line="322" w:lineRule="exact"/>
        <w:ind w:left="0" w:right="0" w:firstLine="480"/>
        <w:jc w:val="both"/>
      </w:pPr>
      <w:bookmarkStart w:id="697" w:name="bookmark697"/>
      <w:bookmarkEnd w:id="697"/>
      <w:r>
        <w:rPr>
          <w:color w:val="000000"/>
          <w:spacing w:val="0"/>
          <w:w w:val="100"/>
          <w:position w:val="0"/>
          <w:sz w:val="24"/>
          <w:szCs w:val="24"/>
        </w:rPr>
        <w:t>债务人经营所处的技术、市场、经济或法律环境等发生重大不利变化，使权益工具投 资人可能无法收回投资成本；</w:t>
      </w:r>
    </w:p>
    <w:p>
      <w:pPr>
        <w:pStyle w:val="Style51"/>
        <w:keepNext w:val="0"/>
        <w:keepLines w:val="0"/>
        <w:widowControl w:val="0"/>
        <w:numPr>
          <w:ilvl w:val="0"/>
          <w:numId w:val="39"/>
        </w:numPr>
        <w:shd w:val="clear" w:color="auto" w:fill="auto"/>
        <w:tabs>
          <w:tab w:pos="891" w:val="left"/>
        </w:tabs>
        <w:bidi w:val="0"/>
        <w:spacing w:before="0" w:after="100" w:line="313" w:lineRule="exact"/>
        <w:ind w:left="0" w:right="0" w:firstLine="480"/>
        <w:jc w:val="both"/>
      </w:pPr>
      <w:bookmarkStart w:id="698" w:name="bookmark698"/>
      <w:bookmarkEnd w:id="698"/>
      <w:r>
        <w:rPr>
          <w:color w:val="000000"/>
          <w:spacing w:val="0"/>
          <w:w w:val="100"/>
          <w:position w:val="0"/>
          <w:sz w:val="24"/>
          <w:szCs w:val="24"/>
        </w:rPr>
        <w:t>权益工具投资的公允价值发生严重或非暂时性下跌；</w:t>
      </w:r>
    </w:p>
    <w:p>
      <w:pPr>
        <w:pStyle w:val="Style51"/>
        <w:keepNext w:val="0"/>
        <w:keepLines w:val="0"/>
        <w:widowControl w:val="0"/>
        <w:numPr>
          <w:ilvl w:val="0"/>
          <w:numId w:val="39"/>
        </w:numPr>
        <w:shd w:val="clear" w:color="auto" w:fill="auto"/>
        <w:tabs>
          <w:tab w:pos="891" w:val="left"/>
        </w:tabs>
        <w:bidi w:val="0"/>
        <w:spacing w:before="0" w:after="100" w:line="313" w:lineRule="exact"/>
        <w:ind w:left="0" w:right="0" w:firstLine="480"/>
        <w:jc w:val="both"/>
      </w:pPr>
      <w:bookmarkStart w:id="699" w:name="bookmark699"/>
      <w:bookmarkEnd w:id="699"/>
      <w:r>
        <w:rPr>
          <w:color w:val="000000"/>
          <w:spacing w:val="0"/>
          <w:w w:val="100"/>
          <w:position w:val="0"/>
          <w:sz w:val="24"/>
          <w:szCs w:val="24"/>
        </w:rPr>
        <w:t>其他表明金融资产发生减值的客观证据。</w:t>
      </w:r>
    </w:p>
    <w:p>
      <w:pPr>
        <w:pStyle w:val="Style51"/>
        <w:keepNext w:val="0"/>
        <w:keepLines w:val="0"/>
        <w:widowControl w:val="0"/>
        <w:numPr>
          <w:ilvl w:val="0"/>
          <w:numId w:val="37"/>
        </w:numPr>
        <w:shd w:val="clear" w:color="auto" w:fill="auto"/>
        <w:bidi w:val="0"/>
        <w:spacing w:before="0" w:after="100" w:line="313" w:lineRule="exact"/>
        <w:ind w:left="0" w:right="0" w:firstLine="480"/>
        <w:jc w:val="both"/>
      </w:pPr>
      <w:bookmarkStart w:id="700" w:name="bookmark700"/>
      <w:bookmarkEnd w:id="700"/>
      <w:r>
        <w:rPr>
          <w:color w:val="000000"/>
          <w:spacing w:val="0"/>
          <w:w w:val="100"/>
          <w:position w:val="0"/>
          <w:sz w:val="24"/>
          <w:szCs w:val="24"/>
        </w:rPr>
        <w:t>金融资产的减值测试（不包括应收款项）</w:t>
      </w:r>
    </w:p>
    <w:p>
      <w:pPr>
        <w:pStyle w:val="Style51"/>
        <w:keepNext w:val="0"/>
        <w:keepLines w:val="0"/>
        <w:widowControl w:val="0"/>
        <w:numPr>
          <w:ilvl w:val="0"/>
          <w:numId w:val="41"/>
        </w:numPr>
        <w:shd w:val="clear" w:color="auto" w:fill="auto"/>
        <w:tabs>
          <w:tab w:pos="886" w:val="left"/>
        </w:tabs>
        <w:bidi w:val="0"/>
        <w:spacing w:before="0" w:after="100" w:line="313" w:lineRule="exact"/>
        <w:ind w:left="0" w:right="0" w:firstLine="480"/>
        <w:jc w:val="both"/>
      </w:pPr>
      <w:bookmarkStart w:id="701" w:name="bookmark701"/>
      <w:bookmarkEnd w:id="701"/>
      <w:r>
        <w:rPr>
          <w:color w:val="000000"/>
          <w:spacing w:val="0"/>
          <w:w w:val="100"/>
          <w:position w:val="0"/>
          <w:sz w:val="24"/>
          <w:szCs w:val="24"/>
        </w:rPr>
        <w:t>持有至到期投资减值测试</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持有至到期投资发生减值时，将该持有至到期投资的账面价值减记至预计未来现金流量 （不包括尚未发生的未来信用损失）现值，减记的金额确认为资产减值损失，计入当期损益。</w:t>
      </w:r>
    </w:p>
    <w:p>
      <w:pPr>
        <w:pStyle w:val="Style51"/>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预计未来现金流量现值，按照该持有至到期投资的原实际利率折现确定，并考虑相关担 保物的价值（取得和出售该担保物发生的费用予以扣除）。原实际利率是初始确认该持有至 到期投资时计算确定的实际利率。对于浮动利率的持有至到期投资，在计算未来现金流量现 值时可采用合同规定的现行实际利率作为折现率。</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即使合同条款因债务方或金融资产发行方发生财务困难而重新商定或修改，在确认减值 损失时，仍用条款修改前所计算的该金融资产的原实际利率计算。</w:t>
      </w:r>
    </w:p>
    <w:p>
      <w:pPr>
        <w:pStyle w:val="Style51"/>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对持有至到期投资确认减值损失后，如有客观证据表明该持有至到期投资价值已恢复， 且客观上与确认该损失后发生的事项有关（如债务人的信用评级已提高等），原确认的减值 损失予以转回，计入当期损益。</w:t>
      </w:r>
    </w:p>
    <w:p>
      <w:pPr>
        <w:pStyle w:val="Style51"/>
        <w:keepNext w:val="0"/>
        <w:keepLines w:val="0"/>
        <w:widowControl w:val="0"/>
        <w:shd w:val="clear" w:color="auto" w:fill="auto"/>
        <w:bidi w:val="0"/>
        <w:spacing w:before="0" w:after="100" w:line="274" w:lineRule="exact"/>
        <w:ind w:left="0" w:right="0" w:firstLine="480"/>
        <w:jc w:val="both"/>
      </w:pPr>
      <w:r>
        <w:rPr>
          <w:color w:val="000000"/>
          <w:spacing w:val="0"/>
          <w:w w:val="100"/>
          <w:position w:val="0"/>
          <w:sz w:val="24"/>
          <w:szCs w:val="24"/>
        </w:rPr>
        <w:t>持有至到期投资发生减值后，利息收入按照确定减值损失时对未来现金流量进行折现采 用的折现率作为利率计算确认。</w:t>
      </w:r>
    </w:p>
    <w:p>
      <w:pPr>
        <w:pStyle w:val="Style51"/>
        <w:keepNext w:val="0"/>
        <w:keepLines w:val="0"/>
        <w:widowControl w:val="0"/>
        <w:numPr>
          <w:ilvl w:val="0"/>
          <w:numId w:val="41"/>
        </w:numPr>
        <w:shd w:val="clear" w:color="auto" w:fill="auto"/>
        <w:tabs>
          <w:tab w:pos="886" w:val="left"/>
        </w:tabs>
        <w:bidi w:val="0"/>
        <w:spacing w:before="0" w:after="100" w:line="313" w:lineRule="exact"/>
        <w:ind w:left="0" w:right="0" w:firstLine="480"/>
        <w:jc w:val="both"/>
      </w:pPr>
      <w:bookmarkStart w:id="702" w:name="bookmark702"/>
      <w:bookmarkEnd w:id="702"/>
      <w:r>
        <w:rPr>
          <w:color w:val="000000"/>
          <w:spacing w:val="0"/>
          <w:w w:val="100"/>
          <w:position w:val="0"/>
          <w:sz w:val="24"/>
          <w:szCs w:val="24"/>
        </w:rPr>
        <w:t>可供出售金融资产减值测试</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在资产负债表日本公司对可供出售金融资产的减值情况进行分析，判断该项金融资产公 允价值是否持续下降。通常情况下，如果可供出售金融资产的期末公允价值相对于成本的下 跌幅度已达到或超过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，或者持续下跌时间已达到或超过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个月，在综合考虑各种相关因 素后，预期这种下降趋势属于非暂时性的，可以认定该可供出售金融资产已发生减值，确认 减值损失。可供出售金融资产发生减值的，在确认减值损失时，将原直接计入所有者权益的 公允价值下降形成的累计损失一并转出，计入资产减值损失。</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可供出售债务工具金融资产是否发生减值，可参照上述可供出售权益工具投资进行分析 判断。</w:t>
      </w:r>
    </w:p>
    <w:p>
      <w:pPr>
        <w:pStyle w:val="Style51"/>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可供出售权益工具投资发生的减值损失，不得通过损益转回。</w:t>
      </w:r>
    </w:p>
    <w:p>
      <w:pPr>
        <w:pStyle w:val="Style51"/>
        <w:keepNext w:val="0"/>
        <w:keepLines w:val="0"/>
        <w:widowControl w:val="0"/>
        <w:shd w:val="clear" w:color="auto" w:fill="auto"/>
        <w:bidi w:val="0"/>
        <w:spacing w:before="0" w:after="100" w:line="331" w:lineRule="exact"/>
        <w:ind w:left="0" w:right="0" w:firstLine="480"/>
        <w:jc w:val="both"/>
      </w:pPr>
      <w:r>
        <w:rPr>
          <w:color w:val="000000"/>
          <w:spacing w:val="0"/>
          <w:w w:val="100"/>
          <w:position w:val="0"/>
          <w:sz w:val="24"/>
          <w:szCs w:val="24"/>
        </w:rPr>
        <w:t>可供出售债务工具金融资产发生减值后，利息收入按照确定减值损失时对未来现金流量 进行折现采用的折现率作为利率计算确认。</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对于已确认减值损失的可供出售债务工具，在随后的会计期间公允价值已上升且客观上 与确认原减值损失确认后发生的事项有关的，原确认的减值损失予以转回，计入当期损益。</w:t>
      </w:r>
    </w:p>
    <w:p>
      <w:pPr>
        <w:pStyle w:val="Style51"/>
        <w:keepNext w:val="0"/>
        <w:keepLines w:val="0"/>
        <w:widowControl w:val="0"/>
        <w:shd w:val="clear" w:color="auto" w:fill="auto"/>
        <w:bidi w:val="0"/>
        <w:spacing w:before="0" w:after="100" w:line="313" w:lineRule="exact"/>
        <w:ind w:left="0" w:right="0" w:firstLine="480"/>
        <w:jc w:val="left"/>
      </w:pPr>
      <w:bookmarkStart w:id="703" w:name="bookmark703"/>
      <w:r>
        <w:rPr>
          <w:b/>
          <w:bCs/>
          <w:color w:val="000000"/>
          <w:spacing w:val="0"/>
          <w:w w:val="100"/>
          <w:position w:val="0"/>
          <w:sz w:val="24"/>
          <w:szCs w:val="24"/>
        </w:rPr>
        <w:t>（</w:t>
      </w:r>
      <w:bookmarkEnd w:id="703"/>
      <w:r>
        <w:rPr>
          <w:rFonts w:ascii="Times New Roman" w:eastAsia="Times New Roman" w:hAnsi="Times New Roman" w:cs="Times New Roman"/>
          <w:b/>
          <w:bCs/>
          <w:color w:val="000000"/>
          <w:spacing w:val="0"/>
          <w:w w:val="100"/>
          <w:position w:val="0"/>
          <w:sz w:val="24"/>
          <w:szCs w:val="24"/>
        </w:rPr>
        <w:t>9</w:t>
      </w:r>
      <w:r>
        <w:rPr>
          <w:b/>
          <w:bCs/>
          <w:color w:val="000000"/>
          <w:spacing w:val="0"/>
          <w:w w:val="100"/>
          <w:position w:val="0"/>
          <w:sz w:val="24"/>
          <w:szCs w:val="24"/>
        </w:rPr>
        <w:t>）金融资产和金融负债公允价值的确定方法</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本公司以主要市场的价格计量相关资产或负债的公允价值，不存在主要市场的，本公司 以最有利市场的价格计量相关资产或负债的公允价值。</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主要市场，是指相关资产或负债交易量最大和交易活跃程度最高的市场；最有利市场， 是指在考虑交易费用和运输费用后，能够以最高金额出售相关资产或者以最低金额转移相关 负债的市场。本公司采用市场参与者在对该资产或负债定价时为实现其经济利益最大化所使 用的假设。</w:t>
      </w:r>
    </w:p>
    <w:p>
      <w:pPr>
        <w:pStyle w:val="Style51"/>
        <w:keepNext w:val="0"/>
        <w:keepLines w:val="0"/>
        <w:widowControl w:val="0"/>
        <w:numPr>
          <w:ilvl w:val="0"/>
          <w:numId w:val="43"/>
        </w:numPr>
        <w:shd w:val="clear" w:color="auto" w:fill="auto"/>
        <w:tabs>
          <w:tab w:pos="860" w:val="left"/>
        </w:tabs>
        <w:bidi w:val="0"/>
        <w:spacing w:before="0" w:after="100"/>
        <w:ind w:left="0" w:right="0" w:firstLine="480"/>
        <w:jc w:val="both"/>
      </w:pPr>
      <w:bookmarkStart w:id="704" w:name="bookmark704"/>
      <w:bookmarkEnd w:id="704"/>
      <w:r>
        <w:rPr>
          <w:color w:val="000000"/>
          <w:spacing w:val="0"/>
          <w:w w:val="100"/>
          <w:position w:val="0"/>
          <w:sz w:val="24"/>
          <w:szCs w:val="24"/>
        </w:rPr>
        <w:t>估值技术</w:t>
      </w:r>
    </w:p>
    <w:p>
      <w:pPr>
        <w:pStyle w:val="Style51"/>
        <w:keepNext w:val="0"/>
        <w:keepLines w:val="0"/>
        <w:widowControl w:val="0"/>
        <w:shd w:val="clear" w:color="auto" w:fill="auto"/>
        <w:bidi w:val="0"/>
        <w:spacing w:before="0" w:after="100" w:line="315" w:lineRule="exact"/>
        <w:ind w:left="0" w:right="0" w:firstLine="480"/>
        <w:jc w:val="both"/>
      </w:pPr>
      <w:r>
        <w:rPr>
          <w:color w:val="000000"/>
          <w:spacing w:val="0"/>
          <w:w w:val="100"/>
          <w:position w:val="0"/>
          <w:sz w:val="24"/>
          <w:szCs w:val="24"/>
        </w:rPr>
        <w:t>本公司采用在当期情况下适用并且有足够可利用数据和其他信息支持的估值技术，使用 的估值技术主要包括市场法、收益法和成本法。本公司使用与其中一种或多种估值技术相一 致的方法计量公允价值，使用多种估值技术计量公允价值的，考虑各估值结果的合理性，选 取在当期情况下最能代表公允价值的金额作为公允价值。</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本公司在估值技术的应用中，优先使用相关可观察输入值，只有在相关可观察输入值无 法取得或取得不切实可行的情况下，才使用不可观察输入值。可观察输入值，是指能够从市 场数据中取得的输入值。该输入值反映了市场参与者在对相关资产或负债定价时所使用的假 设。不可观察输入值，是指不能从市场数据中取得的输入值。该输入值根据可获得的市场参 与者在对相关资产或负债定价时所使用假设的最佳信息取得。</w:t>
      </w:r>
    </w:p>
    <w:p>
      <w:pPr>
        <w:pStyle w:val="Style51"/>
        <w:keepNext w:val="0"/>
        <w:keepLines w:val="0"/>
        <w:widowControl w:val="0"/>
        <w:numPr>
          <w:ilvl w:val="0"/>
          <w:numId w:val="43"/>
        </w:numPr>
        <w:shd w:val="clear" w:color="auto" w:fill="auto"/>
        <w:tabs>
          <w:tab w:pos="860" w:val="left"/>
        </w:tabs>
        <w:bidi w:val="0"/>
        <w:spacing w:before="0" w:after="100"/>
        <w:ind w:left="0" w:right="0" w:firstLine="480"/>
        <w:jc w:val="left"/>
      </w:pPr>
      <w:bookmarkStart w:id="705" w:name="bookmark705"/>
      <w:bookmarkEnd w:id="705"/>
      <w:r>
        <w:rPr>
          <w:color w:val="000000"/>
          <w:spacing w:val="0"/>
          <w:w w:val="100"/>
          <w:position w:val="0"/>
          <w:sz w:val="24"/>
          <w:szCs w:val="24"/>
        </w:rPr>
        <w:t>公允价值层次</w:t>
      </w:r>
    </w:p>
    <w:p>
      <w:pPr>
        <w:pStyle w:val="Style51"/>
        <w:keepNext w:val="0"/>
        <w:keepLines w:val="0"/>
        <w:widowControl w:val="0"/>
        <w:shd w:val="clear" w:color="auto" w:fill="auto"/>
        <w:bidi w:val="0"/>
        <w:spacing w:before="0" w:after="640"/>
        <w:ind w:left="0" w:right="0" w:firstLine="480"/>
        <w:jc w:val="both"/>
      </w:pPr>
      <w:r>
        <w:rPr>
          <w:color w:val="000000"/>
          <w:spacing w:val="0"/>
          <w:w w:val="100"/>
          <w:position w:val="0"/>
          <w:sz w:val="24"/>
          <w:szCs w:val="24"/>
        </w:rPr>
        <w:t>本公司将公允价值计量所使用的输入值划分为三个层次，并首先使用第一层次输入值， 其次使用第二层次输入值，最后使用第三层次输入值。第一层次输入值是在计量日能够取得 的相同资产或负债在活跃市场上未经调整的报价。第二层次输入值是除第一层次输入值外相 关资产或负债直接或间接可观察的输入值。第三层次输入值是相关资产或负债的不可观察输 入值。</w:t>
      </w:r>
    </w:p>
    <w:p>
      <w:pPr>
        <w:pStyle w:val="Style40"/>
        <w:keepNext w:val="0"/>
        <w:keepLines w:val="0"/>
        <w:widowControl w:val="0"/>
        <w:shd w:val="clear" w:color="auto" w:fill="auto"/>
        <w:bidi w:val="0"/>
        <w:spacing w:before="0" w:after="340" w:line="240" w:lineRule="auto"/>
        <w:ind w:left="0" w:right="0" w:firstLine="0"/>
        <w:jc w:val="left"/>
      </w:pPr>
      <w:bookmarkStart w:id="706" w:name="bookmark706"/>
      <w:r>
        <w:rPr>
          <w:rFonts w:ascii="Times New Roman" w:eastAsia="Times New Roman" w:hAnsi="Times New Roman" w:cs="Times New Roman"/>
          <w:b/>
          <w:bCs/>
          <w:color w:val="000000"/>
          <w:spacing w:val="0"/>
          <w:w w:val="100"/>
          <w:position w:val="0"/>
        </w:rPr>
        <w:t>1</w:t>
      </w:r>
      <w:bookmarkEnd w:id="706"/>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34"/>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本公司将</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万元以上应收账款，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万元以上其他应收款确 定为单项金额重大。</w:t>
            </w:r>
          </w:p>
        </w:tc>
      </w:tr>
      <w:tr>
        <w:trPr>
          <w:trHeight w:val="19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对于单项金额重大的应收款项，单独进行减值测试。有客观 证据表明其发生了减值的，根据其未来现金流量现值低于其 账面价值的差额，确认减值损失，并据此计提相应的坏账准 备。短期应收款项的预计未来现金流量与其现值相差很小的， 在确定相关减值损失时，可不对其预计未来现金流量进行折 现。</w:t>
            </w:r>
          </w:p>
        </w:tc>
      </w:tr>
    </w:tbl>
    <w:p>
      <w:pPr>
        <w:pStyle w:val="Style34"/>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p>
    <w:p>
      <w:pPr>
        <w:widowControl w:val="0"/>
        <w:spacing w:after="2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坏账准备计提方法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：合并范围内各公司之间应收款项、押金（或定金）、 员工备用金及上市费用。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:除组合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之外的应收款项。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p>
        </w:tc>
      </w:tr>
    </w:tbl>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419" w:line="1" w:lineRule="exact"/>
      </w:pPr>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p>
    <w:tbl>
      <w:tblPr>
        <w:tblOverlap w:val="never"/>
        <w:jc w:val="center"/>
        <w:tblLayout w:type="fixed"/>
      </w:tblPr>
      <w:tblGrid>
        <w:gridCol w:w="4790"/>
        <w:gridCol w:w="4795"/>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对单项金额不重大但已有客观证据表明其发生了减值的应收 款项，按账龄分析法计提的坏账准备不能反映实际情况，本 公司单独进行减值测试，根据其未来现金流量现值低于其账 面价值的差额，确认减值损失，并据此计提相应的坏账准备。</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、存货</w:t>
      </w:r>
    </w:p>
    <w:p>
      <w:pPr>
        <w:widowControl w:val="0"/>
        <w:spacing w:after="4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keepLines/>
        <w:widowControl w:val="0"/>
        <w:shd w:val="clear" w:color="auto" w:fill="auto"/>
        <w:tabs>
          <w:tab w:pos="1031" w:val="left"/>
        </w:tabs>
        <w:bidi w:val="0"/>
        <w:spacing w:before="0" w:after="120" w:line="312" w:lineRule="exact"/>
        <w:ind w:left="0" w:right="0" w:firstLine="500"/>
        <w:jc w:val="both"/>
      </w:pPr>
      <w:bookmarkStart w:id="707" w:name="bookmark707"/>
      <w:bookmarkStart w:id="708" w:name="bookmark708"/>
      <w:bookmarkStart w:id="709" w:name="bookmark709"/>
      <w:bookmarkStart w:id="710" w:name="bookmark710"/>
      <w:r>
        <w:rPr>
          <w:color w:val="000000"/>
          <w:spacing w:val="0"/>
          <w:w w:val="100"/>
          <w:position w:val="0"/>
          <w:sz w:val="24"/>
          <w:szCs w:val="24"/>
        </w:rPr>
        <w:t>（</w:t>
      </w:r>
      <w:bookmarkEnd w:id="70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存货的分类</w:t>
      </w:r>
      <w:bookmarkEnd w:id="707"/>
      <w:bookmarkEnd w:id="708"/>
      <w:bookmarkEnd w:id="710"/>
    </w:p>
    <w:p>
      <w:pPr>
        <w:pStyle w:val="Style51"/>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存货是指本公司在日常活动中持有以备出售的产成品或商品、处在生产过程中的在产品、 在生产过程或提供劳务过程中耗用的材料和物料等，包括原材料、在产品、产成品、库存商 品等。</w:t>
      </w:r>
    </w:p>
    <w:p>
      <w:pPr>
        <w:pStyle w:val="Style51"/>
        <w:keepNext w:val="0"/>
        <w:keepLines w:val="0"/>
        <w:widowControl w:val="0"/>
        <w:shd w:val="clear" w:color="auto" w:fill="auto"/>
        <w:tabs>
          <w:tab w:pos="1031" w:val="left"/>
        </w:tabs>
        <w:bidi w:val="0"/>
        <w:spacing w:before="0" w:after="120"/>
        <w:ind w:left="0" w:right="0" w:firstLine="500"/>
        <w:jc w:val="both"/>
      </w:pPr>
      <w:bookmarkStart w:id="711" w:name="bookmark711"/>
      <w:r>
        <w:rPr>
          <w:b/>
          <w:bCs/>
          <w:color w:val="000000"/>
          <w:spacing w:val="0"/>
          <w:w w:val="100"/>
          <w:position w:val="0"/>
          <w:sz w:val="24"/>
          <w:szCs w:val="24"/>
        </w:rPr>
        <w:t>（</w:t>
      </w:r>
      <w:bookmarkEnd w:id="71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发出存货的计价方法</w:t>
      </w:r>
    </w:p>
    <w:p>
      <w:pPr>
        <w:pStyle w:val="Style51"/>
        <w:keepNext w:val="0"/>
        <w:keepLines w:val="0"/>
        <w:widowControl w:val="0"/>
        <w:shd w:val="clear" w:color="auto" w:fill="auto"/>
        <w:bidi w:val="0"/>
        <w:spacing w:before="0" w:after="120" w:line="322" w:lineRule="exact"/>
        <w:ind w:left="0" w:right="0" w:firstLine="500"/>
        <w:jc w:val="both"/>
      </w:pPr>
      <w:r>
        <w:rPr>
          <w:color w:val="000000"/>
          <w:spacing w:val="0"/>
          <w:w w:val="100"/>
          <w:position w:val="0"/>
          <w:sz w:val="24"/>
          <w:szCs w:val="24"/>
        </w:rPr>
        <w:t>本公司原材料发出时采用加权平均法；在产品、产品成本按订单归集，产成品发出采用 个别计价法。</w:t>
      </w:r>
    </w:p>
    <w:p>
      <w:pPr>
        <w:pStyle w:val="Style51"/>
        <w:keepNext w:val="0"/>
        <w:keepLines w:val="0"/>
        <w:widowControl w:val="0"/>
        <w:shd w:val="clear" w:color="auto" w:fill="auto"/>
        <w:tabs>
          <w:tab w:pos="1031" w:val="left"/>
        </w:tabs>
        <w:bidi w:val="0"/>
        <w:spacing w:before="0" w:after="120"/>
        <w:ind w:left="0" w:right="0" w:firstLine="500"/>
        <w:jc w:val="both"/>
      </w:pPr>
      <w:bookmarkStart w:id="712" w:name="bookmark712"/>
      <w:r>
        <w:rPr>
          <w:b/>
          <w:bCs/>
          <w:color w:val="000000"/>
          <w:spacing w:val="0"/>
          <w:w w:val="100"/>
          <w:position w:val="0"/>
          <w:sz w:val="24"/>
          <w:szCs w:val="24"/>
        </w:rPr>
        <w:t>（</w:t>
      </w:r>
      <w:bookmarkEnd w:id="712"/>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存货的盘存制度</w:t>
      </w:r>
    </w:p>
    <w:p>
      <w:pPr>
        <w:pStyle w:val="Style51"/>
        <w:keepNext w:val="0"/>
        <w:keepLines w:val="0"/>
        <w:widowControl w:val="0"/>
        <w:shd w:val="clear" w:color="auto" w:fill="auto"/>
        <w:bidi w:val="0"/>
        <w:spacing w:before="0" w:after="120"/>
        <w:ind w:left="0" w:right="0" w:firstLine="480"/>
        <w:jc w:val="both"/>
      </w:pPr>
      <w:r>
        <w:rPr>
          <w:color w:val="000000"/>
          <w:spacing w:val="0"/>
          <w:w w:val="100"/>
          <w:position w:val="0"/>
          <w:sz w:val="24"/>
          <w:szCs w:val="24"/>
        </w:rPr>
        <w:t>本公司存货采用永续盘存制，每年至少盘点一次，盘盈及盘亏金额计入当年度损益。</w:t>
      </w:r>
    </w:p>
    <w:p>
      <w:pPr>
        <w:pStyle w:val="Style51"/>
        <w:keepNext w:val="0"/>
        <w:keepLines w:val="0"/>
        <w:widowControl w:val="0"/>
        <w:shd w:val="clear" w:color="auto" w:fill="auto"/>
        <w:tabs>
          <w:tab w:pos="1031" w:val="left"/>
        </w:tabs>
        <w:bidi w:val="0"/>
        <w:spacing w:before="0" w:after="120"/>
        <w:ind w:left="0" w:right="0" w:firstLine="500"/>
        <w:jc w:val="both"/>
      </w:pPr>
      <w:bookmarkStart w:id="713" w:name="bookmark713"/>
      <w:r>
        <w:rPr>
          <w:b/>
          <w:bCs/>
          <w:color w:val="000000"/>
          <w:spacing w:val="0"/>
          <w:w w:val="100"/>
          <w:position w:val="0"/>
          <w:sz w:val="24"/>
          <w:szCs w:val="24"/>
        </w:rPr>
        <w:t>（</w:t>
      </w:r>
      <w:bookmarkEnd w:id="713"/>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存货跌价准备的计提方法</w:t>
      </w:r>
    </w:p>
    <w:p>
      <w:pPr>
        <w:pStyle w:val="Style51"/>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资产负债表日按成本与可变现净值孰低计量，存货成本高于其可变现净值的，计提存货 跌价准备，计入当期损益。</w:t>
      </w:r>
    </w:p>
    <w:p>
      <w:pPr>
        <w:pStyle w:val="Style51"/>
        <w:keepNext w:val="0"/>
        <w:keepLines w:val="0"/>
        <w:widowControl w:val="0"/>
        <w:shd w:val="clear" w:color="auto" w:fill="auto"/>
        <w:bidi w:val="0"/>
        <w:spacing w:before="0" w:after="120"/>
        <w:ind w:left="0" w:right="0" w:firstLine="500"/>
        <w:jc w:val="both"/>
      </w:pPr>
      <w:r>
        <w:rPr>
          <w:color w:val="000000"/>
          <w:spacing w:val="0"/>
          <w:w w:val="100"/>
          <w:position w:val="0"/>
          <w:sz w:val="24"/>
          <w:szCs w:val="24"/>
        </w:rPr>
        <w:t>在确定存货的可变现净值时，以取得的可靠证据为基础，并且考虑持有存货的目的、资 产负债表日后事项的影响等因素。</w:t>
      </w:r>
    </w:p>
    <w:p>
      <w:pPr>
        <w:pStyle w:val="Style51"/>
        <w:keepNext w:val="0"/>
        <w:keepLines w:val="0"/>
        <w:widowControl w:val="0"/>
        <w:numPr>
          <w:ilvl w:val="0"/>
          <w:numId w:val="45"/>
        </w:numPr>
        <w:shd w:val="clear" w:color="auto" w:fill="auto"/>
        <w:bidi w:val="0"/>
        <w:spacing w:before="0" w:after="120" w:line="322" w:lineRule="exact"/>
        <w:ind w:left="0" w:right="0" w:firstLine="500"/>
        <w:jc w:val="both"/>
      </w:pPr>
      <w:bookmarkStart w:id="714" w:name="bookmark714"/>
      <w:bookmarkEnd w:id="714"/>
      <w:r>
        <w:rPr>
          <w:color w:val="000000"/>
          <w:spacing w:val="0"/>
          <w:w w:val="100"/>
          <w:position w:val="0"/>
          <w:sz w:val="24"/>
          <w:szCs w:val="24"/>
        </w:rPr>
        <w:t xml:space="preserve">产成品、库存商品和用于出售的材料等直接用于出售的存货，在正常生产经营过程中, 以该存货的估计售价减去估计的销售费用和相关税费后的金额确定其可变现净值。为执行销 </w:t>
      </w:r>
      <w:r>
        <w:rPr>
          <w:color w:val="000000"/>
          <w:spacing w:val="0"/>
          <w:w w:val="100"/>
          <w:position w:val="0"/>
          <w:sz w:val="24"/>
          <w:szCs w:val="24"/>
        </w:rPr>
        <w:t>售合同或者劳务合同而持有的存货，以合同价格作为其可变现净值的计量基础；如果持有存 货的数量多于销售合同订购数量，超出部分的存货可变现净值以一般销售价格为计量基础。 用于出售的材料等，以市场价格作为其可变现净值的计量基础。</w:t>
      </w:r>
    </w:p>
    <w:p>
      <w:pPr>
        <w:pStyle w:val="Style51"/>
        <w:keepNext w:val="0"/>
        <w:keepLines w:val="0"/>
        <w:widowControl w:val="0"/>
        <w:numPr>
          <w:ilvl w:val="0"/>
          <w:numId w:val="45"/>
        </w:numPr>
        <w:shd w:val="clear" w:color="auto" w:fill="auto"/>
        <w:tabs>
          <w:tab w:pos="901" w:val="left"/>
        </w:tabs>
        <w:bidi w:val="0"/>
        <w:spacing w:before="0" w:after="120" w:line="314" w:lineRule="exact"/>
        <w:ind w:left="0" w:right="0" w:firstLine="480"/>
        <w:jc w:val="both"/>
      </w:pPr>
      <w:bookmarkStart w:id="715" w:name="bookmark715"/>
      <w:bookmarkEnd w:id="715"/>
      <w:r>
        <w:rPr>
          <w:color w:val="000000"/>
          <w:spacing w:val="0"/>
          <w:w w:val="100"/>
          <w:position w:val="0"/>
          <w:sz w:val="24"/>
          <w:szCs w:val="24"/>
        </w:rPr>
        <w:t>需要经过加工的材料存货，在正常生产经营过程中，以所生产的产成品的估计售价减 去至完工时估计将要发生的成本、估计的销售费用和相关税费后的金额确定其可变现净值。 如果用其生产的产成品的可变现净值高于成本，则该材料按成本计量；如果材料价格的下降 表明产成品的可变现净值低于成本，则该材料按可变现净值计量，按其差额计提存货跌价准 备。</w:t>
      </w:r>
    </w:p>
    <w:p>
      <w:pPr>
        <w:pStyle w:val="Style51"/>
        <w:keepNext w:val="0"/>
        <w:keepLines w:val="0"/>
        <w:widowControl w:val="0"/>
        <w:numPr>
          <w:ilvl w:val="0"/>
          <w:numId w:val="45"/>
        </w:numPr>
        <w:shd w:val="clear" w:color="auto" w:fill="auto"/>
        <w:tabs>
          <w:tab w:pos="861" w:val="left"/>
        </w:tabs>
        <w:bidi w:val="0"/>
        <w:spacing w:before="0" w:after="120" w:line="314" w:lineRule="exact"/>
        <w:ind w:left="0" w:right="0" w:firstLine="440"/>
        <w:jc w:val="left"/>
      </w:pPr>
      <w:bookmarkStart w:id="716" w:name="bookmark716"/>
      <w:bookmarkEnd w:id="716"/>
      <w:r>
        <w:rPr>
          <w:color w:val="000000"/>
          <w:spacing w:val="0"/>
          <w:w w:val="100"/>
          <w:position w:val="0"/>
          <w:sz w:val="24"/>
          <w:szCs w:val="24"/>
        </w:rPr>
        <w:t>存货跌价准备一般按单个存货项目计提。</w:t>
      </w:r>
    </w:p>
    <w:p>
      <w:pPr>
        <w:pStyle w:val="Style51"/>
        <w:keepNext w:val="0"/>
        <w:keepLines w:val="0"/>
        <w:widowControl w:val="0"/>
        <w:numPr>
          <w:ilvl w:val="0"/>
          <w:numId w:val="45"/>
        </w:numPr>
        <w:shd w:val="clear" w:color="auto" w:fill="auto"/>
        <w:tabs>
          <w:tab w:pos="896" w:val="left"/>
        </w:tabs>
        <w:bidi w:val="0"/>
        <w:spacing w:before="0" w:after="120" w:line="302" w:lineRule="exact"/>
        <w:ind w:left="0" w:right="0" w:firstLine="480"/>
        <w:jc w:val="both"/>
      </w:pPr>
      <w:bookmarkStart w:id="717" w:name="bookmark717"/>
      <w:bookmarkEnd w:id="717"/>
      <w:r>
        <w:rPr>
          <w:color w:val="000000"/>
          <w:spacing w:val="0"/>
          <w:w w:val="100"/>
          <w:position w:val="0"/>
          <w:sz w:val="24"/>
          <w:szCs w:val="24"/>
        </w:rPr>
        <w:t>资产负债表日如果以前减记存货价值的影响因素已经消失，则减记的金额予以恢复， 并在原已计提的存货跌价准备的金额内转回，转回的金额计入当期损益。</w:t>
      </w:r>
    </w:p>
    <w:p>
      <w:pPr>
        <w:pStyle w:val="Style51"/>
        <w:keepNext w:val="0"/>
        <w:keepLines w:val="0"/>
        <w:widowControl w:val="0"/>
        <w:shd w:val="clear" w:color="auto" w:fill="auto"/>
        <w:bidi w:val="0"/>
        <w:spacing w:before="0" w:after="120" w:line="314" w:lineRule="exact"/>
        <w:ind w:left="0" w:right="0" w:firstLine="440"/>
        <w:jc w:val="both"/>
      </w:pPr>
      <w:bookmarkStart w:id="718" w:name="bookmark718"/>
      <w:r>
        <w:rPr>
          <w:b/>
          <w:bCs/>
          <w:color w:val="000000"/>
          <w:spacing w:val="0"/>
          <w:w w:val="100"/>
          <w:position w:val="0"/>
          <w:sz w:val="24"/>
          <w:szCs w:val="24"/>
        </w:rPr>
        <w:t>（</w:t>
      </w:r>
      <w:bookmarkEnd w:id="718"/>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）周转材料的摊销方法</w:t>
      </w:r>
    </w:p>
    <w:p>
      <w:pPr>
        <w:pStyle w:val="Style51"/>
        <w:keepNext w:val="0"/>
        <w:keepLines w:val="0"/>
        <w:widowControl w:val="0"/>
        <w:numPr>
          <w:ilvl w:val="0"/>
          <w:numId w:val="47"/>
        </w:numPr>
        <w:shd w:val="clear" w:color="auto" w:fill="auto"/>
        <w:tabs>
          <w:tab w:pos="861" w:val="left"/>
        </w:tabs>
        <w:bidi w:val="0"/>
        <w:spacing w:before="0" w:after="120" w:line="314" w:lineRule="exact"/>
        <w:ind w:left="0" w:right="0" w:firstLine="440"/>
        <w:jc w:val="left"/>
      </w:pPr>
      <w:bookmarkStart w:id="719" w:name="bookmark719"/>
      <w:bookmarkEnd w:id="719"/>
      <w:r>
        <w:rPr>
          <w:color w:val="000000"/>
          <w:spacing w:val="0"/>
          <w:w w:val="100"/>
          <w:position w:val="0"/>
          <w:sz w:val="24"/>
          <w:szCs w:val="24"/>
        </w:rPr>
        <w:t>低值易耗品摊销方法：在领用时采用一次转销法。</w:t>
      </w:r>
    </w:p>
    <w:p>
      <w:pPr>
        <w:pStyle w:val="Style51"/>
        <w:keepNext w:val="0"/>
        <w:keepLines w:val="0"/>
        <w:widowControl w:val="0"/>
        <w:numPr>
          <w:ilvl w:val="0"/>
          <w:numId w:val="47"/>
        </w:numPr>
        <w:shd w:val="clear" w:color="auto" w:fill="auto"/>
        <w:tabs>
          <w:tab w:pos="861" w:val="left"/>
        </w:tabs>
        <w:bidi w:val="0"/>
        <w:spacing w:before="0" w:after="640" w:line="314" w:lineRule="exact"/>
        <w:ind w:left="0" w:right="0" w:firstLine="440"/>
        <w:jc w:val="left"/>
      </w:pPr>
      <w:bookmarkStart w:id="720" w:name="bookmark720"/>
      <w:bookmarkEnd w:id="720"/>
      <w:r>
        <w:rPr>
          <w:color w:val="000000"/>
          <w:spacing w:val="0"/>
          <w:w w:val="100"/>
          <w:position w:val="0"/>
          <w:sz w:val="24"/>
          <w:szCs w:val="24"/>
        </w:rPr>
        <w:t>包装物的摊销方法：在领用时采用一次转销法。</w:t>
      </w:r>
    </w:p>
    <w:p>
      <w:pPr>
        <w:pStyle w:val="Style4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、划分为持有待售资产</w:t>
      </w:r>
    </w:p>
    <w:p>
      <w:pPr>
        <w:pStyle w:val="Style51"/>
        <w:keepNext w:val="0"/>
        <w:keepLines w:val="0"/>
        <w:widowControl w:val="0"/>
        <w:shd w:val="clear" w:color="auto" w:fill="auto"/>
        <w:bidi w:val="0"/>
        <w:spacing w:before="0" w:after="120" w:line="307" w:lineRule="exact"/>
        <w:ind w:left="0" w:right="0" w:firstLine="440"/>
        <w:jc w:val="left"/>
      </w:pPr>
      <w:r>
        <w:rPr>
          <w:color w:val="000000"/>
          <w:spacing w:val="0"/>
          <w:w w:val="100"/>
          <w:position w:val="0"/>
          <w:sz w:val="24"/>
          <w:szCs w:val="24"/>
        </w:rPr>
        <w:t>本公司将同时满足下列条件的本公司组成部分（或非流动资产）确认为持有待售：</w:t>
      </w:r>
    </w:p>
    <w:p>
      <w:pPr>
        <w:pStyle w:val="Style51"/>
        <w:keepNext w:val="0"/>
        <w:keepLines w:val="0"/>
        <w:widowControl w:val="0"/>
        <w:numPr>
          <w:ilvl w:val="0"/>
          <w:numId w:val="49"/>
        </w:numPr>
        <w:shd w:val="clear" w:color="auto" w:fill="auto"/>
        <w:tabs>
          <w:tab w:pos="877" w:val="left"/>
        </w:tabs>
        <w:bidi w:val="0"/>
        <w:spacing w:before="0" w:after="120" w:line="298" w:lineRule="exact"/>
        <w:ind w:left="0" w:right="0" w:firstLine="480"/>
        <w:jc w:val="both"/>
      </w:pPr>
      <w:bookmarkStart w:id="721" w:name="bookmark721"/>
      <w:bookmarkEnd w:id="721"/>
      <w:r>
        <w:rPr>
          <w:color w:val="000000"/>
          <w:spacing w:val="0"/>
          <w:w w:val="100"/>
          <w:position w:val="0"/>
          <w:sz w:val="24"/>
          <w:szCs w:val="24"/>
        </w:rPr>
        <w:t>该组成部分必须在其当前状况下仅根据出售此类组成部分的通常和惯用条款即可立即 出售；</w:t>
      </w:r>
    </w:p>
    <w:p>
      <w:pPr>
        <w:pStyle w:val="Style51"/>
        <w:keepNext w:val="0"/>
        <w:keepLines w:val="0"/>
        <w:widowControl w:val="0"/>
        <w:numPr>
          <w:ilvl w:val="0"/>
          <w:numId w:val="49"/>
        </w:numPr>
        <w:shd w:val="clear" w:color="auto" w:fill="auto"/>
        <w:tabs>
          <w:tab w:pos="891" w:val="left"/>
        </w:tabs>
        <w:bidi w:val="0"/>
        <w:spacing w:before="0" w:after="120" w:line="317" w:lineRule="exact"/>
        <w:ind w:left="0" w:right="0" w:firstLine="480"/>
        <w:jc w:val="both"/>
      </w:pPr>
      <w:bookmarkStart w:id="722" w:name="bookmark722"/>
      <w:bookmarkEnd w:id="722"/>
      <w:r>
        <w:rPr>
          <w:color w:val="000000"/>
          <w:spacing w:val="0"/>
          <w:w w:val="100"/>
          <w:position w:val="0"/>
          <w:sz w:val="24"/>
          <w:szCs w:val="24"/>
        </w:rPr>
        <w:t>本公司已经就处置该组成部分作出决议，如按规定需得到股东批准的，已经取得了股 东大会或相应权力机构的批准；</w:t>
      </w:r>
    </w:p>
    <w:p>
      <w:pPr>
        <w:pStyle w:val="Style51"/>
        <w:keepNext w:val="0"/>
        <w:keepLines w:val="0"/>
        <w:widowControl w:val="0"/>
        <w:numPr>
          <w:ilvl w:val="0"/>
          <w:numId w:val="49"/>
        </w:numPr>
        <w:shd w:val="clear" w:color="auto" w:fill="auto"/>
        <w:tabs>
          <w:tab w:pos="861" w:val="left"/>
        </w:tabs>
        <w:bidi w:val="0"/>
        <w:spacing w:before="0" w:after="120" w:line="307" w:lineRule="exact"/>
        <w:ind w:left="0" w:right="0" w:firstLine="440"/>
        <w:jc w:val="left"/>
      </w:pPr>
      <w:bookmarkStart w:id="723" w:name="bookmark723"/>
      <w:bookmarkEnd w:id="723"/>
      <w:r>
        <w:rPr>
          <w:color w:val="000000"/>
          <w:spacing w:val="0"/>
          <w:w w:val="100"/>
          <w:position w:val="0"/>
          <w:sz w:val="24"/>
          <w:szCs w:val="24"/>
        </w:rPr>
        <w:t>本公司已经与受让方签订了不可撤销的转让协议；</w:t>
      </w:r>
    </w:p>
    <w:p>
      <w:pPr>
        <w:pStyle w:val="Style51"/>
        <w:keepNext w:val="0"/>
        <w:keepLines w:val="0"/>
        <w:widowControl w:val="0"/>
        <w:numPr>
          <w:ilvl w:val="0"/>
          <w:numId w:val="49"/>
        </w:numPr>
        <w:shd w:val="clear" w:color="auto" w:fill="auto"/>
        <w:tabs>
          <w:tab w:pos="861" w:val="left"/>
        </w:tabs>
        <w:bidi w:val="0"/>
        <w:spacing w:before="0" w:after="640" w:line="307" w:lineRule="exact"/>
        <w:ind w:left="0" w:right="0" w:firstLine="440"/>
        <w:jc w:val="both"/>
      </w:pPr>
      <w:bookmarkStart w:id="724" w:name="bookmark724"/>
      <w:bookmarkEnd w:id="724"/>
      <w:r>
        <w:rPr>
          <w:color w:val="000000"/>
          <w:spacing w:val="0"/>
          <w:w w:val="100"/>
          <w:position w:val="0"/>
          <w:sz w:val="24"/>
          <w:szCs w:val="24"/>
        </w:rPr>
        <w:t>该项转让将在一年内完成。</w:t>
      </w:r>
    </w:p>
    <w:p>
      <w:pPr>
        <w:pStyle w:val="Style40"/>
        <w:keepNext w:val="0"/>
        <w:keepLines w:val="0"/>
        <w:widowControl w:val="0"/>
        <w:shd w:val="clear" w:color="auto" w:fill="auto"/>
        <w:bidi w:val="0"/>
        <w:spacing w:before="0" w:after="300" w:line="240" w:lineRule="auto"/>
        <w:ind w:left="0" w:right="0" w:firstLine="0"/>
        <w:jc w:val="both"/>
      </w:pPr>
      <w:bookmarkStart w:id="725" w:name="bookmark725"/>
      <w:r>
        <w:rPr>
          <w:rFonts w:ascii="Times New Roman" w:eastAsia="Times New Roman" w:hAnsi="Times New Roman" w:cs="Times New Roman"/>
          <w:b/>
          <w:bCs/>
          <w:color w:val="000000"/>
          <w:spacing w:val="0"/>
          <w:w w:val="100"/>
          <w:position w:val="0"/>
        </w:rPr>
        <w:t>1</w:t>
      </w:r>
      <w:bookmarkEnd w:id="725"/>
      <w:r>
        <w:rPr>
          <w:rFonts w:ascii="Times New Roman" w:eastAsia="Times New Roman" w:hAnsi="Times New Roman" w:cs="Times New Roman"/>
          <w:b/>
          <w:bCs/>
          <w:color w:val="000000"/>
          <w:spacing w:val="0"/>
          <w:w w:val="100"/>
          <w:position w:val="0"/>
        </w:rPr>
        <w:t>4</w:t>
      </w:r>
      <w:r>
        <w:rPr>
          <w:b/>
          <w:bCs/>
          <w:color w:val="000000"/>
          <w:spacing w:val="0"/>
          <w:w w:val="100"/>
          <w:position w:val="0"/>
        </w:rPr>
        <w:t>、长期股权投资</w:t>
      </w:r>
    </w:p>
    <w:p>
      <w:pPr>
        <w:pStyle w:val="Style51"/>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4"/>
          <w:szCs w:val="24"/>
        </w:rPr>
        <w:t>本公司长期股权投资包括对被投资单位实施控制、重大影响的权益性投资，以及对合营 企业的权益性投资。本公司能够对被投资单位施加重大影响的，为本公司的联营企业。</w:t>
      </w:r>
    </w:p>
    <w:p>
      <w:pPr>
        <w:pStyle w:val="Style51"/>
        <w:keepNext w:val="0"/>
        <w:keepLines w:val="0"/>
        <w:widowControl w:val="0"/>
        <w:shd w:val="clear" w:color="auto" w:fill="auto"/>
        <w:bidi w:val="0"/>
        <w:spacing w:before="0" w:after="120" w:line="313" w:lineRule="exact"/>
        <w:ind w:left="0" w:right="0" w:firstLine="440"/>
        <w:jc w:val="left"/>
      </w:pPr>
      <w:bookmarkStart w:id="726" w:name="bookmark726"/>
      <w:r>
        <w:rPr>
          <w:b/>
          <w:bCs/>
          <w:color w:val="000000"/>
          <w:spacing w:val="0"/>
          <w:w w:val="100"/>
          <w:position w:val="0"/>
          <w:sz w:val="24"/>
          <w:szCs w:val="24"/>
        </w:rPr>
        <w:t>（</w:t>
      </w:r>
      <w:bookmarkEnd w:id="726"/>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）确定对被投资单位具有共同控制、重大影响的依据</w:t>
      </w:r>
    </w:p>
    <w:p>
      <w:pPr>
        <w:pStyle w:val="Style51"/>
        <w:keepNext w:val="0"/>
        <w:keepLines w:val="0"/>
        <w:widowControl w:val="0"/>
        <w:shd w:val="clear" w:color="auto" w:fill="auto"/>
        <w:bidi w:val="0"/>
        <w:spacing w:before="0" w:after="120" w:line="313" w:lineRule="exact"/>
        <w:ind w:left="0" w:right="0" w:firstLine="480"/>
        <w:jc w:val="both"/>
      </w:pPr>
      <w:r>
        <w:rPr>
          <w:color w:val="000000"/>
          <w:spacing w:val="0"/>
          <w:w w:val="100"/>
          <w:position w:val="0"/>
          <w:sz w:val="24"/>
          <w:szCs w:val="24"/>
        </w:rPr>
        <w:t>共同控制，是指按照相关约定对某项安排所共有的控制，并且该安排的相关活动必须经 过分享控制权的参与方一致同意后才能决策。在判断是否存在共同控制时，首先判断所有参 与方或参与方组合是否集体控制该安排，如果所有参与方或一组参与方必须一致行动才能决 定某项安排的相关活动，则认为所有参与方或一组参与方集体控制该安排。其次再判断该安 排相关活动的决策是否必须经过这些集体控制该安排的参与方一致同意。如果存在两个或两 个以上的参与方组合能够集体控制某项安排的，不构成共同控制。判断是否存在共同控制时, 不考虑享有的保护性权利。</w:t>
      </w:r>
    </w:p>
    <w:p>
      <w:pPr>
        <w:pStyle w:val="Style51"/>
        <w:keepNext w:val="0"/>
        <w:keepLines w:val="0"/>
        <w:widowControl w:val="0"/>
        <w:shd w:val="clear" w:color="auto" w:fill="auto"/>
        <w:bidi w:val="0"/>
        <w:spacing w:before="0" w:after="120"/>
        <w:ind w:left="0" w:right="0" w:firstLine="480"/>
        <w:jc w:val="both"/>
      </w:pPr>
      <w:r>
        <w:rPr>
          <w:color w:val="000000"/>
          <w:spacing w:val="0"/>
          <w:w w:val="100"/>
          <w:position w:val="0"/>
          <w:sz w:val="24"/>
          <w:szCs w:val="24"/>
        </w:rPr>
        <w:t>重大影响，是指投资方对被投资单位的财务和经营政策有参与决策的权力，但并不能够 控制或者与其他方一起共同控制这些政策的制定。在确定能否对被投资单位施加重大影响时, 考虑投资方直接或间接持有被投资单位的表决权股份以及投资方及其他方持有的当期可执行 潜在表决权在假定转换为对被投资方单位的股权后产生的影响，包括被投资单位发行的当期 可转换的认股权证、股份期权及可转换公司债券等的影响。</w:t>
      </w:r>
    </w:p>
    <w:p>
      <w:pPr>
        <w:pStyle w:val="Style51"/>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4"/>
          <w:szCs w:val="24"/>
        </w:rPr>
        <w:t>当本公司直接或通过子公司间接拥有被投资单位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的表决权 股份时，一般认为对被投资单位具有重大影响，除非有明确证据表明该种情况下不能参与被 投资单位的生产经营决策，不形成重大影响。</w:t>
      </w:r>
    </w:p>
    <w:p>
      <w:pPr>
        <w:pStyle w:val="Style51"/>
        <w:keepNext w:val="0"/>
        <w:keepLines w:val="0"/>
        <w:widowControl w:val="0"/>
        <w:shd w:val="clear" w:color="auto" w:fill="auto"/>
        <w:tabs>
          <w:tab w:pos="949" w:val="left"/>
        </w:tabs>
        <w:bidi w:val="0"/>
        <w:spacing w:before="0" w:after="120" w:line="314" w:lineRule="exact"/>
        <w:ind w:left="0" w:right="0" w:firstLine="440"/>
        <w:jc w:val="both"/>
      </w:pPr>
      <w:bookmarkStart w:id="727" w:name="bookmark727"/>
      <w:r>
        <w:rPr>
          <w:b/>
          <w:bCs/>
          <w:color w:val="000000"/>
          <w:spacing w:val="0"/>
          <w:w w:val="100"/>
          <w:position w:val="0"/>
          <w:sz w:val="24"/>
          <w:szCs w:val="24"/>
        </w:rPr>
        <w:t>（</w:t>
      </w:r>
      <w:bookmarkEnd w:id="72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初始投资成本确定</w:t>
      </w:r>
    </w:p>
    <w:p>
      <w:pPr>
        <w:pStyle w:val="Style51"/>
        <w:keepNext w:val="0"/>
        <w:keepLines w:val="0"/>
        <w:widowControl w:val="0"/>
        <w:shd w:val="clear" w:color="auto" w:fill="auto"/>
        <w:bidi w:val="0"/>
        <w:spacing w:before="0" w:after="120" w:line="314" w:lineRule="exact"/>
        <w:ind w:left="0" w:right="0" w:firstLine="840"/>
        <w:jc w:val="both"/>
      </w:pPr>
      <w:r>
        <w:rPr>
          <w:color w:val="000000"/>
          <w:spacing w:val="0"/>
          <w:w w:val="100"/>
          <w:position w:val="0"/>
          <w:sz w:val="24"/>
          <w:szCs w:val="24"/>
        </w:rPr>
        <w:t>1.</w:t>
      </w:r>
      <w:r>
        <w:rPr>
          <w:color w:val="000000"/>
          <w:spacing w:val="0"/>
          <w:w w:val="100"/>
          <w:position w:val="0"/>
          <w:sz w:val="24"/>
          <w:szCs w:val="24"/>
        </w:rPr>
        <w:t>企业合并形成的长期股权投资，按照下列规定确定其投资成本：</w:t>
      </w:r>
    </w:p>
    <w:p>
      <w:pPr>
        <w:pStyle w:val="Style51"/>
        <w:keepNext w:val="0"/>
        <w:keepLines w:val="0"/>
        <w:widowControl w:val="0"/>
        <w:numPr>
          <w:ilvl w:val="0"/>
          <w:numId w:val="51"/>
        </w:numPr>
        <w:shd w:val="clear" w:color="auto" w:fill="auto"/>
        <w:tabs>
          <w:tab w:pos="1219" w:val="left"/>
        </w:tabs>
        <w:bidi w:val="0"/>
        <w:spacing w:before="0" w:after="120" w:line="313" w:lineRule="exact"/>
        <w:ind w:left="360" w:right="0" w:firstLine="480"/>
        <w:jc w:val="both"/>
      </w:pPr>
      <w:bookmarkStart w:id="728" w:name="bookmark728"/>
      <w:bookmarkEnd w:id="728"/>
      <w:r>
        <w:rPr>
          <w:color w:val="000000"/>
          <w:spacing w:val="0"/>
          <w:w w:val="100"/>
          <w:position w:val="0"/>
          <w:sz w:val="24"/>
          <w:szCs w:val="24"/>
        </w:rPr>
        <w:t>同一控制下的企业合并，合并方以支付现金、转让非现金资产或承担债务方式作 为合并对价的，在合并日按照被合并方所有者权益在最终控制方合并财务报表中的账面价 值的份额作为长期股权投资的初始投资成本。长期股权投资初始投资成本与支付的现金、 转让的非现金资产以及所承担债务账面价值之间的差额，调整资本公积；资本公积不足冲 减的，调整留存收益；</w:t>
      </w:r>
    </w:p>
    <w:p>
      <w:pPr>
        <w:pStyle w:val="Style51"/>
        <w:keepNext w:val="0"/>
        <w:keepLines w:val="0"/>
        <w:widowControl w:val="0"/>
        <w:numPr>
          <w:ilvl w:val="0"/>
          <w:numId w:val="51"/>
        </w:numPr>
        <w:shd w:val="clear" w:color="auto" w:fill="auto"/>
        <w:tabs>
          <w:tab w:pos="1210" w:val="left"/>
        </w:tabs>
        <w:bidi w:val="0"/>
        <w:spacing w:before="0" w:after="120" w:line="314" w:lineRule="exact"/>
        <w:ind w:left="360" w:right="0" w:firstLine="480"/>
        <w:jc w:val="both"/>
      </w:pPr>
      <w:bookmarkStart w:id="729" w:name="bookmark729"/>
      <w:bookmarkEnd w:id="729"/>
      <w:r>
        <w:rPr>
          <w:color w:val="000000"/>
          <w:spacing w:val="0"/>
          <w:w w:val="100"/>
          <w:position w:val="0"/>
          <w:sz w:val="24"/>
          <w:szCs w:val="24"/>
        </w:rPr>
        <w:t>同一控制下的企业合并，合并方以发行权益性证券作为合并对价的，在合并日按 照被合并方所有者权益在最终控制方合并财务报表中的账面价值的份额作为长期股权投 资的初始投资成本。按照发行股份的面值总额作为股本，长期股权投资初始投资成本与所 发行股份面值总额之间的差额，调整资本公积；资本公积不足冲减的，调整留存收益；</w:t>
      </w:r>
    </w:p>
    <w:p>
      <w:pPr>
        <w:pStyle w:val="Style51"/>
        <w:keepNext w:val="0"/>
        <w:keepLines w:val="0"/>
        <w:widowControl w:val="0"/>
        <w:numPr>
          <w:ilvl w:val="0"/>
          <w:numId w:val="51"/>
        </w:numPr>
        <w:shd w:val="clear" w:color="auto" w:fill="auto"/>
        <w:tabs>
          <w:tab w:pos="1224" w:val="left"/>
        </w:tabs>
        <w:bidi w:val="0"/>
        <w:spacing w:before="0" w:after="120" w:line="314" w:lineRule="exact"/>
        <w:ind w:left="360" w:right="0" w:firstLine="480"/>
        <w:jc w:val="both"/>
      </w:pPr>
      <w:bookmarkStart w:id="730" w:name="bookmark730"/>
      <w:bookmarkEnd w:id="730"/>
      <w:r>
        <w:rPr>
          <w:color w:val="000000"/>
          <w:spacing w:val="0"/>
          <w:w w:val="100"/>
          <w:position w:val="0"/>
          <w:sz w:val="24"/>
          <w:szCs w:val="24"/>
        </w:rPr>
        <w:t>非同一控制下的企业合并，以购买日为取得对被购买方的控制权而付出的资产、 发生或承担的负债以及发行的权益性证券的公允价值确定为合并成本作为长期股权投资 的初始投资成本。合并方为企业合并发生的审计、法律服务、评估咨询等中介费用以及其 他相关管理费用，于发生时计入当期损益。</w:t>
      </w:r>
    </w:p>
    <w:p>
      <w:pPr>
        <w:pStyle w:val="Style51"/>
        <w:keepNext w:val="0"/>
        <w:keepLines w:val="0"/>
        <w:widowControl w:val="0"/>
        <w:shd w:val="clear" w:color="auto" w:fill="auto"/>
        <w:bidi w:val="0"/>
        <w:spacing w:before="0" w:after="120" w:line="298" w:lineRule="exact"/>
        <w:ind w:left="360" w:right="0" w:hanging="360"/>
        <w:jc w:val="both"/>
      </w:pPr>
      <w:r>
        <w:rPr>
          <w:color w:val="000000"/>
          <w:spacing w:val="0"/>
          <w:w w:val="100"/>
          <w:position w:val="0"/>
          <w:sz w:val="24"/>
          <w:szCs w:val="24"/>
        </w:rPr>
        <w:t>1.</w:t>
      </w:r>
      <w:r>
        <w:rPr>
          <w:color w:val="000000"/>
          <w:spacing w:val="0"/>
          <w:w w:val="100"/>
          <w:position w:val="0"/>
          <w:sz w:val="24"/>
          <w:szCs w:val="24"/>
        </w:rPr>
        <w:t>除企业合并形成的长期股权投资以外，其他方式取得的长期股权投资，按照下列规定确定 其投资成本：</w:t>
      </w:r>
    </w:p>
    <w:p>
      <w:pPr>
        <w:pStyle w:val="Style51"/>
        <w:keepNext w:val="0"/>
        <w:keepLines w:val="0"/>
        <w:widowControl w:val="0"/>
        <w:numPr>
          <w:ilvl w:val="0"/>
          <w:numId w:val="53"/>
        </w:numPr>
        <w:shd w:val="clear" w:color="auto" w:fill="auto"/>
        <w:tabs>
          <w:tab w:pos="854" w:val="left"/>
        </w:tabs>
        <w:bidi w:val="0"/>
        <w:spacing w:before="0" w:after="120" w:line="322" w:lineRule="exact"/>
        <w:ind w:left="0" w:right="0" w:firstLine="480"/>
        <w:jc w:val="both"/>
      </w:pPr>
      <w:bookmarkStart w:id="731" w:name="bookmark731"/>
      <w:bookmarkEnd w:id="731"/>
      <w:r>
        <w:rPr>
          <w:color w:val="000000"/>
          <w:spacing w:val="0"/>
          <w:w w:val="100"/>
          <w:position w:val="0"/>
          <w:sz w:val="24"/>
          <w:szCs w:val="24"/>
        </w:rPr>
        <w:t>以支付现金取得的长期股权投资，按照实际支付的购买价款作为投资成本。初始投资 成本包括与取得长期股权投资直接相关的费用、税金及其他必要支出；</w:t>
      </w:r>
    </w:p>
    <w:p>
      <w:pPr>
        <w:pStyle w:val="Style51"/>
        <w:keepNext w:val="0"/>
        <w:keepLines w:val="0"/>
        <w:widowControl w:val="0"/>
        <w:numPr>
          <w:ilvl w:val="0"/>
          <w:numId w:val="53"/>
        </w:numPr>
        <w:shd w:val="clear" w:color="auto" w:fill="auto"/>
        <w:tabs>
          <w:tab w:pos="845" w:val="left"/>
        </w:tabs>
        <w:bidi w:val="0"/>
        <w:spacing w:before="0" w:after="120"/>
        <w:ind w:left="0" w:right="0" w:firstLine="480"/>
        <w:jc w:val="both"/>
      </w:pPr>
      <w:bookmarkStart w:id="732" w:name="bookmark732"/>
      <w:bookmarkEnd w:id="732"/>
      <w:r>
        <w:rPr>
          <w:color w:val="000000"/>
          <w:spacing w:val="0"/>
          <w:w w:val="100"/>
          <w:position w:val="0"/>
          <w:sz w:val="24"/>
          <w:szCs w:val="24"/>
        </w:rPr>
        <w:t>以发行权益性证券取得的长期股权投资，按照发行权益性证券的公允价值作为初始投 资成本；</w:t>
      </w:r>
    </w:p>
    <w:p>
      <w:pPr>
        <w:pStyle w:val="Style51"/>
        <w:keepNext w:val="0"/>
        <w:keepLines w:val="0"/>
        <w:widowControl w:val="0"/>
        <w:numPr>
          <w:ilvl w:val="0"/>
          <w:numId w:val="53"/>
        </w:numPr>
        <w:shd w:val="clear" w:color="auto" w:fill="auto"/>
        <w:tabs>
          <w:tab w:pos="864" w:val="left"/>
        </w:tabs>
        <w:bidi w:val="0"/>
        <w:spacing w:before="0" w:after="120" w:line="315" w:lineRule="exact"/>
        <w:ind w:left="0" w:right="0" w:firstLine="480"/>
        <w:jc w:val="both"/>
      </w:pPr>
      <w:bookmarkStart w:id="733" w:name="bookmark733"/>
      <w:bookmarkEnd w:id="733"/>
      <w:r>
        <w:rPr>
          <w:color w:val="000000"/>
          <w:spacing w:val="0"/>
          <w:w w:val="100"/>
          <w:position w:val="0"/>
          <w:sz w:val="24"/>
          <w:szCs w:val="24"/>
        </w:rPr>
        <w:t>通过非货币性资产交换取得的长期股权投资，如果该项交换具有商业实质且换入资产 或换出资产的公允价值能可靠计量，则以换出资产的公允价值和相关税费作为初始投资成本, 换出资产的公允价值与账面价值之间的差额计入当期损益；若非货币资产交换不同时具备上 述两个条件，则按换出资产的账面价值和相关税费作为初始投资成本。</w:t>
      </w:r>
    </w:p>
    <w:p>
      <w:pPr>
        <w:pStyle w:val="Style51"/>
        <w:keepNext w:val="0"/>
        <w:keepLines w:val="0"/>
        <w:widowControl w:val="0"/>
        <w:numPr>
          <w:ilvl w:val="0"/>
          <w:numId w:val="53"/>
        </w:numPr>
        <w:shd w:val="clear" w:color="auto" w:fill="auto"/>
        <w:tabs>
          <w:tab w:pos="859" w:val="left"/>
        </w:tabs>
        <w:bidi w:val="0"/>
        <w:spacing w:before="0" w:after="120" w:line="326" w:lineRule="exact"/>
        <w:ind w:left="0" w:right="0" w:firstLine="480"/>
        <w:jc w:val="both"/>
      </w:pPr>
      <w:bookmarkStart w:id="734" w:name="bookmark734"/>
      <w:bookmarkEnd w:id="734"/>
      <w:r>
        <w:rPr>
          <w:color w:val="000000"/>
          <w:spacing w:val="0"/>
          <w:w w:val="100"/>
          <w:position w:val="0"/>
          <w:sz w:val="24"/>
          <w:szCs w:val="24"/>
        </w:rPr>
        <w:t>通过债务重组取得的长期股权投资，按取得的股权的公允价值作为初始投资成本，初 始投资成本与债权账面价值之间的差额计入当期损益。</w:t>
      </w:r>
    </w:p>
    <w:p>
      <w:pPr>
        <w:pStyle w:val="Style51"/>
        <w:keepNext w:val="0"/>
        <w:keepLines w:val="0"/>
        <w:widowControl w:val="0"/>
        <w:shd w:val="clear" w:color="auto" w:fill="auto"/>
        <w:tabs>
          <w:tab w:pos="949" w:val="left"/>
        </w:tabs>
        <w:bidi w:val="0"/>
        <w:spacing w:before="0" w:after="120" w:line="314" w:lineRule="exact"/>
        <w:ind w:left="0" w:right="0" w:firstLine="440"/>
        <w:jc w:val="both"/>
      </w:pPr>
      <w:bookmarkStart w:id="735" w:name="bookmark735"/>
      <w:r>
        <w:rPr>
          <w:b/>
          <w:bCs/>
          <w:color w:val="000000"/>
          <w:spacing w:val="0"/>
          <w:w w:val="100"/>
          <w:position w:val="0"/>
          <w:sz w:val="24"/>
          <w:szCs w:val="24"/>
        </w:rPr>
        <w:t>（</w:t>
      </w:r>
      <w:bookmarkEnd w:id="735"/>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后续计量及损益确认方法</w:t>
      </w:r>
    </w:p>
    <w:p>
      <w:pPr>
        <w:pStyle w:val="Style51"/>
        <w:keepNext w:val="0"/>
        <w:keepLines w:val="0"/>
        <w:widowControl w:val="0"/>
        <w:shd w:val="clear" w:color="auto" w:fill="auto"/>
        <w:bidi w:val="0"/>
        <w:spacing w:before="0" w:after="160" w:line="307" w:lineRule="exact"/>
        <w:ind w:left="0" w:right="0" w:firstLine="480"/>
        <w:jc w:val="both"/>
      </w:pPr>
      <w:r>
        <w:rPr>
          <w:color w:val="000000"/>
          <w:spacing w:val="0"/>
          <w:w w:val="100"/>
          <w:position w:val="0"/>
          <w:sz w:val="24"/>
          <w:szCs w:val="24"/>
        </w:rPr>
        <w:t>本公司能够对被投资单位实施控制的长期股权投资采用成本法核算；对联营企业和合营 企业的长期股权投资采用权益法核算。</w:t>
      </w:r>
    </w:p>
    <w:p>
      <w:pPr>
        <w:pStyle w:val="Style51"/>
        <w:keepNext w:val="0"/>
        <w:keepLines w:val="0"/>
        <w:widowControl w:val="0"/>
        <w:numPr>
          <w:ilvl w:val="0"/>
          <w:numId w:val="55"/>
        </w:numPr>
        <w:shd w:val="clear" w:color="auto" w:fill="auto"/>
        <w:bidi w:val="0"/>
        <w:spacing w:before="0" w:after="120" w:line="240" w:lineRule="auto"/>
        <w:ind w:left="0" w:right="0" w:firstLine="440"/>
        <w:jc w:val="both"/>
      </w:pPr>
      <w:bookmarkStart w:id="736" w:name="bookmark736"/>
      <w:bookmarkEnd w:id="736"/>
      <w:r>
        <w:rPr>
          <w:color w:val="000000"/>
          <w:spacing w:val="0"/>
          <w:w w:val="100"/>
          <w:position w:val="0"/>
          <w:sz w:val="24"/>
          <w:szCs w:val="24"/>
        </w:rPr>
        <w:t>成本法</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采用成本法核算的长期股权投资，追加或收回投资时调整长期股权投资的成本；被投资 单位宣告分派的现金股利或利润，确认为当期投资收益。</w:t>
      </w:r>
    </w:p>
    <w:p>
      <w:pPr>
        <w:pStyle w:val="Style51"/>
        <w:keepNext w:val="0"/>
        <w:keepLines w:val="0"/>
        <w:widowControl w:val="0"/>
        <w:numPr>
          <w:ilvl w:val="0"/>
          <w:numId w:val="55"/>
        </w:numPr>
        <w:shd w:val="clear" w:color="auto" w:fill="auto"/>
        <w:bidi w:val="0"/>
        <w:spacing w:before="0" w:after="100" w:line="312" w:lineRule="exact"/>
        <w:ind w:left="0" w:right="0" w:firstLine="480"/>
        <w:jc w:val="both"/>
      </w:pPr>
      <w:bookmarkStart w:id="737" w:name="bookmark737"/>
      <w:bookmarkEnd w:id="737"/>
      <w:r>
        <w:rPr>
          <w:color w:val="000000"/>
          <w:spacing w:val="0"/>
          <w:w w:val="100"/>
          <w:position w:val="0"/>
          <w:sz w:val="24"/>
          <w:szCs w:val="24"/>
        </w:rPr>
        <w:t>权益法</w:t>
      </w:r>
    </w:p>
    <w:p>
      <w:pPr>
        <w:pStyle w:val="Style51"/>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按照权益法核算的长期股权投资，一般会计处理为：</w:t>
      </w:r>
    </w:p>
    <w:p>
      <w:pPr>
        <w:pStyle w:val="Style51"/>
        <w:keepNext w:val="0"/>
        <w:keepLines w:val="0"/>
        <w:widowControl w:val="0"/>
        <w:shd w:val="clear" w:color="auto" w:fill="auto"/>
        <w:bidi w:val="0"/>
        <w:spacing w:before="0" w:after="100" w:line="315" w:lineRule="exact"/>
        <w:ind w:left="0" w:right="0" w:firstLine="480"/>
        <w:jc w:val="both"/>
      </w:pPr>
      <w:r>
        <w:rPr>
          <w:color w:val="000000"/>
          <w:spacing w:val="0"/>
          <w:w w:val="100"/>
          <w:position w:val="0"/>
          <w:sz w:val="24"/>
          <w:szCs w:val="24"/>
        </w:rPr>
        <w:t>本公司长期股权投资的投资成本大于投资时应享有被投资单位可辨认净资产公允价值份 额的，不调整长期股权投资的初始投资成本；长期股权投资的初始投资成本小于投资时应享 有被投资单位可辨认净资产公允价值份额的，其差额计入当期损益，同时调整长期股权投资 的成本。</w:t>
      </w:r>
    </w:p>
    <w:p>
      <w:pPr>
        <w:pStyle w:val="Style51"/>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本公司按照应享有或应分担的被投资单位实现的净损益和其他综合收益的份额，分别确 认投资收益和其他综合收益，同时调整长期股权投资的账面价值；本公司按照被投资单位宣 告分派的利润或现金股利计算应享有的部分，相应减少长期股权投资的账面价值；被投资单 位除净损益、其他综合收益和利润分配以外所有者权益的其他变动，调整长期股权投资的账 面价值并计入所有者权益。在确认应享有被投资单位净损益的份额时，以取得投资时被投资 单位可辨认净资产的公允价值为基础，对被投资单位的净利润进行调整后确认。被投资单位 采用的会计政策及会计期间与本公司不一致的，应按照本公司的会计政策及会计期间对被投 资单位的财务报表进行调整，并据以确认投资收益和其他综合收益等。本公司与联营企业及 合营企业之间发生的未实现内部交易损益按照享有的比例计算归属于本公司的部分予以抵 销，在此基础上确认投资损益。本公司与被投资单位发生的未实现内部交易损失属于资产减 值损失的，应全额确认。</w:t>
      </w:r>
    </w:p>
    <w:p>
      <w:pPr>
        <w:pStyle w:val="Style51"/>
        <w:keepNext w:val="0"/>
        <w:keepLines w:val="0"/>
        <w:widowControl w:val="0"/>
        <w:shd w:val="clear" w:color="auto" w:fill="auto"/>
        <w:bidi w:val="0"/>
        <w:spacing w:before="0" w:after="100" w:line="309" w:lineRule="exact"/>
        <w:ind w:left="0" w:right="0" w:firstLine="480"/>
        <w:jc w:val="both"/>
      </w:pPr>
      <w:r>
        <w:rPr>
          <w:color w:val="000000"/>
          <w:spacing w:val="0"/>
          <w:w w:val="100"/>
          <w:position w:val="0"/>
          <w:sz w:val="24"/>
          <w:szCs w:val="24"/>
        </w:rPr>
        <w:t>因追加投资等原因能够对被投资单位施加重大影响或实施共同控制但不构成控制的，按 照原持有的股权投资的公允价值加上新增投资成本之和，作为改按权益法核算的初始投资成 本。原持有的股权投资分类为可供出售金融资产的，其公允价值与账面价值之间的差额，以 及原计入其他综合收益的累计公允价值变动应当转入改按权益法核算的当期损益。</w:t>
      </w:r>
    </w:p>
    <w:p>
      <w:pPr>
        <w:pStyle w:val="Style51"/>
        <w:keepNext w:val="0"/>
        <w:keepLines w:val="0"/>
        <w:widowControl w:val="0"/>
        <w:shd w:val="clear" w:color="auto" w:fill="auto"/>
        <w:bidi w:val="0"/>
        <w:spacing w:before="0" w:after="760"/>
        <w:ind w:left="0" w:right="0" w:firstLine="480"/>
        <w:jc w:val="both"/>
      </w:pPr>
      <w:r>
        <w:rPr>
          <w:color w:val="000000"/>
          <w:spacing w:val="0"/>
          <w:w w:val="100"/>
          <w:position w:val="0"/>
          <w:sz w:val="24"/>
          <w:szCs w:val="24"/>
        </w:rPr>
        <w:t>因处置部分股权投资等原因丧失了对被投资单位的共同控制或重大影响的，处置后的剩 余股权改按公允价值计量，其在丧失共同控制或重大影响之日的公允价值与账面价值之间的 差额计入当期损益。原股权投资因采用权益法核算而确认的其他综合收益，在终止采用权益 法核算时采用与被投资单位直接处置相关资产或负债相同的基础进行会计处理。</w:t>
      </w:r>
    </w:p>
    <w:p>
      <w:pPr>
        <w:pStyle w:val="Style40"/>
        <w:keepNext w:val="0"/>
        <w:keepLines w:val="0"/>
        <w:widowControl w:val="0"/>
        <w:shd w:val="clear" w:color="auto" w:fill="auto"/>
        <w:tabs>
          <w:tab w:pos="425" w:val="left"/>
        </w:tabs>
        <w:bidi w:val="0"/>
        <w:spacing w:before="0" w:after="260" w:line="240" w:lineRule="auto"/>
        <w:ind w:left="0" w:right="0" w:firstLine="0"/>
        <w:jc w:val="left"/>
      </w:pPr>
      <w:bookmarkStart w:id="738" w:name="bookmark738"/>
      <w:r>
        <w:rPr>
          <w:rFonts w:ascii="Times New Roman" w:eastAsia="Times New Roman" w:hAnsi="Times New Roman" w:cs="Times New Roman"/>
          <w:b/>
          <w:bCs/>
          <w:color w:val="000000"/>
          <w:spacing w:val="0"/>
          <w:w w:val="100"/>
          <w:position w:val="0"/>
        </w:rPr>
        <w:t>1</w:t>
      </w:r>
      <w:bookmarkEnd w:id="73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投资性房地产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40"/>
        <w:keepNext w:val="0"/>
        <w:keepLines w:val="0"/>
        <w:widowControl w:val="0"/>
        <w:shd w:val="clear" w:color="auto" w:fill="auto"/>
        <w:tabs>
          <w:tab w:pos="425" w:val="left"/>
        </w:tabs>
        <w:bidi w:val="0"/>
        <w:spacing w:before="0" w:after="360" w:line="240" w:lineRule="auto"/>
        <w:ind w:left="0" w:right="0" w:firstLine="0"/>
        <w:jc w:val="left"/>
      </w:pPr>
      <w:bookmarkStart w:id="739" w:name="bookmark739"/>
      <w:r>
        <w:rPr>
          <w:rFonts w:ascii="Times New Roman" w:eastAsia="Times New Roman" w:hAnsi="Times New Roman" w:cs="Times New Roman"/>
          <w:b/>
          <w:bCs/>
          <w:color w:val="000000"/>
          <w:spacing w:val="0"/>
          <w:w w:val="100"/>
          <w:position w:val="0"/>
        </w:rPr>
        <w:t>1</w:t>
      </w:r>
      <w:bookmarkEnd w:id="73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固定资产</w:t>
      </w:r>
    </w:p>
    <w:p>
      <w:pPr>
        <w:pStyle w:val="Style40"/>
        <w:keepNext w:val="0"/>
        <w:keepLines w:val="0"/>
        <w:widowControl w:val="0"/>
        <w:shd w:val="clear" w:color="auto" w:fill="auto"/>
        <w:bidi w:val="0"/>
        <w:spacing w:before="0" w:after="260" w:line="240" w:lineRule="auto"/>
        <w:ind w:left="0" w:right="0" w:firstLine="0"/>
        <w:jc w:val="left"/>
      </w:pPr>
      <w:bookmarkStart w:id="740" w:name="bookmark740"/>
      <w:r>
        <w:rPr>
          <w:b/>
          <w:bCs/>
          <w:color w:val="000000"/>
          <w:spacing w:val="0"/>
          <w:w w:val="100"/>
          <w:position w:val="0"/>
        </w:rPr>
        <w:t>（</w:t>
      </w:r>
      <w:bookmarkEnd w:id="740"/>
      <w:r>
        <w:rPr>
          <w:rFonts w:ascii="Times New Roman" w:eastAsia="Times New Roman" w:hAnsi="Times New Roman" w:cs="Times New Roman"/>
          <w:b/>
          <w:bCs/>
          <w:color w:val="000000"/>
          <w:spacing w:val="0"/>
          <w:w w:val="100"/>
          <w:position w:val="0"/>
        </w:rPr>
        <w:t>1</w:t>
      </w:r>
      <w:r>
        <w:rPr>
          <w:b/>
          <w:bCs/>
          <w:color w:val="000000"/>
          <w:spacing w:val="0"/>
          <w:w w:val="100"/>
          <w:position w:val="0"/>
        </w:rPr>
        <w:t>）确认条件</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固定资产在同时满足下列条件时，按取得时的实际成本予以确认：①与该固定资产有关的经济利益很可能流入企业。②该固 定资产的成本能够可靠地计量。固定资产发生的后续支出，符合固定资产确认条件的计入固定资产成本；不符合固定资产确 认条件的在发生时计入当期损益。</w:t>
      </w:r>
    </w:p>
    <w:p>
      <w:pPr>
        <w:pStyle w:val="Style34"/>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4"/>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widowControl w:val="0"/>
        <w:spacing w:after="239" w:line="1" w:lineRule="exact"/>
      </w:pP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40"/>
        <w:keepNext w:val="0"/>
        <w:keepLines w:val="0"/>
        <w:widowControl w:val="0"/>
        <w:shd w:val="clear" w:color="auto" w:fill="auto"/>
        <w:tabs>
          <w:tab w:pos="469" w:val="left"/>
        </w:tabs>
        <w:bidi w:val="0"/>
        <w:spacing w:before="0" w:after="300" w:line="240" w:lineRule="auto"/>
        <w:ind w:left="0" w:right="0" w:firstLine="0"/>
        <w:jc w:val="both"/>
      </w:pPr>
      <w:bookmarkStart w:id="741" w:name="bookmark741"/>
      <w:r>
        <w:rPr>
          <w:rFonts w:ascii="Times New Roman" w:eastAsia="Times New Roman" w:hAnsi="Times New Roman" w:cs="Times New Roman"/>
          <w:b/>
          <w:bCs/>
          <w:color w:val="000000"/>
          <w:spacing w:val="0"/>
          <w:w w:val="100"/>
          <w:position w:val="0"/>
        </w:rPr>
        <w:t>1</w:t>
      </w:r>
      <w:bookmarkEnd w:id="74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在建工程</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313" w:lineRule="exact"/>
        <w:ind w:left="0" w:right="0" w:firstLine="0"/>
        <w:jc w:val="both"/>
      </w:pPr>
      <w:r>
        <w:rPr>
          <w:color w:val="000000"/>
          <w:spacing w:val="0"/>
          <w:w w:val="100"/>
          <w:position w:val="0"/>
        </w:rPr>
        <w:t>否</w:t>
      </w:r>
    </w:p>
    <w:p>
      <w:pPr>
        <w:pStyle w:val="Style51"/>
        <w:keepNext w:val="0"/>
        <w:keepLines w:val="0"/>
        <w:widowControl w:val="0"/>
        <w:shd w:val="clear" w:color="auto" w:fill="auto"/>
        <w:tabs>
          <w:tab w:pos="1006" w:val="left"/>
        </w:tabs>
        <w:bidi w:val="0"/>
        <w:spacing w:before="0" w:after="120" w:line="311" w:lineRule="exact"/>
        <w:ind w:left="0" w:right="0" w:firstLine="480"/>
        <w:jc w:val="both"/>
      </w:pPr>
      <w:bookmarkStart w:id="742" w:name="bookmark742"/>
      <w:r>
        <w:rPr>
          <w:color w:val="000000"/>
          <w:spacing w:val="0"/>
          <w:w w:val="100"/>
          <w:position w:val="0"/>
          <w:sz w:val="24"/>
          <w:szCs w:val="24"/>
        </w:rPr>
        <w:t>（</w:t>
      </w:r>
      <w:bookmarkEnd w:id="74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在建工程以立项项目分类核算。</w:t>
      </w:r>
    </w:p>
    <w:p>
      <w:pPr>
        <w:pStyle w:val="Style51"/>
        <w:keepNext w:val="0"/>
        <w:keepLines w:val="0"/>
        <w:widowControl w:val="0"/>
        <w:shd w:val="clear" w:color="auto" w:fill="auto"/>
        <w:tabs>
          <w:tab w:pos="1006" w:val="left"/>
        </w:tabs>
        <w:bidi w:val="0"/>
        <w:spacing w:before="0" w:after="120" w:line="311" w:lineRule="exact"/>
        <w:ind w:left="0" w:right="0" w:firstLine="480"/>
        <w:jc w:val="both"/>
      </w:pPr>
      <w:bookmarkStart w:id="743" w:name="bookmark743"/>
      <w:r>
        <w:rPr>
          <w:color w:val="000000"/>
          <w:spacing w:val="0"/>
          <w:w w:val="100"/>
          <w:position w:val="0"/>
          <w:sz w:val="24"/>
          <w:szCs w:val="24"/>
        </w:rPr>
        <w:t>（</w:t>
      </w:r>
      <w:bookmarkEnd w:id="74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在建工程结转为固定资产的标准和时点</w:t>
      </w:r>
    </w:p>
    <w:p>
      <w:pPr>
        <w:pStyle w:val="Style51"/>
        <w:keepNext w:val="0"/>
        <w:keepLines w:val="0"/>
        <w:widowControl w:val="0"/>
        <w:shd w:val="clear" w:color="auto" w:fill="auto"/>
        <w:bidi w:val="0"/>
        <w:spacing w:before="0" w:after="640" w:line="311" w:lineRule="exact"/>
        <w:ind w:left="0" w:right="0" w:firstLine="480"/>
        <w:jc w:val="both"/>
      </w:pPr>
      <w:r>
        <w:rPr>
          <w:color w:val="000000"/>
          <w:spacing w:val="0"/>
          <w:w w:val="100"/>
          <w:position w:val="0"/>
          <w:sz w:val="24"/>
          <w:szCs w:val="24"/>
        </w:rPr>
        <w:t>在建工程项目按建造该项资产达到预定可使用状态前所发生的全部支出，作为固定资产 的入账价值。包括建筑费用、机器设备原价、其他为使在建工程达到预定可使用状态所发生 的必要支出以及在资产达到预定可使用状态之前为该项目专门借款所发生的借款费用及占用 的一般借款发生的借款费用。本公司在工程安装或建设完成达到预定可使用状态时将在建工 程转入固定资产。所建造的已达到预定可使用状态、但尚未办理竣工决算的固定资产，自达 到预定可使用状态之日起，根据工程预算、造价或者工程实际成本等，按估计的价值转入固 定资产，并按本公司固定资产折旧政策计提固定资产的折旧，待办理竣工决算后，再按实际 成本调整原来的暂估价值，但不调整原已计提的折旧额。</w:t>
      </w:r>
    </w:p>
    <w:p>
      <w:pPr>
        <w:pStyle w:val="Style40"/>
        <w:keepNext w:val="0"/>
        <w:keepLines w:val="0"/>
        <w:widowControl w:val="0"/>
        <w:shd w:val="clear" w:color="auto" w:fill="auto"/>
        <w:tabs>
          <w:tab w:pos="469" w:val="left"/>
        </w:tabs>
        <w:bidi w:val="0"/>
        <w:spacing w:before="0" w:after="300" w:line="240" w:lineRule="auto"/>
        <w:ind w:left="0" w:right="0" w:firstLine="0"/>
        <w:jc w:val="both"/>
      </w:pPr>
      <w:bookmarkStart w:id="744" w:name="bookmark744"/>
      <w:r>
        <w:rPr>
          <w:rFonts w:ascii="Times New Roman" w:eastAsia="Times New Roman" w:hAnsi="Times New Roman" w:cs="Times New Roman"/>
          <w:b/>
          <w:bCs/>
          <w:color w:val="000000"/>
          <w:spacing w:val="0"/>
          <w:w w:val="100"/>
          <w:position w:val="0"/>
        </w:rPr>
        <w:t>1</w:t>
      </w:r>
      <w:bookmarkEnd w:id="74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借款费用</w:t>
      </w:r>
    </w:p>
    <w:p>
      <w:pPr>
        <w:pStyle w:val="Style26"/>
        <w:keepNext/>
        <w:keepLines/>
        <w:widowControl w:val="0"/>
        <w:shd w:val="clear" w:color="auto" w:fill="auto"/>
        <w:bidi w:val="0"/>
        <w:spacing w:before="0" w:after="120" w:line="311" w:lineRule="exact"/>
        <w:ind w:left="0" w:right="0" w:firstLine="480"/>
        <w:jc w:val="left"/>
      </w:pPr>
      <w:bookmarkStart w:id="745" w:name="bookmark745"/>
      <w:bookmarkStart w:id="746" w:name="bookmark746"/>
      <w:bookmarkStart w:id="747" w:name="bookmark747"/>
      <w:bookmarkStart w:id="748" w:name="bookmark748"/>
      <w:r>
        <w:rPr>
          <w:color w:val="000000"/>
          <w:spacing w:val="0"/>
          <w:w w:val="100"/>
          <w:position w:val="0"/>
          <w:sz w:val="24"/>
          <w:szCs w:val="24"/>
        </w:rPr>
        <w:t>（</w:t>
      </w:r>
      <w:bookmarkEnd w:id="74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）借款费用资本化的确认原则和资本化期间</w:t>
      </w:r>
      <w:bookmarkEnd w:id="745"/>
      <w:bookmarkEnd w:id="746"/>
      <w:bookmarkEnd w:id="748"/>
    </w:p>
    <w:p>
      <w:pPr>
        <w:pStyle w:val="Style51"/>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4"/>
          <w:szCs w:val="24"/>
        </w:rPr>
        <w:t>本公司发生的可直接归属于符合资本化条件的资产的购建或生产的借款费用在同时满足 下列条件时予以资本化计入相关资产成本：</w:t>
      </w:r>
    </w:p>
    <w:p>
      <w:pPr>
        <w:pStyle w:val="Style51"/>
        <w:keepNext w:val="0"/>
        <w:keepLines w:val="0"/>
        <w:widowControl w:val="0"/>
        <w:numPr>
          <w:ilvl w:val="0"/>
          <w:numId w:val="57"/>
        </w:numPr>
        <w:shd w:val="clear" w:color="auto" w:fill="auto"/>
        <w:tabs>
          <w:tab w:pos="901" w:val="left"/>
        </w:tabs>
        <w:bidi w:val="0"/>
        <w:spacing w:before="0" w:after="120" w:line="311" w:lineRule="exact"/>
        <w:ind w:left="0" w:right="0" w:firstLine="480"/>
        <w:jc w:val="both"/>
      </w:pPr>
      <w:bookmarkStart w:id="749" w:name="bookmark749"/>
      <w:bookmarkEnd w:id="749"/>
      <w:r>
        <w:rPr>
          <w:color w:val="000000"/>
          <w:spacing w:val="0"/>
          <w:w w:val="100"/>
          <w:position w:val="0"/>
          <w:sz w:val="24"/>
          <w:szCs w:val="24"/>
        </w:rPr>
        <w:t>资产支出已经发生；</w:t>
      </w:r>
    </w:p>
    <w:p>
      <w:pPr>
        <w:pStyle w:val="Style51"/>
        <w:keepNext w:val="0"/>
        <w:keepLines w:val="0"/>
        <w:widowControl w:val="0"/>
        <w:numPr>
          <w:ilvl w:val="0"/>
          <w:numId w:val="57"/>
        </w:numPr>
        <w:shd w:val="clear" w:color="auto" w:fill="auto"/>
        <w:tabs>
          <w:tab w:pos="901" w:val="left"/>
        </w:tabs>
        <w:bidi w:val="0"/>
        <w:spacing w:before="0" w:after="120" w:line="311" w:lineRule="exact"/>
        <w:ind w:left="0" w:right="0" w:firstLine="480"/>
        <w:jc w:val="both"/>
      </w:pPr>
      <w:bookmarkStart w:id="750" w:name="bookmark750"/>
      <w:bookmarkEnd w:id="750"/>
      <w:r>
        <w:rPr>
          <w:color w:val="000000"/>
          <w:spacing w:val="0"/>
          <w:w w:val="100"/>
          <w:position w:val="0"/>
          <w:sz w:val="24"/>
          <w:szCs w:val="24"/>
        </w:rPr>
        <w:t>借款费用已经发生；</w:t>
      </w:r>
    </w:p>
    <w:p>
      <w:pPr>
        <w:pStyle w:val="Style51"/>
        <w:keepNext w:val="0"/>
        <w:keepLines w:val="0"/>
        <w:widowControl w:val="0"/>
        <w:numPr>
          <w:ilvl w:val="0"/>
          <w:numId w:val="57"/>
        </w:numPr>
        <w:shd w:val="clear" w:color="auto" w:fill="auto"/>
        <w:tabs>
          <w:tab w:pos="901" w:val="left"/>
        </w:tabs>
        <w:bidi w:val="0"/>
        <w:spacing w:before="0" w:after="120" w:line="311" w:lineRule="exact"/>
        <w:ind w:left="0" w:right="0" w:firstLine="480"/>
        <w:jc w:val="both"/>
      </w:pPr>
      <w:bookmarkStart w:id="751" w:name="bookmark751"/>
      <w:bookmarkEnd w:id="751"/>
      <w:r>
        <w:rPr>
          <w:color w:val="000000"/>
          <w:spacing w:val="0"/>
          <w:w w:val="100"/>
          <w:position w:val="0"/>
          <w:sz w:val="24"/>
          <w:szCs w:val="24"/>
        </w:rPr>
        <w:t>为使资产达到预定可使用状态所必要的购建或者生产活动已经开始。</w:t>
      </w:r>
    </w:p>
    <w:p>
      <w:pPr>
        <w:pStyle w:val="Style51"/>
        <w:keepNext w:val="0"/>
        <w:keepLines w:val="0"/>
        <w:widowControl w:val="0"/>
        <w:shd w:val="clear" w:color="auto" w:fill="auto"/>
        <w:bidi w:val="0"/>
        <w:spacing w:before="0" w:after="100"/>
        <w:ind w:left="0" w:right="0" w:firstLine="500"/>
        <w:jc w:val="left"/>
      </w:pPr>
      <w:r>
        <w:rPr>
          <w:color w:val="000000"/>
          <w:spacing w:val="0"/>
          <w:w w:val="100"/>
          <w:position w:val="0"/>
          <w:sz w:val="24"/>
          <w:szCs w:val="24"/>
        </w:rPr>
        <w:t>其他的借款利息、折价或溢价和汇兑差额，计入发生当期的损益。</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个月的，暂停借款费用的资本化。</w:t>
      </w:r>
    </w:p>
    <w:p>
      <w:pPr>
        <w:pStyle w:val="Style51"/>
        <w:keepNext w:val="0"/>
        <w:keepLines w:val="0"/>
        <w:widowControl w:val="0"/>
        <w:shd w:val="clear" w:color="auto" w:fill="auto"/>
        <w:bidi w:val="0"/>
        <w:spacing w:before="0" w:after="100" w:line="307" w:lineRule="exact"/>
        <w:ind w:left="0" w:right="0" w:firstLine="500"/>
        <w:jc w:val="both"/>
      </w:pPr>
      <w:r>
        <w:rPr>
          <w:color w:val="000000"/>
          <w:spacing w:val="0"/>
          <w:w w:val="100"/>
          <w:position w:val="0"/>
          <w:sz w:val="24"/>
          <w:szCs w:val="24"/>
        </w:rPr>
        <w:t>当购建或者生产符合资本化条件的资产达到预定可使用或者可销售状态时，停止其借款 费用的资本化；以后发生的借款费用于发生当期确认为费用。</w:t>
      </w:r>
    </w:p>
    <w:p>
      <w:pPr>
        <w:pStyle w:val="Style51"/>
        <w:keepNext w:val="0"/>
        <w:keepLines w:val="0"/>
        <w:widowControl w:val="0"/>
        <w:shd w:val="clear" w:color="auto" w:fill="auto"/>
        <w:bidi w:val="0"/>
        <w:spacing w:before="0" w:after="100"/>
        <w:ind w:left="0" w:right="0" w:firstLine="500"/>
        <w:jc w:val="left"/>
      </w:pPr>
      <w:bookmarkStart w:id="752" w:name="bookmark752"/>
      <w:r>
        <w:rPr>
          <w:b/>
          <w:bCs/>
          <w:color w:val="000000"/>
          <w:spacing w:val="0"/>
          <w:w w:val="100"/>
          <w:position w:val="0"/>
          <w:sz w:val="24"/>
          <w:szCs w:val="24"/>
        </w:rPr>
        <w:t>（</w:t>
      </w:r>
      <w:bookmarkEnd w:id="75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）借款费用资本化率以及资本化金额的计算方法</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为购建或者生产符合资本化条件的资产而借入专门借款的，以专门借款当期实际发生的 利息费用，减去将尚未动用的借款资金存入银行取得的利息收入或者进行暂时性投资取得的 投资收益后的金额，确定为专门借款利息费用的资本化金额。</w:t>
      </w:r>
    </w:p>
    <w:p>
      <w:pPr>
        <w:pStyle w:val="Style51"/>
        <w:keepNext w:val="0"/>
        <w:keepLines w:val="0"/>
        <w:widowControl w:val="0"/>
        <w:shd w:val="clear" w:color="auto" w:fill="auto"/>
        <w:bidi w:val="0"/>
        <w:spacing w:before="0" w:after="340"/>
        <w:ind w:left="0" w:right="0" w:firstLine="0"/>
        <w:jc w:val="left"/>
      </w:pPr>
      <w:r>
        <w:rPr>
          <w:color w:val="000000"/>
          <w:spacing w:val="0"/>
          <w:w w:val="100"/>
          <w:position w:val="0"/>
          <w:sz w:val="24"/>
          <w:szCs w:val="24"/>
        </w:rPr>
        <w:t>购建或者生产符合资本化条件的资产占用了一般借款的，一般借款应予资本化的利息金额按 累计资产支出超过专门借款部分的资产支出加权平均数乘以所占用一般借款的资本化率，计 算确定一般借款应予资本化的利息金额。资本化率根据一般借款加权平均利率计算确定。</w:t>
      </w:r>
    </w:p>
    <w:p>
      <w:pPr>
        <w:pStyle w:val="Style40"/>
        <w:keepNext w:val="0"/>
        <w:keepLines w:val="0"/>
        <w:widowControl w:val="0"/>
        <w:shd w:val="clear" w:color="auto" w:fill="auto"/>
        <w:tabs>
          <w:tab w:pos="469" w:val="left"/>
        </w:tabs>
        <w:bidi w:val="0"/>
        <w:spacing w:before="0" w:after="340" w:line="240" w:lineRule="auto"/>
        <w:ind w:left="0" w:right="0" w:firstLine="0"/>
        <w:jc w:val="left"/>
      </w:pPr>
      <w:bookmarkStart w:id="753" w:name="bookmark753"/>
      <w:r>
        <w:rPr>
          <w:rFonts w:ascii="Times New Roman" w:eastAsia="Times New Roman" w:hAnsi="Times New Roman" w:cs="Times New Roman"/>
          <w:b/>
          <w:bCs/>
          <w:color w:val="000000"/>
          <w:spacing w:val="0"/>
          <w:w w:val="100"/>
          <w:position w:val="0"/>
        </w:rPr>
        <w:t>1</w:t>
      </w:r>
      <w:bookmarkEnd w:id="75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40"/>
        <w:keepNext w:val="0"/>
        <w:keepLines w:val="0"/>
        <w:widowControl w:val="0"/>
        <w:shd w:val="clear" w:color="auto" w:fill="auto"/>
        <w:tabs>
          <w:tab w:pos="478" w:val="left"/>
        </w:tabs>
        <w:bidi w:val="0"/>
        <w:spacing w:before="0" w:after="340" w:line="240" w:lineRule="auto"/>
        <w:ind w:left="0" w:right="0" w:firstLine="0"/>
        <w:jc w:val="left"/>
      </w:pPr>
      <w:bookmarkStart w:id="754" w:name="bookmark754"/>
      <w:r>
        <w:rPr>
          <w:rFonts w:ascii="Times New Roman" w:eastAsia="Times New Roman" w:hAnsi="Times New Roman" w:cs="Times New Roman"/>
          <w:b/>
          <w:bCs/>
          <w:color w:val="000000"/>
          <w:spacing w:val="0"/>
          <w:w w:val="100"/>
          <w:position w:val="0"/>
        </w:rPr>
        <w:t>2</w:t>
      </w:r>
      <w:bookmarkEnd w:id="754"/>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40"/>
        <w:keepNext w:val="0"/>
        <w:keepLines w:val="0"/>
        <w:widowControl w:val="0"/>
        <w:shd w:val="clear" w:color="auto" w:fill="auto"/>
        <w:tabs>
          <w:tab w:pos="478" w:val="left"/>
        </w:tabs>
        <w:bidi w:val="0"/>
        <w:spacing w:before="0" w:after="340" w:line="240" w:lineRule="auto"/>
        <w:ind w:left="0" w:right="0" w:firstLine="0"/>
        <w:jc w:val="left"/>
      </w:pPr>
      <w:bookmarkStart w:id="755" w:name="bookmark755"/>
      <w:r>
        <w:rPr>
          <w:rFonts w:ascii="Times New Roman" w:eastAsia="Times New Roman" w:hAnsi="Times New Roman" w:cs="Times New Roman"/>
          <w:b/>
          <w:bCs/>
          <w:color w:val="000000"/>
          <w:spacing w:val="0"/>
          <w:w w:val="100"/>
          <w:position w:val="0"/>
        </w:rPr>
        <w:t>2</w:t>
      </w:r>
      <w:bookmarkEnd w:id="75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40"/>
        <w:keepNext w:val="0"/>
        <w:keepLines w:val="0"/>
        <w:widowControl w:val="0"/>
        <w:shd w:val="clear" w:color="auto" w:fill="auto"/>
        <w:bidi w:val="0"/>
        <w:spacing w:before="0" w:after="340" w:line="240" w:lineRule="auto"/>
        <w:ind w:left="0" w:right="0" w:firstLine="0"/>
        <w:jc w:val="left"/>
      </w:pPr>
      <w:bookmarkStart w:id="756" w:name="bookmark756"/>
      <w:r>
        <w:rPr>
          <w:b/>
          <w:bCs/>
          <w:color w:val="000000"/>
          <w:spacing w:val="0"/>
          <w:w w:val="100"/>
          <w:position w:val="0"/>
        </w:rPr>
        <w:t>（</w:t>
      </w:r>
      <w:bookmarkEnd w:id="756"/>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keepLines/>
        <w:widowControl w:val="0"/>
        <w:shd w:val="clear" w:color="auto" w:fill="auto"/>
        <w:tabs>
          <w:tab w:pos="1031" w:val="left"/>
        </w:tabs>
        <w:bidi w:val="0"/>
        <w:spacing w:before="0" w:after="100" w:line="312" w:lineRule="exact"/>
        <w:ind w:left="0" w:right="0" w:firstLine="500"/>
        <w:jc w:val="left"/>
      </w:pPr>
      <w:bookmarkStart w:id="757" w:name="bookmark757"/>
      <w:bookmarkStart w:id="758" w:name="bookmark758"/>
      <w:bookmarkStart w:id="759" w:name="bookmark759"/>
      <w:bookmarkStart w:id="760" w:name="bookmark760"/>
      <w:r>
        <w:rPr>
          <w:color w:val="000000"/>
          <w:spacing w:val="0"/>
          <w:w w:val="100"/>
          <w:position w:val="0"/>
          <w:sz w:val="24"/>
          <w:szCs w:val="24"/>
        </w:rPr>
        <w:t>（</w:t>
      </w:r>
      <w:bookmarkEnd w:id="75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无形资产的计价方法</w:t>
      </w:r>
      <w:bookmarkEnd w:id="757"/>
      <w:bookmarkEnd w:id="758"/>
      <w:bookmarkEnd w:id="760"/>
    </w:p>
    <w:p>
      <w:pPr>
        <w:pStyle w:val="Style51"/>
        <w:keepNext w:val="0"/>
        <w:keepLines w:val="0"/>
        <w:widowControl w:val="0"/>
        <w:shd w:val="clear" w:color="auto" w:fill="auto"/>
        <w:bidi w:val="0"/>
        <w:spacing w:before="0" w:after="100"/>
        <w:ind w:left="0" w:right="0" w:firstLine="500"/>
        <w:jc w:val="left"/>
      </w:pPr>
      <w:r>
        <w:rPr>
          <w:color w:val="000000"/>
          <w:spacing w:val="0"/>
          <w:w w:val="100"/>
          <w:position w:val="0"/>
          <w:sz w:val="24"/>
          <w:szCs w:val="24"/>
        </w:rPr>
        <w:t>按取得时的实际成本入账。</w:t>
      </w:r>
    </w:p>
    <w:p>
      <w:pPr>
        <w:pStyle w:val="Style51"/>
        <w:keepNext w:val="0"/>
        <w:keepLines w:val="0"/>
        <w:widowControl w:val="0"/>
        <w:shd w:val="clear" w:color="auto" w:fill="auto"/>
        <w:tabs>
          <w:tab w:pos="1031" w:val="left"/>
        </w:tabs>
        <w:bidi w:val="0"/>
        <w:spacing w:before="0" w:after="140"/>
        <w:ind w:left="0" w:right="0" w:firstLine="500"/>
        <w:jc w:val="left"/>
      </w:pPr>
      <w:bookmarkStart w:id="761" w:name="bookmark761"/>
      <w:r>
        <w:rPr>
          <w:b/>
          <w:bCs/>
          <w:color w:val="000000"/>
          <w:spacing w:val="0"/>
          <w:w w:val="100"/>
          <w:position w:val="0"/>
          <w:sz w:val="24"/>
          <w:szCs w:val="24"/>
        </w:rPr>
        <w:t>（</w:t>
      </w:r>
      <w:bookmarkEnd w:id="76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无形资产使用寿命及摊销</w:t>
      </w:r>
    </w:p>
    <w:p>
      <w:pPr>
        <w:pStyle w:val="Style34"/>
        <w:keepNext w:val="0"/>
        <w:keepLines w:val="0"/>
        <w:widowControl w:val="0"/>
        <w:shd w:val="clear" w:color="auto" w:fill="auto"/>
        <w:bidi w:val="0"/>
        <w:spacing w:before="0" w:after="0" w:line="240" w:lineRule="auto"/>
        <w:ind w:left="470" w:right="0" w:firstLine="0"/>
        <w:jc w:val="left"/>
        <w:rPr>
          <w:sz w:val="24"/>
          <w:szCs w:val="24"/>
        </w:rPr>
      </w:pPr>
      <w:r>
        <w:rPr>
          <w:color w:val="000000"/>
          <w:spacing w:val="0"/>
          <w:w w:val="100"/>
          <w:position w:val="0"/>
          <w:sz w:val="24"/>
          <w:szCs w:val="24"/>
        </w:rPr>
        <w:t>①使用寿命有限的无形资产的使用寿命估计情况:</w:t>
      </w:r>
    </w:p>
    <w:tbl>
      <w:tblPr>
        <w:tblOverlap w:val="never"/>
        <w:jc w:val="center"/>
        <w:tblLayout w:type="fixed"/>
      </w:tblPr>
      <w:tblGrid>
        <w:gridCol w:w="2501"/>
        <w:gridCol w:w="1930"/>
        <w:gridCol w:w="4896"/>
      </w:tblGrid>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法定使用权</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widowControl w:val="0"/>
        <w:spacing w:after="99" w:line="1" w:lineRule="exact"/>
      </w:pP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每年年度终了，公司对使用寿命有限的无形资产的使用寿命及摊销方法进行复核。经复 核，本期末无形资产的使用寿命及摊销方法与以前估计未有不同。</w:t>
      </w:r>
    </w:p>
    <w:p>
      <w:pPr>
        <w:pStyle w:val="Style51"/>
        <w:keepNext w:val="0"/>
        <w:keepLines w:val="0"/>
        <w:widowControl w:val="0"/>
        <w:numPr>
          <w:ilvl w:val="0"/>
          <w:numId w:val="59"/>
        </w:numPr>
        <w:shd w:val="clear" w:color="auto" w:fill="auto"/>
        <w:tabs>
          <w:tab w:pos="901" w:val="left"/>
        </w:tabs>
        <w:bidi w:val="0"/>
        <w:spacing w:before="0" w:after="100" w:line="314" w:lineRule="exact"/>
        <w:ind w:left="0" w:right="0" w:firstLine="500"/>
        <w:jc w:val="both"/>
      </w:pPr>
      <w:bookmarkStart w:id="762" w:name="bookmark762"/>
      <w:bookmarkEnd w:id="762"/>
      <w:r>
        <w:rPr>
          <w:color w:val="000000"/>
          <w:spacing w:val="0"/>
          <w:w w:val="100"/>
          <w:position w:val="0"/>
          <w:sz w:val="24"/>
          <w:szCs w:val="24"/>
        </w:rPr>
        <w:t>无法预见无形资产为企业带来经济利益期限的，视为使用寿命不确定的无形资产。对 于使用寿命不确定的无形资产，公司在每年年度终了对使用寿命不确定的无形资产的使用寿 命进行复核，如果重新复核后仍为不确定的，于在资产负债表日进行减值测试。</w:t>
      </w:r>
    </w:p>
    <w:p>
      <w:pPr>
        <w:pStyle w:val="Style51"/>
        <w:keepNext w:val="0"/>
        <w:keepLines w:val="0"/>
        <w:widowControl w:val="0"/>
        <w:numPr>
          <w:ilvl w:val="0"/>
          <w:numId w:val="59"/>
        </w:numPr>
        <w:shd w:val="clear" w:color="auto" w:fill="auto"/>
        <w:tabs>
          <w:tab w:pos="921" w:val="left"/>
        </w:tabs>
        <w:bidi w:val="0"/>
        <w:spacing w:before="0" w:after="100" w:line="314" w:lineRule="exact"/>
        <w:ind w:left="0" w:right="0" w:firstLine="500"/>
        <w:jc w:val="left"/>
      </w:pPr>
      <w:bookmarkStart w:id="763" w:name="bookmark763"/>
      <w:bookmarkEnd w:id="763"/>
      <w:r>
        <w:rPr>
          <w:color w:val="000000"/>
          <w:spacing w:val="0"/>
          <w:w w:val="100"/>
          <w:position w:val="0"/>
          <w:sz w:val="24"/>
          <w:szCs w:val="24"/>
        </w:rPr>
        <w:t>无形资产的摊销</w:t>
      </w:r>
    </w:p>
    <w:p>
      <w:pPr>
        <w:pStyle w:val="Style51"/>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 xml:space="preserve">对于使用寿命有限的无形资产，本公司在取得时判定其使用寿命，在使用寿命内采用直 线法系统合理摊销，摊销金额按受益项目计入当期损益。具体应摊销金额为其成本扣除预计 残值后的金额。已计提减值准备的无形资产，还应扣除已计提的无形资产减值准备累计金额, </w:t>
      </w:r>
      <w:r>
        <w:rPr>
          <w:color w:val="000000"/>
          <w:spacing w:val="0"/>
          <w:w w:val="100"/>
          <w:position w:val="0"/>
          <w:sz w:val="24"/>
          <w:szCs w:val="24"/>
        </w:rPr>
        <w:t>残值为零。但下列情况除外：有第三方承诺在无形资产使用寿命结束时购买该无形资产或可 以根据活跃市场得到预计残值信息，并且该市场在无形资产使用寿命结束时很可能存在。</w:t>
      </w:r>
    </w:p>
    <w:p>
      <w:pPr>
        <w:pStyle w:val="Style51"/>
        <w:keepNext w:val="0"/>
        <w:keepLines w:val="0"/>
        <w:widowControl w:val="0"/>
        <w:shd w:val="clear" w:color="auto" w:fill="auto"/>
        <w:bidi w:val="0"/>
        <w:spacing w:before="0" w:after="640"/>
        <w:ind w:left="0" w:right="0" w:firstLine="500"/>
        <w:jc w:val="both"/>
      </w:pPr>
      <w:r>
        <w:rPr>
          <w:color w:val="000000"/>
          <w:spacing w:val="0"/>
          <w:w w:val="100"/>
          <w:position w:val="0"/>
          <w:sz w:val="24"/>
          <w:szCs w:val="24"/>
        </w:rPr>
        <w:t>对使用寿命不确定的无形资产，不予摊销。每年年度终了对使用寿命不确定的无形资产 的使用寿命进行复核，如果有证据表明无形资产的使用寿命是有限的，估计其使用寿命并在 预计使用年限内系统合理摊销。</w:t>
      </w:r>
    </w:p>
    <w:p>
      <w:pPr>
        <w:pStyle w:val="Style40"/>
        <w:keepNext w:val="0"/>
        <w:keepLines w:val="0"/>
        <w:widowControl w:val="0"/>
        <w:numPr>
          <w:ilvl w:val="0"/>
          <w:numId w:val="61"/>
        </w:numPr>
        <w:shd w:val="clear" w:color="auto" w:fill="auto"/>
        <w:bidi w:val="0"/>
        <w:spacing w:before="0" w:after="320" w:line="240" w:lineRule="auto"/>
        <w:ind w:left="0" w:right="0" w:firstLine="0"/>
        <w:jc w:val="both"/>
      </w:pPr>
      <w:bookmarkStart w:id="764" w:name="bookmark764"/>
      <w:bookmarkEnd w:id="764"/>
      <w:r>
        <w:rPr>
          <w:b/>
          <w:bCs/>
          <w:color w:val="000000"/>
          <w:spacing w:val="0"/>
          <w:w w:val="100"/>
          <w:position w:val="0"/>
        </w:rPr>
        <w:t>内部研究开发支出会计政策</w:t>
      </w:r>
    </w:p>
    <w:p>
      <w:pPr>
        <w:pStyle w:val="Style51"/>
        <w:keepNext w:val="0"/>
        <w:keepLines w:val="0"/>
        <w:widowControl w:val="0"/>
        <w:numPr>
          <w:ilvl w:val="0"/>
          <w:numId w:val="63"/>
        </w:numPr>
        <w:shd w:val="clear" w:color="auto" w:fill="auto"/>
        <w:tabs>
          <w:tab w:pos="901" w:val="left"/>
        </w:tabs>
        <w:bidi w:val="0"/>
        <w:spacing w:before="0" w:after="120"/>
        <w:ind w:left="0" w:right="0" w:firstLine="500"/>
        <w:jc w:val="both"/>
      </w:pPr>
      <w:bookmarkStart w:id="765" w:name="bookmark765"/>
      <w:bookmarkEnd w:id="765"/>
      <w:r>
        <w:rPr>
          <w:color w:val="000000"/>
          <w:spacing w:val="0"/>
          <w:w w:val="100"/>
          <w:position w:val="0"/>
          <w:sz w:val="24"/>
          <w:szCs w:val="24"/>
        </w:rPr>
        <w:t>本公司将为进一步开发活动进行的资料及相关方面的准备活动作为研究阶段，无形资 产研究阶段的支出在发生时计入当期损益。</w:t>
      </w:r>
    </w:p>
    <w:p>
      <w:pPr>
        <w:pStyle w:val="Style51"/>
        <w:keepNext w:val="0"/>
        <w:keepLines w:val="0"/>
        <w:widowControl w:val="0"/>
        <w:numPr>
          <w:ilvl w:val="0"/>
          <w:numId w:val="63"/>
        </w:numPr>
        <w:shd w:val="clear" w:color="auto" w:fill="auto"/>
        <w:tabs>
          <w:tab w:pos="861" w:val="left"/>
        </w:tabs>
        <w:bidi w:val="0"/>
        <w:spacing w:before="0" w:after="120"/>
        <w:ind w:left="0" w:right="0" w:firstLine="440"/>
        <w:jc w:val="both"/>
      </w:pPr>
      <w:bookmarkStart w:id="766" w:name="bookmark766"/>
      <w:bookmarkEnd w:id="766"/>
      <w:r>
        <w:rPr>
          <w:color w:val="000000"/>
          <w:spacing w:val="0"/>
          <w:w w:val="100"/>
          <w:position w:val="0"/>
          <w:sz w:val="24"/>
          <w:szCs w:val="24"/>
        </w:rPr>
        <w:t>在本公司已完成研究阶段的工作后再进行的开发活动作为开发阶段。</w:t>
      </w:r>
    </w:p>
    <w:p>
      <w:pPr>
        <w:pStyle w:val="Style51"/>
        <w:keepNext w:val="0"/>
        <w:keepLines w:val="0"/>
        <w:widowControl w:val="0"/>
        <w:shd w:val="clear" w:color="auto" w:fill="auto"/>
        <w:bidi w:val="0"/>
        <w:spacing w:before="0" w:after="120"/>
        <w:ind w:left="0" w:right="0" w:firstLine="440"/>
        <w:jc w:val="both"/>
      </w:pPr>
      <w:r>
        <w:rPr>
          <w:b/>
          <w:bCs/>
          <w:color w:val="000000"/>
          <w:spacing w:val="0"/>
          <w:w w:val="100"/>
          <w:position w:val="0"/>
          <w:sz w:val="24"/>
          <w:szCs w:val="24"/>
        </w:rPr>
        <w:t>开发阶段支出资本化的具体条件</w:t>
      </w:r>
    </w:p>
    <w:p>
      <w:pPr>
        <w:pStyle w:val="Style51"/>
        <w:keepNext w:val="0"/>
        <w:keepLines w:val="0"/>
        <w:widowControl w:val="0"/>
        <w:shd w:val="clear" w:color="auto" w:fill="auto"/>
        <w:bidi w:val="0"/>
        <w:spacing w:before="0" w:after="120"/>
        <w:ind w:left="0" w:right="0" w:firstLine="440"/>
        <w:jc w:val="both"/>
      </w:pPr>
      <w:r>
        <w:rPr>
          <w:color w:val="000000"/>
          <w:spacing w:val="0"/>
          <w:w w:val="100"/>
          <w:position w:val="0"/>
          <w:sz w:val="24"/>
          <w:szCs w:val="24"/>
        </w:rPr>
        <w:t>开发阶段的支出同时满足下列条件时，才能确认为无形资产：</w:t>
      </w:r>
    </w:p>
    <w:p>
      <w:pPr>
        <w:pStyle w:val="Style51"/>
        <w:keepNext w:val="0"/>
        <w:keepLines w:val="0"/>
        <w:widowControl w:val="0"/>
        <w:numPr>
          <w:ilvl w:val="0"/>
          <w:numId w:val="65"/>
        </w:numPr>
        <w:shd w:val="clear" w:color="auto" w:fill="auto"/>
        <w:tabs>
          <w:tab w:pos="846" w:val="left"/>
        </w:tabs>
        <w:bidi w:val="0"/>
        <w:spacing w:before="0" w:after="120"/>
        <w:ind w:left="0" w:right="0" w:firstLine="440"/>
        <w:jc w:val="both"/>
      </w:pPr>
      <w:bookmarkStart w:id="767" w:name="bookmark767"/>
      <w:bookmarkEnd w:id="767"/>
      <w:r>
        <w:rPr>
          <w:color w:val="000000"/>
          <w:spacing w:val="0"/>
          <w:w w:val="100"/>
          <w:position w:val="0"/>
          <w:sz w:val="24"/>
          <w:szCs w:val="24"/>
        </w:rPr>
        <w:t>完成该无形资产以使其能够使用或出售在技术上具有可行性；</w:t>
      </w:r>
    </w:p>
    <w:p>
      <w:pPr>
        <w:pStyle w:val="Style51"/>
        <w:keepNext w:val="0"/>
        <w:keepLines w:val="0"/>
        <w:widowControl w:val="0"/>
        <w:numPr>
          <w:ilvl w:val="0"/>
          <w:numId w:val="65"/>
        </w:numPr>
        <w:shd w:val="clear" w:color="auto" w:fill="auto"/>
        <w:tabs>
          <w:tab w:pos="846" w:val="left"/>
        </w:tabs>
        <w:bidi w:val="0"/>
        <w:spacing w:before="0" w:after="120"/>
        <w:ind w:left="0" w:right="0" w:firstLine="440"/>
        <w:jc w:val="both"/>
      </w:pPr>
      <w:bookmarkStart w:id="768" w:name="bookmark768"/>
      <w:bookmarkEnd w:id="768"/>
      <w:r>
        <w:rPr>
          <w:color w:val="000000"/>
          <w:spacing w:val="0"/>
          <w:w w:val="100"/>
          <w:position w:val="0"/>
          <w:sz w:val="24"/>
          <w:szCs w:val="24"/>
        </w:rPr>
        <w:t>具有完成该无形资产并使用或出售的意图；</w:t>
      </w:r>
    </w:p>
    <w:p>
      <w:pPr>
        <w:pStyle w:val="Style51"/>
        <w:keepNext w:val="0"/>
        <w:keepLines w:val="0"/>
        <w:widowControl w:val="0"/>
        <w:numPr>
          <w:ilvl w:val="0"/>
          <w:numId w:val="65"/>
        </w:numPr>
        <w:shd w:val="clear" w:color="auto" w:fill="auto"/>
        <w:tabs>
          <w:tab w:pos="886" w:val="left"/>
        </w:tabs>
        <w:bidi w:val="0"/>
        <w:spacing w:before="0" w:after="120" w:line="326" w:lineRule="exact"/>
        <w:ind w:left="0" w:right="0" w:firstLine="500"/>
        <w:jc w:val="both"/>
      </w:pPr>
      <w:bookmarkStart w:id="769" w:name="bookmark769"/>
      <w:bookmarkEnd w:id="769"/>
      <w:r>
        <w:rPr>
          <w:color w:val="000000"/>
          <w:spacing w:val="0"/>
          <w:w w:val="100"/>
          <w:position w:val="0"/>
          <w:sz w:val="24"/>
          <w:szCs w:val="24"/>
        </w:rPr>
        <w:t>无形资产产生经济利益的方式，包括能够证明运用该无形资产生产的产品存在市场或 无形资产自身存在市场，无形资产将在内部使用的，能够证明其有用性；</w:t>
      </w:r>
    </w:p>
    <w:p>
      <w:pPr>
        <w:pStyle w:val="Style51"/>
        <w:keepNext w:val="0"/>
        <w:keepLines w:val="0"/>
        <w:widowControl w:val="0"/>
        <w:numPr>
          <w:ilvl w:val="0"/>
          <w:numId w:val="65"/>
        </w:numPr>
        <w:shd w:val="clear" w:color="auto" w:fill="auto"/>
        <w:tabs>
          <w:tab w:pos="877" w:val="left"/>
        </w:tabs>
        <w:bidi w:val="0"/>
        <w:spacing w:before="0" w:after="120" w:line="302" w:lineRule="exact"/>
        <w:ind w:left="0" w:right="0" w:firstLine="500"/>
        <w:jc w:val="both"/>
      </w:pPr>
      <w:bookmarkStart w:id="770" w:name="bookmark770"/>
      <w:bookmarkEnd w:id="770"/>
      <w:r>
        <w:rPr>
          <w:color w:val="000000"/>
          <w:spacing w:val="0"/>
          <w:w w:val="100"/>
          <w:position w:val="0"/>
          <w:sz w:val="24"/>
          <w:szCs w:val="24"/>
        </w:rPr>
        <w:t>有足够的技术、财务资源和其他资源支持，以完成该无形资产的开发，并有能力使用 或出售该无形资产；</w:t>
      </w:r>
    </w:p>
    <w:p>
      <w:pPr>
        <w:pStyle w:val="Style51"/>
        <w:keepNext w:val="0"/>
        <w:keepLines w:val="0"/>
        <w:widowControl w:val="0"/>
        <w:numPr>
          <w:ilvl w:val="0"/>
          <w:numId w:val="65"/>
        </w:numPr>
        <w:shd w:val="clear" w:color="auto" w:fill="auto"/>
        <w:tabs>
          <w:tab w:pos="851" w:val="left"/>
        </w:tabs>
        <w:bidi w:val="0"/>
        <w:spacing w:before="0" w:after="320"/>
        <w:ind w:left="0" w:right="0" w:firstLine="440"/>
        <w:jc w:val="both"/>
      </w:pPr>
      <w:bookmarkStart w:id="771" w:name="bookmark771"/>
      <w:bookmarkEnd w:id="771"/>
      <w:r>
        <w:rPr>
          <w:color w:val="000000"/>
          <w:spacing w:val="0"/>
          <w:w w:val="100"/>
          <w:position w:val="0"/>
          <w:sz w:val="24"/>
          <w:szCs w:val="24"/>
        </w:rPr>
        <w:t>归属于该无形资产开发阶段的支出能够可靠地计量。</w:t>
      </w:r>
    </w:p>
    <w:p>
      <w:pPr>
        <w:pStyle w:val="Style40"/>
        <w:keepNext w:val="0"/>
        <w:keepLines w:val="0"/>
        <w:widowControl w:val="0"/>
        <w:shd w:val="clear" w:color="auto" w:fill="auto"/>
        <w:bidi w:val="0"/>
        <w:spacing w:before="0" w:after="320" w:line="240" w:lineRule="auto"/>
        <w:ind w:left="0" w:right="0" w:firstLine="0"/>
        <w:jc w:val="both"/>
      </w:pPr>
      <w:bookmarkStart w:id="772" w:name="bookmark772"/>
      <w:r>
        <w:rPr>
          <w:rFonts w:ascii="Times New Roman" w:eastAsia="Times New Roman" w:hAnsi="Times New Roman" w:cs="Times New Roman"/>
          <w:b/>
          <w:bCs/>
          <w:color w:val="000000"/>
          <w:spacing w:val="0"/>
          <w:w w:val="100"/>
          <w:position w:val="0"/>
        </w:rPr>
        <w:t>2</w:t>
      </w:r>
      <w:bookmarkEnd w:id="772"/>
      <w:r>
        <w:rPr>
          <w:rFonts w:ascii="Times New Roman" w:eastAsia="Times New Roman" w:hAnsi="Times New Roman" w:cs="Times New Roman"/>
          <w:b/>
          <w:bCs/>
          <w:color w:val="000000"/>
          <w:spacing w:val="0"/>
          <w:w w:val="100"/>
          <w:position w:val="0"/>
        </w:rPr>
        <w:t>2</w:t>
      </w:r>
      <w:r>
        <w:rPr>
          <w:b/>
          <w:bCs/>
          <w:color w:val="000000"/>
          <w:spacing w:val="0"/>
          <w:w w:val="100"/>
          <w:position w:val="0"/>
        </w:rPr>
        <w:t>、长期资产减值</w:t>
      </w:r>
    </w:p>
    <w:p>
      <w:pPr>
        <w:pStyle w:val="Style26"/>
        <w:keepNext/>
        <w:keepLines/>
        <w:widowControl w:val="0"/>
        <w:numPr>
          <w:ilvl w:val="0"/>
          <w:numId w:val="67"/>
        </w:numPr>
        <w:shd w:val="clear" w:color="auto" w:fill="auto"/>
        <w:tabs>
          <w:tab w:pos="971" w:val="left"/>
        </w:tabs>
        <w:bidi w:val="0"/>
        <w:spacing w:before="0" w:after="120" w:line="312" w:lineRule="exact"/>
        <w:ind w:left="0" w:right="0" w:firstLine="440"/>
        <w:jc w:val="left"/>
      </w:pPr>
      <w:bookmarkStart w:id="773" w:name="bookmark773"/>
      <w:bookmarkStart w:id="774" w:name="bookmark774"/>
      <w:bookmarkStart w:id="775" w:name="bookmark775"/>
      <w:bookmarkStart w:id="776" w:name="bookmark776"/>
      <w:bookmarkEnd w:id="775"/>
      <w:r>
        <w:rPr>
          <w:color w:val="000000"/>
          <w:spacing w:val="0"/>
          <w:w w:val="100"/>
          <w:position w:val="0"/>
          <w:sz w:val="24"/>
          <w:szCs w:val="24"/>
        </w:rPr>
        <w:t>长期股权投资减值测试方法及会计处理方法</w:t>
      </w:r>
      <w:bookmarkEnd w:id="773"/>
      <w:bookmarkEnd w:id="774"/>
      <w:bookmarkEnd w:id="776"/>
    </w:p>
    <w:p>
      <w:pPr>
        <w:pStyle w:val="Style51"/>
        <w:keepNext w:val="0"/>
        <w:keepLines w:val="0"/>
        <w:widowControl w:val="0"/>
        <w:shd w:val="clear" w:color="auto" w:fill="auto"/>
        <w:bidi w:val="0"/>
        <w:spacing w:before="0" w:after="120"/>
        <w:ind w:left="0" w:right="0" w:firstLine="500"/>
        <w:jc w:val="both"/>
      </w:pPr>
      <w:r>
        <w:rPr>
          <w:color w:val="000000"/>
          <w:spacing w:val="0"/>
          <w:w w:val="100"/>
          <w:position w:val="0"/>
          <w:sz w:val="24"/>
          <w:szCs w:val="24"/>
        </w:rPr>
        <w:t>本公司在资产负债表日对长期股权投资进行逐项检查，根据被投资单位经营政策、法律 环境、市场需求、行业及盈利能力等的各种变化判断长期股权投资是否存在减值迹象。当长 期股权投资可收回金额低于账面价值时，将可收回金额低于长期股权投资账面价值的差额作 为长期股权投资减值准备予以计提。资产减值损失一经确认，在以后会计期间不再转回。</w:t>
      </w:r>
    </w:p>
    <w:p>
      <w:pPr>
        <w:pStyle w:val="Style51"/>
        <w:keepNext w:val="0"/>
        <w:keepLines w:val="0"/>
        <w:widowControl w:val="0"/>
        <w:numPr>
          <w:ilvl w:val="0"/>
          <w:numId w:val="67"/>
        </w:numPr>
        <w:shd w:val="clear" w:color="auto" w:fill="auto"/>
        <w:tabs>
          <w:tab w:pos="971" w:val="left"/>
        </w:tabs>
        <w:bidi w:val="0"/>
        <w:spacing w:before="0" w:after="120"/>
        <w:ind w:left="0" w:right="0" w:firstLine="440"/>
        <w:jc w:val="both"/>
      </w:pPr>
      <w:bookmarkStart w:id="777" w:name="bookmark777"/>
      <w:bookmarkEnd w:id="777"/>
      <w:r>
        <w:rPr>
          <w:b/>
          <w:bCs/>
          <w:color w:val="000000"/>
          <w:spacing w:val="0"/>
          <w:w w:val="100"/>
          <w:position w:val="0"/>
          <w:sz w:val="24"/>
          <w:szCs w:val="24"/>
        </w:rPr>
        <w:t>投资性房地产减值测试方法及会计处理方法</w:t>
      </w:r>
    </w:p>
    <w:p>
      <w:pPr>
        <w:pStyle w:val="Style51"/>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资产负债表日按投资性房产的成本与可收回金额孰低计价，可收回金额低于成本的，按 两者的差额计提减值准备。如果已经计提减值准备的投资性房地产的价值又得以恢复，前期 已计提的减值准备不得转回。</w:t>
      </w:r>
    </w:p>
    <w:p>
      <w:pPr>
        <w:pStyle w:val="Style51"/>
        <w:keepNext w:val="0"/>
        <w:keepLines w:val="0"/>
        <w:widowControl w:val="0"/>
        <w:numPr>
          <w:ilvl w:val="0"/>
          <w:numId w:val="67"/>
        </w:numPr>
        <w:shd w:val="clear" w:color="auto" w:fill="auto"/>
        <w:tabs>
          <w:tab w:pos="971" w:val="left"/>
        </w:tabs>
        <w:bidi w:val="0"/>
        <w:spacing w:before="0" w:after="120"/>
        <w:ind w:left="0" w:right="0" w:firstLine="440"/>
        <w:jc w:val="left"/>
      </w:pPr>
      <w:bookmarkStart w:id="778" w:name="bookmark778"/>
      <w:bookmarkEnd w:id="778"/>
      <w:r>
        <w:rPr>
          <w:b/>
          <w:bCs/>
          <w:color w:val="000000"/>
          <w:spacing w:val="0"/>
          <w:w w:val="100"/>
          <w:position w:val="0"/>
          <w:sz w:val="24"/>
          <w:szCs w:val="24"/>
        </w:rPr>
        <w:t>固定资产的减值测试方法及会计处理方法</w:t>
      </w:r>
    </w:p>
    <w:p>
      <w:pPr>
        <w:pStyle w:val="Style51"/>
        <w:keepNext w:val="0"/>
        <w:keepLines w:val="0"/>
        <w:widowControl w:val="0"/>
        <w:shd w:val="clear" w:color="auto" w:fill="auto"/>
        <w:bidi w:val="0"/>
        <w:spacing w:before="0" w:after="120"/>
        <w:ind w:left="0" w:right="0" w:firstLine="500"/>
        <w:jc w:val="both"/>
      </w:pPr>
      <w:r>
        <w:rPr>
          <w:color w:val="000000"/>
          <w:spacing w:val="0"/>
          <w:w w:val="100"/>
          <w:position w:val="0"/>
          <w:sz w:val="24"/>
          <w:szCs w:val="24"/>
        </w:rPr>
        <w:t>本公司在资产负债表日对各项固定资产进行判断，当存在减值迹象，估计可收回金额低 于其账面价值时，账面价值减记至可收回金额，减记的金额确认为资产减值损失，计入当期 损益，同时计提相应的资产减值准备。资产减值损失一经确认，在以后会计期间不再转回。 当存在下列迹象的，按固定资产单项项目全额计提减值准备：</w:t>
      </w:r>
    </w:p>
    <w:p>
      <w:pPr>
        <w:pStyle w:val="Style51"/>
        <w:keepNext w:val="0"/>
        <w:keepLines w:val="0"/>
        <w:widowControl w:val="0"/>
        <w:shd w:val="clear" w:color="auto" w:fill="auto"/>
        <w:bidi w:val="0"/>
        <w:spacing w:before="0" w:after="120" w:line="240" w:lineRule="auto"/>
        <w:ind w:left="0" w:right="0" w:firstLine="440"/>
        <w:jc w:val="both"/>
      </w:pPr>
      <w:r>
        <w:rPr>
          <w:color w:val="000000"/>
          <w:spacing w:val="0"/>
          <w:w w:val="100"/>
          <w:position w:val="0"/>
          <w:sz w:val="24"/>
          <w:szCs w:val="24"/>
        </w:rPr>
        <w:t>①长期闲置不用，在可预见的未来不会再使用，且已无转让价值的固定资产;</w:t>
      </w:r>
    </w:p>
    <w:p>
      <w:pPr>
        <w:pStyle w:val="Style51"/>
        <w:keepNext w:val="0"/>
        <w:keepLines w:val="0"/>
        <w:widowControl w:val="0"/>
        <w:shd w:val="clear" w:color="auto" w:fill="auto"/>
        <w:bidi w:val="0"/>
        <w:spacing w:before="0" w:after="100" w:line="313" w:lineRule="exact"/>
        <w:ind w:left="0" w:right="0" w:firstLine="420"/>
        <w:jc w:val="left"/>
      </w:pPr>
      <w:r>
        <w:rPr>
          <w:color w:val="000000"/>
          <w:spacing w:val="0"/>
          <w:w w:val="100"/>
          <w:position w:val="0"/>
          <w:sz w:val="24"/>
          <w:szCs w:val="24"/>
        </w:rPr>
        <w:t>②由于技术进步等原因，已不可使用的固定资产；</w:t>
      </w:r>
    </w:p>
    <w:p>
      <w:pPr>
        <w:pStyle w:val="Style51"/>
        <w:keepNext w:val="0"/>
        <w:keepLines w:val="0"/>
        <w:widowControl w:val="0"/>
        <w:numPr>
          <w:ilvl w:val="0"/>
          <w:numId w:val="69"/>
        </w:numPr>
        <w:shd w:val="clear" w:color="auto" w:fill="auto"/>
        <w:tabs>
          <w:tab w:pos="805" w:val="left"/>
        </w:tabs>
        <w:bidi w:val="0"/>
        <w:spacing w:before="0" w:after="100" w:line="313" w:lineRule="exact"/>
        <w:ind w:left="0" w:right="0" w:firstLine="420"/>
        <w:jc w:val="left"/>
      </w:pPr>
      <w:bookmarkStart w:id="779" w:name="bookmark779"/>
      <w:bookmarkEnd w:id="779"/>
      <w:r>
        <w:rPr>
          <w:color w:val="000000"/>
          <w:spacing w:val="0"/>
          <w:w w:val="100"/>
          <w:position w:val="0"/>
          <w:sz w:val="24"/>
          <w:szCs w:val="24"/>
        </w:rPr>
        <w:t>虽然固定资产尚可使用</w:t>
      </w:r>
      <w:r>
        <w:rPr>
          <w:color w:val="000000"/>
          <w:spacing w:val="0"/>
          <w:w w:val="100"/>
          <w:position w:val="0"/>
          <w:sz w:val="24"/>
          <w:szCs w:val="24"/>
        </w:rPr>
        <w:t>，</w:t>
      </w:r>
      <w:r>
        <w:rPr>
          <w:color w:val="000000"/>
          <w:spacing w:val="0"/>
          <w:w w:val="100"/>
          <w:position w:val="0"/>
          <w:sz w:val="24"/>
          <w:szCs w:val="24"/>
        </w:rPr>
        <w:t>但使用后产生大量不合格品的固定资产</w:t>
      </w:r>
      <w:r>
        <w:rPr>
          <w:color w:val="000000"/>
          <w:spacing w:val="0"/>
          <w:w w:val="100"/>
          <w:position w:val="0"/>
          <w:sz w:val="24"/>
          <w:szCs w:val="24"/>
        </w:rPr>
        <w:t>；</w:t>
      </w:r>
    </w:p>
    <w:p>
      <w:pPr>
        <w:pStyle w:val="Style51"/>
        <w:keepNext w:val="0"/>
        <w:keepLines w:val="0"/>
        <w:widowControl w:val="0"/>
        <w:numPr>
          <w:ilvl w:val="0"/>
          <w:numId w:val="69"/>
        </w:numPr>
        <w:shd w:val="clear" w:color="auto" w:fill="auto"/>
        <w:tabs>
          <w:tab w:pos="805" w:val="left"/>
        </w:tabs>
        <w:bidi w:val="0"/>
        <w:spacing w:before="0" w:after="100" w:line="313" w:lineRule="exact"/>
        <w:ind w:left="0" w:right="0" w:firstLine="420"/>
        <w:jc w:val="left"/>
      </w:pPr>
      <w:bookmarkStart w:id="780" w:name="bookmark780"/>
      <w:bookmarkEnd w:id="780"/>
      <w:r>
        <w:rPr>
          <w:color w:val="000000"/>
          <w:spacing w:val="0"/>
          <w:w w:val="100"/>
          <w:position w:val="0"/>
          <w:sz w:val="24"/>
          <w:szCs w:val="24"/>
        </w:rPr>
        <w:t>已遭毁损</w:t>
      </w:r>
      <w:r>
        <w:rPr>
          <w:color w:val="000000"/>
          <w:spacing w:val="0"/>
          <w:w w:val="100"/>
          <w:position w:val="0"/>
          <w:sz w:val="24"/>
          <w:szCs w:val="24"/>
        </w:rPr>
        <w:t>，</w:t>
      </w:r>
      <w:r>
        <w:rPr>
          <w:color w:val="000000"/>
          <w:spacing w:val="0"/>
          <w:w w:val="100"/>
          <w:position w:val="0"/>
          <w:sz w:val="24"/>
          <w:szCs w:val="24"/>
        </w:rPr>
        <w:t>以至于不再具有使用价值和转让价值的固定资产</w:t>
      </w:r>
      <w:r>
        <w:rPr>
          <w:color w:val="000000"/>
          <w:spacing w:val="0"/>
          <w:w w:val="100"/>
          <w:position w:val="0"/>
          <w:sz w:val="24"/>
          <w:szCs w:val="24"/>
        </w:rPr>
        <w:t>；</w:t>
      </w:r>
    </w:p>
    <w:p>
      <w:pPr>
        <w:pStyle w:val="Style51"/>
        <w:keepNext w:val="0"/>
        <w:keepLines w:val="0"/>
        <w:widowControl w:val="0"/>
        <w:numPr>
          <w:ilvl w:val="0"/>
          <w:numId w:val="69"/>
        </w:numPr>
        <w:shd w:val="clear" w:color="auto" w:fill="auto"/>
        <w:tabs>
          <w:tab w:pos="805" w:val="left"/>
        </w:tabs>
        <w:bidi w:val="0"/>
        <w:spacing w:before="0" w:after="100" w:line="313" w:lineRule="exact"/>
        <w:ind w:left="0" w:right="0" w:firstLine="420"/>
        <w:jc w:val="left"/>
      </w:pPr>
      <w:bookmarkStart w:id="781" w:name="bookmark781"/>
      <w:bookmarkEnd w:id="781"/>
      <w:r>
        <w:rPr>
          <w:color w:val="000000"/>
          <w:spacing w:val="0"/>
          <w:w w:val="100"/>
          <w:position w:val="0"/>
          <w:sz w:val="24"/>
          <w:szCs w:val="24"/>
        </w:rPr>
        <w:t>其他实质上已经不能再给公司带来经济利益的固定资产。</w:t>
      </w:r>
    </w:p>
    <w:p>
      <w:pPr>
        <w:pStyle w:val="Style51"/>
        <w:keepNext w:val="0"/>
        <w:keepLines w:val="0"/>
        <w:widowControl w:val="0"/>
        <w:numPr>
          <w:ilvl w:val="0"/>
          <w:numId w:val="67"/>
        </w:numPr>
        <w:shd w:val="clear" w:color="auto" w:fill="auto"/>
        <w:tabs>
          <w:tab w:pos="951" w:val="left"/>
        </w:tabs>
        <w:bidi w:val="0"/>
        <w:spacing w:before="0" w:after="100" w:line="313" w:lineRule="exact"/>
        <w:ind w:left="0" w:right="0" w:firstLine="420"/>
        <w:jc w:val="left"/>
      </w:pPr>
      <w:bookmarkStart w:id="782" w:name="bookmark782"/>
      <w:bookmarkEnd w:id="782"/>
      <w:r>
        <w:rPr>
          <w:b/>
          <w:bCs/>
          <w:color w:val="000000"/>
          <w:spacing w:val="0"/>
          <w:w w:val="100"/>
          <w:position w:val="0"/>
          <w:sz w:val="24"/>
          <w:szCs w:val="24"/>
        </w:rPr>
        <w:t>在建工程减值测试方法及会计处理方法</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本公司于资产负债表日对在建工程进行全面检查，如果有证据表明在建工程已经发生了 减值，估计可收回金额低于其账面价值时，账面价值减记至可收回金额，减记的金额确认为 资产减值损失，计入当期损益，同时计提相应的资产减值准备。资产减值损失一经确认，在 以后会计期间不再转回。存在下列一项或若干项情况的，对在建工程进行减值测试：</w:t>
      </w:r>
    </w:p>
    <w:p>
      <w:pPr>
        <w:pStyle w:val="Style51"/>
        <w:keepNext w:val="0"/>
        <w:keepLines w:val="0"/>
        <w:widowControl w:val="0"/>
        <w:numPr>
          <w:ilvl w:val="0"/>
          <w:numId w:val="71"/>
        </w:numPr>
        <w:shd w:val="clear" w:color="auto" w:fill="auto"/>
        <w:tabs>
          <w:tab w:pos="841" w:val="left"/>
        </w:tabs>
        <w:bidi w:val="0"/>
        <w:spacing w:before="0" w:after="100" w:line="313" w:lineRule="exact"/>
        <w:ind w:left="0" w:right="0" w:firstLine="420"/>
        <w:jc w:val="left"/>
      </w:pPr>
      <w:bookmarkStart w:id="783" w:name="bookmark783"/>
      <w:bookmarkEnd w:id="783"/>
      <w:r>
        <w:rPr>
          <w:color w:val="000000"/>
          <w:spacing w:val="0"/>
          <w:w w:val="100"/>
          <w:position w:val="0"/>
          <w:sz w:val="24"/>
          <w:szCs w:val="24"/>
        </w:rPr>
        <w:t>长期停建并且预计在未来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年内不会重新开工的在建工程；</w:t>
      </w:r>
    </w:p>
    <w:p>
      <w:pPr>
        <w:pStyle w:val="Style51"/>
        <w:keepNext w:val="0"/>
        <w:keepLines w:val="0"/>
        <w:widowControl w:val="0"/>
        <w:numPr>
          <w:ilvl w:val="0"/>
          <w:numId w:val="71"/>
        </w:numPr>
        <w:shd w:val="clear" w:color="auto" w:fill="auto"/>
        <w:tabs>
          <w:tab w:pos="896" w:val="left"/>
        </w:tabs>
        <w:bidi w:val="0"/>
        <w:spacing w:before="0" w:after="100" w:line="317" w:lineRule="exact"/>
        <w:ind w:left="0" w:right="0" w:firstLine="480"/>
        <w:jc w:val="both"/>
      </w:pPr>
      <w:bookmarkStart w:id="784" w:name="bookmark784"/>
      <w:bookmarkEnd w:id="784"/>
      <w:r>
        <w:rPr>
          <w:color w:val="000000"/>
          <w:spacing w:val="0"/>
          <w:w w:val="100"/>
          <w:position w:val="0"/>
          <w:sz w:val="24"/>
          <w:szCs w:val="24"/>
        </w:rPr>
        <w:t>所建项目无论在性能上，还是在技术上已经落后，并且给企业带来的经济利益具有很 大的不确定性；</w:t>
      </w:r>
    </w:p>
    <w:p>
      <w:pPr>
        <w:pStyle w:val="Style51"/>
        <w:keepNext w:val="0"/>
        <w:keepLines w:val="0"/>
        <w:widowControl w:val="0"/>
        <w:numPr>
          <w:ilvl w:val="0"/>
          <w:numId w:val="71"/>
        </w:numPr>
        <w:shd w:val="clear" w:color="auto" w:fill="auto"/>
        <w:tabs>
          <w:tab w:pos="841" w:val="left"/>
        </w:tabs>
        <w:bidi w:val="0"/>
        <w:spacing w:before="0" w:after="100" w:line="313" w:lineRule="exact"/>
        <w:ind w:left="0" w:right="0" w:firstLine="420"/>
        <w:jc w:val="left"/>
      </w:pPr>
      <w:bookmarkStart w:id="785" w:name="bookmark785"/>
      <w:bookmarkEnd w:id="785"/>
      <w:r>
        <w:rPr>
          <w:color w:val="000000"/>
          <w:spacing w:val="0"/>
          <w:w w:val="100"/>
          <w:position w:val="0"/>
          <w:sz w:val="24"/>
          <w:szCs w:val="24"/>
        </w:rPr>
        <w:t>其他足以证明在建工程已经发生减值的情形。</w:t>
      </w:r>
    </w:p>
    <w:p>
      <w:pPr>
        <w:pStyle w:val="Style51"/>
        <w:keepNext w:val="0"/>
        <w:keepLines w:val="0"/>
        <w:widowControl w:val="0"/>
        <w:numPr>
          <w:ilvl w:val="0"/>
          <w:numId w:val="67"/>
        </w:numPr>
        <w:shd w:val="clear" w:color="auto" w:fill="auto"/>
        <w:tabs>
          <w:tab w:pos="951" w:val="left"/>
        </w:tabs>
        <w:bidi w:val="0"/>
        <w:spacing w:before="0" w:after="100" w:line="313" w:lineRule="exact"/>
        <w:ind w:left="0" w:right="0" w:firstLine="420"/>
        <w:jc w:val="left"/>
      </w:pPr>
      <w:bookmarkStart w:id="786" w:name="bookmark786"/>
      <w:bookmarkEnd w:id="786"/>
      <w:r>
        <w:rPr>
          <w:b/>
          <w:bCs/>
          <w:color w:val="000000"/>
          <w:spacing w:val="0"/>
          <w:w w:val="100"/>
          <w:position w:val="0"/>
          <w:sz w:val="24"/>
          <w:szCs w:val="24"/>
        </w:rPr>
        <w:t>无形资产减值测试方法及会计处理方法</w:t>
      </w:r>
    </w:p>
    <w:p>
      <w:pPr>
        <w:pStyle w:val="Style51"/>
        <w:keepNext w:val="0"/>
        <w:keepLines w:val="0"/>
        <w:widowControl w:val="0"/>
        <w:shd w:val="clear" w:color="auto" w:fill="auto"/>
        <w:bidi w:val="0"/>
        <w:spacing w:before="0" w:after="100" w:line="307" w:lineRule="exact"/>
        <w:ind w:left="0" w:right="0" w:firstLine="480"/>
        <w:jc w:val="both"/>
      </w:pPr>
      <w:r>
        <w:rPr>
          <w:color w:val="000000"/>
          <w:spacing w:val="0"/>
          <w:w w:val="100"/>
          <w:position w:val="0"/>
          <w:sz w:val="24"/>
          <w:szCs w:val="24"/>
        </w:rPr>
        <w:t>当无形资产的可收回金额低于其账面价值时，将资产的账面价值减记至可收回金额，减 记的金额确认为资产减值损失，计入当期损益，同时计提相应的无形资产减值准备。无形资 产减值损失一经确认，在以后会计期间不再转回。存在下列一项或多项以下情况的，对无形 资产进行减值测试：</w:t>
      </w:r>
    </w:p>
    <w:p>
      <w:pPr>
        <w:pStyle w:val="Style51"/>
        <w:keepNext w:val="0"/>
        <w:keepLines w:val="0"/>
        <w:widowControl w:val="0"/>
        <w:numPr>
          <w:ilvl w:val="0"/>
          <w:numId w:val="73"/>
        </w:numPr>
        <w:shd w:val="clear" w:color="auto" w:fill="auto"/>
        <w:tabs>
          <w:tab w:pos="1021" w:val="left"/>
        </w:tabs>
        <w:bidi w:val="0"/>
        <w:spacing w:before="0" w:after="100"/>
        <w:ind w:left="0" w:right="0" w:firstLine="620"/>
        <w:jc w:val="both"/>
      </w:pPr>
      <w:bookmarkStart w:id="787" w:name="bookmark787"/>
      <w:bookmarkEnd w:id="787"/>
      <w:r>
        <w:rPr>
          <w:color w:val="000000"/>
          <w:spacing w:val="0"/>
          <w:w w:val="100"/>
          <w:position w:val="0"/>
          <w:sz w:val="24"/>
          <w:szCs w:val="24"/>
        </w:rPr>
        <w:t>该无形资产已被其他新技术等所替代，使其为企业创造经济利益的能力受到重大不利 影响；</w:t>
      </w:r>
    </w:p>
    <w:p>
      <w:pPr>
        <w:pStyle w:val="Style51"/>
        <w:keepNext w:val="0"/>
        <w:keepLines w:val="0"/>
        <w:widowControl w:val="0"/>
        <w:numPr>
          <w:ilvl w:val="0"/>
          <w:numId w:val="73"/>
        </w:numPr>
        <w:shd w:val="clear" w:color="auto" w:fill="auto"/>
        <w:tabs>
          <w:tab w:pos="1041" w:val="left"/>
        </w:tabs>
        <w:bidi w:val="0"/>
        <w:spacing w:before="0" w:after="100" w:line="313" w:lineRule="exact"/>
        <w:ind w:left="0" w:right="0" w:firstLine="620"/>
        <w:jc w:val="left"/>
      </w:pPr>
      <w:bookmarkStart w:id="788" w:name="bookmark788"/>
      <w:bookmarkEnd w:id="788"/>
      <w:r>
        <w:rPr>
          <w:color w:val="000000"/>
          <w:spacing w:val="0"/>
          <w:w w:val="100"/>
          <w:position w:val="0"/>
          <w:sz w:val="24"/>
          <w:szCs w:val="24"/>
        </w:rPr>
        <w:t>该无形资产的市价在当期大幅下跌，并在剩余年限内可能不会回升；</w:t>
      </w:r>
    </w:p>
    <w:p>
      <w:pPr>
        <w:pStyle w:val="Style51"/>
        <w:keepNext w:val="0"/>
        <w:keepLines w:val="0"/>
        <w:widowControl w:val="0"/>
        <w:numPr>
          <w:ilvl w:val="0"/>
          <w:numId w:val="73"/>
        </w:numPr>
        <w:shd w:val="clear" w:color="auto" w:fill="auto"/>
        <w:tabs>
          <w:tab w:pos="1041" w:val="left"/>
        </w:tabs>
        <w:bidi w:val="0"/>
        <w:spacing w:before="0" w:after="100" w:line="313" w:lineRule="exact"/>
        <w:ind w:left="0" w:right="0" w:firstLine="620"/>
        <w:jc w:val="left"/>
      </w:pPr>
      <w:bookmarkStart w:id="789" w:name="bookmark789"/>
      <w:bookmarkEnd w:id="789"/>
      <w:r>
        <w:rPr>
          <w:color w:val="000000"/>
          <w:spacing w:val="0"/>
          <w:w w:val="100"/>
          <w:position w:val="0"/>
          <w:sz w:val="24"/>
          <w:szCs w:val="24"/>
        </w:rPr>
        <w:t>其他足以表明该无形资产的账面价值已超过可收回金额的情况。</w:t>
      </w:r>
    </w:p>
    <w:p>
      <w:pPr>
        <w:pStyle w:val="Style51"/>
        <w:keepNext w:val="0"/>
        <w:keepLines w:val="0"/>
        <w:widowControl w:val="0"/>
        <w:numPr>
          <w:ilvl w:val="0"/>
          <w:numId w:val="67"/>
        </w:numPr>
        <w:shd w:val="clear" w:color="auto" w:fill="auto"/>
        <w:tabs>
          <w:tab w:pos="951" w:val="left"/>
        </w:tabs>
        <w:bidi w:val="0"/>
        <w:spacing w:before="0" w:after="100" w:line="313" w:lineRule="exact"/>
        <w:ind w:left="0" w:right="0" w:firstLine="420"/>
        <w:jc w:val="both"/>
      </w:pPr>
      <w:bookmarkStart w:id="790" w:name="bookmark790"/>
      <w:bookmarkEnd w:id="790"/>
      <w:r>
        <w:rPr>
          <w:b/>
          <w:bCs/>
          <w:color w:val="000000"/>
          <w:spacing w:val="0"/>
          <w:w w:val="100"/>
          <w:position w:val="0"/>
          <w:sz w:val="24"/>
          <w:szCs w:val="24"/>
        </w:rPr>
        <w:t>商誉减值测试</w:t>
      </w:r>
    </w:p>
    <w:p>
      <w:pPr>
        <w:pStyle w:val="Style51"/>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企业合并形成的商誉，至少在每年年度终了进行减值测试。本公司在对包含商誉的相关 资产组或者资产组组合进行减值测试时，如与商誉相关的资产组或者资产组组合存在减值迹 象的，按以下步骤处理：</w:t>
      </w:r>
    </w:p>
    <w:p>
      <w:pPr>
        <w:pStyle w:val="Style51"/>
        <w:keepNext w:val="0"/>
        <w:keepLines w:val="0"/>
        <w:widowControl w:val="0"/>
        <w:shd w:val="clear" w:color="auto" w:fill="auto"/>
        <w:bidi w:val="0"/>
        <w:spacing w:before="0" w:after="640" w:line="313" w:lineRule="exact"/>
        <w:ind w:left="0" w:right="0" w:firstLine="480"/>
        <w:jc w:val="both"/>
      </w:pPr>
      <w:r>
        <w:rPr>
          <w:color w:val="000000"/>
          <w:spacing w:val="0"/>
          <w:w w:val="100"/>
          <w:position w:val="0"/>
          <w:sz w:val="24"/>
          <w:szCs w:val="24"/>
        </w:rPr>
        <w:t>首先对不包含商誉的资产组或者资产组组合进行减值测试，计算可收回金额，并与相关 资产账面价值比较，确认相应的减值损失；然后再对包含商誉的资产组或者资产组这组合进 行减值测试，比较这些相关资产组或者资产组组合的账面价值(包括所分摊的商誉的账面价 值部分)与其可收回金额，如相关资产组或者资产组组合的可收回金额低于其账面价值的， 就其差额确认减值损失。减值损失金额首先抵减分摊至资产组或者资产组组合中商誉的账面 价值；再根据资产组或者资产组组合中除商誉之外的其他各项资产的账面价值所占比重，按 比例抵减其他各项资产的账面价值。</w:t>
      </w:r>
    </w:p>
    <w:p>
      <w:pPr>
        <w:pStyle w:val="Style40"/>
        <w:keepNext w:val="0"/>
        <w:keepLines w:val="0"/>
        <w:widowControl w:val="0"/>
        <w:shd w:val="clear" w:color="auto" w:fill="auto"/>
        <w:bidi w:val="0"/>
        <w:spacing w:before="0" w:after="340" w:line="240" w:lineRule="auto"/>
        <w:ind w:left="0" w:right="0" w:firstLine="0"/>
        <w:jc w:val="both"/>
      </w:pPr>
      <w:bookmarkStart w:id="791" w:name="bookmark791"/>
      <w:r>
        <w:rPr>
          <w:rFonts w:ascii="Times New Roman" w:eastAsia="Times New Roman" w:hAnsi="Times New Roman" w:cs="Times New Roman"/>
          <w:b/>
          <w:bCs/>
          <w:color w:val="000000"/>
          <w:spacing w:val="0"/>
          <w:w w:val="100"/>
          <w:position w:val="0"/>
        </w:rPr>
        <w:t>2</w:t>
      </w:r>
      <w:bookmarkEnd w:id="791"/>
      <w:r>
        <w:rPr>
          <w:rFonts w:ascii="Times New Roman" w:eastAsia="Times New Roman" w:hAnsi="Times New Roman" w:cs="Times New Roman"/>
          <w:b/>
          <w:bCs/>
          <w:color w:val="000000"/>
          <w:spacing w:val="0"/>
          <w:w w:val="100"/>
          <w:position w:val="0"/>
        </w:rPr>
        <w:t>3</w:t>
      </w:r>
      <w:r>
        <w:rPr>
          <w:b/>
          <w:bCs/>
          <w:color w:val="000000"/>
          <w:spacing w:val="0"/>
          <w:w w:val="100"/>
          <w:position w:val="0"/>
        </w:rPr>
        <w:t>、长期待摊费用</w:t>
      </w:r>
    </w:p>
    <w:p>
      <w:pPr>
        <w:pStyle w:val="Style51"/>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24"/>
          <w:szCs w:val="24"/>
        </w:rPr>
        <w:t xml:space="preserve">长期待摊费用核算本公司已经发生但应由本期和以后各期负担的分摊期限在一年以上的 </w:t>
      </w:r>
      <w:r>
        <w:rPr>
          <w:color w:val="000000"/>
          <w:spacing w:val="0"/>
          <w:w w:val="100"/>
          <w:position w:val="0"/>
          <w:sz w:val="24"/>
          <w:szCs w:val="24"/>
        </w:rPr>
        <w:t>各项费用。</w:t>
      </w:r>
    </w:p>
    <w:p>
      <w:pPr>
        <w:pStyle w:val="Style51"/>
        <w:keepNext w:val="0"/>
        <w:keepLines w:val="0"/>
        <w:widowControl w:val="0"/>
        <w:shd w:val="clear" w:color="auto" w:fill="auto"/>
        <w:bidi w:val="0"/>
        <w:spacing w:before="0" w:after="640" w:line="317" w:lineRule="exact"/>
        <w:ind w:left="0" w:right="0" w:firstLine="500"/>
        <w:jc w:val="both"/>
      </w:pPr>
      <w:r>
        <w:rPr>
          <w:color w:val="000000"/>
          <w:spacing w:val="0"/>
          <w:w w:val="100"/>
          <w:position w:val="0"/>
          <w:sz w:val="24"/>
          <w:szCs w:val="24"/>
        </w:rPr>
        <w:t>本公司长期待摊费用在受益期内平均摊销，其中经营租赁方式租入的固定资产改良支出, 按最佳预期经济利益实现方式合理摊销。</w:t>
      </w:r>
    </w:p>
    <w:p>
      <w:pPr>
        <w:pStyle w:val="Style40"/>
        <w:keepNext w:val="0"/>
        <w:keepLines w:val="0"/>
        <w:widowControl w:val="0"/>
        <w:shd w:val="clear" w:color="auto" w:fill="auto"/>
        <w:bidi w:val="0"/>
        <w:spacing w:before="0" w:after="340" w:line="240" w:lineRule="auto"/>
        <w:ind w:left="0" w:right="0" w:firstLine="0"/>
        <w:jc w:val="left"/>
      </w:pPr>
      <w:bookmarkStart w:id="792" w:name="bookmark792"/>
      <w:r>
        <w:rPr>
          <w:rFonts w:ascii="Times New Roman" w:eastAsia="Times New Roman" w:hAnsi="Times New Roman" w:cs="Times New Roman"/>
          <w:b/>
          <w:bCs/>
          <w:color w:val="000000"/>
          <w:spacing w:val="0"/>
          <w:w w:val="100"/>
          <w:position w:val="0"/>
        </w:rPr>
        <w:t>2</w:t>
      </w:r>
      <w:bookmarkEnd w:id="792"/>
      <w:r>
        <w:rPr>
          <w:rFonts w:ascii="Times New Roman" w:eastAsia="Times New Roman" w:hAnsi="Times New Roman" w:cs="Times New Roman"/>
          <w:b/>
          <w:bCs/>
          <w:color w:val="000000"/>
          <w:spacing w:val="0"/>
          <w:w w:val="100"/>
          <w:position w:val="0"/>
        </w:rPr>
        <w:t>4</w:t>
      </w:r>
      <w:r>
        <w:rPr>
          <w:b/>
          <w:bCs/>
          <w:color w:val="000000"/>
          <w:spacing w:val="0"/>
          <w:w w:val="100"/>
          <w:position w:val="0"/>
        </w:rPr>
        <w:t>、职工薪酬</w:t>
      </w:r>
    </w:p>
    <w:p>
      <w:pPr>
        <w:pStyle w:val="Style40"/>
        <w:keepNext w:val="0"/>
        <w:keepLines w:val="0"/>
        <w:widowControl w:val="0"/>
        <w:numPr>
          <w:ilvl w:val="0"/>
          <w:numId w:val="75"/>
        </w:numPr>
        <w:shd w:val="clear" w:color="auto" w:fill="auto"/>
        <w:bidi w:val="0"/>
        <w:spacing w:before="0" w:after="260" w:line="240" w:lineRule="auto"/>
        <w:ind w:left="0" w:right="0" w:firstLine="0"/>
        <w:jc w:val="left"/>
      </w:pPr>
      <w:bookmarkStart w:id="793" w:name="bookmark793"/>
      <w:bookmarkEnd w:id="793"/>
      <w:r>
        <w:rPr>
          <w:b/>
          <w:bCs/>
          <w:color w:val="000000"/>
          <w:spacing w:val="0"/>
          <w:w w:val="100"/>
          <w:position w:val="0"/>
        </w:rPr>
        <w:t>短期薪酬的会计处理方法</w:t>
      </w:r>
    </w:p>
    <w:p>
      <w:pPr>
        <w:pStyle w:val="Style51"/>
        <w:keepNext w:val="0"/>
        <w:keepLines w:val="0"/>
        <w:widowControl w:val="0"/>
        <w:numPr>
          <w:ilvl w:val="0"/>
          <w:numId w:val="77"/>
        </w:numPr>
        <w:shd w:val="clear" w:color="auto" w:fill="auto"/>
        <w:tabs>
          <w:tab w:pos="921" w:val="left"/>
        </w:tabs>
        <w:bidi w:val="0"/>
        <w:spacing w:before="0" w:after="100" w:line="315" w:lineRule="exact"/>
        <w:ind w:left="0" w:right="0" w:firstLine="500"/>
        <w:jc w:val="left"/>
      </w:pPr>
      <w:bookmarkStart w:id="794" w:name="bookmark794"/>
      <w:bookmarkEnd w:id="794"/>
      <w:r>
        <w:rPr>
          <w:color w:val="000000"/>
          <w:spacing w:val="0"/>
          <w:w w:val="100"/>
          <w:position w:val="0"/>
          <w:sz w:val="24"/>
          <w:szCs w:val="24"/>
        </w:rPr>
        <w:t>职工基本薪酬(工资、奖金、津贴、补贴)</w:t>
      </w:r>
    </w:p>
    <w:p>
      <w:pPr>
        <w:pStyle w:val="Style51"/>
        <w:keepNext w:val="0"/>
        <w:keepLines w:val="0"/>
        <w:widowControl w:val="0"/>
        <w:shd w:val="clear" w:color="auto" w:fill="auto"/>
        <w:bidi w:val="0"/>
        <w:spacing w:before="0" w:after="100" w:line="326" w:lineRule="exact"/>
        <w:ind w:left="0" w:right="0" w:firstLine="500"/>
        <w:jc w:val="both"/>
      </w:pPr>
      <w:r>
        <w:rPr>
          <w:color w:val="000000"/>
          <w:spacing w:val="0"/>
          <w:w w:val="100"/>
          <w:position w:val="0"/>
          <w:sz w:val="24"/>
          <w:szCs w:val="24"/>
        </w:rPr>
        <w:t>本公司在职工为其提供服务的会计期间，将实际发生的短期薪酬确认为负债，并计入当 期损益，其他会计准则要求或允许计入资产成本的除外。</w:t>
      </w:r>
    </w:p>
    <w:p>
      <w:pPr>
        <w:pStyle w:val="Style51"/>
        <w:keepNext w:val="0"/>
        <w:keepLines w:val="0"/>
        <w:widowControl w:val="0"/>
        <w:numPr>
          <w:ilvl w:val="0"/>
          <w:numId w:val="77"/>
        </w:numPr>
        <w:shd w:val="clear" w:color="auto" w:fill="auto"/>
        <w:tabs>
          <w:tab w:pos="921" w:val="left"/>
        </w:tabs>
        <w:bidi w:val="0"/>
        <w:spacing w:before="0" w:after="100" w:line="315" w:lineRule="exact"/>
        <w:ind w:left="0" w:right="0" w:firstLine="500"/>
        <w:jc w:val="both"/>
      </w:pPr>
      <w:bookmarkStart w:id="795" w:name="bookmark795"/>
      <w:bookmarkEnd w:id="795"/>
      <w:r>
        <w:rPr>
          <w:color w:val="000000"/>
          <w:spacing w:val="0"/>
          <w:w w:val="100"/>
          <w:position w:val="0"/>
          <w:sz w:val="24"/>
          <w:szCs w:val="24"/>
        </w:rPr>
        <w:t>职工福利费</w:t>
      </w:r>
    </w:p>
    <w:p>
      <w:pPr>
        <w:pStyle w:val="Style51"/>
        <w:keepNext w:val="0"/>
        <w:keepLines w:val="0"/>
        <w:widowControl w:val="0"/>
        <w:shd w:val="clear" w:color="auto" w:fill="auto"/>
        <w:bidi w:val="0"/>
        <w:spacing w:before="0" w:after="100" w:line="302" w:lineRule="exact"/>
        <w:ind w:left="0" w:right="0" w:firstLine="500"/>
        <w:jc w:val="both"/>
      </w:pPr>
      <w:r>
        <w:rPr>
          <w:color w:val="000000"/>
          <w:spacing w:val="0"/>
          <w:w w:val="100"/>
          <w:position w:val="0"/>
          <w:sz w:val="24"/>
          <w:szCs w:val="24"/>
        </w:rPr>
        <w:t>本公司发生的职工福利费，在实际发生时根据实际发生额计入当期损益或相关资产成本。 职工福利费为非货币性福利的，按照公允价值计量。</w:t>
      </w:r>
    </w:p>
    <w:p>
      <w:pPr>
        <w:pStyle w:val="Style51"/>
        <w:keepNext w:val="0"/>
        <w:keepLines w:val="0"/>
        <w:widowControl w:val="0"/>
        <w:numPr>
          <w:ilvl w:val="0"/>
          <w:numId w:val="77"/>
        </w:numPr>
        <w:shd w:val="clear" w:color="auto" w:fill="auto"/>
        <w:tabs>
          <w:tab w:pos="901" w:val="left"/>
        </w:tabs>
        <w:bidi w:val="0"/>
        <w:spacing w:before="0" w:after="100"/>
        <w:ind w:left="0" w:right="0" w:firstLine="500"/>
        <w:jc w:val="both"/>
      </w:pPr>
      <w:bookmarkStart w:id="796" w:name="bookmark796"/>
      <w:bookmarkEnd w:id="796"/>
      <w:r>
        <w:rPr>
          <w:color w:val="000000"/>
          <w:spacing w:val="0"/>
          <w:w w:val="100"/>
          <w:position w:val="0"/>
          <w:sz w:val="24"/>
          <w:szCs w:val="24"/>
        </w:rPr>
        <w:t>医疗保险费、工伤保险费、生育保险费等社会保险费和住房公积金，以及工会经费和 职工教育经费</w:t>
      </w:r>
    </w:p>
    <w:p>
      <w:pPr>
        <w:pStyle w:val="Style51"/>
        <w:keepNext w:val="0"/>
        <w:keepLines w:val="0"/>
        <w:widowControl w:val="0"/>
        <w:shd w:val="clear" w:color="auto" w:fill="auto"/>
        <w:bidi w:val="0"/>
        <w:spacing w:before="0" w:after="100" w:line="315" w:lineRule="exact"/>
        <w:ind w:left="0" w:right="0" w:firstLine="500"/>
        <w:jc w:val="both"/>
      </w:pPr>
      <w:r>
        <w:rPr>
          <w:color w:val="000000"/>
          <w:spacing w:val="0"/>
          <w:w w:val="100"/>
          <w:position w:val="0"/>
          <w:sz w:val="24"/>
          <w:szCs w:val="24"/>
        </w:rPr>
        <w:t>本公司为职工缴纳的医疗保险费、工伤保险费、生育保险费等社会保险费和住房公积金, 以及按规定提取的工会经费和职工教育经费，在职工为其提供服务的会计期间，根据规定的 计提基础和计提比例计算确定相应的职工薪酬金额，并确认相应负债，计入当期损益或相关 资产成本。</w:t>
      </w:r>
    </w:p>
    <w:p>
      <w:pPr>
        <w:pStyle w:val="Style51"/>
        <w:keepNext w:val="0"/>
        <w:keepLines w:val="0"/>
        <w:widowControl w:val="0"/>
        <w:numPr>
          <w:ilvl w:val="0"/>
          <w:numId w:val="77"/>
        </w:numPr>
        <w:shd w:val="clear" w:color="auto" w:fill="auto"/>
        <w:tabs>
          <w:tab w:pos="921" w:val="left"/>
        </w:tabs>
        <w:bidi w:val="0"/>
        <w:spacing w:before="0" w:after="100" w:line="315" w:lineRule="exact"/>
        <w:ind w:left="0" w:right="0" w:firstLine="500"/>
        <w:jc w:val="both"/>
      </w:pPr>
      <w:bookmarkStart w:id="797" w:name="bookmark797"/>
      <w:bookmarkEnd w:id="797"/>
      <w:r>
        <w:rPr>
          <w:color w:val="000000"/>
          <w:spacing w:val="0"/>
          <w:w w:val="100"/>
          <w:position w:val="0"/>
          <w:sz w:val="24"/>
          <w:szCs w:val="24"/>
        </w:rPr>
        <w:t>短期带薪缺勤</w:t>
      </w:r>
    </w:p>
    <w:p>
      <w:pPr>
        <w:pStyle w:val="Style51"/>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本公司在职工提供服务从而增加了其未来享有的带薪缺勤权利时，确认与累积带薪缺勤 相关的职工薪酬，并以累积未行使权利而增加的预期支付金额计量。本公司在职工实际发生 缺勤的会计期间确认与非累积带薪缺勤相关的职工薪酬。</w:t>
      </w:r>
    </w:p>
    <w:p>
      <w:pPr>
        <w:pStyle w:val="Style51"/>
        <w:keepNext w:val="0"/>
        <w:keepLines w:val="0"/>
        <w:widowControl w:val="0"/>
        <w:numPr>
          <w:ilvl w:val="0"/>
          <w:numId w:val="77"/>
        </w:numPr>
        <w:shd w:val="clear" w:color="auto" w:fill="auto"/>
        <w:tabs>
          <w:tab w:pos="921" w:val="left"/>
        </w:tabs>
        <w:bidi w:val="0"/>
        <w:spacing w:before="0" w:after="100" w:line="315" w:lineRule="exact"/>
        <w:ind w:left="0" w:right="0" w:firstLine="500"/>
        <w:jc w:val="both"/>
      </w:pPr>
      <w:bookmarkStart w:id="798" w:name="bookmark798"/>
      <w:bookmarkEnd w:id="798"/>
      <w:r>
        <w:rPr>
          <w:color w:val="000000"/>
          <w:spacing w:val="0"/>
          <w:w w:val="100"/>
          <w:position w:val="0"/>
          <w:sz w:val="24"/>
          <w:szCs w:val="24"/>
        </w:rPr>
        <w:t>短期利润分享计划</w:t>
      </w:r>
    </w:p>
    <w:p>
      <w:pPr>
        <w:pStyle w:val="Style51"/>
        <w:keepNext w:val="0"/>
        <w:keepLines w:val="0"/>
        <w:widowControl w:val="0"/>
        <w:shd w:val="clear" w:color="auto" w:fill="auto"/>
        <w:bidi w:val="0"/>
        <w:spacing w:before="0" w:after="100" w:line="315" w:lineRule="exact"/>
        <w:ind w:left="0" w:right="0" w:firstLine="500"/>
        <w:jc w:val="left"/>
      </w:pPr>
      <w:r>
        <w:rPr>
          <w:color w:val="000000"/>
          <w:spacing w:val="0"/>
          <w:w w:val="100"/>
          <w:position w:val="0"/>
          <w:sz w:val="24"/>
          <w:szCs w:val="24"/>
        </w:rPr>
        <w:t>利润分享计划同时满足下列条件的，本公司确认相关的应付职工薪酬：</w:t>
      </w:r>
    </w:p>
    <w:p>
      <w:pPr>
        <w:pStyle w:val="Style51"/>
        <w:keepNext w:val="0"/>
        <w:keepLines w:val="0"/>
        <w:widowControl w:val="0"/>
        <w:numPr>
          <w:ilvl w:val="0"/>
          <w:numId w:val="79"/>
        </w:numPr>
        <w:shd w:val="clear" w:color="auto" w:fill="auto"/>
        <w:tabs>
          <w:tab w:pos="906" w:val="left"/>
        </w:tabs>
        <w:bidi w:val="0"/>
        <w:spacing w:before="0" w:after="100" w:line="315" w:lineRule="exact"/>
        <w:ind w:left="0" w:right="0" w:firstLine="500"/>
        <w:jc w:val="left"/>
      </w:pPr>
      <w:bookmarkStart w:id="799" w:name="bookmark799"/>
      <w:bookmarkEnd w:id="799"/>
      <w:r>
        <w:rPr>
          <w:color w:val="000000"/>
          <w:spacing w:val="0"/>
          <w:w w:val="100"/>
          <w:position w:val="0"/>
          <w:sz w:val="24"/>
          <w:szCs w:val="24"/>
        </w:rPr>
        <w:t>企业因过去事项导致现在具有支付职工薪酬的法定义务或推定义务；</w:t>
      </w:r>
    </w:p>
    <w:p>
      <w:pPr>
        <w:pStyle w:val="Style51"/>
        <w:keepNext w:val="0"/>
        <w:keepLines w:val="0"/>
        <w:widowControl w:val="0"/>
        <w:numPr>
          <w:ilvl w:val="0"/>
          <w:numId w:val="79"/>
        </w:numPr>
        <w:shd w:val="clear" w:color="auto" w:fill="auto"/>
        <w:tabs>
          <w:tab w:pos="906" w:val="left"/>
        </w:tabs>
        <w:bidi w:val="0"/>
        <w:spacing w:before="0" w:after="640" w:line="315" w:lineRule="exact"/>
        <w:ind w:left="0" w:right="0" w:firstLine="500"/>
        <w:jc w:val="left"/>
      </w:pPr>
      <w:bookmarkStart w:id="800" w:name="bookmark800"/>
      <w:bookmarkEnd w:id="800"/>
      <w:r>
        <w:rPr>
          <w:color w:val="000000"/>
          <w:spacing w:val="0"/>
          <w:w w:val="100"/>
          <w:position w:val="0"/>
          <w:sz w:val="24"/>
          <w:szCs w:val="24"/>
        </w:rPr>
        <w:t>因利润分享计划所产生的应付职工薪酬义务金额能够可靠估计。</w:t>
      </w:r>
    </w:p>
    <w:p>
      <w:pPr>
        <w:pStyle w:val="Style40"/>
        <w:keepNext w:val="0"/>
        <w:keepLines w:val="0"/>
        <w:widowControl w:val="0"/>
        <w:numPr>
          <w:ilvl w:val="0"/>
          <w:numId w:val="75"/>
        </w:numPr>
        <w:shd w:val="clear" w:color="auto" w:fill="auto"/>
        <w:bidi w:val="0"/>
        <w:spacing w:before="0" w:after="300" w:line="240" w:lineRule="auto"/>
        <w:ind w:left="0" w:right="0" w:firstLine="0"/>
        <w:jc w:val="left"/>
      </w:pPr>
      <w:bookmarkStart w:id="801" w:name="bookmark801"/>
      <w:bookmarkEnd w:id="801"/>
      <w:r>
        <w:rPr>
          <w:b/>
          <w:bCs/>
          <w:color w:val="000000"/>
          <w:spacing w:val="0"/>
          <w:w w:val="100"/>
          <w:position w:val="0"/>
        </w:rPr>
        <w:t>离职后福利的会计处理方法</w:t>
      </w:r>
    </w:p>
    <w:p>
      <w:pPr>
        <w:pStyle w:val="Style51"/>
        <w:keepNext w:val="0"/>
        <w:keepLines w:val="0"/>
        <w:widowControl w:val="0"/>
        <w:shd w:val="clear" w:color="auto" w:fill="auto"/>
        <w:bidi w:val="0"/>
        <w:spacing w:before="0" w:after="100" w:line="318" w:lineRule="exact"/>
        <w:ind w:left="0" w:right="0" w:firstLine="500"/>
        <w:jc w:val="both"/>
      </w:pPr>
      <w:r>
        <w:rPr>
          <w:color w:val="000000"/>
          <w:spacing w:val="0"/>
          <w:w w:val="100"/>
          <w:position w:val="0"/>
          <w:sz w:val="24"/>
          <w:szCs w:val="24"/>
        </w:rPr>
        <w:t>①设定提存计划</w:t>
      </w:r>
    </w:p>
    <w:p>
      <w:pPr>
        <w:pStyle w:val="Style51"/>
        <w:keepNext w:val="0"/>
        <w:keepLines w:val="0"/>
        <w:widowControl w:val="0"/>
        <w:shd w:val="clear" w:color="auto" w:fill="auto"/>
        <w:bidi w:val="0"/>
        <w:spacing w:before="0" w:after="100" w:line="326" w:lineRule="exact"/>
        <w:ind w:left="0" w:right="0" w:firstLine="500"/>
        <w:jc w:val="both"/>
      </w:pPr>
      <w:r>
        <w:rPr>
          <w:color w:val="000000"/>
          <w:spacing w:val="0"/>
          <w:w w:val="100"/>
          <w:position w:val="0"/>
          <w:sz w:val="24"/>
          <w:szCs w:val="24"/>
        </w:rPr>
        <w:t>本公司在职工为其提供服务的会计期间，将根据设定提存计划计算的应缴存金额确认为 负债，并计入当期损益或相关资产成本。</w:t>
      </w:r>
    </w:p>
    <w:p>
      <w:pPr>
        <w:pStyle w:val="Style51"/>
        <w:keepNext w:val="0"/>
        <w:keepLines w:val="0"/>
        <w:widowControl w:val="0"/>
        <w:shd w:val="clear" w:color="auto" w:fill="auto"/>
        <w:bidi w:val="0"/>
        <w:spacing w:before="0" w:after="100" w:line="310" w:lineRule="exact"/>
        <w:ind w:left="0" w:right="0" w:firstLine="500"/>
        <w:jc w:val="both"/>
      </w:pPr>
      <w:r>
        <w:rPr>
          <w:color w:val="000000"/>
          <w:spacing w:val="0"/>
          <w:w w:val="100"/>
          <w:position w:val="0"/>
          <w:sz w:val="24"/>
          <w:szCs w:val="24"/>
        </w:rPr>
        <w:t xml:space="preserve">根据设定提存计划，预期不会在职工提供相关服务的年度报告期结束后十二个月内支付 全部应缴存金额的，本公司参照相应的折现率(根据资产负债表日与设定受益计划义务期限 和币种相匹配的国债或活跃市场上的高质量公司债券的市场收益率确定)，将全部应缴存金 </w:t>
      </w:r>
      <w:r>
        <w:rPr>
          <w:color w:val="000000"/>
          <w:spacing w:val="0"/>
          <w:w w:val="100"/>
          <w:position w:val="0"/>
          <w:sz w:val="24"/>
          <w:szCs w:val="24"/>
        </w:rPr>
        <w:t>额以折现后的金额计量应付职工薪酬。</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②设定受益计划</w:t>
      </w:r>
    </w:p>
    <w:p>
      <w:pPr>
        <w:pStyle w:val="Style51"/>
        <w:keepNext w:val="0"/>
        <w:keepLines w:val="0"/>
        <w:widowControl w:val="0"/>
        <w:numPr>
          <w:ilvl w:val="0"/>
          <w:numId w:val="81"/>
        </w:numPr>
        <w:shd w:val="clear" w:color="auto" w:fill="auto"/>
        <w:tabs>
          <w:tab w:pos="886" w:val="left"/>
        </w:tabs>
        <w:bidi w:val="0"/>
        <w:spacing w:before="0" w:after="100" w:line="271" w:lineRule="auto"/>
        <w:ind w:left="0" w:right="0" w:firstLine="480"/>
        <w:jc w:val="both"/>
      </w:pPr>
      <w:bookmarkStart w:id="802" w:name="bookmark802"/>
      <w:bookmarkEnd w:id="802"/>
      <w:r>
        <w:rPr>
          <w:color w:val="000000"/>
          <w:spacing w:val="0"/>
          <w:w w:val="100"/>
          <w:position w:val="0"/>
          <w:sz w:val="24"/>
          <w:szCs w:val="24"/>
        </w:rPr>
        <w:t>确定设定受益计划义务的现值和当期服务成本</w:t>
      </w:r>
    </w:p>
    <w:p>
      <w:pPr>
        <w:pStyle w:val="Style51"/>
        <w:keepNext w:val="0"/>
        <w:keepLines w:val="0"/>
        <w:widowControl w:val="0"/>
        <w:shd w:val="clear" w:color="auto" w:fill="auto"/>
        <w:bidi w:val="0"/>
        <w:spacing w:before="0" w:after="100" w:line="311" w:lineRule="exact"/>
        <w:ind w:left="0" w:right="0" w:firstLine="480"/>
        <w:jc w:val="both"/>
      </w:pPr>
      <w:r>
        <w:rPr>
          <w:color w:val="000000"/>
          <w:spacing w:val="0"/>
          <w:w w:val="100"/>
          <w:position w:val="0"/>
          <w:sz w:val="24"/>
          <w:szCs w:val="24"/>
        </w:rPr>
        <w:t>根据预期累计福利单位法，采用无偏且相互一致的精算假设对有关人口统计变量和财务 变量等做出估计，计量设定受益计划所产生的义务，并确定相关义务的归属期间。本公司按 照相应的折现率(根据资产负债表日与设定受益计划义务期限和币种相匹配的国债或活跃市 场上的高质量公司债券的市场收益率确定)将设定受益计划所产生的义务予以折现，以确定 设定受益计划义务的现值和当期服务成本。</w:t>
      </w:r>
    </w:p>
    <w:p>
      <w:pPr>
        <w:pStyle w:val="Style51"/>
        <w:keepNext w:val="0"/>
        <w:keepLines w:val="0"/>
        <w:widowControl w:val="0"/>
        <w:numPr>
          <w:ilvl w:val="0"/>
          <w:numId w:val="81"/>
        </w:numPr>
        <w:shd w:val="clear" w:color="auto" w:fill="auto"/>
        <w:tabs>
          <w:tab w:pos="886" w:val="left"/>
        </w:tabs>
        <w:bidi w:val="0"/>
        <w:spacing w:before="0" w:after="100" w:line="271" w:lineRule="auto"/>
        <w:ind w:left="0" w:right="0" w:firstLine="480"/>
        <w:jc w:val="both"/>
      </w:pPr>
      <w:bookmarkStart w:id="803" w:name="bookmark803"/>
      <w:bookmarkEnd w:id="803"/>
      <w:r>
        <w:rPr>
          <w:color w:val="000000"/>
          <w:spacing w:val="0"/>
          <w:w w:val="100"/>
          <w:position w:val="0"/>
          <w:sz w:val="24"/>
          <w:szCs w:val="24"/>
        </w:rPr>
        <w:t>确认设定受益计划净负债或净资产</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设定受益计划存在资产的，本公司将设定受益计划义务现值减去设定受益计划资产公允 价值所形成的赤字或盈余确认为一项设定受益计划净负债或净资产。</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设定受益计划存在盈余的，本公司以设定受益计划的盈余和资产上限两项的孰低者计量 设定受益计划净资产。</w:t>
      </w:r>
    </w:p>
    <w:p>
      <w:pPr>
        <w:pStyle w:val="Style51"/>
        <w:keepNext w:val="0"/>
        <w:keepLines w:val="0"/>
        <w:widowControl w:val="0"/>
        <w:numPr>
          <w:ilvl w:val="0"/>
          <w:numId w:val="81"/>
        </w:numPr>
        <w:shd w:val="clear" w:color="auto" w:fill="auto"/>
        <w:tabs>
          <w:tab w:pos="886" w:val="left"/>
        </w:tabs>
        <w:bidi w:val="0"/>
        <w:spacing w:before="0" w:after="100" w:line="271" w:lineRule="auto"/>
        <w:ind w:left="0" w:right="0" w:firstLine="480"/>
        <w:jc w:val="both"/>
      </w:pPr>
      <w:bookmarkStart w:id="804" w:name="bookmark804"/>
      <w:bookmarkEnd w:id="804"/>
      <w:r>
        <w:rPr>
          <w:color w:val="000000"/>
          <w:spacing w:val="0"/>
          <w:w w:val="100"/>
          <w:position w:val="0"/>
          <w:sz w:val="24"/>
          <w:szCs w:val="24"/>
        </w:rPr>
        <w:t>确定应计入资产成本或当期损益的金额</w:t>
      </w:r>
    </w:p>
    <w:p>
      <w:pPr>
        <w:pStyle w:val="Style51"/>
        <w:keepNext w:val="0"/>
        <w:keepLines w:val="0"/>
        <w:widowControl w:val="0"/>
        <w:shd w:val="clear" w:color="auto" w:fill="auto"/>
        <w:bidi w:val="0"/>
        <w:spacing w:before="0" w:after="100" w:line="307" w:lineRule="exact"/>
        <w:ind w:left="0" w:right="0" w:firstLine="480"/>
        <w:jc w:val="both"/>
      </w:pPr>
      <w:r>
        <w:rPr>
          <w:color w:val="000000"/>
          <w:spacing w:val="0"/>
          <w:w w:val="100"/>
          <w:position w:val="0"/>
          <w:sz w:val="24"/>
          <w:szCs w:val="24"/>
        </w:rPr>
        <w:t>服务成本，包括当期服务成本、过去服务成本和结算利得或损失。其中，除了其他会计 准则要求或允许计入资产成本的当期服务成本之外，其他服务成本均计入当期损益。</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设定受益计划净负债或净资产的利息净额，包括计划资产的利息收益、设定受益计划义 务的利息费用以及资产上限影响的利息，均计入当期损益。</w:t>
      </w:r>
    </w:p>
    <w:p>
      <w:pPr>
        <w:pStyle w:val="Style51"/>
        <w:keepNext w:val="0"/>
        <w:keepLines w:val="0"/>
        <w:widowControl w:val="0"/>
        <w:numPr>
          <w:ilvl w:val="0"/>
          <w:numId w:val="81"/>
        </w:numPr>
        <w:shd w:val="clear" w:color="auto" w:fill="auto"/>
        <w:tabs>
          <w:tab w:pos="891" w:val="left"/>
        </w:tabs>
        <w:bidi w:val="0"/>
        <w:spacing w:before="0" w:after="100" w:line="271" w:lineRule="auto"/>
        <w:ind w:left="0" w:right="0" w:firstLine="480"/>
        <w:jc w:val="both"/>
      </w:pPr>
      <w:bookmarkStart w:id="805" w:name="bookmark805"/>
      <w:bookmarkEnd w:id="805"/>
      <w:r>
        <w:rPr>
          <w:color w:val="000000"/>
          <w:spacing w:val="0"/>
          <w:w w:val="100"/>
          <w:position w:val="0"/>
          <w:sz w:val="24"/>
          <w:szCs w:val="24"/>
        </w:rPr>
        <w:t>确定应计入其他综合收益的金额</w:t>
      </w:r>
    </w:p>
    <w:p>
      <w:pPr>
        <w:pStyle w:val="Style51"/>
        <w:keepNext w:val="0"/>
        <w:keepLines w:val="0"/>
        <w:widowControl w:val="0"/>
        <w:shd w:val="clear" w:color="auto" w:fill="auto"/>
        <w:bidi w:val="0"/>
        <w:spacing w:before="0" w:after="100"/>
        <w:ind w:left="0" w:right="0" w:firstLine="480"/>
        <w:jc w:val="left"/>
      </w:pPr>
      <w:r>
        <w:rPr>
          <w:color w:val="000000"/>
          <w:spacing w:val="0"/>
          <w:w w:val="100"/>
          <w:position w:val="0"/>
          <w:sz w:val="24"/>
          <w:szCs w:val="24"/>
        </w:rPr>
        <w:t>重新计量设定受益计划净负债或净资产所产生的变动，包括：</w:t>
      </w:r>
    </w:p>
    <w:p>
      <w:pPr>
        <w:pStyle w:val="Style51"/>
        <w:keepNext w:val="0"/>
        <w:keepLines w:val="0"/>
        <w:widowControl w:val="0"/>
        <w:numPr>
          <w:ilvl w:val="0"/>
          <w:numId w:val="83"/>
        </w:numPr>
        <w:shd w:val="clear" w:color="auto" w:fill="auto"/>
        <w:tabs>
          <w:tab w:pos="1122" w:val="left"/>
        </w:tabs>
        <w:bidi w:val="0"/>
        <w:spacing w:before="0" w:after="100" w:line="326" w:lineRule="exact"/>
        <w:ind w:left="0" w:right="0" w:firstLine="480"/>
        <w:jc w:val="both"/>
      </w:pPr>
      <w:bookmarkStart w:id="806" w:name="bookmark806"/>
      <w:bookmarkEnd w:id="806"/>
      <w:r>
        <w:rPr>
          <w:color w:val="000000"/>
          <w:spacing w:val="0"/>
          <w:w w:val="100"/>
          <w:position w:val="0"/>
          <w:sz w:val="24"/>
          <w:szCs w:val="24"/>
        </w:rPr>
        <w:t>精算利得或损失，即由于精算假设和经验调整导致之前所计量的设定受益计划义务 现值的增加或减少；</w:t>
      </w:r>
    </w:p>
    <w:p>
      <w:pPr>
        <w:pStyle w:val="Style51"/>
        <w:keepNext w:val="0"/>
        <w:keepLines w:val="0"/>
        <w:widowControl w:val="0"/>
        <w:numPr>
          <w:ilvl w:val="0"/>
          <w:numId w:val="83"/>
        </w:numPr>
        <w:shd w:val="clear" w:color="auto" w:fill="auto"/>
        <w:tabs>
          <w:tab w:pos="1010" w:val="left"/>
        </w:tabs>
        <w:bidi w:val="0"/>
        <w:spacing w:before="0" w:after="100"/>
        <w:ind w:left="0" w:right="0" w:firstLine="480"/>
        <w:jc w:val="left"/>
      </w:pPr>
      <w:bookmarkStart w:id="807" w:name="bookmark807"/>
      <w:bookmarkEnd w:id="807"/>
      <w:r>
        <w:rPr>
          <w:color w:val="000000"/>
          <w:spacing w:val="0"/>
          <w:w w:val="100"/>
          <w:position w:val="0"/>
          <w:sz w:val="24"/>
          <w:szCs w:val="24"/>
        </w:rPr>
        <w:t>计划资产回报，扣除包括在设定受益计划净负债或净资产的利息净额中的金额</w:t>
      </w:r>
      <w:r>
        <w:rPr>
          <w:color w:val="000000"/>
          <w:spacing w:val="0"/>
          <w:w w:val="100"/>
          <w:position w:val="0"/>
          <w:sz w:val="24"/>
          <w:szCs w:val="24"/>
        </w:rPr>
        <w:t>；</w:t>
      </w:r>
    </w:p>
    <w:p>
      <w:pPr>
        <w:pStyle w:val="Style51"/>
        <w:keepNext w:val="0"/>
        <w:keepLines w:val="0"/>
        <w:widowControl w:val="0"/>
        <w:numPr>
          <w:ilvl w:val="0"/>
          <w:numId w:val="83"/>
        </w:numPr>
        <w:shd w:val="clear" w:color="auto" w:fill="auto"/>
        <w:tabs>
          <w:tab w:pos="1136" w:val="left"/>
        </w:tabs>
        <w:bidi w:val="0"/>
        <w:spacing w:before="0" w:after="100" w:line="322" w:lineRule="exact"/>
        <w:ind w:left="0" w:right="0" w:firstLine="480"/>
        <w:jc w:val="both"/>
      </w:pPr>
      <w:bookmarkStart w:id="808" w:name="bookmark808"/>
      <w:bookmarkEnd w:id="808"/>
      <w:r>
        <w:rPr>
          <w:color w:val="000000"/>
          <w:spacing w:val="0"/>
          <w:w w:val="100"/>
          <w:position w:val="0"/>
          <w:sz w:val="24"/>
          <w:szCs w:val="24"/>
        </w:rPr>
        <w:t>资产上限影响的变动，扣除包括在设定受益计划净负债或净资产的利息净额中的金 额。</w:t>
      </w:r>
    </w:p>
    <w:p>
      <w:pPr>
        <w:pStyle w:val="Style51"/>
        <w:keepNext w:val="0"/>
        <w:keepLines w:val="0"/>
        <w:widowControl w:val="0"/>
        <w:shd w:val="clear" w:color="auto" w:fill="auto"/>
        <w:bidi w:val="0"/>
        <w:spacing w:before="0" w:after="640" w:line="314" w:lineRule="exact"/>
        <w:ind w:left="0" w:right="0" w:firstLine="480"/>
        <w:jc w:val="both"/>
      </w:pPr>
      <w:r>
        <w:rPr>
          <w:color w:val="000000"/>
          <w:spacing w:val="0"/>
          <w:w w:val="100"/>
          <w:position w:val="0"/>
          <w:sz w:val="24"/>
          <w:szCs w:val="24"/>
        </w:rPr>
        <w:t>上述重新计量设定受益计划净负债或净资产所产生的变动直接计入其他综合收益</w:t>
      </w:r>
      <w:r>
        <w:rPr>
          <w:color w:val="000000"/>
          <w:spacing w:val="0"/>
          <w:w w:val="100"/>
          <w:position w:val="0"/>
          <w:sz w:val="24"/>
          <w:szCs w:val="24"/>
        </w:rPr>
        <w:t>，</w:t>
      </w:r>
      <w:r>
        <w:rPr>
          <w:color w:val="000000"/>
          <w:spacing w:val="0"/>
          <w:w w:val="100"/>
          <w:position w:val="0"/>
          <w:sz w:val="24"/>
          <w:szCs w:val="24"/>
        </w:rPr>
        <w:t>并且 在后续会计期间不允许转回至损益，但本公司可以在权益范围内转移这些在其他综合收益中 确认的金额。</w:t>
      </w:r>
    </w:p>
    <w:p>
      <w:pPr>
        <w:pStyle w:val="Style40"/>
        <w:keepNext w:val="0"/>
        <w:keepLines w:val="0"/>
        <w:widowControl w:val="0"/>
        <w:numPr>
          <w:ilvl w:val="0"/>
          <w:numId w:val="75"/>
        </w:numPr>
        <w:shd w:val="clear" w:color="auto" w:fill="auto"/>
        <w:bidi w:val="0"/>
        <w:spacing w:before="0" w:after="320" w:line="240" w:lineRule="auto"/>
        <w:ind w:left="0" w:right="0" w:firstLine="0"/>
        <w:jc w:val="left"/>
      </w:pPr>
      <w:bookmarkStart w:id="809" w:name="bookmark809"/>
      <w:bookmarkEnd w:id="809"/>
      <w:r>
        <w:rPr>
          <w:b/>
          <w:bCs/>
          <w:color w:val="000000"/>
          <w:spacing w:val="0"/>
          <w:w w:val="100"/>
          <w:position w:val="0"/>
        </w:rPr>
        <w:t>辞退福利的会计处理方法</w:t>
      </w:r>
    </w:p>
    <w:p>
      <w:pPr>
        <w:pStyle w:val="Style51"/>
        <w:keepNext w:val="0"/>
        <w:keepLines w:val="0"/>
        <w:widowControl w:val="0"/>
        <w:shd w:val="clear" w:color="auto" w:fill="auto"/>
        <w:bidi w:val="0"/>
        <w:spacing w:before="0" w:after="100" w:line="302" w:lineRule="exact"/>
        <w:ind w:left="0" w:right="0" w:firstLine="480"/>
        <w:jc w:val="both"/>
      </w:pPr>
      <w:r>
        <w:rPr>
          <w:color w:val="000000"/>
          <w:spacing w:val="0"/>
          <w:w w:val="100"/>
          <w:position w:val="0"/>
          <w:sz w:val="24"/>
          <w:szCs w:val="24"/>
        </w:rPr>
        <w:t>本公司向职工提供辞退福利的，在下列两者孰早日确认辞退福利产生的职工薪酬负债， 并计入当期损益：</w:t>
      </w:r>
    </w:p>
    <w:p>
      <w:pPr>
        <w:pStyle w:val="Style51"/>
        <w:keepNext w:val="0"/>
        <w:keepLines w:val="0"/>
        <w:widowControl w:val="0"/>
        <w:numPr>
          <w:ilvl w:val="0"/>
          <w:numId w:val="85"/>
        </w:numPr>
        <w:shd w:val="clear" w:color="auto" w:fill="auto"/>
        <w:tabs>
          <w:tab w:pos="901" w:val="left"/>
        </w:tabs>
        <w:bidi w:val="0"/>
        <w:spacing w:before="0" w:after="100" w:line="302" w:lineRule="exact"/>
        <w:ind w:left="0" w:right="0" w:firstLine="480"/>
        <w:jc w:val="both"/>
      </w:pPr>
      <w:bookmarkStart w:id="810" w:name="bookmark810"/>
      <w:bookmarkEnd w:id="810"/>
      <w:r>
        <w:rPr>
          <w:color w:val="000000"/>
          <w:spacing w:val="0"/>
          <w:w w:val="100"/>
          <w:position w:val="0"/>
          <w:sz w:val="24"/>
          <w:szCs w:val="24"/>
        </w:rPr>
        <w:t>企业不能单方面撤回因解除劳动关系计划或裁减建议所提供的辞退福利时；</w:t>
      </w:r>
    </w:p>
    <w:p>
      <w:pPr>
        <w:pStyle w:val="Style51"/>
        <w:keepNext w:val="0"/>
        <w:keepLines w:val="0"/>
        <w:widowControl w:val="0"/>
        <w:numPr>
          <w:ilvl w:val="0"/>
          <w:numId w:val="85"/>
        </w:numPr>
        <w:shd w:val="clear" w:color="auto" w:fill="auto"/>
        <w:tabs>
          <w:tab w:pos="901" w:val="left"/>
        </w:tabs>
        <w:bidi w:val="0"/>
        <w:spacing w:before="0" w:after="100" w:line="302" w:lineRule="exact"/>
        <w:ind w:left="0" w:right="0" w:firstLine="480"/>
        <w:jc w:val="both"/>
      </w:pPr>
      <w:bookmarkStart w:id="811" w:name="bookmark811"/>
      <w:bookmarkEnd w:id="811"/>
      <w:r>
        <w:rPr>
          <w:color w:val="000000"/>
          <w:spacing w:val="0"/>
          <w:w w:val="100"/>
          <w:position w:val="0"/>
          <w:sz w:val="24"/>
          <w:szCs w:val="24"/>
        </w:rPr>
        <w:t>企业确认与涉及支付辞退福利的重组相关的成本或费用时。</w:t>
      </w:r>
    </w:p>
    <w:p>
      <w:pPr>
        <w:pStyle w:val="Style51"/>
        <w:keepNext w:val="0"/>
        <w:keepLines w:val="0"/>
        <w:widowControl w:val="0"/>
        <w:shd w:val="clear" w:color="auto" w:fill="auto"/>
        <w:bidi w:val="0"/>
        <w:spacing w:before="0" w:after="760" w:line="302" w:lineRule="exact"/>
        <w:ind w:left="0" w:right="0" w:firstLine="480"/>
        <w:jc w:val="both"/>
      </w:pPr>
      <w:r>
        <w:rPr>
          <w:color w:val="000000"/>
          <w:spacing w:val="0"/>
          <w:w w:val="100"/>
          <w:position w:val="0"/>
          <w:sz w:val="24"/>
          <w:szCs w:val="24"/>
        </w:rPr>
        <w:t xml:space="preserve">辞退福利预期在年度报告期结束后十二个月内不能完全支付的，参照相应的折现率(根 </w:t>
      </w:r>
      <w:r>
        <w:rPr>
          <w:color w:val="000000"/>
          <w:spacing w:val="0"/>
          <w:w w:val="100"/>
          <w:position w:val="0"/>
          <w:sz w:val="24"/>
          <w:szCs w:val="24"/>
        </w:rPr>
        <w:t>据资产负债表日与设定受益计划义务期限和币种相匹配的国债或活跃市场上的高质量公司债 券的市场收益率确定)将辞退福利金额予以折现，以折现后的金额计量应付职工薪酬。</w:t>
      </w:r>
    </w:p>
    <w:p>
      <w:pPr>
        <w:pStyle w:val="Style40"/>
        <w:keepNext w:val="0"/>
        <w:keepLines w:val="0"/>
        <w:widowControl w:val="0"/>
        <w:numPr>
          <w:ilvl w:val="0"/>
          <w:numId w:val="75"/>
        </w:numPr>
        <w:shd w:val="clear" w:color="auto" w:fill="auto"/>
        <w:bidi w:val="0"/>
        <w:spacing w:before="0" w:after="320" w:line="240" w:lineRule="auto"/>
        <w:ind w:left="0" w:right="0" w:firstLine="0"/>
        <w:jc w:val="left"/>
      </w:pPr>
      <w:bookmarkStart w:id="812" w:name="bookmark812"/>
      <w:bookmarkEnd w:id="812"/>
      <w:r>
        <w:rPr>
          <w:b/>
          <w:bCs/>
          <w:color w:val="000000"/>
          <w:spacing w:val="0"/>
          <w:w w:val="100"/>
          <w:position w:val="0"/>
        </w:rPr>
        <w:t>其他长期职工福利的会计处理方法</w:t>
      </w:r>
    </w:p>
    <w:p>
      <w:pPr>
        <w:pStyle w:val="Style51"/>
        <w:keepNext w:val="0"/>
        <w:keepLines w:val="0"/>
        <w:widowControl w:val="0"/>
        <w:numPr>
          <w:ilvl w:val="0"/>
          <w:numId w:val="87"/>
        </w:numPr>
        <w:shd w:val="clear" w:color="auto" w:fill="auto"/>
        <w:tabs>
          <w:tab w:pos="921" w:val="left"/>
        </w:tabs>
        <w:bidi w:val="0"/>
        <w:spacing w:before="0" w:after="100" w:line="309" w:lineRule="exact"/>
        <w:ind w:left="0" w:right="0" w:firstLine="500"/>
        <w:jc w:val="both"/>
      </w:pPr>
      <w:bookmarkStart w:id="813" w:name="bookmark813"/>
      <w:bookmarkEnd w:id="813"/>
      <w:r>
        <w:rPr>
          <w:color w:val="000000"/>
          <w:spacing w:val="0"/>
          <w:w w:val="100"/>
          <w:position w:val="0"/>
          <w:sz w:val="24"/>
          <w:szCs w:val="24"/>
        </w:rPr>
        <w:t>符合设定提存计划条件的</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本公司向职工提供的其他长期职工福利，符合设定提存计划条件的，将全部应缴存金额 以折现后的金额计量应付职工薪酬。</w:t>
      </w:r>
    </w:p>
    <w:p>
      <w:pPr>
        <w:pStyle w:val="Style51"/>
        <w:keepNext w:val="0"/>
        <w:keepLines w:val="0"/>
        <w:widowControl w:val="0"/>
        <w:numPr>
          <w:ilvl w:val="0"/>
          <w:numId w:val="87"/>
        </w:numPr>
        <w:shd w:val="clear" w:color="auto" w:fill="auto"/>
        <w:tabs>
          <w:tab w:pos="921" w:val="left"/>
        </w:tabs>
        <w:bidi w:val="0"/>
        <w:spacing w:before="0" w:after="100" w:line="309" w:lineRule="exact"/>
        <w:ind w:left="0" w:right="0" w:firstLine="500"/>
        <w:jc w:val="both"/>
      </w:pPr>
      <w:bookmarkStart w:id="814" w:name="bookmark814"/>
      <w:bookmarkEnd w:id="814"/>
      <w:r>
        <w:rPr>
          <w:color w:val="000000"/>
          <w:spacing w:val="0"/>
          <w:w w:val="100"/>
          <w:position w:val="0"/>
          <w:sz w:val="24"/>
          <w:szCs w:val="24"/>
        </w:rPr>
        <w:t>符合设定受益计划条件的</w:t>
      </w:r>
    </w:p>
    <w:p>
      <w:pPr>
        <w:pStyle w:val="Style51"/>
        <w:keepNext w:val="0"/>
        <w:keepLines w:val="0"/>
        <w:widowControl w:val="0"/>
        <w:shd w:val="clear" w:color="auto" w:fill="auto"/>
        <w:bidi w:val="0"/>
        <w:spacing w:before="0" w:after="100" w:line="309" w:lineRule="exact"/>
        <w:ind w:left="0" w:right="0" w:firstLine="500"/>
        <w:jc w:val="both"/>
      </w:pPr>
      <w:r>
        <w:rPr>
          <w:color w:val="000000"/>
          <w:spacing w:val="0"/>
          <w:w w:val="100"/>
          <w:position w:val="0"/>
          <w:sz w:val="24"/>
          <w:szCs w:val="24"/>
        </w:rPr>
        <w:t>在报告期末，本公司将其他长期职工福利产生的职工薪酬成本确认为下列组成部分：</w:t>
      </w:r>
    </w:p>
    <w:p>
      <w:pPr>
        <w:pStyle w:val="Style51"/>
        <w:keepNext w:val="0"/>
        <w:keepLines w:val="0"/>
        <w:widowControl w:val="0"/>
        <w:numPr>
          <w:ilvl w:val="0"/>
          <w:numId w:val="89"/>
        </w:numPr>
        <w:shd w:val="clear" w:color="auto" w:fill="auto"/>
        <w:tabs>
          <w:tab w:pos="906" w:val="left"/>
        </w:tabs>
        <w:bidi w:val="0"/>
        <w:spacing w:before="0" w:after="100" w:line="269" w:lineRule="auto"/>
        <w:ind w:left="0" w:right="0" w:firstLine="500"/>
        <w:jc w:val="both"/>
      </w:pPr>
      <w:bookmarkStart w:id="815" w:name="bookmark815"/>
      <w:bookmarkEnd w:id="815"/>
      <w:r>
        <w:rPr>
          <w:color w:val="000000"/>
          <w:spacing w:val="0"/>
          <w:w w:val="100"/>
          <w:position w:val="0"/>
          <w:sz w:val="24"/>
          <w:szCs w:val="24"/>
        </w:rPr>
        <w:t>服务成本；</w:t>
      </w:r>
    </w:p>
    <w:p>
      <w:pPr>
        <w:pStyle w:val="Style51"/>
        <w:keepNext w:val="0"/>
        <w:keepLines w:val="0"/>
        <w:widowControl w:val="0"/>
        <w:numPr>
          <w:ilvl w:val="0"/>
          <w:numId w:val="89"/>
        </w:numPr>
        <w:shd w:val="clear" w:color="auto" w:fill="auto"/>
        <w:tabs>
          <w:tab w:pos="906" w:val="left"/>
        </w:tabs>
        <w:bidi w:val="0"/>
        <w:spacing w:before="0" w:after="100" w:line="269" w:lineRule="auto"/>
        <w:ind w:left="0" w:right="0" w:firstLine="500"/>
        <w:jc w:val="both"/>
      </w:pPr>
      <w:bookmarkStart w:id="816" w:name="bookmark816"/>
      <w:bookmarkEnd w:id="816"/>
      <w:r>
        <w:rPr>
          <w:color w:val="000000"/>
          <w:spacing w:val="0"/>
          <w:w w:val="100"/>
          <w:position w:val="0"/>
          <w:sz w:val="24"/>
          <w:szCs w:val="24"/>
        </w:rPr>
        <w:t>其他长期职工福利净负债或净资产的利息净额；</w:t>
      </w:r>
    </w:p>
    <w:p>
      <w:pPr>
        <w:pStyle w:val="Style51"/>
        <w:keepNext w:val="0"/>
        <w:keepLines w:val="0"/>
        <w:widowControl w:val="0"/>
        <w:numPr>
          <w:ilvl w:val="0"/>
          <w:numId w:val="89"/>
        </w:numPr>
        <w:shd w:val="clear" w:color="auto" w:fill="auto"/>
        <w:tabs>
          <w:tab w:pos="906" w:val="left"/>
        </w:tabs>
        <w:bidi w:val="0"/>
        <w:spacing w:before="0" w:after="100" w:line="269" w:lineRule="auto"/>
        <w:ind w:left="0" w:right="0" w:firstLine="500"/>
        <w:jc w:val="both"/>
      </w:pPr>
      <w:bookmarkStart w:id="817" w:name="bookmark817"/>
      <w:bookmarkEnd w:id="817"/>
      <w:r>
        <w:rPr>
          <w:color w:val="000000"/>
          <w:spacing w:val="0"/>
          <w:w w:val="100"/>
          <w:position w:val="0"/>
          <w:sz w:val="24"/>
          <w:szCs w:val="24"/>
        </w:rPr>
        <w:t>重新计量其他长期职工福利净负债或净资产所产生的变动。</w:t>
      </w:r>
    </w:p>
    <w:p>
      <w:pPr>
        <w:pStyle w:val="Style51"/>
        <w:keepNext w:val="0"/>
        <w:keepLines w:val="0"/>
        <w:widowControl w:val="0"/>
        <w:shd w:val="clear" w:color="auto" w:fill="auto"/>
        <w:bidi w:val="0"/>
        <w:spacing w:before="0" w:after="640" w:line="309" w:lineRule="exact"/>
        <w:ind w:left="0" w:right="0" w:firstLine="500"/>
        <w:jc w:val="both"/>
      </w:pPr>
      <w:r>
        <w:rPr>
          <w:color w:val="000000"/>
          <w:spacing w:val="0"/>
          <w:w w:val="100"/>
          <w:position w:val="0"/>
          <w:sz w:val="24"/>
          <w:szCs w:val="24"/>
        </w:rPr>
        <w:t>为简化相关会计处理，上述项目的总净额计入当期损益或相关资产成本。</w:t>
      </w:r>
    </w:p>
    <w:p>
      <w:pPr>
        <w:pStyle w:val="Style40"/>
        <w:keepNext w:val="0"/>
        <w:keepLines w:val="0"/>
        <w:widowControl w:val="0"/>
        <w:shd w:val="clear" w:color="auto" w:fill="auto"/>
        <w:tabs>
          <w:tab w:pos="478" w:val="left"/>
        </w:tabs>
        <w:bidi w:val="0"/>
        <w:spacing w:before="0" w:after="320" w:line="240" w:lineRule="auto"/>
        <w:ind w:left="0" w:right="0" w:firstLine="0"/>
        <w:jc w:val="both"/>
      </w:pPr>
      <w:bookmarkStart w:id="818" w:name="bookmark818"/>
      <w:r>
        <w:rPr>
          <w:rFonts w:ascii="Times New Roman" w:eastAsia="Times New Roman" w:hAnsi="Times New Roman" w:cs="Times New Roman"/>
          <w:b/>
          <w:bCs/>
          <w:color w:val="000000"/>
          <w:spacing w:val="0"/>
          <w:w w:val="100"/>
          <w:position w:val="0"/>
        </w:rPr>
        <w:t>2</w:t>
      </w:r>
      <w:bookmarkEnd w:id="81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预计负债</w:t>
      </w:r>
    </w:p>
    <w:p>
      <w:pPr>
        <w:pStyle w:val="Style26"/>
        <w:keepNext/>
        <w:keepLines/>
        <w:widowControl w:val="0"/>
        <w:numPr>
          <w:ilvl w:val="0"/>
          <w:numId w:val="91"/>
        </w:numPr>
        <w:shd w:val="clear" w:color="auto" w:fill="auto"/>
        <w:tabs>
          <w:tab w:pos="1031" w:val="left"/>
        </w:tabs>
        <w:bidi w:val="0"/>
        <w:spacing w:before="0" w:after="100" w:line="309" w:lineRule="exact"/>
        <w:ind w:left="0" w:right="0" w:firstLine="500"/>
        <w:jc w:val="both"/>
      </w:pPr>
      <w:bookmarkStart w:id="819" w:name="bookmark819"/>
      <w:bookmarkStart w:id="820" w:name="bookmark820"/>
      <w:bookmarkStart w:id="821" w:name="bookmark821"/>
      <w:bookmarkStart w:id="822" w:name="bookmark822"/>
      <w:bookmarkEnd w:id="821"/>
      <w:r>
        <w:rPr>
          <w:color w:val="000000"/>
          <w:spacing w:val="0"/>
          <w:w w:val="100"/>
          <w:position w:val="0"/>
          <w:sz w:val="24"/>
          <w:szCs w:val="24"/>
        </w:rPr>
        <w:t>预计负债的的确认标准</w:t>
      </w:r>
      <w:bookmarkEnd w:id="819"/>
      <w:bookmarkEnd w:id="820"/>
      <w:bookmarkEnd w:id="822"/>
    </w:p>
    <w:p>
      <w:pPr>
        <w:pStyle w:val="Style51"/>
        <w:keepNext w:val="0"/>
        <w:keepLines w:val="0"/>
        <w:widowControl w:val="0"/>
        <w:shd w:val="clear" w:color="auto" w:fill="auto"/>
        <w:bidi w:val="0"/>
        <w:spacing w:before="0" w:after="100" w:line="309" w:lineRule="exact"/>
        <w:ind w:left="0" w:right="0" w:firstLine="500"/>
        <w:jc w:val="both"/>
      </w:pPr>
      <w:r>
        <w:rPr>
          <w:color w:val="000000"/>
          <w:spacing w:val="0"/>
          <w:w w:val="100"/>
          <w:position w:val="0"/>
          <w:sz w:val="24"/>
          <w:szCs w:val="24"/>
        </w:rPr>
        <w:t>如果与或有事项相关的义务同时符合以下条件，本公司将其确认为预计负债：</w:t>
      </w:r>
    </w:p>
    <w:p>
      <w:pPr>
        <w:pStyle w:val="Style51"/>
        <w:keepNext w:val="0"/>
        <w:keepLines w:val="0"/>
        <w:widowControl w:val="0"/>
        <w:numPr>
          <w:ilvl w:val="0"/>
          <w:numId w:val="93"/>
        </w:numPr>
        <w:shd w:val="clear" w:color="auto" w:fill="auto"/>
        <w:tabs>
          <w:tab w:pos="921" w:val="left"/>
        </w:tabs>
        <w:bidi w:val="0"/>
        <w:spacing w:before="0" w:after="100" w:line="309" w:lineRule="exact"/>
        <w:ind w:left="0" w:right="0" w:firstLine="500"/>
        <w:jc w:val="both"/>
      </w:pPr>
      <w:bookmarkStart w:id="823" w:name="bookmark823"/>
      <w:bookmarkEnd w:id="823"/>
      <w:r>
        <w:rPr>
          <w:color w:val="000000"/>
          <w:spacing w:val="0"/>
          <w:w w:val="100"/>
          <w:position w:val="0"/>
          <w:sz w:val="24"/>
          <w:szCs w:val="24"/>
        </w:rPr>
        <w:t>该义务是本公司承担的现时义务；</w:t>
      </w:r>
    </w:p>
    <w:p>
      <w:pPr>
        <w:pStyle w:val="Style51"/>
        <w:keepNext w:val="0"/>
        <w:keepLines w:val="0"/>
        <w:widowControl w:val="0"/>
        <w:numPr>
          <w:ilvl w:val="0"/>
          <w:numId w:val="93"/>
        </w:numPr>
        <w:shd w:val="clear" w:color="auto" w:fill="auto"/>
        <w:tabs>
          <w:tab w:pos="921" w:val="left"/>
        </w:tabs>
        <w:bidi w:val="0"/>
        <w:spacing w:before="0" w:after="100" w:line="309" w:lineRule="exact"/>
        <w:ind w:left="0" w:right="0" w:firstLine="500"/>
        <w:jc w:val="both"/>
      </w:pPr>
      <w:bookmarkStart w:id="824" w:name="bookmark824"/>
      <w:bookmarkEnd w:id="824"/>
      <w:r>
        <w:rPr>
          <w:color w:val="000000"/>
          <w:spacing w:val="0"/>
          <w:w w:val="100"/>
          <w:position w:val="0"/>
          <w:sz w:val="24"/>
          <w:szCs w:val="24"/>
        </w:rPr>
        <w:t>该义务的履行很可能导致经济利益流出本公司；</w:t>
      </w:r>
    </w:p>
    <w:p>
      <w:pPr>
        <w:pStyle w:val="Style51"/>
        <w:keepNext w:val="0"/>
        <w:keepLines w:val="0"/>
        <w:widowControl w:val="0"/>
        <w:numPr>
          <w:ilvl w:val="0"/>
          <w:numId w:val="93"/>
        </w:numPr>
        <w:shd w:val="clear" w:color="auto" w:fill="auto"/>
        <w:tabs>
          <w:tab w:pos="921" w:val="left"/>
        </w:tabs>
        <w:bidi w:val="0"/>
        <w:spacing w:before="0" w:after="100" w:line="309" w:lineRule="exact"/>
        <w:ind w:left="0" w:right="0" w:firstLine="500"/>
        <w:jc w:val="both"/>
      </w:pPr>
      <w:bookmarkStart w:id="825" w:name="bookmark825"/>
      <w:bookmarkEnd w:id="825"/>
      <w:r>
        <w:rPr>
          <w:color w:val="000000"/>
          <w:spacing w:val="0"/>
          <w:w w:val="100"/>
          <w:position w:val="0"/>
          <w:sz w:val="24"/>
          <w:szCs w:val="24"/>
        </w:rPr>
        <w:t>该义务的金额能够可靠地计量。</w:t>
      </w:r>
    </w:p>
    <w:p>
      <w:pPr>
        <w:pStyle w:val="Style51"/>
        <w:keepNext w:val="0"/>
        <w:keepLines w:val="0"/>
        <w:widowControl w:val="0"/>
        <w:numPr>
          <w:ilvl w:val="0"/>
          <w:numId w:val="91"/>
        </w:numPr>
        <w:shd w:val="clear" w:color="auto" w:fill="auto"/>
        <w:tabs>
          <w:tab w:pos="1031" w:val="left"/>
        </w:tabs>
        <w:bidi w:val="0"/>
        <w:spacing w:before="0" w:after="100" w:line="309" w:lineRule="exact"/>
        <w:ind w:left="0" w:right="0" w:firstLine="500"/>
        <w:jc w:val="both"/>
      </w:pPr>
      <w:bookmarkStart w:id="826" w:name="bookmark826"/>
      <w:bookmarkEnd w:id="826"/>
      <w:r>
        <w:rPr>
          <w:b/>
          <w:bCs/>
          <w:color w:val="000000"/>
          <w:spacing w:val="0"/>
          <w:w w:val="100"/>
          <w:position w:val="0"/>
          <w:sz w:val="24"/>
          <w:szCs w:val="24"/>
        </w:rPr>
        <w:t>预计负债的计量方法</w:t>
      </w:r>
    </w:p>
    <w:p>
      <w:pPr>
        <w:pStyle w:val="Style51"/>
        <w:keepNext w:val="0"/>
        <w:keepLines w:val="0"/>
        <w:widowControl w:val="0"/>
        <w:shd w:val="clear" w:color="auto" w:fill="auto"/>
        <w:bidi w:val="0"/>
        <w:spacing w:before="0" w:after="640" w:line="309" w:lineRule="exact"/>
        <w:ind w:left="0" w:right="0" w:firstLine="500"/>
        <w:jc w:val="both"/>
      </w:pPr>
      <w:r>
        <w:rPr>
          <w:color w:val="000000"/>
          <w:spacing w:val="0"/>
          <w:w w:val="100"/>
          <w:position w:val="0"/>
          <w:sz w:val="24"/>
          <w:szCs w:val="24"/>
        </w:rPr>
        <w:t>预计负债按照履行相关现时义务所需支出的最佳估计数进行初始计量，并综合考虑与或 事项有关的风险、不确定性和货币时间价值等因素。每个资产负债表日对预计负债的账面价 值进行复核。有确凿证据表明该账面价值不能反映当前最佳估计数的，按照当前最佳估计数 对该账面价值进行调整。</w:t>
      </w:r>
    </w:p>
    <w:p>
      <w:pPr>
        <w:pStyle w:val="Style40"/>
        <w:keepNext w:val="0"/>
        <w:keepLines w:val="0"/>
        <w:widowControl w:val="0"/>
        <w:shd w:val="clear" w:color="auto" w:fill="auto"/>
        <w:tabs>
          <w:tab w:pos="478" w:val="left"/>
        </w:tabs>
        <w:bidi w:val="0"/>
        <w:spacing w:before="0" w:after="320" w:line="240" w:lineRule="auto"/>
        <w:ind w:left="0" w:right="0" w:firstLine="0"/>
        <w:jc w:val="left"/>
      </w:pPr>
      <w:bookmarkStart w:id="827" w:name="bookmark827"/>
      <w:r>
        <w:rPr>
          <w:rFonts w:ascii="Times New Roman" w:eastAsia="Times New Roman" w:hAnsi="Times New Roman" w:cs="Times New Roman"/>
          <w:b/>
          <w:bCs/>
          <w:color w:val="000000"/>
          <w:spacing w:val="0"/>
          <w:w w:val="100"/>
          <w:position w:val="0"/>
        </w:rPr>
        <w:t>2</w:t>
      </w:r>
      <w:bookmarkEnd w:id="82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w:t>
      </w:r>
    </w:p>
    <w:p>
      <w:pPr>
        <w:pStyle w:val="Style40"/>
        <w:keepNext w:val="0"/>
        <w:keepLines w:val="0"/>
        <w:widowControl w:val="0"/>
        <w:shd w:val="clear" w:color="auto" w:fill="auto"/>
        <w:tabs>
          <w:tab w:pos="478" w:val="left"/>
        </w:tabs>
        <w:bidi w:val="0"/>
        <w:spacing w:before="0" w:after="320" w:line="240" w:lineRule="auto"/>
        <w:ind w:left="0" w:right="0" w:firstLine="0"/>
        <w:jc w:val="left"/>
      </w:pPr>
      <w:bookmarkStart w:id="828" w:name="bookmark828"/>
      <w:r>
        <w:rPr>
          <w:rFonts w:ascii="Times New Roman" w:eastAsia="Times New Roman" w:hAnsi="Times New Roman" w:cs="Times New Roman"/>
          <w:b/>
          <w:bCs/>
          <w:color w:val="000000"/>
          <w:spacing w:val="0"/>
          <w:w w:val="100"/>
          <w:position w:val="0"/>
        </w:rPr>
        <w:t>2</w:t>
      </w:r>
      <w:bookmarkEnd w:id="82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优先股、永续债等其他金融工具</w:t>
      </w:r>
    </w:p>
    <w:p>
      <w:pPr>
        <w:pStyle w:val="Style40"/>
        <w:keepNext w:val="0"/>
        <w:keepLines w:val="0"/>
        <w:widowControl w:val="0"/>
        <w:shd w:val="clear" w:color="auto" w:fill="auto"/>
        <w:tabs>
          <w:tab w:pos="478" w:val="left"/>
        </w:tabs>
        <w:bidi w:val="0"/>
        <w:spacing w:before="0" w:after="380" w:line="240" w:lineRule="auto"/>
        <w:ind w:left="0" w:right="0" w:firstLine="0"/>
        <w:jc w:val="left"/>
      </w:pPr>
      <w:bookmarkStart w:id="829" w:name="bookmark829"/>
      <w:r>
        <w:rPr>
          <w:rFonts w:ascii="Times New Roman" w:eastAsia="Times New Roman" w:hAnsi="Times New Roman" w:cs="Times New Roman"/>
          <w:b/>
          <w:bCs/>
          <w:color w:val="000000"/>
          <w:spacing w:val="0"/>
          <w:w w:val="100"/>
          <w:position w:val="0"/>
        </w:rPr>
        <w:t>2</w:t>
      </w:r>
      <w:bookmarkEnd w:id="82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收入</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26"/>
        <w:keepNext/>
        <w:keepLines/>
        <w:widowControl w:val="0"/>
        <w:shd w:val="clear" w:color="auto" w:fill="auto"/>
        <w:bidi w:val="0"/>
        <w:spacing w:before="0" w:after="100" w:line="314" w:lineRule="exact"/>
        <w:ind w:left="0" w:right="0" w:firstLine="500"/>
        <w:jc w:val="both"/>
      </w:pPr>
      <w:bookmarkStart w:id="830" w:name="bookmark830"/>
      <w:bookmarkStart w:id="831" w:name="bookmark831"/>
      <w:bookmarkStart w:id="832" w:name="bookmark83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）销售商品收入</w:t>
      </w:r>
      <w:bookmarkEnd w:id="830"/>
      <w:bookmarkEnd w:id="831"/>
      <w:bookmarkEnd w:id="832"/>
    </w:p>
    <w:p>
      <w:pPr>
        <w:pStyle w:val="Style51"/>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公司已将商品所有权上的主要风险和报酬转移给购买方；公司既没有保留与所有权相联 系的继续管理权，也没有对已售出的商品实施有效控制；收入的金额能够可靠地计量；相关 的经济利益很可能流入企业；相关的已发生或将发生的成本能够可靠地计量时，确认商品销 售收入实现。</w:t>
      </w:r>
    </w:p>
    <w:p>
      <w:pPr>
        <w:pStyle w:val="Style51"/>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本公司销售商品收入确认的具体方法为：</w:t>
      </w:r>
    </w:p>
    <w:p>
      <w:pPr>
        <w:pStyle w:val="Style51"/>
        <w:keepNext w:val="0"/>
        <w:keepLines w:val="0"/>
        <w:widowControl w:val="0"/>
        <w:numPr>
          <w:ilvl w:val="0"/>
          <w:numId w:val="15"/>
        </w:numPr>
        <w:shd w:val="clear" w:color="auto" w:fill="auto"/>
        <w:tabs>
          <w:tab w:pos="1142" w:val="left"/>
        </w:tabs>
        <w:bidi w:val="0"/>
        <w:spacing w:before="0" w:after="0" w:line="442" w:lineRule="exact"/>
        <w:ind w:left="780" w:right="0" w:firstLine="60"/>
        <w:jc w:val="both"/>
      </w:pPr>
      <w:bookmarkStart w:id="833" w:name="bookmark833"/>
      <w:bookmarkEnd w:id="833"/>
      <w:r>
        <w:rPr>
          <w:color w:val="000000"/>
          <w:spacing w:val="0"/>
          <w:w w:val="100"/>
          <w:position w:val="0"/>
          <w:sz w:val="24"/>
          <w:szCs w:val="24"/>
        </w:rPr>
        <w:t>上辅机系统、小料配料称量系统、气力输送系统、废气治理系统、其他类产品： 公司负责安装调试的产品，于设备安装完成并取得经客户确认的验收合格单后确认收</w:t>
      </w:r>
    </w:p>
    <w:p>
      <w:pPr>
        <w:pStyle w:val="Style51"/>
        <w:keepNext w:val="0"/>
        <w:keepLines w:val="0"/>
        <w:widowControl w:val="0"/>
        <w:shd w:val="clear" w:color="auto" w:fill="auto"/>
        <w:bidi w:val="0"/>
        <w:spacing w:before="0" w:after="100" w:line="314" w:lineRule="exact"/>
        <w:ind w:left="0" w:right="0" w:firstLine="360"/>
        <w:jc w:val="both"/>
      </w:pPr>
      <w:r>
        <w:rPr>
          <w:color w:val="000000"/>
          <w:spacing w:val="0"/>
          <w:w w:val="100"/>
          <w:position w:val="0"/>
          <w:sz w:val="24"/>
          <w:szCs w:val="24"/>
        </w:rPr>
        <w:t>入；公司不负责安装调试的产品，于设备交付客户后确认收入。</w:t>
      </w:r>
    </w:p>
    <w:p>
      <w:pPr>
        <w:pStyle w:val="Style51"/>
        <w:keepNext w:val="0"/>
        <w:keepLines w:val="0"/>
        <w:widowControl w:val="0"/>
        <w:numPr>
          <w:ilvl w:val="0"/>
          <w:numId w:val="15"/>
        </w:numPr>
        <w:shd w:val="clear" w:color="auto" w:fill="auto"/>
        <w:tabs>
          <w:tab w:pos="1142" w:val="left"/>
        </w:tabs>
        <w:bidi w:val="0"/>
        <w:spacing w:before="0" w:after="100" w:line="314" w:lineRule="exact"/>
        <w:ind w:left="0" w:right="0" w:firstLine="780"/>
        <w:jc w:val="both"/>
      </w:pPr>
      <w:bookmarkStart w:id="834" w:name="bookmark834"/>
      <w:bookmarkEnd w:id="834"/>
      <w:r>
        <w:rPr>
          <w:color w:val="000000"/>
          <w:spacing w:val="0"/>
          <w:w w:val="100"/>
          <w:position w:val="0"/>
          <w:sz w:val="24"/>
          <w:szCs w:val="24"/>
        </w:rPr>
        <w:t>软件产品：</w:t>
      </w:r>
    </w:p>
    <w:p>
      <w:pPr>
        <w:pStyle w:val="Style51"/>
        <w:keepNext w:val="0"/>
        <w:keepLines w:val="0"/>
        <w:widowControl w:val="0"/>
        <w:shd w:val="clear" w:color="auto" w:fill="auto"/>
        <w:bidi w:val="0"/>
        <w:spacing w:before="0" w:after="100" w:line="314" w:lineRule="exact"/>
        <w:ind w:left="360" w:right="0" w:firstLine="480"/>
        <w:jc w:val="both"/>
      </w:pPr>
      <w:r>
        <w:rPr>
          <w:color w:val="000000"/>
          <w:spacing w:val="0"/>
          <w:w w:val="100"/>
          <w:position w:val="0"/>
          <w:sz w:val="24"/>
          <w:szCs w:val="24"/>
        </w:rPr>
        <w:t>软件产品随上辅机系统、小料配料称量系统、气力输送系统、废气治理系统销售的， 于设备安装完成并取得经客户确认的验收合格单后确认收入。软件产品直接对外销售的， 于软件产品安装完成并取得经客户确认的验收合格单后确认收入。</w:t>
      </w:r>
    </w:p>
    <w:p>
      <w:pPr>
        <w:pStyle w:val="Style51"/>
        <w:keepNext w:val="0"/>
        <w:keepLines w:val="0"/>
        <w:widowControl w:val="0"/>
        <w:shd w:val="clear" w:color="auto" w:fill="auto"/>
        <w:bidi w:val="0"/>
        <w:spacing w:before="0" w:after="100" w:line="314" w:lineRule="exact"/>
        <w:ind w:left="0" w:right="0" w:firstLine="780"/>
        <w:jc w:val="both"/>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）提供劳务收入</w:t>
      </w:r>
    </w:p>
    <w:p>
      <w:pPr>
        <w:pStyle w:val="Style51"/>
        <w:keepNext w:val="0"/>
        <w:keepLines w:val="0"/>
        <w:widowControl w:val="0"/>
        <w:shd w:val="clear" w:color="auto" w:fill="auto"/>
        <w:bidi w:val="0"/>
        <w:spacing w:before="0" w:after="100" w:line="307" w:lineRule="exact"/>
        <w:ind w:left="360" w:right="0" w:firstLine="480"/>
        <w:jc w:val="both"/>
      </w:pPr>
      <w:r>
        <w:rPr>
          <w:color w:val="000000"/>
          <w:spacing w:val="0"/>
          <w:w w:val="100"/>
          <w:position w:val="0"/>
          <w:sz w:val="24"/>
          <w:szCs w:val="24"/>
        </w:rPr>
        <w:t>在资产负债表日提供劳务交易的结果能够可靠估计的，采用完工百分比法确认提供劳 务收入。提供劳务交易的完工进度，依据已完工作的测量（或已经提供的劳务占应提供劳 务总量的比例，或已经发生的成本占估计总成本的比例）确定。</w:t>
      </w:r>
    </w:p>
    <w:p>
      <w:pPr>
        <w:pStyle w:val="Style51"/>
        <w:keepNext w:val="0"/>
        <w:keepLines w:val="0"/>
        <w:widowControl w:val="0"/>
        <w:shd w:val="clear" w:color="auto" w:fill="auto"/>
        <w:bidi w:val="0"/>
        <w:spacing w:before="0" w:after="100" w:line="314" w:lineRule="exact"/>
        <w:ind w:left="360" w:right="0" w:firstLine="480"/>
        <w:jc w:val="both"/>
      </w:pPr>
      <w:r>
        <w:rPr>
          <w:color w:val="000000"/>
          <w:spacing w:val="0"/>
          <w:w w:val="100"/>
          <w:position w:val="0"/>
          <w:sz w:val="24"/>
          <w:szCs w:val="24"/>
        </w:rPr>
        <w:t>提供劳务交易的结果能够可靠估计是指同时满足：</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 xml:space="preserve">收入的金额能够可靠地计量； </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相关的经济利益很可能流入企业；</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r>
        <w:rPr>
          <w:color w:val="000000"/>
          <w:spacing w:val="0"/>
          <w:w w:val="100"/>
          <w:position w:val="0"/>
          <w:sz w:val="24"/>
          <w:szCs w:val="24"/>
        </w:rPr>
        <w:t>交易的完工程度能够可靠地确定；</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w:t>
      </w:r>
      <w:r>
        <w:rPr>
          <w:color w:val="000000"/>
          <w:spacing w:val="0"/>
          <w:w w:val="100"/>
          <w:position w:val="0"/>
          <w:sz w:val="24"/>
          <w:szCs w:val="24"/>
        </w:rPr>
        <w:t>交易中已 发生和将发生的成本能够可靠地计量。</w:t>
      </w:r>
    </w:p>
    <w:p>
      <w:pPr>
        <w:pStyle w:val="Style51"/>
        <w:keepNext w:val="0"/>
        <w:keepLines w:val="0"/>
        <w:widowControl w:val="0"/>
        <w:shd w:val="clear" w:color="auto" w:fill="auto"/>
        <w:bidi w:val="0"/>
        <w:spacing w:before="0" w:after="100" w:line="314" w:lineRule="exact"/>
        <w:ind w:left="360" w:right="0" w:firstLine="480"/>
        <w:jc w:val="both"/>
      </w:pPr>
      <w:r>
        <w:rPr>
          <w:color w:val="000000"/>
          <w:spacing w:val="0"/>
          <w:w w:val="100"/>
          <w:position w:val="0"/>
          <w:sz w:val="24"/>
          <w:szCs w:val="24"/>
        </w:rPr>
        <w:t>本公司按照已收或应收的合同或协议价款确定提供劳务收入总额，但已收或应收的合 同或协议价款不公允的除外。资产负债表日按照提供劳务收入总额乘以完工进度扣除以前 会计期间累计已确认提供劳务收入后的金额，确认当期提供劳务收入；同时，按照提供劳 务估计总成本乘以完工进度扣除以前会计期间累计已确认劳务成本后的金额，结转当期劳 务成本。</w:t>
      </w:r>
    </w:p>
    <w:p>
      <w:pPr>
        <w:pStyle w:val="Style51"/>
        <w:keepNext w:val="0"/>
        <w:keepLines w:val="0"/>
        <w:widowControl w:val="0"/>
        <w:shd w:val="clear" w:color="auto" w:fill="auto"/>
        <w:bidi w:val="0"/>
        <w:spacing w:before="0" w:after="100" w:line="314" w:lineRule="exact"/>
        <w:ind w:left="0" w:right="0" w:firstLine="780"/>
        <w:jc w:val="both"/>
      </w:pPr>
      <w:r>
        <w:rPr>
          <w:color w:val="000000"/>
          <w:spacing w:val="0"/>
          <w:w w:val="100"/>
          <w:position w:val="0"/>
          <w:sz w:val="24"/>
          <w:szCs w:val="24"/>
        </w:rPr>
        <w:t>在资产负债表日提供劳务交易结果不能够可靠估计的，分别下列情况处理：</w:t>
      </w:r>
    </w:p>
    <w:p>
      <w:pPr>
        <w:pStyle w:val="Style51"/>
        <w:keepNext w:val="0"/>
        <w:keepLines w:val="0"/>
        <w:widowControl w:val="0"/>
        <w:numPr>
          <w:ilvl w:val="0"/>
          <w:numId w:val="15"/>
        </w:numPr>
        <w:shd w:val="clear" w:color="auto" w:fill="auto"/>
        <w:tabs>
          <w:tab w:pos="382" w:val="left"/>
        </w:tabs>
        <w:bidi w:val="0"/>
        <w:spacing w:before="0" w:after="100" w:line="314" w:lineRule="exact"/>
        <w:ind w:left="0" w:right="0" w:firstLine="0"/>
        <w:jc w:val="left"/>
      </w:pPr>
      <w:bookmarkStart w:id="835" w:name="bookmark835"/>
      <w:bookmarkEnd w:id="835"/>
      <w:r>
        <w:rPr>
          <w:color w:val="000000"/>
          <w:spacing w:val="0"/>
          <w:w w:val="100"/>
          <w:position w:val="0"/>
          <w:sz w:val="24"/>
          <w:szCs w:val="24"/>
        </w:rPr>
        <w:t>已经发生的劳务成本预计能够得到补偿的，按照已经发生的劳务成本金额确认</w:t>
      </w:r>
    </w:p>
    <w:p>
      <w:pPr>
        <w:pStyle w:val="Style51"/>
        <w:keepNext w:val="0"/>
        <w:keepLines w:val="0"/>
        <w:widowControl w:val="0"/>
        <w:shd w:val="clear" w:color="auto" w:fill="auto"/>
        <w:bidi w:val="0"/>
        <w:spacing w:before="0" w:after="100" w:line="314" w:lineRule="exact"/>
        <w:ind w:left="0" w:right="0" w:firstLine="780"/>
        <w:jc w:val="both"/>
      </w:pPr>
      <w:r>
        <w:rPr>
          <w:color w:val="000000"/>
          <w:spacing w:val="0"/>
          <w:w w:val="100"/>
          <w:position w:val="0"/>
          <w:sz w:val="24"/>
          <w:szCs w:val="24"/>
        </w:rPr>
        <w:t>提供劳务收入，并按相同金额结转劳务成本。</w:t>
      </w:r>
    </w:p>
    <w:p>
      <w:pPr>
        <w:pStyle w:val="Style51"/>
        <w:keepNext w:val="0"/>
        <w:keepLines w:val="0"/>
        <w:widowControl w:val="0"/>
        <w:numPr>
          <w:ilvl w:val="0"/>
          <w:numId w:val="15"/>
        </w:numPr>
        <w:shd w:val="clear" w:color="auto" w:fill="auto"/>
        <w:tabs>
          <w:tab w:pos="382" w:val="left"/>
        </w:tabs>
        <w:bidi w:val="0"/>
        <w:spacing w:before="0" w:after="100" w:line="322" w:lineRule="exact"/>
        <w:ind w:left="360" w:right="0" w:hanging="360"/>
        <w:jc w:val="both"/>
      </w:pPr>
      <w:bookmarkStart w:id="836" w:name="bookmark836"/>
      <w:bookmarkEnd w:id="836"/>
      <w:r>
        <w:rPr>
          <w:color w:val="000000"/>
          <w:spacing w:val="0"/>
          <w:w w:val="100"/>
          <w:position w:val="0"/>
          <w:sz w:val="24"/>
          <w:szCs w:val="24"/>
        </w:rPr>
        <w:t>已经发生的劳务成本预计不能够得到补偿的，将已经发生的劳务成本计入当期损益，不确 认提供劳务收入。</w:t>
      </w:r>
    </w:p>
    <w:p>
      <w:pPr>
        <w:pStyle w:val="Style51"/>
        <w:keepNext w:val="0"/>
        <w:keepLines w:val="0"/>
        <w:widowControl w:val="0"/>
        <w:shd w:val="clear" w:color="auto" w:fill="auto"/>
        <w:bidi w:val="0"/>
        <w:spacing w:before="0" w:after="100" w:line="370" w:lineRule="exact"/>
        <w:ind w:left="0" w:right="0" w:firstLine="380"/>
        <w:jc w:val="both"/>
      </w:pPr>
      <w:bookmarkStart w:id="837" w:name="bookmark837"/>
      <w:r>
        <w:rPr>
          <w:b/>
          <w:bCs/>
          <w:color w:val="000000"/>
          <w:spacing w:val="0"/>
          <w:w w:val="100"/>
          <w:position w:val="0"/>
          <w:sz w:val="24"/>
          <w:szCs w:val="24"/>
        </w:rPr>
        <w:t>（</w:t>
      </w:r>
      <w:bookmarkEnd w:id="837"/>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 xml:space="preserve">）让渡资产使用权收入 </w:t>
      </w:r>
      <w:r>
        <w:rPr>
          <w:color w:val="000000"/>
          <w:spacing w:val="0"/>
          <w:w w:val="100"/>
          <w:position w:val="0"/>
          <w:sz w:val="24"/>
          <w:szCs w:val="24"/>
        </w:rPr>
        <w:t>与交易相关的经济利益很可能流入企业，收入的金额能够可靠地计量时，分别下列情况 确定让渡资产使用权收入金额：</w:t>
      </w:r>
    </w:p>
    <w:p>
      <w:pPr>
        <w:pStyle w:val="Style51"/>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1.</w:t>
      </w:r>
      <w:r>
        <w:rPr>
          <w:color w:val="000000"/>
          <w:spacing w:val="0"/>
          <w:w w:val="100"/>
          <w:position w:val="0"/>
          <w:sz w:val="24"/>
          <w:szCs w:val="24"/>
        </w:rPr>
        <w:t>利息收入金额</w:t>
      </w:r>
      <w:r>
        <w:rPr>
          <w:color w:val="000000"/>
          <w:spacing w:val="0"/>
          <w:w w:val="100"/>
          <w:position w:val="0"/>
          <w:sz w:val="24"/>
          <w:szCs w:val="24"/>
        </w:rPr>
        <w:t>，</w:t>
      </w:r>
      <w:r>
        <w:rPr>
          <w:color w:val="000000"/>
          <w:spacing w:val="0"/>
          <w:w w:val="100"/>
          <w:position w:val="0"/>
          <w:sz w:val="24"/>
          <w:szCs w:val="24"/>
        </w:rPr>
        <w:t>按照他人使用本企业货币资金的时间和实际利率计算确定。</w:t>
      </w:r>
    </w:p>
    <w:p>
      <w:pPr>
        <w:pStyle w:val="Style51"/>
        <w:keepNext w:val="0"/>
        <w:keepLines w:val="0"/>
        <w:widowControl w:val="0"/>
        <w:shd w:val="clear" w:color="auto" w:fill="auto"/>
        <w:bidi w:val="0"/>
        <w:spacing w:before="0" w:after="100" w:line="314" w:lineRule="exact"/>
        <w:ind w:left="0" w:right="0" w:firstLine="0"/>
        <w:jc w:val="both"/>
      </w:pPr>
      <w:r>
        <w:rPr>
          <w:color w:val="000000"/>
          <w:spacing w:val="0"/>
          <w:w w:val="100"/>
          <w:position w:val="0"/>
          <w:sz w:val="24"/>
          <w:szCs w:val="24"/>
        </w:rPr>
        <w:t>使用费收入金额，按照有关合同或协议约定的收费时间和方法计算确定</w:t>
      </w:r>
    </w:p>
    <w:p>
      <w:pPr>
        <w:pStyle w:val="Style40"/>
        <w:keepNext w:val="0"/>
        <w:keepLines w:val="0"/>
        <w:widowControl w:val="0"/>
        <w:shd w:val="clear" w:color="auto" w:fill="auto"/>
        <w:bidi w:val="0"/>
        <w:spacing w:before="0" w:after="340" w:line="240" w:lineRule="auto"/>
        <w:ind w:left="0" w:right="0" w:firstLine="0"/>
        <w:jc w:val="left"/>
      </w:pPr>
      <w:bookmarkStart w:id="838" w:name="bookmark838"/>
      <w:r>
        <w:rPr>
          <w:rFonts w:ascii="Times New Roman" w:eastAsia="Times New Roman" w:hAnsi="Times New Roman" w:cs="Times New Roman"/>
          <w:b/>
          <w:bCs/>
          <w:color w:val="000000"/>
          <w:spacing w:val="0"/>
          <w:w w:val="100"/>
          <w:position w:val="0"/>
        </w:rPr>
        <w:t>2</w:t>
      </w:r>
      <w:bookmarkEnd w:id="838"/>
      <w:r>
        <w:rPr>
          <w:rFonts w:ascii="Times New Roman" w:eastAsia="Times New Roman" w:hAnsi="Times New Roman" w:cs="Times New Roman"/>
          <w:b/>
          <w:bCs/>
          <w:color w:val="000000"/>
          <w:spacing w:val="0"/>
          <w:w w:val="100"/>
          <w:position w:val="0"/>
        </w:rPr>
        <w:t>9</w:t>
      </w:r>
      <w:r>
        <w:rPr>
          <w:b/>
          <w:bCs/>
          <w:color w:val="000000"/>
          <w:spacing w:val="0"/>
          <w:w w:val="100"/>
          <w:position w:val="0"/>
        </w:rPr>
        <w:t>、政府补助</w:t>
      </w:r>
    </w:p>
    <w:p>
      <w:pPr>
        <w:pStyle w:val="Style40"/>
        <w:keepNext w:val="0"/>
        <w:keepLines w:val="0"/>
        <w:widowControl w:val="0"/>
        <w:shd w:val="clear" w:color="auto" w:fill="auto"/>
        <w:bidi w:val="0"/>
        <w:spacing w:before="0" w:after="300" w:line="240" w:lineRule="auto"/>
        <w:ind w:left="0" w:right="0" w:firstLine="0"/>
        <w:jc w:val="left"/>
      </w:pPr>
      <w:bookmarkStart w:id="839" w:name="bookmark839"/>
      <w:r>
        <w:rPr>
          <w:b/>
          <w:bCs/>
          <w:color w:val="000000"/>
          <w:spacing w:val="0"/>
          <w:w w:val="100"/>
          <w:position w:val="0"/>
        </w:rPr>
        <w:t>（</w:t>
      </w:r>
      <w:bookmarkEnd w:id="839"/>
      <w:r>
        <w:rPr>
          <w:rFonts w:ascii="Times New Roman" w:eastAsia="Times New Roman" w:hAnsi="Times New Roman" w:cs="Times New Roman"/>
          <w:b/>
          <w:bCs/>
          <w:color w:val="000000"/>
          <w:spacing w:val="0"/>
          <w:w w:val="100"/>
          <w:position w:val="0"/>
        </w:rPr>
        <w:t>1</w:t>
      </w:r>
      <w:r>
        <w:rPr>
          <w:b/>
          <w:bCs/>
          <w:color w:val="000000"/>
          <w:spacing w:val="0"/>
          <w:w w:val="100"/>
          <w:position w:val="0"/>
        </w:rPr>
        <w:t>）与资产相关的政府补助判断依据及会计处理方法</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本公司从政府取得的、用于购建或以其他方式形成长期资产的补助，确认为与资产相关 的政府补助。</w:t>
      </w:r>
    </w:p>
    <w:p>
      <w:pPr>
        <w:pStyle w:val="Style51"/>
        <w:keepNext w:val="0"/>
        <w:keepLines w:val="0"/>
        <w:widowControl w:val="0"/>
        <w:shd w:val="clear" w:color="auto" w:fill="auto"/>
        <w:bidi w:val="0"/>
        <w:spacing w:before="0" w:after="640"/>
        <w:ind w:left="0" w:right="0" w:firstLine="500"/>
        <w:jc w:val="both"/>
      </w:pPr>
      <w:r>
        <w:rPr>
          <w:color w:val="000000"/>
          <w:spacing w:val="0"/>
          <w:w w:val="100"/>
          <w:position w:val="0"/>
          <w:sz w:val="24"/>
          <w:szCs w:val="24"/>
        </w:rPr>
        <w:t>与资产相关的政府补助，确认为递延收益，并在相关资产使用寿命内平均分配，计入当 期损益。但是，以名义金额计量的政府补助，直接计入当期损益。</w:t>
      </w:r>
    </w:p>
    <w:p>
      <w:pPr>
        <w:pStyle w:val="Style40"/>
        <w:keepNext w:val="0"/>
        <w:keepLines w:val="0"/>
        <w:widowControl w:val="0"/>
        <w:shd w:val="clear" w:color="auto" w:fill="auto"/>
        <w:bidi w:val="0"/>
        <w:spacing w:before="0" w:after="300" w:line="240" w:lineRule="auto"/>
        <w:ind w:left="0" w:right="0" w:firstLine="0"/>
        <w:jc w:val="left"/>
      </w:pPr>
      <w:bookmarkStart w:id="840" w:name="bookmark840"/>
      <w:r>
        <w:rPr>
          <w:b/>
          <w:bCs/>
          <w:color w:val="000000"/>
          <w:spacing w:val="0"/>
          <w:w w:val="100"/>
          <w:position w:val="0"/>
        </w:rPr>
        <w:t>（</w:t>
      </w:r>
      <w:bookmarkEnd w:id="840"/>
      <w:r>
        <w:rPr>
          <w:rFonts w:ascii="Times New Roman" w:eastAsia="Times New Roman" w:hAnsi="Times New Roman" w:cs="Times New Roman"/>
          <w:b/>
          <w:bCs/>
          <w:color w:val="000000"/>
          <w:spacing w:val="0"/>
          <w:w w:val="100"/>
          <w:position w:val="0"/>
        </w:rPr>
        <w:t>2</w:t>
      </w:r>
      <w:r>
        <w:rPr>
          <w:b/>
          <w:bCs/>
          <w:color w:val="000000"/>
          <w:spacing w:val="0"/>
          <w:w w:val="100"/>
          <w:position w:val="0"/>
        </w:rPr>
        <w:t>）与收益相关的政府补助判断依据及会计处理方法</w:t>
      </w:r>
    </w:p>
    <w:p>
      <w:pPr>
        <w:pStyle w:val="Style51"/>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本公司将从政府取得的各种奖励、定额补贴、财政贴息、拨付的研发经费（不包括购建 固定资产）等与资产相关的政府补助之外的政府补助，确认为与收益相关的政府补助。</w:t>
      </w:r>
    </w:p>
    <w:p>
      <w:pPr>
        <w:pStyle w:val="Style51"/>
        <w:keepNext w:val="0"/>
        <w:keepLines w:val="0"/>
        <w:widowControl w:val="0"/>
        <w:shd w:val="clear" w:color="auto" w:fill="auto"/>
        <w:bidi w:val="0"/>
        <w:spacing w:before="0" w:after="100" w:line="319" w:lineRule="exact"/>
        <w:ind w:left="0" w:right="0" w:firstLine="500"/>
        <w:jc w:val="left"/>
      </w:pPr>
      <w:r>
        <w:rPr>
          <w:color w:val="000000"/>
          <w:spacing w:val="0"/>
          <w:w w:val="100"/>
          <w:position w:val="0"/>
          <w:sz w:val="24"/>
          <w:szCs w:val="24"/>
        </w:rPr>
        <w:t>与收益相关的政府补助，分别下列情况处理：</w:t>
      </w:r>
    </w:p>
    <w:p>
      <w:pPr>
        <w:pStyle w:val="Style51"/>
        <w:keepNext w:val="0"/>
        <w:keepLines w:val="0"/>
        <w:widowControl w:val="0"/>
        <w:numPr>
          <w:ilvl w:val="0"/>
          <w:numId w:val="95"/>
        </w:numPr>
        <w:shd w:val="clear" w:color="auto" w:fill="auto"/>
        <w:tabs>
          <w:tab w:pos="896" w:val="left"/>
        </w:tabs>
        <w:bidi w:val="0"/>
        <w:spacing w:before="0" w:after="100" w:line="322" w:lineRule="exact"/>
        <w:ind w:left="0" w:right="0" w:firstLine="500"/>
        <w:jc w:val="both"/>
      </w:pPr>
      <w:bookmarkStart w:id="841" w:name="bookmark841"/>
      <w:bookmarkEnd w:id="841"/>
      <w:r>
        <w:rPr>
          <w:color w:val="000000"/>
          <w:spacing w:val="0"/>
          <w:w w:val="100"/>
          <w:position w:val="0"/>
          <w:sz w:val="24"/>
          <w:szCs w:val="24"/>
        </w:rPr>
        <w:t>用于补偿公司以后期间的相关费用或损失的，确认为递延收益，并在确认相关费用的 期间，计入当期损益；</w:t>
      </w:r>
    </w:p>
    <w:p>
      <w:pPr>
        <w:pStyle w:val="Style51"/>
        <w:keepNext w:val="0"/>
        <w:keepLines w:val="0"/>
        <w:widowControl w:val="0"/>
        <w:numPr>
          <w:ilvl w:val="0"/>
          <w:numId w:val="95"/>
        </w:numPr>
        <w:shd w:val="clear" w:color="auto" w:fill="auto"/>
        <w:tabs>
          <w:tab w:pos="921" w:val="left"/>
        </w:tabs>
        <w:bidi w:val="0"/>
        <w:spacing w:before="0" w:after="640" w:line="319" w:lineRule="exact"/>
        <w:ind w:left="0" w:right="0" w:firstLine="500"/>
        <w:jc w:val="left"/>
      </w:pPr>
      <w:bookmarkStart w:id="842" w:name="bookmark842"/>
      <w:bookmarkEnd w:id="842"/>
      <w:r>
        <w:rPr>
          <w:color w:val="000000"/>
          <w:spacing w:val="0"/>
          <w:w w:val="100"/>
          <w:position w:val="0"/>
          <w:sz w:val="24"/>
          <w:szCs w:val="24"/>
        </w:rPr>
        <w:t>用于补偿公司已发生的相关费用或损失的，计入当期损益。</w:t>
      </w:r>
    </w:p>
    <w:p>
      <w:pPr>
        <w:pStyle w:val="Style40"/>
        <w:keepNext w:val="0"/>
        <w:keepLines w:val="0"/>
        <w:widowControl w:val="0"/>
        <w:shd w:val="clear" w:color="auto" w:fill="auto"/>
        <w:bidi w:val="0"/>
        <w:spacing w:before="0" w:after="300" w:line="240" w:lineRule="auto"/>
        <w:ind w:left="0" w:right="0" w:firstLine="0"/>
        <w:jc w:val="left"/>
      </w:pPr>
      <w:bookmarkStart w:id="843" w:name="bookmark843"/>
      <w:r>
        <w:rPr>
          <w:rFonts w:ascii="Times New Roman" w:eastAsia="Times New Roman" w:hAnsi="Times New Roman" w:cs="Times New Roman"/>
          <w:b/>
          <w:bCs/>
          <w:color w:val="000000"/>
          <w:spacing w:val="0"/>
          <w:w w:val="100"/>
          <w:position w:val="0"/>
        </w:rPr>
        <w:t>3</w:t>
      </w:r>
      <w:bookmarkEnd w:id="843"/>
      <w:r>
        <w:rPr>
          <w:rFonts w:ascii="Times New Roman" w:eastAsia="Times New Roman" w:hAnsi="Times New Roman" w:cs="Times New Roman"/>
          <w:b/>
          <w:bCs/>
          <w:color w:val="000000"/>
          <w:spacing w:val="0"/>
          <w:w w:val="100"/>
          <w:position w:val="0"/>
        </w:rPr>
        <w:t>0</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本公司通常根据资产与负债在资产负债表日的账面价值与计税基础之间的暂时性差异， 采用资产负债表债务法将应纳税暂时性差异或可抵扣暂时性差异对所得税的影响额确认和计 量递延所得税负债或递延所得税资产。本公司不对递延所得税资产和递延所得税负债进行折 现。</w:t>
      </w:r>
    </w:p>
    <w:p>
      <w:pPr>
        <w:pStyle w:val="Style51"/>
        <w:keepNext w:val="0"/>
        <w:keepLines w:val="0"/>
        <w:widowControl w:val="0"/>
        <w:shd w:val="clear" w:color="auto" w:fill="auto"/>
        <w:bidi w:val="0"/>
        <w:spacing w:before="0" w:after="100"/>
        <w:ind w:left="0" w:right="0" w:firstLine="500"/>
        <w:jc w:val="left"/>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）递延所得税资产的确认</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对于可抵扣暂时性差异，其对所得税的影响额按预计转回期间的所得税税率计算，并将 该影响额确认为递延所得税资产，但是以本公司很可能取得用来抵扣可抵扣暂时性差异、可 抵扣亏损和税款抵减的未来应纳税所得额为限。</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同时具有下列特征的交易或事项中因资产或负债的初始确认所产生的可抵扣暂时性差异 对所得税的影响额不确认为递延所得税资产：</w:t>
      </w:r>
    </w:p>
    <w:p>
      <w:pPr>
        <w:pStyle w:val="Style51"/>
        <w:keepNext w:val="0"/>
        <w:keepLines w:val="0"/>
        <w:widowControl w:val="0"/>
        <w:numPr>
          <w:ilvl w:val="0"/>
          <w:numId w:val="97"/>
        </w:numPr>
        <w:shd w:val="clear" w:color="auto" w:fill="auto"/>
        <w:tabs>
          <w:tab w:pos="906" w:val="left"/>
        </w:tabs>
        <w:bidi w:val="0"/>
        <w:spacing w:before="0" w:after="100"/>
        <w:ind w:left="0" w:right="0" w:firstLine="500"/>
        <w:jc w:val="both"/>
      </w:pPr>
      <w:bookmarkStart w:id="844" w:name="bookmark844"/>
      <w:bookmarkEnd w:id="844"/>
      <w:r>
        <w:rPr>
          <w:color w:val="000000"/>
          <w:spacing w:val="0"/>
          <w:w w:val="100"/>
          <w:position w:val="0"/>
          <w:sz w:val="24"/>
          <w:szCs w:val="24"/>
        </w:rPr>
        <w:t>该项交易不是企业合并；</w:t>
      </w:r>
    </w:p>
    <w:p>
      <w:pPr>
        <w:pStyle w:val="Style51"/>
        <w:keepNext w:val="0"/>
        <w:keepLines w:val="0"/>
        <w:widowControl w:val="0"/>
        <w:numPr>
          <w:ilvl w:val="0"/>
          <w:numId w:val="97"/>
        </w:numPr>
        <w:shd w:val="clear" w:color="auto" w:fill="auto"/>
        <w:tabs>
          <w:tab w:pos="906" w:val="left"/>
        </w:tabs>
        <w:bidi w:val="0"/>
        <w:spacing w:before="0" w:after="100"/>
        <w:ind w:left="0" w:right="0" w:firstLine="500"/>
        <w:jc w:val="left"/>
      </w:pPr>
      <w:bookmarkStart w:id="845" w:name="bookmark845"/>
      <w:bookmarkEnd w:id="845"/>
      <w:r>
        <w:rPr>
          <w:color w:val="000000"/>
          <w:spacing w:val="0"/>
          <w:w w:val="100"/>
          <w:position w:val="0"/>
          <w:sz w:val="24"/>
          <w:szCs w:val="24"/>
        </w:rPr>
        <w:t>交易发生时既不影响会计利润也不影响应纳税所得额（或可抵扣亏损）。</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本公司对与子公司、联营公司及合营企业投资相关的可抵扣暂时性差异，同时满足下列 两项条件的，其对所得税的影响额（才能）确认为递延所得税资产：</w:t>
      </w:r>
    </w:p>
    <w:p>
      <w:pPr>
        <w:pStyle w:val="Style51"/>
        <w:keepNext w:val="0"/>
        <w:keepLines w:val="0"/>
        <w:widowControl w:val="0"/>
        <w:numPr>
          <w:ilvl w:val="0"/>
          <w:numId w:val="99"/>
        </w:numPr>
        <w:shd w:val="clear" w:color="auto" w:fill="auto"/>
        <w:tabs>
          <w:tab w:pos="906" w:val="left"/>
        </w:tabs>
        <w:bidi w:val="0"/>
        <w:spacing w:before="0" w:after="100"/>
        <w:ind w:left="0" w:right="0" w:firstLine="500"/>
        <w:jc w:val="both"/>
      </w:pPr>
      <w:bookmarkStart w:id="846" w:name="bookmark846"/>
      <w:bookmarkEnd w:id="846"/>
      <w:r>
        <w:rPr>
          <w:color w:val="000000"/>
          <w:spacing w:val="0"/>
          <w:w w:val="100"/>
          <w:position w:val="0"/>
          <w:sz w:val="24"/>
          <w:szCs w:val="24"/>
        </w:rPr>
        <w:t>暂时性差异在可预见的未来很可能转回；</w:t>
      </w:r>
    </w:p>
    <w:p>
      <w:pPr>
        <w:pStyle w:val="Style51"/>
        <w:keepNext w:val="0"/>
        <w:keepLines w:val="0"/>
        <w:widowControl w:val="0"/>
        <w:numPr>
          <w:ilvl w:val="0"/>
          <w:numId w:val="99"/>
        </w:numPr>
        <w:shd w:val="clear" w:color="auto" w:fill="auto"/>
        <w:tabs>
          <w:tab w:pos="906" w:val="left"/>
        </w:tabs>
        <w:bidi w:val="0"/>
        <w:spacing w:before="0" w:after="100"/>
        <w:ind w:left="0" w:right="0" w:firstLine="500"/>
        <w:jc w:val="both"/>
      </w:pPr>
      <w:bookmarkStart w:id="847" w:name="bookmark847"/>
      <w:bookmarkEnd w:id="847"/>
      <w:r>
        <w:rPr>
          <w:color w:val="000000"/>
          <w:spacing w:val="0"/>
          <w:w w:val="100"/>
          <w:position w:val="0"/>
          <w:sz w:val="24"/>
          <w:szCs w:val="24"/>
        </w:rPr>
        <w:t>未来很可能获得用来抵扣可抵扣暂时性差异的应纳税所得额。</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 xml:space="preserve">资产负债表日，有确凿证据表明未来期间很可能获得足够的应纳税所得额用来抵扣可抵 </w:t>
      </w:r>
      <w:r>
        <w:rPr>
          <w:color w:val="000000"/>
          <w:spacing w:val="0"/>
          <w:w w:val="100"/>
          <w:position w:val="0"/>
          <w:sz w:val="24"/>
          <w:szCs w:val="24"/>
        </w:rPr>
        <w:t>扣暂时性差异的，确认以前期间未确认的递延所得税资产。</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在资产负债表日，本公司对递延所得税资产的账面价值进行复核。如果未来期间很可能 无法获得足够的应纳税所得额用以抵扣递延所得税资产的利益，减记递延所得税资产的账面 价值。在很可能获得足够的应纳税所得额时，减记的金额予以转回。</w:t>
      </w:r>
    </w:p>
    <w:p>
      <w:pPr>
        <w:pStyle w:val="Style51"/>
        <w:keepNext w:val="0"/>
        <w:keepLines w:val="0"/>
        <w:widowControl w:val="0"/>
        <w:shd w:val="clear" w:color="auto" w:fill="auto"/>
        <w:bidi w:val="0"/>
        <w:spacing w:before="0" w:after="100" w:line="313" w:lineRule="exact"/>
        <w:ind w:left="0" w:right="0" w:firstLine="500"/>
        <w:jc w:val="both"/>
      </w:pP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）递延所得税负债的确认</w:t>
      </w:r>
    </w:p>
    <w:p>
      <w:pPr>
        <w:pStyle w:val="Style51"/>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本公司所有应纳税暂时性差异均按预计转回期间的所得税税率计量对所得税的影响，并 将该影响额确认为递延所得税负债，但下列情况的除外：</w:t>
      </w:r>
    </w:p>
    <w:p>
      <w:pPr>
        <w:pStyle w:val="Style51"/>
        <w:keepNext w:val="0"/>
        <w:keepLines w:val="0"/>
        <w:widowControl w:val="0"/>
        <w:numPr>
          <w:ilvl w:val="0"/>
          <w:numId w:val="101"/>
        </w:numPr>
        <w:shd w:val="clear" w:color="auto" w:fill="auto"/>
        <w:tabs>
          <w:tab w:pos="901" w:val="left"/>
        </w:tabs>
        <w:bidi w:val="0"/>
        <w:spacing w:before="0" w:after="100" w:line="317" w:lineRule="exact"/>
        <w:ind w:left="0" w:right="0" w:firstLine="500"/>
        <w:jc w:val="both"/>
      </w:pPr>
      <w:bookmarkStart w:id="848" w:name="bookmark848"/>
      <w:bookmarkEnd w:id="848"/>
      <w:r>
        <w:rPr>
          <w:color w:val="000000"/>
          <w:spacing w:val="0"/>
          <w:w w:val="100"/>
          <w:position w:val="0"/>
          <w:sz w:val="24"/>
          <w:szCs w:val="24"/>
        </w:rPr>
        <w:t>因下列交易或事项中产生的应纳税暂时性差异对所得税的影响不确认为递延所得税负 债：</w:t>
      </w:r>
    </w:p>
    <w:p>
      <w:pPr>
        <w:pStyle w:val="Style51"/>
        <w:keepNext w:val="0"/>
        <w:keepLines w:val="0"/>
        <w:widowControl w:val="0"/>
        <w:numPr>
          <w:ilvl w:val="0"/>
          <w:numId w:val="103"/>
        </w:numPr>
        <w:shd w:val="clear" w:color="auto" w:fill="auto"/>
        <w:tabs>
          <w:tab w:pos="906" w:val="left"/>
        </w:tabs>
        <w:bidi w:val="0"/>
        <w:spacing w:before="0" w:after="100" w:line="271" w:lineRule="auto"/>
        <w:ind w:left="0" w:right="0" w:firstLine="500"/>
        <w:jc w:val="both"/>
      </w:pPr>
      <w:bookmarkStart w:id="849" w:name="bookmark849"/>
      <w:bookmarkEnd w:id="849"/>
      <w:r>
        <w:rPr>
          <w:color w:val="000000"/>
          <w:spacing w:val="0"/>
          <w:w w:val="100"/>
          <w:position w:val="0"/>
          <w:sz w:val="24"/>
          <w:szCs w:val="24"/>
        </w:rPr>
        <w:t>商誉的初始确认；</w:t>
      </w:r>
    </w:p>
    <w:p>
      <w:pPr>
        <w:pStyle w:val="Style51"/>
        <w:keepNext w:val="0"/>
        <w:keepLines w:val="0"/>
        <w:widowControl w:val="0"/>
        <w:numPr>
          <w:ilvl w:val="0"/>
          <w:numId w:val="103"/>
        </w:numPr>
        <w:shd w:val="clear" w:color="auto" w:fill="auto"/>
        <w:tabs>
          <w:tab w:pos="862" w:val="left"/>
        </w:tabs>
        <w:bidi w:val="0"/>
        <w:spacing w:before="0" w:after="100" w:line="336" w:lineRule="exact"/>
        <w:ind w:left="0" w:right="0" w:firstLine="500"/>
        <w:jc w:val="both"/>
      </w:pPr>
      <w:bookmarkStart w:id="850" w:name="bookmark850"/>
      <w:bookmarkEnd w:id="850"/>
      <w:r>
        <w:rPr>
          <w:color w:val="000000"/>
          <w:spacing w:val="0"/>
          <w:w w:val="100"/>
          <w:position w:val="0"/>
          <w:sz w:val="24"/>
          <w:szCs w:val="24"/>
        </w:rPr>
        <w:t>具有以下特征的交易中产生的资产或负债的初始确认：该交易不是企业合并，并且交 易发生时既不影响会计利润也不影响应纳税所得额或可抵扣亏损。</w:t>
      </w:r>
    </w:p>
    <w:p>
      <w:pPr>
        <w:pStyle w:val="Style51"/>
        <w:keepNext w:val="0"/>
        <w:keepLines w:val="0"/>
        <w:widowControl w:val="0"/>
        <w:numPr>
          <w:ilvl w:val="0"/>
          <w:numId w:val="101"/>
        </w:numPr>
        <w:shd w:val="clear" w:color="auto" w:fill="auto"/>
        <w:tabs>
          <w:tab w:pos="882" w:val="left"/>
        </w:tabs>
        <w:bidi w:val="0"/>
        <w:spacing w:before="0" w:after="100" w:line="322" w:lineRule="exact"/>
        <w:ind w:left="0" w:right="0" w:firstLine="500"/>
        <w:jc w:val="both"/>
      </w:pPr>
      <w:bookmarkStart w:id="851" w:name="bookmark851"/>
      <w:bookmarkEnd w:id="851"/>
      <w:r>
        <w:rPr>
          <w:color w:val="000000"/>
          <w:spacing w:val="0"/>
          <w:w w:val="100"/>
          <w:position w:val="0"/>
          <w:sz w:val="24"/>
          <w:szCs w:val="24"/>
        </w:rPr>
        <w:t>本公司对与子公司、合营企业及联营企业投资相关的应纳税暂时性差异，其对所得税 的影响额一般确认为递延所得税负债，但同时满足以下两项条件的除外：</w:t>
      </w:r>
    </w:p>
    <w:p>
      <w:pPr>
        <w:pStyle w:val="Style51"/>
        <w:keepNext w:val="0"/>
        <w:keepLines w:val="0"/>
        <w:widowControl w:val="0"/>
        <w:numPr>
          <w:ilvl w:val="0"/>
          <w:numId w:val="105"/>
        </w:numPr>
        <w:shd w:val="clear" w:color="auto" w:fill="auto"/>
        <w:tabs>
          <w:tab w:pos="906" w:val="left"/>
        </w:tabs>
        <w:bidi w:val="0"/>
        <w:spacing w:before="0" w:after="100" w:line="271" w:lineRule="auto"/>
        <w:ind w:left="0" w:right="0" w:firstLine="500"/>
        <w:jc w:val="both"/>
      </w:pPr>
      <w:bookmarkStart w:id="852" w:name="bookmark852"/>
      <w:bookmarkEnd w:id="852"/>
      <w:r>
        <w:rPr>
          <w:color w:val="000000"/>
          <w:spacing w:val="0"/>
          <w:w w:val="100"/>
          <w:position w:val="0"/>
          <w:sz w:val="24"/>
          <w:szCs w:val="24"/>
        </w:rPr>
        <w:t>本公司能够控制暂时性差异转回的时间；</w:t>
      </w:r>
    </w:p>
    <w:p>
      <w:pPr>
        <w:pStyle w:val="Style51"/>
        <w:keepNext w:val="0"/>
        <w:keepLines w:val="0"/>
        <w:widowControl w:val="0"/>
        <w:numPr>
          <w:ilvl w:val="0"/>
          <w:numId w:val="105"/>
        </w:numPr>
        <w:shd w:val="clear" w:color="auto" w:fill="auto"/>
        <w:tabs>
          <w:tab w:pos="906" w:val="left"/>
        </w:tabs>
        <w:bidi w:val="0"/>
        <w:spacing w:before="0" w:after="100" w:line="271" w:lineRule="auto"/>
        <w:ind w:left="0" w:right="0" w:firstLine="500"/>
        <w:jc w:val="left"/>
      </w:pPr>
      <w:bookmarkStart w:id="853" w:name="bookmark853"/>
      <w:bookmarkEnd w:id="853"/>
      <w:r>
        <w:rPr>
          <w:color w:val="000000"/>
          <w:spacing w:val="0"/>
          <w:w w:val="100"/>
          <w:position w:val="0"/>
          <w:sz w:val="24"/>
          <w:szCs w:val="24"/>
        </w:rPr>
        <w:t>该暂时性差异在可预见的未来很可能不会转回。</w:t>
      </w:r>
    </w:p>
    <w:p>
      <w:pPr>
        <w:pStyle w:val="Style26"/>
        <w:keepNext/>
        <w:keepLines/>
        <w:widowControl w:val="0"/>
        <w:shd w:val="clear" w:color="auto" w:fill="auto"/>
        <w:bidi w:val="0"/>
        <w:spacing w:before="0" w:after="100" w:line="313" w:lineRule="exact"/>
        <w:ind w:left="0" w:right="0" w:firstLine="360"/>
        <w:jc w:val="left"/>
      </w:pPr>
      <w:bookmarkStart w:id="854" w:name="bookmark854"/>
      <w:bookmarkStart w:id="855" w:name="bookmark855"/>
      <w:bookmarkStart w:id="856" w:name="bookmark856"/>
      <w:bookmarkStart w:id="857" w:name="bookmark857"/>
      <w:r>
        <w:rPr>
          <w:color w:val="000000"/>
          <w:spacing w:val="0"/>
          <w:w w:val="100"/>
          <w:position w:val="0"/>
          <w:sz w:val="24"/>
          <w:szCs w:val="24"/>
        </w:rPr>
        <w:t>（</w:t>
      </w:r>
      <w:bookmarkEnd w:id="85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）特定交易或事项所涉及的递延所得税负债或资产的确认</w:t>
      </w:r>
      <w:bookmarkEnd w:id="854"/>
      <w:bookmarkEnd w:id="855"/>
      <w:bookmarkEnd w:id="857"/>
    </w:p>
    <w:p>
      <w:pPr>
        <w:pStyle w:val="Style51"/>
        <w:keepNext w:val="0"/>
        <w:keepLines w:val="0"/>
        <w:widowControl w:val="0"/>
        <w:numPr>
          <w:ilvl w:val="0"/>
          <w:numId w:val="107"/>
        </w:numPr>
        <w:shd w:val="clear" w:color="auto" w:fill="auto"/>
        <w:tabs>
          <w:tab w:pos="921" w:val="left"/>
        </w:tabs>
        <w:bidi w:val="0"/>
        <w:spacing w:before="0" w:after="100" w:line="313" w:lineRule="exact"/>
        <w:ind w:left="0" w:right="0" w:firstLine="500"/>
        <w:jc w:val="left"/>
      </w:pPr>
      <w:bookmarkStart w:id="858" w:name="bookmark858"/>
      <w:bookmarkEnd w:id="858"/>
      <w:r>
        <w:rPr>
          <w:color w:val="000000"/>
          <w:spacing w:val="0"/>
          <w:w w:val="100"/>
          <w:position w:val="0"/>
          <w:sz w:val="24"/>
          <w:szCs w:val="24"/>
        </w:rPr>
        <w:t>与企业合并相关的递延所得税负债或资产</w:t>
      </w:r>
    </w:p>
    <w:p>
      <w:pPr>
        <w:pStyle w:val="Style51"/>
        <w:keepNext w:val="0"/>
        <w:keepLines w:val="0"/>
        <w:widowControl w:val="0"/>
        <w:shd w:val="clear" w:color="auto" w:fill="auto"/>
        <w:bidi w:val="0"/>
        <w:spacing w:before="0" w:after="100" w:line="310" w:lineRule="exact"/>
        <w:ind w:left="0" w:right="0" w:firstLine="500"/>
        <w:jc w:val="both"/>
      </w:pPr>
      <w:r>
        <w:rPr>
          <w:color w:val="000000"/>
          <w:spacing w:val="0"/>
          <w:w w:val="100"/>
          <w:position w:val="0"/>
          <w:sz w:val="24"/>
          <w:szCs w:val="24"/>
        </w:rPr>
        <w:t>非同一控制下企业合并产生的应纳税暂时性差异或可抵扣暂时性差异，在确认递延所得 税负债或递延所得税资产的同时，相关的递延所得税费用（或收益），通常调整企业合并中 所确认的商誉。</w:t>
      </w:r>
    </w:p>
    <w:p>
      <w:pPr>
        <w:pStyle w:val="Style51"/>
        <w:keepNext w:val="0"/>
        <w:keepLines w:val="0"/>
        <w:widowControl w:val="0"/>
        <w:numPr>
          <w:ilvl w:val="0"/>
          <w:numId w:val="107"/>
        </w:numPr>
        <w:shd w:val="clear" w:color="auto" w:fill="auto"/>
        <w:tabs>
          <w:tab w:pos="921" w:val="left"/>
        </w:tabs>
        <w:bidi w:val="0"/>
        <w:spacing w:before="0" w:after="100" w:line="313" w:lineRule="exact"/>
        <w:ind w:left="0" w:right="0" w:firstLine="500"/>
        <w:jc w:val="both"/>
      </w:pPr>
      <w:bookmarkStart w:id="859" w:name="bookmark859"/>
      <w:bookmarkEnd w:id="859"/>
      <w:r>
        <w:rPr>
          <w:color w:val="000000"/>
          <w:spacing w:val="0"/>
          <w:w w:val="100"/>
          <w:position w:val="0"/>
          <w:sz w:val="24"/>
          <w:szCs w:val="24"/>
        </w:rPr>
        <w:t>直接计入所有者权益的项目</w:t>
      </w:r>
    </w:p>
    <w:p>
      <w:pPr>
        <w:pStyle w:val="Style51"/>
        <w:keepNext w:val="0"/>
        <w:keepLines w:val="0"/>
        <w:widowControl w:val="0"/>
        <w:shd w:val="clear" w:color="auto" w:fill="auto"/>
        <w:bidi w:val="0"/>
        <w:spacing w:before="0" w:after="100" w:line="313" w:lineRule="exact"/>
        <w:ind w:left="0" w:right="0" w:firstLine="500"/>
        <w:jc w:val="both"/>
      </w:pPr>
      <w:r>
        <w:rPr>
          <w:color w:val="000000"/>
          <w:spacing w:val="0"/>
          <w:w w:val="100"/>
          <w:position w:val="0"/>
          <w:sz w:val="24"/>
          <w:szCs w:val="24"/>
        </w:rPr>
        <w:t>与直接计入所有者权益的交易或者事项相关的当期所得税和递延所得税，计入所有者权 益。暂时性差异对所得税的影响计入所有者权益的交易或事项包括：可供出售金融资产公允 价值变动等形成的其他综合收益、会计政策变更采用追溯调整法或对前期（重要）会计差错 更正差异追溯重述法调整期初留存收益、同时包含负债成份及权益成份的混合金融工具在初 始确认时计入所有者权益等。</w:t>
      </w:r>
    </w:p>
    <w:p>
      <w:pPr>
        <w:pStyle w:val="Style51"/>
        <w:keepNext w:val="0"/>
        <w:keepLines w:val="0"/>
        <w:widowControl w:val="0"/>
        <w:numPr>
          <w:ilvl w:val="0"/>
          <w:numId w:val="107"/>
        </w:numPr>
        <w:shd w:val="clear" w:color="auto" w:fill="auto"/>
        <w:tabs>
          <w:tab w:pos="921" w:val="left"/>
        </w:tabs>
        <w:bidi w:val="0"/>
        <w:spacing w:before="0" w:after="100" w:line="313" w:lineRule="exact"/>
        <w:ind w:left="0" w:right="0" w:firstLine="500"/>
        <w:jc w:val="both"/>
      </w:pPr>
      <w:bookmarkStart w:id="860" w:name="bookmark860"/>
      <w:bookmarkEnd w:id="860"/>
      <w:r>
        <w:rPr>
          <w:color w:val="000000"/>
          <w:spacing w:val="0"/>
          <w:w w:val="100"/>
          <w:position w:val="0"/>
          <w:sz w:val="24"/>
          <w:szCs w:val="24"/>
        </w:rPr>
        <w:t>可弥补亏损和税款抵减</w:t>
      </w:r>
    </w:p>
    <w:p>
      <w:pPr>
        <w:pStyle w:val="Style51"/>
        <w:keepNext w:val="0"/>
        <w:keepLines w:val="0"/>
        <w:widowControl w:val="0"/>
        <w:numPr>
          <w:ilvl w:val="0"/>
          <w:numId w:val="109"/>
        </w:numPr>
        <w:shd w:val="clear" w:color="auto" w:fill="auto"/>
        <w:tabs>
          <w:tab w:pos="906" w:val="left"/>
        </w:tabs>
        <w:bidi w:val="0"/>
        <w:spacing w:before="0" w:after="100" w:line="271" w:lineRule="auto"/>
        <w:ind w:left="0" w:right="0" w:firstLine="500"/>
        <w:jc w:val="left"/>
      </w:pPr>
      <w:bookmarkStart w:id="861" w:name="bookmark861"/>
      <w:bookmarkEnd w:id="861"/>
      <w:r>
        <w:rPr>
          <w:color w:val="000000"/>
          <w:spacing w:val="0"/>
          <w:w w:val="100"/>
          <w:position w:val="0"/>
          <w:sz w:val="24"/>
          <w:szCs w:val="24"/>
        </w:rPr>
        <w:t>本公司自身经营产生的可弥补亏损以及税款抵减</w:t>
      </w:r>
    </w:p>
    <w:p>
      <w:pPr>
        <w:pStyle w:val="Style51"/>
        <w:keepNext w:val="0"/>
        <w:keepLines w:val="0"/>
        <w:widowControl w:val="0"/>
        <w:shd w:val="clear" w:color="auto" w:fill="auto"/>
        <w:bidi w:val="0"/>
        <w:spacing w:before="0" w:after="100"/>
        <w:ind w:left="0" w:right="0" w:firstLine="500"/>
        <w:jc w:val="both"/>
      </w:pPr>
      <w:r>
        <w:rPr>
          <w:color w:val="000000"/>
          <w:spacing w:val="0"/>
          <w:w w:val="100"/>
          <w:position w:val="0"/>
          <w:sz w:val="24"/>
          <w:szCs w:val="24"/>
        </w:rPr>
        <w:t>可抵扣亏损是指按照税法规定计算确定的准予用以后年度的应纳税所得额弥补的亏损。 对于按照税法规定可以结转以后年度的未弥补亏损（可抵扣亏损）和税款抵减，视同可抵扣 暂时性差异处理。在预计可利用可弥补亏损或税款抵减的未来期间内很可能取得足够的应纳 税所得额时，以很可能取得的应纳税所得额为限，确认相应的递延所得税资产，同时减少当 期利润表中的所得税费用。</w:t>
      </w:r>
    </w:p>
    <w:p>
      <w:pPr>
        <w:pStyle w:val="Style51"/>
        <w:keepNext w:val="0"/>
        <w:keepLines w:val="0"/>
        <w:widowControl w:val="0"/>
        <w:numPr>
          <w:ilvl w:val="0"/>
          <w:numId w:val="109"/>
        </w:numPr>
        <w:shd w:val="clear" w:color="auto" w:fill="auto"/>
        <w:tabs>
          <w:tab w:pos="906" w:val="left"/>
        </w:tabs>
        <w:bidi w:val="0"/>
        <w:spacing w:before="0" w:after="100" w:line="271" w:lineRule="auto"/>
        <w:ind w:left="0" w:right="0" w:firstLine="500"/>
        <w:jc w:val="left"/>
      </w:pPr>
      <w:bookmarkStart w:id="862" w:name="bookmark862"/>
      <w:bookmarkEnd w:id="862"/>
      <w:r>
        <w:rPr>
          <w:color w:val="000000"/>
          <w:spacing w:val="0"/>
          <w:w w:val="100"/>
          <w:position w:val="0"/>
          <w:sz w:val="24"/>
          <w:szCs w:val="24"/>
        </w:rPr>
        <w:t>因企业合并而形成的可弥补的被合并企业的未弥补亏损</w:t>
      </w:r>
    </w:p>
    <w:p>
      <w:pPr>
        <w:pStyle w:val="Style51"/>
        <w:keepNext w:val="0"/>
        <w:keepLines w:val="0"/>
        <w:widowControl w:val="0"/>
        <w:shd w:val="clear" w:color="auto" w:fill="auto"/>
        <w:bidi w:val="0"/>
        <w:spacing w:before="0" w:after="100" w:line="307" w:lineRule="exact"/>
        <w:ind w:left="0" w:right="0" w:firstLine="500"/>
        <w:jc w:val="both"/>
      </w:pPr>
      <w:r>
        <w:rPr>
          <w:color w:val="000000"/>
          <w:spacing w:val="0"/>
          <w:w w:val="100"/>
          <w:position w:val="0"/>
          <w:sz w:val="24"/>
          <w:szCs w:val="24"/>
        </w:rPr>
        <w:t>在企业合并中，本公司取得被购买方的可抵扣暂时性差异，在购买日不符合递延所得税 资产确认条件的，不予以确认。购买日后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个月内，如取得新的或进一步的信息表明购买日 </w:t>
      </w:r>
      <w:r>
        <w:rPr>
          <w:color w:val="000000"/>
          <w:spacing w:val="0"/>
          <w:w w:val="100"/>
          <w:position w:val="0"/>
          <w:sz w:val="24"/>
          <w:szCs w:val="24"/>
        </w:rPr>
        <w:t>的相关情况已经存在，预期被购买方在购买日可抵扣暂时性差异带来的经济利益能够实现的,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51"/>
        <w:keepNext w:val="0"/>
        <w:keepLines w:val="0"/>
        <w:widowControl w:val="0"/>
        <w:numPr>
          <w:ilvl w:val="0"/>
          <w:numId w:val="107"/>
        </w:numPr>
        <w:shd w:val="clear" w:color="auto" w:fill="auto"/>
        <w:tabs>
          <w:tab w:pos="889" w:val="left"/>
        </w:tabs>
        <w:bidi w:val="0"/>
        <w:spacing w:before="0" w:after="100" w:line="311" w:lineRule="exact"/>
        <w:ind w:left="0" w:right="0" w:firstLine="500"/>
        <w:jc w:val="left"/>
      </w:pPr>
      <w:bookmarkStart w:id="863" w:name="bookmark863"/>
      <w:bookmarkEnd w:id="863"/>
      <w:r>
        <w:rPr>
          <w:color w:val="000000"/>
          <w:spacing w:val="0"/>
          <w:w w:val="100"/>
          <w:position w:val="0"/>
          <w:sz w:val="24"/>
          <w:szCs w:val="24"/>
        </w:rPr>
        <w:t>合并抵销形成的暂时性差异</w:t>
      </w:r>
    </w:p>
    <w:p>
      <w:pPr>
        <w:pStyle w:val="Style51"/>
        <w:keepNext w:val="0"/>
        <w:keepLines w:val="0"/>
        <w:widowControl w:val="0"/>
        <w:shd w:val="clear" w:color="auto" w:fill="auto"/>
        <w:bidi w:val="0"/>
        <w:spacing w:before="0" w:after="100" w:line="314" w:lineRule="exact"/>
        <w:ind w:left="0" w:right="0" w:firstLine="500"/>
        <w:jc w:val="left"/>
      </w:pPr>
      <w:r>
        <w:rPr>
          <w:color w:val="000000"/>
          <w:spacing w:val="0"/>
          <w:w w:val="100"/>
          <w:position w:val="0"/>
          <w:sz w:val="24"/>
          <w:szCs w:val="24"/>
        </w:rPr>
        <w:t>本公司在编制合并财务报表时，因抵销未实现内部销售损益导致合并资产负债表中资产、 负债的账面价值与其在所属纳税主体的计税基础之间产生暂时性差异的，在合并资产负债表 中确认递延所得税资产或递延所得税负债，同时调整合并利润表中的所得税费用，但与直接 计入所有者权益的交易或事项及企业合并相关的递延所得税除外。</w:t>
      </w:r>
    </w:p>
    <w:p>
      <w:pPr>
        <w:pStyle w:val="Style51"/>
        <w:keepNext w:val="0"/>
        <w:keepLines w:val="0"/>
        <w:widowControl w:val="0"/>
        <w:numPr>
          <w:ilvl w:val="0"/>
          <w:numId w:val="107"/>
        </w:numPr>
        <w:shd w:val="clear" w:color="auto" w:fill="auto"/>
        <w:tabs>
          <w:tab w:pos="889" w:val="left"/>
        </w:tabs>
        <w:bidi w:val="0"/>
        <w:spacing w:before="0" w:after="100" w:line="311" w:lineRule="exact"/>
        <w:ind w:left="0" w:right="0" w:firstLine="500"/>
        <w:jc w:val="left"/>
      </w:pPr>
      <w:bookmarkStart w:id="864" w:name="bookmark864"/>
      <w:bookmarkEnd w:id="864"/>
      <w:r>
        <w:rPr>
          <w:color w:val="000000"/>
          <w:spacing w:val="0"/>
          <w:w w:val="100"/>
          <w:position w:val="0"/>
          <w:sz w:val="24"/>
          <w:szCs w:val="24"/>
        </w:rPr>
        <w:t>以权益结算的股份支付</w:t>
      </w:r>
    </w:p>
    <w:p>
      <w:pPr>
        <w:pStyle w:val="Style51"/>
        <w:keepNext w:val="0"/>
        <w:keepLines w:val="0"/>
        <w:widowControl w:val="0"/>
        <w:shd w:val="clear" w:color="auto" w:fill="auto"/>
        <w:bidi w:val="0"/>
        <w:spacing w:before="0" w:after="660" w:line="311" w:lineRule="exact"/>
        <w:ind w:left="0" w:right="0" w:firstLine="500"/>
        <w:jc w:val="both"/>
      </w:pPr>
      <w:r>
        <w:rPr>
          <w:color w:val="000000"/>
          <w:spacing w:val="0"/>
          <w:w w:val="100"/>
          <w:position w:val="0"/>
          <w:sz w:val="24"/>
          <w:szCs w:val="24"/>
        </w:rPr>
        <w:t>如果税法规定与股份支付相关的支出允许税前扣除，在按照会计准则规定确认成本费用 的期间内，本公司根据会计期末取得信息估计可税前扣除的金额计算确定其计税基础及由此 产生的暂时性差异，符合确认条件的情况下确认相关的递延所得税。其中预计未来期间可税 前扣除的金额超过按照会计准则规定确认的与股份支付相关的成本费用，超过部分的所得税 影响应直接计入所得税权益。</w:t>
      </w:r>
    </w:p>
    <w:p>
      <w:pPr>
        <w:pStyle w:val="Style40"/>
        <w:keepNext w:val="0"/>
        <w:keepLines w:val="0"/>
        <w:widowControl w:val="0"/>
        <w:shd w:val="clear" w:color="auto" w:fill="auto"/>
        <w:bidi w:val="0"/>
        <w:spacing w:before="0" w:after="340" w:line="240" w:lineRule="auto"/>
        <w:ind w:left="0" w:right="0" w:firstLine="0"/>
        <w:jc w:val="left"/>
      </w:pPr>
      <w:bookmarkStart w:id="865" w:name="bookmark865"/>
      <w:r>
        <w:rPr>
          <w:rFonts w:ascii="Times New Roman" w:eastAsia="Times New Roman" w:hAnsi="Times New Roman" w:cs="Times New Roman"/>
          <w:b/>
          <w:bCs/>
          <w:color w:val="000000"/>
          <w:spacing w:val="0"/>
          <w:w w:val="100"/>
          <w:position w:val="0"/>
        </w:rPr>
        <w:t>3</w:t>
      </w:r>
      <w:bookmarkEnd w:id="865"/>
      <w:r>
        <w:rPr>
          <w:rFonts w:ascii="Times New Roman" w:eastAsia="Times New Roman" w:hAnsi="Times New Roman" w:cs="Times New Roman"/>
          <w:b/>
          <w:bCs/>
          <w:color w:val="000000"/>
          <w:spacing w:val="0"/>
          <w:w w:val="100"/>
          <w:position w:val="0"/>
        </w:rPr>
        <w:t>1</w:t>
      </w:r>
      <w:r>
        <w:rPr>
          <w:b/>
          <w:bCs/>
          <w:color w:val="000000"/>
          <w:spacing w:val="0"/>
          <w:w w:val="100"/>
          <w:position w:val="0"/>
        </w:rPr>
        <w:t>、租赁</w:t>
      </w:r>
    </w:p>
    <w:p>
      <w:pPr>
        <w:pStyle w:val="Style40"/>
        <w:keepNext w:val="0"/>
        <w:keepLines w:val="0"/>
        <w:widowControl w:val="0"/>
        <w:numPr>
          <w:ilvl w:val="0"/>
          <w:numId w:val="111"/>
        </w:numPr>
        <w:shd w:val="clear" w:color="auto" w:fill="auto"/>
        <w:bidi w:val="0"/>
        <w:spacing w:before="0" w:after="260" w:line="240" w:lineRule="auto"/>
        <w:ind w:left="0" w:right="0" w:firstLine="0"/>
        <w:jc w:val="left"/>
      </w:pPr>
      <w:bookmarkStart w:id="866" w:name="bookmark866"/>
      <w:bookmarkEnd w:id="866"/>
      <w:r>
        <w:rPr>
          <w:b/>
          <w:bCs/>
          <w:color w:val="000000"/>
          <w:spacing w:val="0"/>
          <w:w w:val="100"/>
          <w:position w:val="0"/>
        </w:rPr>
        <w:t>经营租赁的会计处理方法</w:t>
      </w:r>
    </w:p>
    <w:p>
      <w:pPr>
        <w:pStyle w:val="Style51"/>
        <w:keepNext w:val="0"/>
        <w:keepLines w:val="0"/>
        <w:widowControl w:val="0"/>
        <w:numPr>
          <w:ilvl w:val="0"/>
          <w:numId w:val="113"/>
        </w:numPr>
        <w:shd w:val="clear" w:color="auto" w:fill="auto"/>
        <w:tabs>
          <w:tab w:pos="869" w:val="left"/>
        </w:tabs>
        <w:bidi w:val="0"/>
        <w:spacing w:before="0" w:after="100" w:line="320" w:lineRule="exact"/>
        <w:ind w:left="0" w:right="0" w:firstLine="500"/>
        <w:jc w:val="both"/>
      </w:pPr>
      <w:bookmarkStart w:id="867" w:name="bookmark867"/>
      <w:bookmarkEnd w:id="867"/>
      <w:r>
        <w:rPr>
          <w:color w:val="000000"/>
          <w:spacing w:val="0"/>
          <w:w w:val="100"/>
          <w:position w:val="0"/>
          <w:sz w:val="24"/>
          <w:szCs w:val="24"/>
        </w:rPr>
        <w:t>本公司作为经营租赁承租人时，将经营租赁的租金支出，在租赁期内各个期间按照直 线法或根据租赁资产的使用量计入当期损益。出租人提供免租期的，本公司将租金总额在不 扣除免租期的整个租赁期内，按直线法或其他合理的方法进行分摊，免租期内确认租金费用 及相应的负债。出租人承担了承租人某些费用的，本公司按该费用从租金费用总额中扣除后 的租金费用余额在租赁期内进行分摊。</w:t>
      </w:r>
    </w:p>
    <w:p>
      <w:pPr>
        <w:pStyle w:val="Style51"/>
        <w:keepNext w:val="0"/>
        <w:keepLines w:val="0"/>
        <w:widowControl w:val="0"/>
        <w:shd w:val="clear" w:color="auto" w:fill="auto"/>
        <w:bidi w:val="0"/>
        <w:spacing w:before="0" w:after="100" w:line="320" w:lineRule="exact"/>
        <w:ind w:left="0" w:right="0" w:firstLine="500"/>
        <w:jc w:val="left"/>
      </w:pPr>
      <w:r>
        <w:rPr>
          <w:color w:val="000000"/>
          <w:spacing w:val="0"/>
          <w:w w:val="100"/>
          <w:position w:val="0"/>
          <w:sz w:val="24"/>
          <w:szCs w:val="24"/>
        </w:rPr>
        <w:t>初始直接费用，计入当期损益。如协议约定或有租金的在实际发生时计入当期损益。</w:t>
      </w:r>
    </w:p>
    <w:p>
      <w:pPr>
        <w:pStyle w:val="Style51"/>
        <w:keepNext w:val="0"/>
        <w:keepLines w:val="0"/>
        <w:widowControl w:val="0"/>
        <w:numPr>
          <w:ilvl w:val="0"/>
          <w:numId w:val="113"/>
        </w:numPr>
        <w:shd w:val="clear" w:color="auto" w:fill="auto"/>
        <w:tabs>
          <w:tab w:pos="864" w:val="left"/>
        </w:tabs>
        <w:bidi w:val="0"/>
        <w:spacing w:before="0" w:after="100" w:line="325" w:lineRule="exact"/>
        <w:ind w:left="0" w:right="0" w:firstLine="500"/>
        <w:jc w:val="both"/>
      </w:pPr>
      <w:bookmarkStart w:id="868" w:name="bookmark868"/>
      <w:bookmarkEnd w:id="868"/>
      <w:r>
        <w:rPr>
          <w:color w:val="000000"/>
          <w:spacing w:val="0"/>
          <w:w w:val="100"/>
          <w:position w:val="0"/>
          <w:sz w:val="24"/>
          <w:szCs w:val="24"/>
        </w:rPr>
        <w:t>本公司作为经营租赁出租人时，采用直线法将收到的租金在租赁期内确认为收益。出 租人提供免租期的，出租人将租金总额在不扣除免租期的整个租赁期内，按直线法或其他合 理的方法进行分配，免租期内出租人也确认租金收入。承担了承租人某些费用的，本公司按 该费用自租金收入总额中扣除后的租金收入余额在租赁期内进行分配。</w:t>
      </w:r>
    </w:p>
    <w:p>
      <w:pPr>
        <w:pStyle w:val="Style51"/>
        <w:keepNext w:val="0"/>
        <w:keepLines w:val="0"/>
        <w:widowControl w:val="0"/>
        <w:shd w:val="clear" w:color="auto" w:fill="auto"/>
        <w:bidi w:val="0"/>
        <w:spacing w:before="0" w:after="660" w:line="307" w:lineRule="exact"/>
        <w:ind w:left="0" w:right="0" w:firstLine="500"/>
        <w:jc w:val="both"/>
      </w:pPr>
      <w:r>
        <w:rPr>
          <w:color w:val="000000"/>
          <w:spacing w:val="0"/>
          <w:w w:val="100"/>
          <w:position w:val="0"/>
          <w:sz w:val="24"/>
          <w:szCs w:val="24"/>
        </w:rPr>
        <w:t>初始直接费用，计入当期损益。金额较大的予以资本化，在整个经营租赁期内按照与确 认租金收入相同的基础分期计入当期损益。如协议约定或有租金的在实际发生时计入当期收 益。</w:t>
      </w:r>
    </w:p>
    <w:p>
      <w:pPr>
        <w:pStyle w:val="Style40"/>
        <w:keepNext w:val="0"/>
        <w:keepLines w:val="0"/>
        <w:widowControl w:val="0"/>
        <w:numPr>
          <w:ilvl w:val="0"/>
          <w:numId w:val="111"/>
        </w:numPr>
        <w:shd w:val="clear" w:color="auto" w:fill="auto"/>
        <w:bidi w:val="0"/>
        <w:spacing w:before="0" w:after="260" w:line="240" w:lineRule="auto"/>
        <w:ind w:left="0" w:right="0" w:firstLine="0"/>
        <w:jc w:val="left"/>
      </w:pPr>
      <w:bookmarkStart w:id="869" w:name="bookmark869"/>
      <w:bookmarkEnd w:id="869"/>
      <w:r>
        <w:rPr>
          <w:b/>
          <w:bCs/>
          <w:color w:val="000000"/>
          <w:spacing w:val="0"/>
          <w:w w:val="100"/>
          <w:position w:val="0"/>
        </w:rPr>
        <w:t>融资租赁的会计处理方法</w:t>
      </w:r>
    </w:p>
    <w:p>
      <w:pPr>
        <w:pStyle w:val="Style51"/>
        <w:keepNext w:val="0"/>
        <w:keepLines w:val="0"/>
        <w:widowControl w:val="0"/>
        <w:shd w:val="clear" w:color="auto" w:fill="auto"/>
        <w:bidi w:val="0"/>
        <w:spacing w:before="0" w:after="100" w:line="323" w:lineRule="exact"/>
        <w:ind w:left="0" w:right="0" w:firstLine="500"/>
        <w:jc w:val="both"/>
      </w:pPr>
      <w:r>
        <w:rPr>
          <w:color w:val="000000"/>
          <w:spacing w:val="0"/>
          <w:w w:val="100"/>
          <w:position w:val="0"/>
          <w:sz w:val="24"/>
          <w:szCs w:val="24"/>
        </w:rPr>
        <w:t>①本公司作为融资租赁承租人时，在租赁期开始日，将租赁开始日租赁资产公允价值与 最低租赁付款额现值两者中较低者作为租入资产的入账价值，将最低租赁付款额作为长期应 付款的入账价值，其差额作为未确认融资费用。在租赁期内各个期间采用实际利率法进行分 摊，确认为当期融资费用，计入财务费用。</w:t>
      </w:r>
    </w:p>
    <w:p>
      <w:pPr>
        <w:pStyle w:val="Style51"/>
        <w:keepNext w:val="0"/>
        <w:keepLines w:val="0"/>
        <w:widowControl w:val="0"/>
        <w:shd w:val="clear" w:color="auto" w:fill="auto"/>
        <w:bidi w:val="0"/>
        <w:spacing w:before="0" w:after="120" w:line="322" w:lineRule="exact"/>
        <w:ind w:left="0" w:right="0" w:firstLine="500"/>
        <w:jc w:val="both"/>
      </w:pPr>
      <w:r>
        <w:rPr>
          <w:color w:val="000000"/>
          <w:spacing w:val="0"/>
          <w:w w:val="100"/>
          <w:position w:val="0"/>
          <w:sz w:val="24"/>
          <w:szCs w:val="24"/>
        </w:rPr>
        <w:t>发生的初始直接费用，计入租入资产价值。</w:t>
      </w:r>
    </w:p>
    <w:p>
      <w:pPr>
        <w:pStyle w:val="Style51"/>
        <w:keepNext w:val="0"/>
        <w:keepLines w:val="0"/>
        <w:widowControl w:val="0"/>
        <w:shd w:val="clear" w:color="auto" w:fill="auto"/>
        <w:bidi w:val="0"/>
        <w:spacing w:before="0" w:after="60"/>
        <w:ind w:left="0" w:right="0" w:firstLine="500"/>
        <w:jc w:val="both"/>
      </w:pPr>
      <w:r>
        <w:rPr>
          <w:color w:val="000000"/>
          <w:spacing w:val="0"/>
          <w:w w:val="100"/>
          <w:position w:val="0"/>
          <w:sz w:val="24"/>
          <w:szCs w:val="24"/>
        </w:rPr>
        <w:t>在计提融资租赁资产折旧时，本公司采用与自有应折旧资产相一致的折旧政策，折旧期 间以租赁合同而定。如果能够合理确定租赁期届满时本公司将会取得租赁资产所有权，以租 赁期开始日租赁资产的寿命作为折旧期间；如果无法合理确定租赁期届满后本公司是否能够 取得租赁资产的所有权，以租赁期与租赁资产寿命两者中较短者作为折旧期间。</w:t>
      </w:r>
    </w:p>
    <w:p>
      <w:pPr>
        <w:pStyle w:val="Style51"/>
        <w:keepNext w:val="0"/>
        <w:keepLines w:val="0"/>
        <w:widowControl w:val="0"/>
        <w:shd w:val="clear" w:color="auto" w:fill="auto"/>
        <w:bidi w:val="0"/>
        <w:spacing w:before="0" w:after="640" w:line="322" w:lineRule="exact"/>
        <w:ind w:left="0" w:right="0" w:firstLine="500"/>
        <w:jc w:val="both"/>
      </w:pPr>
      <w:r>
        <w:rPr>
          <w:color w:val="000000"/>
          <w:spacing w:val="0"/>
          <w:w w:val="100"/>
          <w:position w:val="0"/>
          <w:sz w:val="24"/>
          <w:szCs w:val="24"/>
        </w:rPr>
        <w:t>②本公司作为融资租赁出租人时，于租赁期开始日将租赁开始日最低租赁应收款额与初 始直接费用之和作为应收融资租赁款的入账价值，计入资产负债表的长期应收款，同时记录 未担保余值；将最低租赁应收款额、初始直接费用及未担保余值之和与其现值之和的差额作 为未实现融资收益，在租赁期内各个期间采用实际利率法确认为租赁收入，计入租赁收入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 务业务收入。</w:t>
      </w:r>
    </w:p>
    <w:p>
      <w:pPr>
        <w:pStyle w:val="Style40"/>
        <w:keepNext w:val="0"/>
        <w:keepLines w:val="0"/>
        <w:widowControl w:val="0"/>
        <w:shd w:val="clear" w:color="auto" w:fill="auto"/>
        <w:bidi w:val="0"/>
        <w:spacing w:before="0" w:after="1260" w:line="240" w:lineRule="auto"/>
        <w:ind w:left="0" w:right="0" w:firstLine="0"/>
        <w:jc w:val="left"/>
      </w:pPr>
      <w:bookmarkStart w:id="870" w:name="bookmark870"/>
      <w:r>
        <w:rPr>
          <w:rFonts w:ascii="Times New Roman" w:eastAsia="Times New Roman" w:hAnsi="Times New Roman" w:cs="Times New Roman"/>
          <w:b/>
          <w:bCs/>
          <w:color w:val="000000"/>
          <w:spacing w:val="0"/>
          <w:w w:val="100"/>
          <w:position w:val="0"/>
        </w:rPr>
        <w:t>3</w:t>
      </w:r>
      <w:bookmarkEnd w:id="870"/>
      <w:r>
        <w:rPr>
          <w:rFonts w:ascii="Times New Roman" w:eastAsia="Times New Roman" w:hAnsi="Times New Roman" w:cs="Times New Roman"/>
          <w:b/>
          <w:bCs/>
          <w:color w:val="000000"/>
          <w:spacing w:val="0"/>
          <w:w w:val="100"/>
          <w:position w:val="0"/>
        </w:rPr>
        <w:t>2</w:t>
      </w:r>
      <w:r>
        <w:rPr>
          <w:b/>
          <w:bCs/>
          <w:color w:val="000000"/>
          <w:spacing w:val="0"/>
          <w:w w:val="100"/>
          <w:position w:val="0"/>
        </w:rPr>
        <w:t>、其他重要的会计政策和会计估计</w:t>
      </w:r>
    </w:p>
    <w:p>
      <w:pPr>
        <w:pStyle w:val="Style40"/>
        <w:keepNext w:val="0"/>
        <w:keepLines w:val="0"/>
        <w:widowControl w:val="0"/>
        <w:shd w:val="clear" w:color="auto" w:fill="auto"/>
        <w:tabs>
          <w:tab w:pos="478" w:val="left"/>
        </w:tabs>
        <w:bidi w:val="0"/>
        <w:spacing w:before="0" w:after="360" w:line="240" w:lineRule="auto"/>
        <w:ind w:left="0" w:right="0" w:firstLine="0"/>
        <w:jc w:val="left"/>
      </w:pPr>
      <w:bookmarkStart w:id="871" w:name="bookmark871"/>
      <w:r>
        <w:rPr>
          <w:rFonts w:ascii="Times New Roman" w:eastAsia="Times New Roman" w:hAnsi="Times New Roman" w:cs="Times New Roman"/>
          <w:b/>
          <w:bCs/>
          <w:color w:val="000000"/>
          <w:spacing w:val="0"/>
          <w:w w:val="100"/>
          <w:position w:val="0"/>
        </w:rPr>
        <w:t>3</w:t>
      </w:r>
      <w:bookmarkEnd w:id="87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重要会计政策和会计估计变更</w:t>
      </w:r>
    </w:p>
    <w:p>
      <w:pPr>
        <w:pStyle w:val="Style40"/>
        <w:keepNext w:val="0"/>
        <w:keepLines w:val="0"/>
        <w:widowControl w:val="0"/>
        <w:numPr>
          <w:ilvl w:val="0"/>
          <w:numId w:val="115"/>
        </w:numPr>
        <w:shd w:val="clear" w:color="auto" w:fill="auto"/>
        <w:tabs>
          <w:tab w:pos="488" w:val="left"/>
        </w:tabs>
        <w:bidi w:val="0"/>
        <w:spacing w:before="0" w:after="360" w:line="240" w:lineRule="auto"/>
        <w:ind w:left="0" w:right="0" w:firstLine="0"/>
        <w:jc w:val="left"/>
      </w:pPr>
      <w:bookmarkStart w:id="872" w:name="bookmark872"/>
      <w:bookmarkEnd w:id="872"/>
      <w:r>
        <w:rPr>
          <w:b/>
          <w:bCs/>
          <w:color w:val="000000"/>
          <w:spacing w:val="0"/>
          <w:w w:val="100"/>
          <w:position w:val="0"/>
        </w:rPr>
        <w:t>重要会计政策变更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numPr>
          <w:ilvl w:val="0"/>
          <w:numId w:val="115"/>
        </w:numPr>
        <w:shd w:val="clear" w:color="auto" w:fill="auto"/>
        <w:tabs>
          <w:tab w:pos="488" w:val="left"/>
        </w:tabs>
        <w:bidi w:val="0"/>
        <w:spacing w:before="0" w:after="360" w:line="240" w:lineRule="auto"/>
        <w:ind w:left="0" w:right="0" w:firstLine="0"/>
        <w:jc w:val="left"/>
      </w:pPr>
      <w:bookmarkStart w:id="873" w:name="bookmark873"/>
      <w:bookmarkEnd w:id="873"/>
      <w:r>
        <w:rPr>
          <w:b/>
          <w:bCs/>
          <w:color w:val="000000"/>
          <w:spacing w:val="0"/>
          <w:w w:val="100"/>
          <w:position w:val="0"/>
        </w:rPr>
        <w:t>重要会计估计变更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tabs>
          <w:tab w:pos="478" w:val="left"/>
        </w:tabs>
        <w:bidi w:val="0"/>
        <w:spacing w:before="0" w:after="360" w:line="240" w:lineRule="auto"/>
        <w:ind w:left="0" w:right="0" w:firstLine="0"/>
        <w:jc w:val="left"/>
      </w:pPr>
      <w:bookmarkStart w:id="874" w:name="bookmark874"/>
      <w:r>
        <w:rPr>
          <w:rFonts w:ascii="Times New Roman" w:eastAsia="Times New Roman" w:hAnsi="Times New Roman" w:cs="Times New Roman"/>
          <w:b/>
          <w:bCs/>
          <w:color w:val="000000"/>
          <w:spacing w:val="0"/>
          <w:w w:val="100"/>
          <w:position w:val="0"/>
        </w:rPr>
        <w:t>3</w:t>
      </w:r>
      <w:bookmarkEnd w:id="87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w:t>
      </w:r>
    </w:p>
    <w:p>
      <w:pPr>
        <w:pStyle w:val="Style51"/>
        <w:keepNext w:val="0"/>
        <w:keepLines w:val="0"/>
        <w:widowControl w:val="0"/>
        <w:shd w:val="clear" w:color="auto" w:fill="auto"/>
        <w:bidi w:val="0"/>
        <w:spacing w:before="0" w:after="360" w:line="240" w:lineRule="auto"/>
        <w:ind w:left="0" w:right="0" w:firstLine="0"/>
        <w:jc w:val="left"/>
      </w:pPr>
      <w:bookmarkStart w:id="875" w:name="bookmark875"/>
      <w:r>
        <w:rPr>
          <w:b/>
          <w:bCs/>
          <w:color w:val="000000"/>
          <w:spacing w:val="0"/>
          <w:w w:val="100"/>
          <w:position w:val="0"/>
          <w:sz w:val="24"/>
          <w:szCs w:val="24"/>
        </w:rPr>
        <w:t>六</w:t>
      </w:r>
      <w:bookmarkEnd w:id="875"/>
      <w:r>
        <w:rPr>
          <w:b/>
          <w:bCs/>
          <w:color w:val="000000"/>
          <w:spacing w:val="0"/>
          <w:w w:val="100"/>
          <w:position w:val="0"/>
          <w:sz w:val="24"/>
          <w:szCs w:val="24"/>
        </w:rPr>
        <w:t>、税项</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销项税和进项税的差额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应税营业额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四方同兴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天津京万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万向新元绿柱石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99" w:line="1" w:lineRule="exact"/>
      </w:pPr>
    </w:p>
    <w:p>
      <w:pPr>
        <w:pStyle w:val="Style26"/>
        <w:keepNext/>
        <w:keepLines/>
        <w:widowControl w:val="0"/>
        <w:numPr>
          <w:ilvl w:val="0"/>
          <w:numId w:val="117"/>
        </w:numPr>
        <w:shd w:val="clear" w:color="auto" w:fill="auto"/>
        <w:tabs>
          <w:tab w:pos="964" w:val="left"/>
        </w:tabs>
        <w:bidi w:val="0"/>
        <w:spacing w:before="0" w:after="100" w:line="313" w:lineRule="exact"/>
        <w:ind w:left="0" w:right="0" w:firstLine="500"/>
        <w:jc w:val="both"/>
      </w:pPr>
      <w:bookmarkStart w:id="876" w:name="bookmark876"/>
      <w:bookmarkStart w:id="877" w:name="bookmark877"/>
      <w:bookmarkStart w:id="878" w:name="bookmark878"/>
      <w:bookmarkStart w:id="879" w:name="bookmark879"/>
      <w:bookmarkEnd w:id="878"/>
      <w:r>
        <w:rPr>
          <w:color w:val="000000"/>
          <w:spacing w:val="0"/>
          <w:w w:val="100"/>
          <w:position w:val="0"/>
          <w:sz w:val="24"/>
          <w:szCs w:val="24"/>
        </w:rPr>
        <w:t>增值税</w:t>
      </w:r>
      <w:bookmarkEnd w:id="876"/>
      <w:bookmarkEnd w:id="877"/>
      <w:bookmarkEnd w:id="879"/>
    </w:p>
    <w:p>
      <w:pPr>
        <w:pStyle w:val="Style51"/>
        <w:keepNext w:val="0"/>
        <w:keepLines w:val="0"/>
        <w:widowControl w:val="0"/>
        <w:shd w:val="clear" w:color="auto" w:fill="auto"/>
        <w:bidi w:val="0"/>
        <w:spacing w:before="0" w:after="100" w:line="319" w:lineRule="exact"/>
        <w:ind w:left="0" w:right="0" w:firstLine="50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日财政部、国家税务总局《关于软件产品增值税政策的通知》(财税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号)的规定，本公司自</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日起继续享受软件产品增值税实际税负超过</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的部分即征即退优惠政策。</w:t>
      </w:r>
    </w:p>
    <w:p>
      <w:pPr>
        <w:pStyle w:val="Style26"/>
        <w:keepNext/>
        <w:keepLines/>
        <w:widowControl w:val="0"/>
        <w:numPr>
          <w:ilvl w:val="0"/>
          <w:numId w:val="117"/>
        </w:numPr>
        <w:shd w:val="clear" w:color="auto" w:fill="auto"/>
        <w:tabs>
          <w:tab w:pos="964" w:val="left"/>
        </w:tabs>
        <w:bidi w:val="0"/>
        <w:spacing w:before="0" w:after="100" w:line="313" w:lineRule="exact"/>
        <w:ind w:left="0" w:right="0" w:firstLine="500"/>
        <w:jc w:val="both"/>
      </w:pPr>
      <w:bookmarkStart w:id="880" w:name="bookmark880"/>
      <w:bookmarkStart w:id="881" w:name="bookmark881"/>
      <w:bookmarkStart w:id="882" w:name="bookmark882"/>
      <w:bookmarkStart w:id="883" w:name="bookmark883"/>
      <w:bookmarkEnd w:id="882"/>
      <w:r>
        <w:rPr>
          <w:color w:val="000000"/>
          <w:spacing w:val="0"/>
          <w:w w:val="100"/>
          <w:position w:val="0"/>
          <w:sz w:val="24"/>
          <w:szCs w:val="24"/>
        </w:rPr>
        <w:t>企业所得税</w:t>
      </w:r>
      <w:bookmarkEnd w:id="880"/>
      <w:bookmarkEnd w:id="881"/>
      <w:bookmarkEnd w:id="883"/>
    </w:p>
    <w:p>
      <w:pPr>
        <w:pStyle w:val="Style51"/>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月本公司经北京市科学技术委员会、北京市财政局、北京市国家税务局、北京 市地方税务局认定为高新技术企业，证书编号：</w:t>
      </w:r>
      <w:r>
        <w:rPr>
          <w:rFonts w:ascii="Times New Roman" w:eastAsia="Times New Roman" w:hAnsi="Times New Roman" w:cs="Times New Roman"/>
          <w:color w:val="000000"/>
          <w:spacing w:val="0"/>
          <w:w w:val="100"/>
          <w:position w:val="0"/>
          <w:sz w:val="24"/>
          <w:szCs w:val="24"/>
        </w:rPr>
        <w:t>GR201411000136</w:t>
      </w:r>
      <w:r>
        <w:rPr>
          <w:color w:val="000000"/>
          <w:spacing w:val="0"/>
          <w:w w:val="100"/>
          <w:position w:val="0"/>
          <w:sz w:val="24"/>
          <w:szCs w:val="24"/>
        </w:rPr>
        <w:t>，</w:t>
      </w:r>
      <w:r>
        <w:rPr>
          <w:color w:val="000000"/>
          <w:spacing w:val="0"/>
          <w:w w:val="100"/>
          <w:position w:val="0"/>
          <w:sz w:val="24"/>
          <w:szCs w:val="24"/>
        </w:rPr>
        <w:t>有效期三年。</w:t>
      </w:r>
      <w:r>
        <w:rPr>
          <w:rFonts w:ascii="Times New Roman" w:eastAsia="Times New Roman" w:hAnsi="Times New Roman" w:cs="Times New Roman"/>
          <w:color w:val="000000"/>
          <w:spacing w:val="0"/>
          <w:w w:val="100"/>
          <w:position w:val="0"/>
          <w:sz w:val="24"/>
          <w:szCs w:val="24"/>
        </w:rPr>
        <w:t xml:space="preserve">2014-2016 </w:t>
      </w:r>
      <w:r>
        <w:rPr>
          <w:color w:val="000000"/>
          <w:spacing w:val="0"/>
          <w:w w:val="100"/>
          <w:position w:val="0"/>
          <w:sz w:val="24"/>
          <w:szCs w:val="24"/>
        </w:rPr>
        <w:t>年度享受</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的企业所得税优惠税率。</w:t>
      </w:r>
    </w:p>
    <w:p>
      <w:pPr>
        <w:pStyle w:val="Style51"/>
        <w:keepNext w:val="0"/>
        <w:keepLines w:val="0"/>
        <w:widowControl w:val="0"/>
        <w:shd w:val="clear" w:color="auto" w:fill="auto"/>
        <w:bidi w:val="0"/>
        <w:spacing w:before="0" w:after="100"/>
        <w:ind w:left="0" w:right="0" w:firstLine="50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月本公司之子公司万向新元工程经北京市科学技术委员会、北京市财政局、北京 市国家税务局、北京市地方税务局认定为高新技术企业，证书编号：</w:t>
      </w:r>
      <w:r>
        <w:rPr>
          <w:rFonts w:ascii="Times New Roman" w:eastAsia="Times New Roman" w:hAnsi="Times New Roman" w:cs="Times New Roman"/>
          <w:color w:val="000000"/>
          <w:spacing w:val="0"/>
          <w:w w:val="100"/>
          <w:position w:val="0"/>
          <w:sz w:val="24"/>
          <w:szCs w:val="24"/>
        </w:rPr>
        <w:t>GF201511000812</w:t>
      </w:r>
      <w:r>
        <w:rPr>
          <w:color w:val="000000"/>
          <w:spacing w:val="0"/>
          <w:w w:val="100"/>
          <w:position w:val="0"/>
          <w:sz w:val="24"/>
          <w:szCs w:val="24"/>
        </w:rPr>
        <w:t>，有效 期三年。</w:t>
      </w:r>
      <w:r>
        <w:rPr>
          <w:rFonts w:ascii="Times New Roman" w:eastAsia="Times New Roman" w:hAnsi="Times New Roman" w:cs="Times New Roman"/>
          <w:color w:val="000000"/>
          <w:spacing w:val="0"/>
          <w:w w:val="100"/>
          <w:position w:val="0"/>
          <w:sz w:val="24"/>
          <w:szCs w:val="24"/>
        </w:rPr>
        <w:t>2015-2017</w:t>
      </w:r>
      <w:r>
        <w:rPr>
          <w:color w:val="000000"/>
          <w:spacing w:val="0"/>
          <w:w w:val="100"/>
          <w:position w:val="0"/>
          <w:sz w:val="24"/>
          <w:szCs w:val="24"/>
        </w:rPr>
        <w:t>年度享受</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的企业所得税优惠税率。</w:t>
      </w:r>
    </w:p>
    <w:p>
      <w:pPr>
        <w:pStyle w:val="Style51"/>
        <w:keepNext w:val="0"/>
        <w:keepLines w:val="0"/>
        <w:widowControl w:val="0"/>
        <w:shd w:val="clear" w:color="auto" w:fill="auto"/>
        <w:bidi w:val="0"/>
        <w:spacing w:before="0" w:after="640"/>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月本公司之子公司芜湖万向经安徽省科学技术厅、安徽省财政局、安徽省国家税 务局、安徽省地方税务局认定为高新技术企业，证书编号：</w:t>
      </w:r>
      <w:r>
        <w:rPr>
          <w:rFonts w:ascii="Times New Roman" w:eastAsia="Times New Roman" w:hAnsi="Times New Roman" w:cs="Times New Roman"/>
          <w:color w:val="000000"/>
          <w:spacing w:val="0"/>
          <w:w w:val="100"/>
          <w:position w:val="0"/>
          <w:sz w:val="24"/>
          <w:szCs w:val="24"/>
        </w:rPr>
        <w:t>GR201434000215</w:t>
      </w:r>
      <w:r>
        <w:rPr>
          <w:color w:val="000000"/>
          <w:spacing w:val="0"/>
          <w:w w:val="100"/>
          <w:position w:val="0"/>
          <w:sz w:val="24"/>
          <w:szCs w:val="24"/>
        </w:rPr>
        <w:t xml:space="preserve">，有效期三年。 </w:t>
      </w:r>
      <w:r>
        <w:rPr>
          <w:rFonts w:ascii="Times New Roman" w:eastAsia="Times New Roman" w:hAnsi="Times New Roman" w:cs="Times New Roman"/>
          <w:color w:val="000000"/>
          <w:spacing w:val="0"/>
          <w:w w:val="100"/>
          <w:position w:val="0"/>
          <w:sz w:val="24"/>
          <w:szCs w:val="24"/>
        </w:rPr>
        <w:t>2014-2016</w:t>
      </w:r>
      <w:r>
        <w:rPr>
          <w:color w:val="000000"/>
          <w:spacing w:val="0"/>
          <w:w w:val="100"/>
          <w:position w:val="0"/>
          <w:sz w:val="24"/>
          <w:szCs w:val="24"/>
        </w:rPr>
        <w:t>年度享受</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的企业所得税优惠税率。</w:t>
      </w:r>
    </w:p>
    <w:p>
      <w:pPr>
        <w:pStyle w:val="Style40"/>
        <w:keepNext w:val="0"/>
        <w:keepLines w:val="0"/>
        <w:widowControl w:val="0"/>
        <w:shd w:val="clear" w:color="auto" w:fill="auto"/>
        <w:bidi w:val="0"/>
        <w:spacing w:before="0" w:after="300" w:line="240" w:lineRule="auto"/>
        <w:ind w:left="0" w:right="0" w:firstLine="0"/>
        <w:jc w:val="left"/>
      </w:pPr>
      <w:bookmarkStart w:id="884" w:name="bookmark884"/>
      <w:r>
        <w:rPr>
          <w:rFonts w:ascii="Times New Roman" w:eastAsia="Times New Roman" w:hAnsi="Times New Roman" w:cs="Times New Roman"/>
          <w:b/>
          <w:bCs/>
          <w:color w:val="000000"/>
          <w:spacing w:val="0"/>
          <w:w w:val="100"/>
          <w:position w:val="0"/>
        </w:rPr>
        <w:t>3</w:t>
      </w:r>
      <w:bookmarkEnd w:id="884"/>
      <w:r>
        <w:rPr>
          <w:b/>
          <w:bCs/>
          <w:color w:val="000000"/>
          <w:spacing w:val="0"/>
          <w:w w:val="100"/>
          <w:position w:val="0"/>
        </w:rPr>
        <w:t>、其他</w:t>
      </w:r>
    </w:p>
    <w:p>
      <w:pPr>
        <w:pStyle w:val="Style26"/>
        <w:keepNext/>
        <w:keepLines/>
        <w:widowControl w:val="0"/>
        <w:shd w:val="clear" w:color="auto" w:fill="auto"/>
        <w:bidi w:val="0"/>
        <w:spacing w:before="0" w:after="300" w:line="313"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sz w:val="24"/>
          <w:szCs w:val="24"/>
        </w:rPr>
        <w:t>七</w:t>
      </w:r>
      <w:bookmarkEnd w:id="887"/>
      <w:r>
        <w:rPr>
          <w:color w:val="000000"/>
          <w:spacing w:val="0"/>
          <w:w w:val="100"/>
          <w:position w:val="0"/>
          <w:sz w:val="24"/>
          <w:szCs w:val="24"/>
        </w:rPr>
        <w:t>、合并财务报表项目注释</w:t>
      </w:r>
      <w:bookmarkEnd w:id="885"/>
      <w:bookmarkEnd w:id="886"/>
      <w:bookmarkEnd w:id="888"/>
    </w:p>
    <w:p>
      <w:pPr>
        <w:pStyle w:val="Style40"/>
        <w:keepNext w:val="0"/>
        <w:keepLines w:val="0"/>
        <w:widowControl w:val="0"/>
        <w:shd w:val="clear" w:color="auto" w:fill="auto"/>
        <w:bidi w:val="0"/>
        <w:spacing w:before="0" w:after="360" w:line="240" w:lineRule="auto"/>
        <w:ind w:left="0" w:right="0" w:firstLine="0"/>
        <w:jc w:val="left"/>
      </w:pPr>
      <w:bookmarkStart w:id="889" w:name="bookmark889"/>
      <w:r>
        <w:rPr>
          <w:rFonts w:ascii="Times New Roman" w:eastAsia="Times New Roman" w:hAnsi="Times New Roman" w:cs="Times New Roman"/>
          <w:b/>
          <w:bCs/>
          <w:color w:val="000000"/>
          <w:spacing w:val="0"/>
          <w:w w:val="100"/>
          <w:position w:val="0"/>
        </w:rPr>
        <w:t>1</w:t>
      </w:r>
      <w:bookmarkEnd w:id="889"/>
      <w:r>
        <w:rPr>
          <w:b/>
          <w:bCs/>
          <w:color w:val="000000"/>
          <w:spacing w:val="0"/>
          <w:w w:val="100"/>
          <w:position w:val="0"/>
        </w:rPr>
        <w:t>、货币资金</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476,661.67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197,418.20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58,472,502.49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84,369,344.86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11,603,106.50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7,992,681.71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70,552,270.66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92,559,444.77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51"/>
        <w:keepNext w:val="0"/>
        <w:keepLines w:val="0"/>
        <w:widowControl w:val="0"/>
        <w:shd w:val="clear" w:color="auto" w:fill="auto"/>
        <w:bidi w:val="0"/>
        <w:spacing w:before="0" w:after="200"/>
        <w:ind w:left="0" w:right="0" w:firstLine="500"/>
        <w:jc w:val="left"/>
      </w:pPr>
      <w:r>
        <w:rPr>
          <w:color w:val="000000"/>
          <w:spacing w:val="0"/>
          <w:w w:val="100"/>
          <w:position w:val="0"/>
          <w:sz w:val="24"/>
          <w:szCs w:val="24"/>
        </w:rPr>
        <w:t>其他货币资金</w:t>
      </w:r>
      <w:r>
        <w:rPr>
          <w:rFonts w:ascii="Times New Roman" w:eastAsia="Times New Roman" w:hAnsi="Times New Roman" w:cs="Times New Roman"/>
          <w:color w:val="000000"/>
          <w:spacing w:val="0"/>
          <w:w w:val="100"/>
          <w:position w:val="0"/>
          <w:sz w:val="24"/>
          <w:szCs w:val="24"/>
        </w:rPr>
        <w:t>11,603,106.50</w:t>
      </w:r>
      <w:r>
        <w:rPr>
          <w:color w:val="000000"/>
          <w:spacing w:val="0"/>
          <w:w w:val="100"/>
          <w:position w:val="0"/>
          <w:sz w:val="24"/>
          <w:szCs w:val="24"/>
        </w:rPr>
        <w:t>元系本公司为开具银行承兑汇票存入的保证金，其中受限资 金为</w:t>
      </w:r>
      <w:r>
        <w:rPr>
          <w:rFonts w:ascii="Times New Roman" w:eastAsia="Times New Roman" w:hAnsi="Times New Roman" w:cs="Times New Roman"/>
          <w:color w:val="000000"/>
          <w:spacing w:val="0"/>
          <w:w w:val="100"/>
          <w:position w:val="0"/>
          <w:sz w:val="24"/>
          <w:szCs w:val="24"/>
        </w:rPr>
        <w:t>6,717,712.69</w:t>
      </w:r>
      <w:r>
        <w:rPr>
          <w:color w:val="000000"/>
          <w:spacing w:val="0"/>
          <w:w w:val="100"/>
          <w:position w:val="0"/>
          <w:sz w:val="24"/>
          <w:szCs w:val="24"/>
        </w:rPr>
        <w:t>元，除此之外，期末货币资金中无其他因抵押、质押或冻结等对使用有限制、 有潜在回收风险的款项。</w:t>
      </w:r>
      <w:r>
        <w:br w:type="page"/>
      </w:r>
    </w:p>
    <w:p>
      <w:pPr>
        <w:pStyle w:val="Style36"/>
        <w:keepNext/>
        <w:keepLines/>
        <w:widowControl w:val="0"/>
        <w:shd w:val="clear" w:color="auto" w:fill="auto"/>
        <w:bidi w:val="0"/>
        <w:spacing w:before="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color w:val="000000"/>
          <w:spacing w:val="0"/>
          <w:w w:val="100"/>
          <w:position w:val="0"/>
        </w:rPr>
        <w:t>、以公允价值计量且其变动计入当期损益的金融资产</w:t>
      </w:r>
      <w:bookmarkEnd w:id="890"/>
      <w:bookmarkEnd w:id="891"/>
      <w:bookmarkEnd w:id="8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60,646,416.67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60,646,416.67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color w:val="000000"/>
          <w:spacing w:val="0"/>
          <w:w w:val="100"/>
          <w:position w:val="0"/>
        </w:rPr>
        <w:t>、</w:t>
        <w:tab/>
        <w:t>衍生金融资产</w:t>
      </w:r>
      <w:bookmarkEnd w:id="894"/>
      <w:bookmarkEnd w:id="895"/>
      <w:bookmarkEnd w:id="89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4</w:t>
      </w:r>
      <w:bookmarkEnd w:id="900"/>
      <w:r>
        <w:rPr>
          <w:color w:val="000000"/>
          <w:spacing w:val="0"/>
          <w:w w:val="100"/>
          <w:position w:val="0"/>
        </w:rPr>
        <w:t>、</w:t>
        <w:tab/>
        <w:t>应收票据</w:t>
      </w:r>
      <w:bookmarkEnd w:id="898"/>
      <w:bookmarkEnd w:id="899"/>
      <w:bookmarkEnd w:id="901"/>
    </w:p>
    <w:p>
      <w:pPr>
        <w:pStyle w:val="Style36"/>
        <w:keepNext/>
        <w:keepLines/>
        <w:widowControl w:val="0"/>
        <w:numPr>
          <w:ilvl w:val="0"/>
          <w:numId w:val="119"/>
        </w:numPr>
        <w:shd w:val="clear" w:color="auto" w:fill="auto"/>
        <w:bidi w:val="0"/>
        <w:spacing w:before="0" w:line="240" w:lineRule="auto"/>
        <w:ind w:left="0" w:right="0" w:firstLine="0"/>
        <w:jc w:val="left"/>
      </w:pPr>
      <w:bookmarkStart w:id="898" w:name="bookmark898"/>
      <w:bookmarkStart w:id="899" w:name="bookmark899"/>
      <w:bookmarkStart w:id="902" w:name="bookmark902"/>
      <w:bookmarkStart w:id="903" w:name="bookmark903"/>
      <w:bookmarkEnd w:id="902"/>
      <w:r>
        <w:rPr>
          <w:color w:val="000000"/>
          <w:spacing w:val="0"/>
          <w:w w:val="100"/>
          <w:position w:val="0"/>
        </w:rPr>
        <w:t>应收票据分类列示</w:t>
      </w:r>
      <w:bookmarkEnd w:id="898"/>
      <w:bookmarkEnd w:id="899"/>
      <w:bookmarkEnd w:id="9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9,128,650.26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11,501,000.00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9,128,650.26</w:t>
            </w:r>
          </w:p>
        </w:tc>
      </w:tr>
    </w:tbl>
    <w:p>
      <w:pPr>
        <w:widowControl w:val="0"/>
        <w:spacing w:after="319" w:line="1" w:lineRule="exact"/>
      </w:pPr>
    </w:p>
    <w:p>
      <w:pPr>
        <w:pStyle w:val="Style36"/>
        <w:keepNext/>
        <w:keepLines/>
        <w:widowControl w:val="0"/>
        <w:numPr>
          <w:ilvl w:val="0"/>
          <w:numId w:val="119"/>
        </w:numPr>
        <w:shd w:val="clear" w:color="auto" w:fill="auto"/>
        <w:bidi w:val="0"/>
        <w:spacing w:before="0" w:line="240" w:lineRule="auto"/>
        <w:ind w:left="0" w:right="0" w:firstLine="140"/>
        <w:jc w:val="left"/>
      </w:pPr>
      <w:bookmarkStart w:id="904" w:name="bookmark904"/>
      <w:bookmarkStart w:id="905" w:name="bookmark905"/>
      <w:bookmarkStart w:id="906" w:name="bookmark906"/>
      <w:bookmarkStart w:id="907" w:name="bookmark907"/>
      <w:bookmarkEnd w:id="906"/>
      <w:r>
        <w:rPr>
          <w:color w:val="000000"/>
          <w:spacing w:val="0"/>
          <w:w w:val="100"/>
          <w:position w:val="0"/>
        </w:rPr>
        <w:t>期末公司已质押的应收票据</w:t>
      </w:r>
      <w:bookmarkEnd w:id="904"/>
      <w:bookmarkEnd w:id="905"/>
      <w:bookmarkEnd w:id="9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期末已质押金额</w:t>
            </w:r>
          </w:p>
        </w:tc>
      </w:tr>
    </w:tbl>
    <w:p>
      <w:pPr>
        <w:widowControl w:val="0"/>
        <w:spacing w:after="319" w:line="1" w:lineRule="exact"/>
      </w:pPr>
    </w:p>
    <w:p>
      <w:pPr>
        <w:pStyle w:val="Style36"/>
        <w:keepNext/>
        <w:keepLines/>
        <w:widowControl w:val="0"/>
        <w:numPr>
          <w:ilvl w:val="0"/>
          <w:numId w:val="119"/>
        </w:numPr>
        <w:shd w:val="clear" w:color="auto" w:fill="auto"/>
        <w:bidi w:val="0"/>
        <w:spacing w:before="0" w:line="240" w:lineRule="auto"/>
        <w:ind w:left="0" w:right="0" w:firstLine="140"/>
        <w:jc w:val="left"/>
      </w:pPr>
      <w:bookmarkStart w:id="908" w:name="bookmark908"/>
      <w:bookmarkStart w:id="909" w:name="bookmark909"/>
      <w:bookmarkStart w:id="910" w:name="bookmark910"/>
      <w:bookmarkStart w:id="911" w:name="bookmark911"/>
      <w:bookmarkEnd w:id="910"/>
      <w:r>
        <w:rPr>
          <w:color w:val="000000"/>
          <w:spacing w:val="0"/>
          <w:w w:val="100"/>
          <w:position w:val="0"/>
        </w:rPr>
        <w:t>期末公司已背书或贴现且在资产负债表日尚未到期的应收票据</w:t>
      </w:r>
      <w:bookmarkEnd w:id="908"/>
      <w:bookmarkEnd w:id="909"/>
      <w:bookmarkEnd w:id="9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16,835,987.23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16,835,987.23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119"/>
        </w:numPr>
        <w:shd w:val="clear" w:color="auto" w:fill="auto"/>
        <w:bidi w:val="0"/>
        <w:spacing w:before="0" w:line="240" w:lineRule="auto"/>
        <w:ind w:left="0" w:right="0" w:firstLine="140"/>
        <w:jc w:val="left"/>
      </w:pPr>
      <w:bookmarkStart w:id="912" w:name="bookmark912"/>
      <w:bookmarkStart w:id="913" w:name="bookmark913"/>
      <w:bookmarkStart w:id="914" w:name="bookmark914"/>
      <w:bookmarkStart w:id="915" w:name="bookmark915"/>
      <w:bookmarkEnd w:id="914"/>
      <w:r>
        <w:rPr>
          <w:color w:val="000000"/>
          <w:spacing w:val="0"/>
          <w:w w:val="100"/>
          <w:position w:val="0"/>
        </w:rPr>
        <w:t>期末公司因出票人未履约而将其转应收账款的票据</w:t>
      </w:r>
      <w:bookmarkEnd w:id="912"/>
      <w:bookmarkEnd w:id="913"/>
      <w:bookmarkEnd w:id="9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期末转应收账款金额</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5</w:t>
      </w:r>
      <w:bookmarkEnd w:id="918"/>
      <w:r>
        <w:rPr>
          <w:color w:val="000000"/>
          <w:spacing w:val="0"/>
          <w:w w:val="100"/>
          <w:position w:val="0"/>
        </w:rPr>
        <w:t>、应收账款</w:t>
      </w:r>
      <w:bookmarkEnd w:id="916"/>
      <w:bookmarkEnd w:id="917"/>
      <w:bookmarkEnd w:id="919"/>
    </w:p>
    <w:p>
      <w:pPr>
        <w:pStyle w:val="Style36"/>
        <w:keepNext/>
        <w:keepLines/>
        <w:widowControl w:val="0"/>
        <w:shd w:val="clear" w:color="auto" w:fill="auto"/>
        <w:bidi w:val="0"/>
        <w:spacing w:before="0" w:line="240" w:lineRule="auto"/>
        <w:ind w:left="0" w:right="0" w:firstLine="0"/>
        <w:jc w:val="left"/>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16"/>
      <w:bookmarkEnd w:id="917"/>
      <w:bookmarkEnd w:id="9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254,637,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34,607,4</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220,030,5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142,162,44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254,637,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34,607,4</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220,030,5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163,779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142,162,44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年以内分项</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140,816,025.89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7,040,801.30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75,030,778.94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7,503,077.89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16,261,442.10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4,878,432.63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13,233,612.48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6,616,806.24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3,638,793.80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2,911,035.04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5,657,340.36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5,657,340.36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254,637,993.57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34,607,493.46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22"/>
      <w:bookmarkEnd w:id="923"/>
      <w:bookmarkEnd w:id="92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pStyle w:val="Style34"/>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)本期实际核销的应收账款情况</w:t>
      </w:r>
    </w:p>
    <w:p>
      <w:pPr>
        <w:widowControl w:val="0"/>
        <w:spacing w:after="35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款项是否由关联交 易产生</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99" w:line="1" w:lineRule="exact"/>
      </w:pPr>
    </w:p>
    <w:p>
      <w:pPr>
        <w:pStyle w:val="Style36"/>
        <w:keepNext/>
        <w:keepLines/>
        <w:widowControl w:val="0"/>
        <w:numPr>
          <w:ilvl w:val="0"/>
          <w:numId w:val="121"/>
        </w:numPr>
        <w:shd w:val="clear" w:color="auto" w:fill="auto"/>
        <w:bidi w:val="0"/>
        <w:spacing w:before="0" w:after="40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按欠款方归集的期末余额前五名的应收账款情况</w:t>
      </w:r>
      <w:bookmarkEnd w:id="926"/>
      <w:bookmarkEnd w:id="927"/>
      <w:bookmarkEnd w:id="92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bl>
      <w:tblPr>
        <w:tblOverlap w:val="never"/>
        <w:jc w:val="center"/>
        <w:tblLayout w:type="fixed"/>
      </w:tblPr>
      <w:tblGrid>
        <w:gridCol w:w="3658"/>
        <w:gridCol w:w="1982"/>
        <w:gridCol w:w="1987"/>
        <w:gridCol w:w="1699"/>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60"/>
              <w:jc w:val="left"/>
            </w:pPr>
            <w:r>
              <w:rPr>
                <w:b/>
                <w:bCs/>
                <w:color w:val="000000"/>
                <w:spacing w:val="0"/>
                <w:w w:val="100"/>
                <w:position w:val="0"/>
              </w:rPr>
              <w:t>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占应收账款余额合计 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坏账准备 余额</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三角轮胎股份有限公司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29,142,630.00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2,769,763.00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Maxxis Rubber India Private Limited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27,193,040.00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1,359,652.00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合肥万力轮胎有限公司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1,007,500.00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八亿橡胶有限责任公司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11,900,650.00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1,517,825.00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青岛耐克森轮胎有限公司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9,701,150.00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753,097.05</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98,087,470.00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38.51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7,407,837.05</w:t>
            </w:r>
          </w:p>
        </w:tc>
      </w:tr>
    </w:tbl>
    <w:p>
      <w:pPr>
        <w:widowControl w:val="0"/>
        <w:spacing w:after="619" w:line="1" w:lineRule="exact"/>
      </w:pPr>
    </w:p>
    <w:p>
      <w:pPr>
        <w:pStyle w:val="Style36"/>
        <w:keepNext/>
        <w:keepLines/>
        <w:widowControl w:val="0"/>
        <w:numPr>
          <w:ilvl w:val="0"/>
          <w:numId w:val="121"/>
        </w:numPr>
        <w:shd w:val="clear" w:color="auto" w:fill="auto"/>
        <w:tabs>
          <w:tab w:pos="488" w:val="left"/>
        </w:tabs>
        <w:bidi w:val="0"/>
        <w:spacing w:before="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因金融资产转移而终止确认的应收账款</w:t>
      </w:r>
      <w:bookmarkEnd w:id="930"/>
      <w:bookmarkEnd w:id="931"/>
      <w:bookmarkEnd w:id="933"/>
    </w:p>
    <w:p>
      <w:pPr>
        <w:pStyle w:val="Style36"/>
        <w:keepNext/>
        <w:keepLines/>
        <w:widowControl w:val="0"/>
        <w:numPr>
          <w:ilvl w:val="0"/>
          <w:numId w:val="121"/>
        </w:numPr>
        <w:shd w:val="clear" w:color="auto" w:fill="auto"/>
        <w:tabs>
          <w:tab w:pos="488" w:val="left"/>
        </w:tabs>
        <w:bidi w:val="0"/>
        <w:spacing w:before="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转移应收账款且继续涉入形成的资产、负债金额</w:t>
      </w:r>
      <w:bookmarkEnd w:id="930"/>
      <w:bookmarkEnd w:id="931"/>
      <w:bookmarkEnd w:id="93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6</w:t>
      </w:r>
      <w:bookmarkEnd w:id="938"/>
      <w:r>
        <w:rPr>
          <w:color w:val="000000"/>
          <w:spacing w:val="0"/>
          <w:w w:val="100"/>
          <w:position w:val="0"/>
        </w:rPr>
        <w:t>、预付款项</w:t>
      </w:r>
      <w:bookmarkEnd w:id="936"/>
      <w:bookmarkEnd w:id="937"/>
      <w:bookmarkEnd w:id="939"/>
    </w:p>
    <w:p>
      <w:pPr>
        <w:pStyle w:val="Style36"/>
        <w:keepNext/>
        <w:keepLines/>
        <w:widowControl w:val="0"/>
        <w:numPr>
          <w:ilvl w:val="0"/>
          <w:numId w:val="123"/>
        </w:numPr>
        <w:shd w:val="clear" w:color="auto" w:fill="auto"/>
        <w:bidi w:val="0"/>
        <w:spacing w:before="0" w:line="240" w:lineRule="auto"/>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rPr>
        <w:t>预付款项按账龄列示</w:t>
      </w:r>
      <w:bookmarkEnd w:id="936"/>
      <w:bookmarkEnd w:id="937"/>
      <w:bookmarkEnd w:id="9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3826"/>
        <w:gridCol w:w="38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6,742,540.18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5,363,842.84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1,767,884.17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213,408.55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94,013.62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64,147.75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51,106.25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33,417.34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8,655,544.22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5,674,816.48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64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42"/>
      <w:bookmarkEnd w:id="943"/>
      <w:bookmarkEnd w:id="945"/>
    </w:p>
    <w:tbl>
      <w:tblPr>
        <w:tblOverlap w:val="never"/>
        <w:jc w:val="center"/>
        <w:tblLayout w:type="fixed"/>
      </w:tblPr>
      <w:tblGrid>
        <w:gridCol w:w="3955"/>
        <w:gridCol w:w="2822"/>
        <w:gridCol w:w="2549"/>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占预付账款余额 合计数的比例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天津福德园科技有限公司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3,574,660.99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青岛凯恩达工贸有限公司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732,111.03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北京金艺中天科技发展有限公司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571,910.16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Sauer Bibus GmbH</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315,971.21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江苏上上电缆集团有限公司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263,030.80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5,457,684.19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56.48</w:t>
            </w:r>
          </w:p>
        </w:tc>
      </w:tr>
    </w:tbl>
    <w:p>
      <w:pPr>
        <w:widowControl w:val="0"/>
        <w:spacing w:after="3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7</w:t>
      </w:r>
      <w:bookmarkEnd w:id="948"/>
      <w:r>
        <w:rPr>
          <w:color w:val="000000"/>
          <w:spacing w:val="0"/>
          <w:w w:val="100"/>
          <w:position w:val="0"/>
        </w:rPr>
        <w:t>、应收利息</w:t>
      </w:r>
      <w:bookmarkEnd w:id="946"/>
      <w:bookmarkEnd w:id="947"/>
      <w:bookmarkEnd w:id="949"/>
    </w:p>
    <w:p>
      <w:pPr>
        <w:pStyle w:val="Style36"/>
        <w:keepNext/>
        <w:keepLines/>
        <w:widowControl w:val="0"/>
        <w:shd w:val="clear" w:color="auto" w:fill="auto"/>
        <w:bidi w:val="0"/>
        <w:spacing w:before="0" w:after="400" w:line="240" w:lineRule="auto"/>
        <w:ind w:left="0" w:right="0" w:firstLine="0"/>
        <w:jc w:val="left"/>
      </w:pPr>
      <w:bookmarkStart w:id="946" w:name="bookmark946"/>
      <w:bookmarkStart w:id="947" w:name="bookmark947"/>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46"/>
      <w:bookmarkEnd w:id="947"/>
      <w:bookmarkEnd w:id="951"/>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52"/>
      <w:bookmarkEnd w:id="953"/>
      <w:bookmarkEnd w:id="955"/>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是否发生减值及其判断</w:t>
            </w:r>
          </w:p>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依据</w:t>
            </w:r>
          </w:p>
        </w:tc>
      </w:tr>
    </w:tbl>
    <w:p>
      <w:pPr>
        <w:widowControl w:val="0"/>
        <w:spacing w:after="59" w:line="1" w:lineRule="exact"/>
      </w:pP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8</w:t>
      </w:r>
      <w:bookmarkEnd w:id="958"/>
      <w:r>
        <w:rPr>
          <w:color w:val="000000"/>
          <w:spacing w:val="0"/>
          <w:w w:val="100"/>
          <w:position w:val="0"/>
        </w:rPr>
        <w:t>、应收股利</w:t>
      </w:r>
      <w:bookmarkEnd w:id="956"/>
      <w:bookmarkEnd w:id="957"/>
      <w:bookmarkEnd w:id="959"/>
    </w:p>
    <w:p>
      <w:pPr>
        <w:pStyle w:val="Style36"/>
        <w:keepNext/>
        <w:keepLines/>
        <w:widowControl w:val="0"/>
        <w:shd w:val="clear" w:color="auto" w:fill="auto"/>
        <w:bidi w:val="0"/>
        <w:spacing w:before="0" w:after="340" w:line="240" w:lineRule="auto"/>
        <w:ind w:left="0" w:right="0" w:firstLine="0"/>
        <w:jc w:val="both"/>
      </w:pPr>
      <w:bookmarkStart w:id="956" w:name="bookmark956"/>
      <w:bookmarkStart w:id="957" w:name="bookmark957"/>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956"/>
      <w:bookmarkEnd w:id="957"/>
      <w:bookmarkEnd w:id="961"/>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14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62"/>
      <w:bookmarkEnd w:id="963"/>
      <w:bookmarkEnd w:id="96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是否发生减值及其判断</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9</w:t>
      </w:r>
      <w:bookmarkEnd w:id="968"/>
      <w:r>
        <w:rPr>
          <w:color w:val="000000"/>
          <w:spacing w:val="0"/>
          <w:w w:val="100"/>
          <w:position w:val="0"/>
        </w:rPr>
        <w:t>、其他应收款</w:t>
      </w:r>
      <w:bookmarkEnd w:id="966"/>
      <w:bookmarkEnd w:id="967"/>
      <w:bookmarkEnd w:id="969"/>
    </w:p>
    <w:p>
      <w:pPr>
        <w:pStyle w:val="Style36"/>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66"/>
      <w:bookmarkEnd w:id="967"/>
      <w:bookmarkEnd w:id="9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按信用风险特征组</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合计提坏账准备的</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5,743,82</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606,871.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269,701.0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3,238,208.1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单项金额不重大但 单独计提坏账准备 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6,743,82</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1,606,87</w:t>
            </w:r>
          </w:p>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5,136,958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1,269,701</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3,238,208.1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年以内分项</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3,080,164.56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154,008.23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757,256.56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551,603.90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165,481.17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spacing w:lineRule="exact" w:line="1"/>
        <w:rPr>
          <w:sz w:val="2"/>
          <w:szCs w:val="2"/>
        </w:rPr>
      </w:pPr>
      <w:r>
        <w:br w:type="page"/>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4,754,845.02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606,871.05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2"/>
      <w:bookmarkEnd w:id="973"/>
      <w:bookmarkEnd w:id="97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976"/>
      <w:bookmarkEnd w:id="977"/>
      <w:bookmarkEnd w:id="9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0"/>
      <w:bookmarkEnd w:id="981"/>
      <w:bookmarkEnd w:id="9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3,338,280.00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1,756,291.00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1,446,683.34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1,296,361.74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1,250,448.23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662,504.45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501,169.95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6,743,829.53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4,507,909.18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84"/>
      <w:bookmarkEnd w:id="985"/>
      <w:bookmarkEnd w:id="9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天津长荣轮胎有限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芜湖市鸠江区财政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安徽省招标集团股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539,440.00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38,944.00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北京首都开发股份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417,807.00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天津跃宝建筑工程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2,919,247.00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1,087,044.00</w:t>
            </w:r>
          </w:p>
        </w:tc>
      </w:tr>
    </w:tbl>
    <w:p>
      <w:pPr>
        <w:widowControl w:val="0"/>
        <w:spacing w:after="339" w:line="1" w:lineRule="exact"/>
      </w:pPr>
    </w:p>
    <w:p>
      <w:pPr>
        <w:pStyle w:val="Style36"/>
        <w:keepNext/>
        <w:keepLines/>
        <w:widowControl w:val="0"/>
        <w:numPr>
          <w:ilvl w:val="0"/>
          <w:numId w:val="125"/>
        </w:numPr>
        <w:shd w:val="clear" w:color="auto" w:fill="auto"/>
        <w:bidi w:val="0"/>
        <w:spacing w:before="0" w:after="34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涉及政府补助的应收款项</w:t>
      </w:r>
      <w:bookmarkEnd w:id="988"/>
      <w:bookmarkEnd w:id="989"/>
      <w:bookmarkEnd w:id="9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及依据</w:t>
            </w:r>
          </w:p>
        </w:tc>
      </w:tr>
    </w:tbl>
    <w:p>
      <w:pPr>
        <w:widowControl w:val="0"/>
        <w:spacing w:after="339" w:line="1" w:lineRule="exact"/>
      </w:pPr>
    </w:p>
    <w:p>
      <w:pPr>
        <w:pStyle w:val="Style36"/>
        <w:keepNext/>
        <w:keepLines/>
        <w:widowControl w:val="0"/>
        <w:numPr>
          <w:ilvl w:val="0"/>
          <w:numId w:val="125"/>
        </w:numPr>
        <w:shd w:val="clear" w:color="auto" w:fill="auto"/>
        <w:tabs>
          <w:tab w:pos="488" w:val="left"/>
        </w:tabs>
        <w:bidi w:val="0"/>
        <w:spacing w:before="0" w:after="34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因金融资产转移而终止确认的其他应收款</w:t>
      </w:r>
      <w:bookmarkEnd w:id="992"/>
      <w:bookmarkEnd w:id="993"/>
      <w:bookmarkEnd w:id="995"/>
    </w:p>
    <w:p>
      <w:pPr>
        <w:pStyle w:val="Style36"/>
        <w:keepNext/>
        <w:keepLines/>
        <w:widowControl w:val="0"/>
        <w:numPr>
          <w:ilvl w:val="0"/>
          <w:numId w:val="125"/>
        </w:numPr>
        <w:shd w:val="clear" w:color="auto" w:fill="auto"/>
        <w:tabs>
          <w:tab w:pos="488" w:val="left"/>
        </w:tabs>
        <w:bidi w:val="0"/>
        <w:spacing w:before="0" w:after="340" w:line="240" w:lineRule="auto"/>
        <w:ind w:left="0" w:right="0" w:firstLine="0"/>
        <w:jc w:val="left"/>
      </w:pPr>
      <w:bookmarkStart w:id="992" w:name="bookmark992"/>
      <w:bookmarkStart w:id="993" w:name="bookmark993"/>
      <w:bookmarkStart w:id="996" w:name="bookmark996"/>
      <w:bookmarkStart w:id="997" w:name="bookmark997"/>
      <w:bookmarkEnd w:id="996"/>
      <w:r>
        <w:rPr>
          <w:color w:val="000000"/>
          <w:spacing w:val="0"/>
          <w:w w:val="100"/>
          <w:position w:val="0"/>
        </w:rPr>
        <w:t>转移其他应收款且继续涉入形成的资产、负债金额</w:t>
      </w:r>
      <w:bookmarkEnd w:id="992"/>
      <w:bookmarkEnd w:id="993"/>
      <w:bookmarkEnd w:id="997"/>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01"/>
      <w:bookmarkEnd w:id="998"/>
      <w:bookmarkEnd w:id="99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6"/>
        <w:keepNext/>
        <w:keepLines/>
        <w:widowControl w:val="0"/>
        <w:numPr>
          <w:ilvl w:val="0"/>
          <w:numId w:val="127"/>
        </w:numPr>
        <w:shd w:val="clear" w:color="auto" w:fill="auto"/>
        <w:bidi w:val="0"/>
        <w:spacing w:before="0" w:after="34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存货分类</w:t>
      </w:r>
      <w:bookmarkEnd w:id="1002"/>
      <w:bookmarkEnd w:id="1003"/>
      <w:bookmarkEnd w:id="10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17,621,564.53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17,621,564.53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14,824,849.03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14,824,849.03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55,624,876.49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55,624,876.49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68,686,942.13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68,686,942.13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73,246,441.02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73,246,441.02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83,511,791.16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83,511,791.16</w:t>
            </w:r>
          </w:p>
        </w:tc>
      </w:tr>
    </w:tbl>
    <w:p>
      <w:pPr>
        <w:widowControl w:val="0"/>
        <w:spacing w:after="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06"/>
      <w:bookmarkEnd w:id="1007"/>
      <w:bookmarkEnd w:id="100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10"/>
      <w:bookmarkEnd w:id="1011"/>
      <w:bookmarkEnd w:id="1013"/>
    </w:p>
    <w:p>
      <w:pPr>
        <w:pStyle w:val="Style36"/>
        <w:keepNext/>
        <w:keepLines/>
        <w:widowControl w:val="0"/>
        <w:shd w:val="clear" w:color="auto" w:fill="auto"/>
        <w:tabs>
          <w:tab w:pos="488" w:val="left"/>
        </w:tabs>
        <w:bidi w:val="0"/>
        <w:spacing w:before="0" w:line="240" w:lineRule="auto"/>
        <w:ind w:left="0" w:right="0" w:firstLine="0"/>
        <w:jc w:val="left"/>
      </w:pPr>
      <w:bookmarkStart w:id="1010" w:name="bookmark1010"/>
      <w:bookmarkStart w:id="1011" w:name="bookmark1011"/>
      <w:bookmarkStart w:id="1014" w:name="bookmark1014"/>
      <w:bookmarkStart w:id="1015" w:name="bookmark1015"/>
      <w:r>
        <w:rPr>
          <w:rFonts w:ascii="Times New Roman" w:eastAsia="Times New Roman" w:hAnsi="Times New Roman" w:cs="Times New Roman"/>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10"/>
      <w:bookmarkEnd w:id="1011"/>
      <w:bookmarkEnd w:id="1015"/>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16"/>
      <w:bookmarkEnd w:id="1017"/>
      <w:bookmarkEnd w:id="101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预计处置时间</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20"/>
      <w:bookmarkEnd w:id="1021"/>
      <w:bookmarkEnd w:id="102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24"/>
      <w:bookmarkEnd w:id="1025"/>
      <w:bookmarkEnd w:id="10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5,814,179.29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778,889.30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407,946.93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应退多缴所得税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1,373,551.80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预缴销项税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1,365,242.03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6,303,906.71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3,568,999.84</w:t>
            </w:r>
          </w:p>
        </w:tc>
      </w:tr>
    </w:tbl>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28"/>
      <w:bookmarkEnd w:id="1029"/>
      <w:bookmarkEnd w:id="1031"/>
    </w:p>
    <w:p>
      <w:pPr>
        <w:pStyle w:val="Style36"/>
        <w:keepNext/>
        <w:keepLines/>
        <w:widowControl w:val="0"/>
        <w:numPr>
          <w:ilvl w:val="0"/>
          <w:numId w:val="129"/>
        </w:numPr>
        <w:shd w:val="clear" w:color="auto" w:fill="auto"/>
        <w:bidi w:val="0"/>
        <w:spacing w:before="0" w:line="240" w:lineRule="auto"/>
        <w:ind w:left="0" w:right="0" w:firstLine="0"/>
        <w:jc w:val="left"/>
      </w:pPr>
      <w:bookmarkStart w:id="1028" w:name="bookmark1028"/>
      <w:bookmarkStart w:id="1029" w:name="bookmark1029"/>
      <w:bookmarkStart w:id="1032" w:name="bookmark1032"/>
      <w:bookmarkStart w:id="1033" w:name="bookmark1033"/>
      <w:bookmarkEnd w:id="1032"/>
      <w:r>
        <w:rPr>
          <w:color w:val="000000"/>
          <w:spacing w:val="0"/>
          <w:w w:val="100"/>
          <w:position w:val="0"/>
        </w:rPr>
        <w:t>可供出售金融资产情况</w:t>
      </w:r>
      <w:bookmarkEnd w:id="1028"/>
      <w:bookmarkEnd w:id="1029"/>
      <w:bookmarkEnd w:id="10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299" w:line="1" w:lineRule="exact"/>
      </w:pPr>
    </w:p>
    <w:p>
      <w:pPr>
        <w:pStyle w:val="Style36"/>
        <w:keepNext/>
        <w:keepLines/>
        <w:widowControl w:val="0"/>
        <w:numPr>
          <w:ilvl w:val="0"/>
          <w:numId w:val="129"/>
        </w:numPr>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期末按公允价值计量的可供出售金融资产</w:t>
      </w:r>
      <w:bookmarkEnd w:id="1034"/>
      <w:bookmarkEnd w:id="1035"/>
      <w:bookmarkEnd w:id="10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299" w:line="1" w:lineRule="exact"/>
      </w:pPr>
    </w:p>
    <w:p>
      <w:pPr>
        <w:pStyle w:val="Style36"/>
        <w:keepNext/>
        <w:keepLines/>
        <w:widowControl w:val="0"/>
        <w:numPr>
          <w:ilvl w:val="0"/>
          <w:numId w:val="129"/>
        </w:numPr>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期末按成本计量的可供出售金融资产</w:t>
      </w:r>
      <w:bookmarkEnd w:id="1038"/>
      <w:bookmarkEnd w:id="1039"/>
      <w:bookmarkEnd w:id="1041"/>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在被投资 单位持股 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本期现金 红利</w:t>
            </w:r>
          </w:p>
        </w:tc>
      </w:tr>
      <w:tr>
        <w:trPr>
          <w:trHeight w:val="63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36"/>
        <w:keepNext/>
        <w:keepLines/>
        <w:widowControl w:val="0"/>
        <w:numPr>
          <w:ilvl w:val="0"/>
          <w:numId w:val="129"/>
        </w:numPr>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报告期内可供出售金融资产减值的变动情况</w:t>
      </w:r>
      <w:bookmarkEnd w:id="1042"/>
      <w:bookmarkEnd w:id="1043"/>
      <w:bookmarkEnd w:id="1045"/>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299" w:line="1" w:lineRule="exact"/>
      </w:pPr>
    </w:p>
    <w:p>
      <w:pPr>
        <w:pStyle w:val="Style36"/>
        <w:keepNext/>
        <w:keepLines/>
        <w:widowControl w:val="0"/>
        <w:numPr>
          <w:ilvl w:val="0"/>
          <w:numId w:val="129"/>
        </w:numPr>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可供出售权益工具期末公允价值严重下跌或非暂时性下跌但未计提减值准备的相关说明</w:t>
      </w:r>
      <w:bookmarkEnd w:id="1046"/>
      <w:bookmarkEnd w:id="1047"/>
      <w:bookmarkEnd w:id="104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可供出售权益工 具项目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公允价值相对于 成本的下跌幅度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持续下跌时间</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未计提减值原因</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50"/>
      <w:bookmarkEnd w:id="1051"/>
      <w:bookmarkEnd w:id="1053"/>
    </w:p>
    <w:p>
      <w:pPr>
        <w:pStyle w:val="Style36"/>
        <w:keepNext/>
        <w:keepLines/>
        <w:widowControl w:val="0"/>
        <w:numPr>
          <w:ilvl w:val="0"/>
          <w:numId w:val="131"/>
        </w:numPr>
        <w:shd w:val="clear" w:color="auto" w:fill="auto"/>
        <w:bidi w:val="0"/>
        <w:spacing w:before="0" w:line="240" w:lineRule="auto"/>
        <w:ind w:left="0" w:right="0" w:firstLine="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持有至到期投资情况</w:t>
      </w:r>
      <w:bookmarkEnd w:id="1050"/>
      <w:bookmarkEnd w:id="1051"/>
      <w:bookmarkEnd w:id="10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pStyle w:val="Style36"/>
        <w:keepNext/>
        <w:keepLines/>
        <w:widowControl w:val="0"/>
        <w:numPr>
          <w:ilvl w:val="0"/>
          <w:numId w:val="131"/>
        </w:numPr>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期末重要的持有至到期投资</w:t>
      </w:r>
      <w:bookmarkEnd w:id="1056"/>
      <w:bookmarkEnd w:id="1057"/>
      <w:bookmarkEnd w:id="105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359" w:line="1" w:lineRule="exact"/>
      </w:pPr>
    </w:p>
    <w:p>
      <w:pPr>
        <w:pStyle w:val="Style36"/>
        <w:keepNext/>
        <w:keepLines/>
        <w:widowControl w:val="0"/>
        <w:numPr>
          <w:ilvl w:val="0"/>
          <w:numId w:val="131"/>
        </w:numPr>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本期重分类的持有至到期投资</w:t>
      </w:r>
      <w:bookmarkEnd w:id="1060"/>
      <w:bookmarkEnd w:id="1061"/>
      <w:bookmarkEnd w:id="106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064"/>
      <w:bookmarkEnd w:id="1065"/>
      <w:bookmarkEnd w:id="1067"/>
    </w:p>
    <w:p>
      <w:pPr>
        <w:pStyle w:val="Style36"/>
        <w:keepNext/>
        <w:keepLines/>
        <w:widowControl w:val="0"/>
        <w:numPr>
          <w:ilvl w:val="0"/>
          <w:numId w:val="133"/>
        </w:numPr>
        <w:shd w:val="clear" w:color="auto" w:fill="auto"/>
        <w:bidi w:val="0"/>
        <w:spacing w:before="0" w:line="240" w:lineRule="auto"/>
        <w:ind w:left="0" w:right="0" w:firstLine="0"/>
        <w:jc w:val="left"/>
      </w:pPr>
      <w:bookmarkStart w:id="1064" w:name="bookmark1064"/>
      <w:bookmarkStart w:id="1065" w:name="bookmark1065"/>
      <w:bookmarkStart w:id="1068" w:name="bookmark1068"/>
      <w:bookmarkStart w:id="1069" w:name="bookmark1069"/>
      <w:bookmarkEnd w:id="1068"/>
      <w:r>
        <w:rPr>
          <w:color w:val="000000"/>
          <w:spacing w:val="0"/>
          <w:w w:val="100"/>
          <w:position w:val="0"/>
        </w:rPr>
        <w:t>长期应收款情况</w:t>
      </w:r>
      <w:bookmarkEnd w:id="1064"/>
      <w:bookmarkEnd w:id="1065"/>
      <w:bookmarkEnd w:id="106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6"/>
        <w:keepNext/>
        <w:keepLines/>
        <w:widowControl w:val="0"/>
        <w:numPr>
          <w:ilvl w:val="0"/>
          <w:numId w:val="133"/>
        </w:numPr>
        <w:shd w:val="clear" w:color="auto" w:fill="auto"/>
        <w:tabs>
          <w:tab w:pos="488" w:val="left"/>
        </w:tabs>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因金融资产转移而终止确认的长期应收款</w:t>
      </w:r>
      <w:bookmarkEnd w:id="1070"/>
      <w:bookmarkEnd w:id="1071"/>
      <w:bookmarkEnd w:id="1073"/>
    </w:p>
    <w:p>
      <w:pPr>
        <w:pStyle w:val="Style36"/>
        <w:keepNext/>
        <w:keepLines/>
        <w:widowControl w:val="0"/>
        <w:numPr>
          <w:ilvl w:val="0"/>
          <w:numId w:val="133"/>
        </w:numPr>
        <w:shd w:val="clear" w:color="auto" w:fill="auto"/>
        <w:tabs>
          <w:tab w:pos="488" w:val="left"/>
        </w:tabs>
        <w:bidi w:val="0"/>
        <w:spacing w:before="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rPr>
        <w:t>转移长期应收款且继续涉入形成的资产、负债金额</w:t>
      </w:r>
      <w:bookmarkEnd w:id="1070"/>
      <w:bookmarkEnd w:id="1071"/>
      <w:bookmarkEnd w:id="107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76"/>
      <w:bookmarkEnd w:id="1077"/>
      <w:bookmarkEnd w:id="10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减值准备</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080"/>
      <w:bookmarkEnd w:id="1081"/>
      <w:bookmarkEnd w:id="1083"/>
    </w:p>
    <w:p>
      <w:pPr>
        <w:pStyle w:val="Style36"/>
        <w:keepNext/>
        <w:keepLines/>
        <w:widowControl w:val="0"/>
        <w:numPr>
          <w:ilvl w:val="0"/>
          <w:numId w:val="135"/>
        </w:numPr>
        <w:shd w:val="clear" w:color="auto" w:fill="auto"/>
        <w:bidi w:val="0"/>
        <w:spacing w:before="0" w:line="240" w:lineRule="auto"/>
        <w:ind w:left="0" w:right="0" w:firstLine="0"/>
        <w:jc w:val="left"/>
      </w:pPr>
      <w:bookmarkStart w:id="1080" w:name="bookmark1080"/>
      <w:bookmarkStart w:id="1081" w:name="bookmark1081"/>
      <w:bookmarkStart w:id="1084" w:name="bookmark1084"/>
      <w:bookmarkStart w:id="1085" w:name="bookmark1085"/>
      <w:bookmarkEnd w:id="1084"/>
      <w:r>
        <w:rPr>
          <w:color w:val="000000"/>
          <w:spacing w:val="0"/>
          <w:w w:val="100"/>
          <w:position w:val="0"/>
        </w:rPr>
        <w:t>采用成本计量模式的投资性房地产</w:t>
      </w:r>
      <w:bookmarkEnd w:id="1080"/>
      <w:bookmarkEnd w:id="1081"/>
      <w:bookmarkEnd w:id="108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numPr>
          <w:ilvl w:val="0"/>
          <w:numId w:val="135"/>
        </w:numPr>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采用公允价值计量模式的投资性房地产</w:t>
      </w:r>
      <w:bookmarkEnd w:id="1086"/>
      <w:bookmarkEnd w:id="1087"/>
      <w:bookmarkEnd w:id="108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135"/>
        </w:numPr>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未办妥产权证书的投资性房地产情况</w:t>
      </w:r>
      <w:bookmarkEnd w:id="1090"/>
      <w:bookmarkEnd w:id="1091"/>
      <w:bookmarkEnd w:id="10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094"/>
      <w:bookmarkEnd w:id="1095"/>
      <w:bookmarkEnd w:id="1097"/>
    </w:p>
    <w:p>
      <w:pPr>
        <w:pStyle w:val="Style36"/>
        <w:keepNext/>
        <w:keepLines/>
        <w:widowControl w:val="0"/>
        <w:numPr>
          <w:ilvl w:val="0"/>
          <w:numId w:val="137"/>
        </w:numPr>
        <w:shd w:val="clear" w:color="auto" w:fill="auto"/>
        <w:bidi w:val="0"/>
        <w:spacing w:before="0" w:line="240" w:lineRule="auto"/>
        <w:ind w:left="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固定资产情况</w:t>
      </w:r>
      <w:bookmarkEnd w:id="1094"/>
      <w:bookmarkEnd w:id="1095"/>
      <w:bookmarkEnd w:id="10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运输工具</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42,985,278.91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5,955,131.06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3,395,640.13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1,575,065.35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53,911,115.45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75,642,427.69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6,321,374.45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1,202,690.29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901,549.31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84,068,041.74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3,639,293.17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949,252.36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818,803.32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5,407,348.85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 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75,230,427.69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2,542,078.97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77,772,506.66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 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140,002.31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253,437.93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82,745.99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888,186.23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53,034.00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53,034.00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118,627,706.60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12,276,505.51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4,545,296.42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2,476,614.66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137,926,123.19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4,667,528.74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2,582,983.89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1,481,045.19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926,168.89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9,657,726.71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1,532,693.08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673,802.09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705,561.07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306,132.54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3,218,188.78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1,396,943.38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541,449.63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452,123.14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236,868.14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2,627,384.29</w:t>
            </w: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)企业合并增加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135,749.70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132,352.46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253,437.93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69,264.40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590,804.49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25,191.03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25,191.03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25,191.03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25,191.03</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6,200,221.82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3,256,785.98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2,161,415.23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1,232,301.43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12,850,724.46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1,295,593.99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1,295,593.99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111,131,890.79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9,019,719.53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2,383,881.19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1,244,313.23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123,779,804.74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37,022,156.18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3,372,147.17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1,914,594.94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648,896.46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42,957,794.75</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暂时闲置的固定资产情况</w:t>
      </w:r>
      <w:bookmarkEnd w:id="1100"/>
      <w:bookmarkEnd w:id="1101"/>
      <w:bookmarkEnd w:id="11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备注</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通过融资租赁租入的固定资产情况</w:t>
      </w:r>
      <w:bookmarkEnd w:id="1104"/>
      <w:bookmarkEnd w:id="1105"/>
      <w:bookmarkEnd w:id="1107"/>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通过经营租赁租出的固定资产</w:t>
      </w:r>
      <w:bookmarkEnd w:id="1108"/>
      <w:bookmarkEnd w:id="1109"/>
      <w:bookmarkEnd w:id="1111"/>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bl>
    <w:p>
      <w:pPr>
        <w:widowControl w:val="0"/>
        <w:spacing w:after="299" w:line="1" w:lineRule="exact"/>
      </w:pPr>
    </w:p>
    <w:p>
      <w:pPr>
        <w:pStyle w:val="Style36"/>
        <w:keepNext/>
        <w:keepLines/>
        <w:widowControl w:val="0"/>
        <w:numPr>
          <w:ilvl w:val="0"/>
          <w:numId w:val="137"/>
        </w:numPr>
        <w:shd w:val="clear" w:color="auto" w:fill="auto"/>
        <w:bidi w:val="0"/>
        <w:spacing w:before="0" w:line="240" w:lineRule="auto"/>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未办妥产权证书的固定资产情况</w:t>
      </w:r>
      <w:bookmarkEnd w:id="1112"/>
      <w:bookmarkEnd w:id="1113"/>
      <w:bookmarkEnd w:id="1115"/>
    </w:p>
    <w:p>
      <w:pPr>
        <w:pStyle w:val="Style3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4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16"/>
      <w:bookmarkEnd w:id="1117"/>
      <w:bookmarkEnd w:id="1119"/>
    </w:p>
    <w:p>
      <w:pPr>
        <w:pStyle w:val="Style36"/>
        <w:keepNext/>
        <w:keepLines/>
        <w:widowControl w:val="0"/>
        <w:shd w:val="clear" w:color="auto" w:fill="auto"/>
        <w:bidi w:val="0"/>
        <w:spacing w:before="0" w:after="340" w:line="240" w:lineRule="auto"/>
        <w:ind w:left="0" w:right="0" w:firstLine="0"/>
        <w:jc w:val="left"/>
      </w:pPr>
      <w:bookmarkStart w:id="1116" w:name="bookmark1116"/>
      <w:bookmarkStart w:id="1117" w:name="bookmark1117"/>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16"/>
      <w:bookmarkEnd w:id="1117"/>
      <w:bookmarkEnd w:id="11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天津生产基地建 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18,667,442.16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18,667,442.16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29,202,401.03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29,202,401.03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信息物流技术研 发与装备制造工 厂建设项目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27,962,611.78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27,962,611.78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46,630,053.94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46,630,053.94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29,242,401.03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29,242,401.03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22"/>
      <w:bookmarkEnd w:id="1123"/>
      <w:bookmarkEnd w:id="11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本期转</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资金来 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天津生 产基地 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130,520,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29,202,4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67,237,5</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77,772,5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18,667,4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募股资</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信息物 流技术 研发与 装备制 造工厂 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27,922,6</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27,962,6</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166,520,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29,242,4</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95,160,1</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77,772,5</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46,630,0</w:t>
            </w:r>
          </w:p>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53.94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26"/>
      <w:bookmarkEnd w:id="1127"/>
      <w:bookmarkEnd w:id="112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计提原因</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30"/>
      <w:bookmarkEnd w:id="1131"/>
      <w:bookmarkEnd w:id="11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34"/>
      <w:bookmarkEnd w:id="1135"/>
      <w:bookmarkEnd w:id="11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38"/>
      <w:bookmarkEnd w:id="1139"/>
      <w:bookmarkEnd w:id="1141"/>
    </w:p>
    <w:p>
      <w:pPr>
        <w:pStyle w:val="Style36"/>
        <w:keepNext/>
        <w:keepLines/>
        <w:widowControl w:val="0"/>
        <w:numPr>
          <w:ilvl w:val="0"/>
          <w:numId w:val="139"/>
        </w:numPr>
        <w:shd w:val="clear" w:color="auto" w:fill="auto"/>
        <w:tabs>
          <w:tab w:pos="488" w:val="left"/>
        </w:tabs>
        <w:bidi w:val="0"/>
        <w:spacing w:before="0" w:line="240" w:lineRule="auto"/>
        <w:ind w:left="0" w:right="0" w:firstLine="0"/>
        <w:jc w:val="left"/>
      </w:pPr>
      <w:bookmarkStart w:id="1138" w:name="bookmark1138"/>
      <w:bookmarkStart w:id="1139" w:name="bookmark1139"/>
      <w:bookmarkStart w:id="1142" w:name="bookmark1142"/>
      <w:bookmarkStart w:id="1143" w:name="bookmark1143"/>
      <w:bookmarkEnd w:id="1142"/>
      <w:r>
        <w:rPr>
          <w:color w:val="000000"/>
          <w:spacing w:val="0"/>
          <w:w w:val="100"/>
          <w:position w:val="0"/>
        </w:rPr>
        <w:t>采用成本计量模式的生产性生物资产</w:t>
      </w:r>
      <w:bookmarkEnd w:id="1138"/>
      <w:bookmarkEnd w:id="1139"/>
      <w:bookmarkEnd w:id="114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139"/>
        </w:numPr>
        <w:shd w:val="clear" w:color="auto" w:fill="auto"/>
        <w:tabs>
          <w:tab w:pos="488" w:val="left"/>
        </w:tabs>
        <w:bidi w:val="0"/>
        <w:spacing w:before="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采用公允价值计量模式的生产性生物资产</w:t>
      </w:r>
      <w:bookmarkEnd w:id="1144"/>
      <w:bookmarkEnd w:id="1145"/>
      <w:bookmarkEnd w:id="114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48"/>
      <w:bookmarkEnd w:id="1149"/>
      <w:bookmarkEnd w:id="115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52"/>
      <w:bookmarkEnd w:id="1153"/>
      <w:bookmarkEnd w:id="1155"/>
    </w:p>
    <w:p>
      <w:pPr>
        <w:pStyle w:val="Style36"/>
        <w:keepNext/>
        <w:keepLines/>
        <w:widowControl w:val="0"/>
        <w:numPr>
          <w:ilvl w:val="0"/>
          <w:numId w:val="141"/>
        </w:numPr>
        <w:shd w:val="clear" w:color="auto" w:fill="auto"/>
        <w:bidi w:val="0"/>
        <w:spacing w:before="0" w:after="220" w:line="240" w:lineRule="auto"/>
        <w:ind w:left="0" w:right="0" w:firstLine="140"/>
        <w:jc w:val="left"/>
      </w:pPr>
      <w:bookmarkStart w:id="1152" w:name="bookmark1152"/>
      <w:bookmarkStart w:id="1153" w:name="bookmark1153"/>
      <w:bookmarkStart w:id="1156" w:name="bookmark1156"/>
      <w:bookmarkStart w:id="1157" w:name="bookmark1157"/>
      <w:bookmarkEnd w:id="1156"/>
      <w:r>
        <w:rPr>
          <w:color w:val="000000"/>
          <w:spacing w:val="0"/>
          <w:w w:val="100"/>
          <w:position w:val="0"/>
        </w:rPr>
        <w:t>无形资产情况</w:t>
      </w:r>
      <w:bookmarkEnd w:id="1152"/>
      <w:bookmarkEnd w:id="1153"/>
      <w:bookmarkEnd w:id="1157"/>
    </w:p>
    <w:p>
      <w:pPr>
        <w:pStyle w:val="Style30"/>
        <w:keepNext w:val="0"/>
        <w:keepLines w:val="0"/>
        <w:widowControl w:val="0"/>
        <w:shd w:val="clear" w:color="auto" w:fill="auto"/>
        <w:bidi w:val="0"/>
        <w:spacing w:before="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软件及其他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25,769,659.00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815,157.70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26,584,816.70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737,956.97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12,448,356.97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737,956.97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12,448,356.97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37,480,059.00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1,553,114.67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39,033,173.67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1,846,654.73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168,990.95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2,015,645.68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612,979.89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133,864.45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746,844.34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612,979.89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133,864.45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746,844.34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2,459,634.62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302,855.40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2,762,490.02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35,020,424.38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1,250,259.27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36,270,683.65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23,923,004.27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646,166.75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24,569,171.02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pStyle w:val="Style36"/>
        <w:keepNext/>
        <w:keepLines/>
        <w:widowControl w:val="0"/>
        <w:numPr>
          <w:ilvl w:val="0"/>
          <w:numId w:val="141"/>
        </w:numPr>
        <w:shd w:val="clear" w:color="auto" w:fill="auto"/>
        <w:bidi w:val="0"/>
        <w:spacing w:before="0" w:line="240" w:lineRule="auto"/>
        <w:ind w:left="0" w:right="0" w:firstLine="14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未办妥产权证书的土地使用权情况</w:t>
      </w:r>
      <w:bookmarkEnd w:id="1158"/>
      <w:bookmarkEnd w:id="1159"/>
      <w:bookmarkEnd w:id="1161"/>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62"/>
      <w:bookmarkEnd w:id="1163"/>
      <w:bookmarkEnd w:id="1165"/>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1"/>
        <w:gridCol w:w="3192"/>
        <w:gridCol w:w="3187"/>
        <w:gridCol w:w="107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166"/>
      <w:bookmarkEnd w:id="1167"/>
      <w:bookmarkEnd w:id="1169"/>
    </w:p>
    <w:p>
      <w:pPr>
        <w:pStyle w:val="Style36"/>
        <w:keepNext/>
        <w:keepLines/>
        <w:widowControl w:val="0"/>
        <w:numPr>
          <w:ilvl w:val="0"/>
          <w:numId w:val="143"/>
        </w:numPr>
        <w:shd w:val="clear" w:color="auto" w:fill="auto"/>
        <w:bidi w:val="0"/>
        <w:spacing w:before="0" w:line="240" w:lineRule="auto"/>
        <w:ind w:left="0" w:right="0" w:firstLine="0"/>
        <w:jc w:val="both"/>
      </w:pPr>
      <w:bookmarkStart w:id="1166" w:name="bookmark1166"/>
      <w:bookmarkStart w:id="1167" w:name="bookmark1167"/>
      <w:bookmarkStart w:id="1170" w:name="bookmark1170"/>
      <w:bookmarkStart w:id="1171" w:name="bookmark1171"/>
      <w:bookmarkEnd w:id="1170"/>
      <w:r>
        <w:rPr>
          <w:color w:val="000000"/>
          <w:spacing w:val="0"/>
          <w:w w:val="100"/>
          <w:position w:val="0"/>
        </w:rPr>
        <w:t>商誉账面原值</w:t>
      </w:r>
      <w:bookmarkEnd w:id="1166"/>
      <w:bookmarkEnd w:id="1167"/>
      <w:bookmarkEnd w:id="117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被投资单位名称</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或形成商誉的事</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1,116,424.04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1,116,424.04</w:t>
            </w: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996,464.03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2,112,888.07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2,112,888.07</w:t>
            </w:r>
          </w:p>
        </w:tc>
      </w:tr>
    </w:tbl>
    <w:p>
      <w:pPr>
        <w:widowControl w:val="0"/>
        <w:spacing w:after="359" w:line="1" w:lineRule="exact"/>
      </w:pPr>
    </w:p>
    <w:p>
      <w:pPr>
        <w:pStyle w:val="Style36"/>
        <w:keepNext/>
        <w:keepLines/>
        <w:widowControl w:val="0"/>
        <w:numPr>
          <w:ilvl w:val="0"/>
          <w:numId w:val="143"/>
        </w:numPr>
        <w:shd w:val="clear" w:color="auto" w:fill="auto"/>
        <w:bidi w:val="0"/>
        <w:spacing w:before="0" w:line="240" w:lineRule="auto"/>
        <w:ind w:left="0" w:right="0" w:firstLine="14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商誉减值准备</w:t>
      </w:r>
      <w:bookmarkEnd w:id="1172"/>
      <w:bookmarkEnd w:id="1173"/>
      <w:bookmarkEnd w:id="11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2731"/>
        <w:gridCol w:w="2736"/>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被投资单位名称</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或形成商誉的事</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76"/>
      <w:bookmarkEnd w:id="1177"/>
      <w:bookmarkEnd w:id="1179"/>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0"/>
      <w:bookmarkEnd w:id="1181"/>
      <w:bookmarkEnd w:id="1183"/>
    </w:p>
    <w:p>
      <w:pPr>
        <w:pStyle w:val="Style36"/>
        <w:keepNext/>
        <w:keepLines/>
        <w:widowControl w:val="0"/>
        <w:numPr>
          <w:ilvl w:val="0"/>
          <w:numId w:val="145"/>
        </w:numPr>
        <w:shd w:val="clear" w:color="auto" w:fill="auto"/>
        <w:bidi w:val="0"/>
        <w:spacing w:before="0" w:line="240" w:lineRule="auto"/>
        <w:ind w:left="0" w:right="0" w:firstLine="0"/>
        <w:jc w:val="left"/>
      </w:pPr>
      <w:bookmarkStart w:id="1180" w:name="bookmark1180"/>
      <w:bookmarkStart w:id="1181" w:name="bookmark1181"/>
      <w:bookmarkStart w:id="1184" w:name="bookmark1184"/>
      <w:bookmarkStart w:id="1185" w:name="bookmark1185"/>
      <w:bookmarkEnd w:id="1184"/>
      <w:r>
        <w:rPr>
          <w:color w:val="000000"/>
          <w:spacing w:val="0"/>
          <w:w w:val="100"/>
          <w:position w:val="0"/>
        </w:rPr>
        <w:t>未经抵销的递延所得税资产</w:t>
      </w:r>
      <w:bookmarkEnd w:id="1180"/>
      <w:bookmarkEnd w:id="1181"/>
      <w:bookmarkEnd w:id="11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38,243,304.22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5,785,817.56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24,707,635.62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3,738,266.48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5,030,515.48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1,140,700.93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1,679,504.12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251,925.62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6,437,189.68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965,578.46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666,895.26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100,034.29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1,592,780.84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238,917.13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374,636.52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56,195.48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49,799,195.00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7,907,995.06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29,021,452.36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4,385,339.00</w:t>
            </w:r>
          </w:p>
        </w:tc>
      </w:tr>
    </w:tbl>
    <w:p>
      <w:pPr>
        <w:widowControl w:val="0"/>
        <w:spacing w:after="319" w:line="1" w:lineRule="exact"/>
      </w:pPr>
    </w:p>
    <w:p>
      <w:pPr>
        <w:pStyle w:val="Style36"/>
        <w:keepNext/>
        <w:keepLines/>
        <w:widowControl w:val="0"/>
        <w:numPr>
          <w:ilvl w:val="0"/>
          <w:numId w:val="145"/>
        </w:numPr>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未经抵销的递延所得税负债</w:t>
      </w:r>
      <w:bookmarkEnd w:id="1186"/>
      <w:bookmarkEnd w:id="1187"/>
      <w:bookmarkEnd w:id="11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指定为以公允价值计量 且其变动计入当期损益 的金融资产公允价值变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96,962.50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96,962.50</w:t>
            </w:r>
          </w:p>
        </w:tc>
      </w:tr>
    </w:tbl>
    <w:p>
      <w:pPr>
        <w:widowControl w:val="0"/>
        <w:spacing w:after="319" w:line="1" w:lineRule="exact"/>
      </w:pPr>
    </w:p>
    <w:p>
      <w:pPr>
        <w:pStyle w:val="Style36"/>
        <w:keepNext/>
        <w:keepLines/>
        <w:widowControl w:val="0"/>
        <w:numPr>
          <w:ilvl w:val="0"/>
          <w:numId w:val="145"/>
        </w:numPr>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以抵销后净额列示的递延所得税资产或负债</w:t>
      </w:r>
      <w:bookmarkEnd w:id="1190"/>
      <w:bookmarkEnd w:id="1191"/>
      <w:bookmarkEnd w:id="119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7,907,995.06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4,385,339.00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96,962.50</w:t>
            </w:r>
          </w:p>
        </w:tc>
      </w:tr>
    </w:tbl>
    <w:p>
      <w:pPr>
        <w:widowControl w:val="0"/>
        <w:spacing w:after="319" w:line="1" w:lineRule="exact"/>
      </w:pPr>
    </w:p>
    <w:p>
      <w:pPr>
        <w:pStyle w:val="Style36"/>
        <w:keepNext/>
        <w:keepLines/>
        <w:widowControl w:val="0"/>
        <w:numPr>
          <w:ilvl w:val="0"/>
          <w:numId w:val="145"/>
        </w:numPr>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未确认递延所得税资产明细</w:t>
      </w:r>
      <w:bookmarkEnd w:id="1194"/>
      <w:bookmarkEnd w:id="1195"/>
      <w:bookmarkEnd w:id="11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1,306,182.23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4,782,773.22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1,306,287.23</w:t>
            </w:r>
          </w:p>
        </w:tc>
      </w:tr>
    </w:tbl>
    <w:p>
      <w:pPr>
        <w:widowControl w:val="0"/>
        <w:spacing w:after="299" w:line="1" w:lineRule="exact"/>
      </w:pPr>
    </w:p>
    <w:p>
      <w:pPr>
        <w:pStyle w:val="Style36"/>
        <w:keepNext/>
        <w:keepLines/>
        <w:widowControl w:val="0"/>
        <w:numPr>
          <w:ilvl w:val="0"/>
          <w:numId w:val="145"/>
        </w:numPr>
        <w:shd w:val="clear" w:color="auto" w:fill="auto"/>
        <w:bidi w:val="0"/>
        <w:spacing w:before="0" w:line="240" w:lineRule="auto"/>
        <w:ind w:left="0" w:right="0" w:firstLine="14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未确认递延所得税资产的可抵扣亏损将于以下年度到期</w:t>
      </w:r>
      <w:bookmarkEnd w:id="1198"/>
      <w:bookmarkEnd w:id="1199"/>
      <w:bookmarkEnd w:id="120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02"/>
      <w:bookmarkEnd w:id="1203"/>
      <w:bookmarkEnd w:id="120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1,514,669.24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1,367,798.00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1,514,669.24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1,367,798.00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06"/>
      <w:bookmarkEnd w:id="1207"/>
      <w:bookmarkEnd w:id="1209"/>
    </w:p>
    <w:p>
      <w:pPr>
        <w:pStyle w:val="Style36"/>
        <w:keepNext/>
        <w:keepLines/>
        <w:widowControl w:val="0"/>
        <w:numPr>
          <w:ilvl w:val="0"/>
          <w:numId w:val="147"/>
        </w:numPr>
        <w:shd w:val="clear" w:color="auto" w:fill="auto"/>
        <w:bidi w:val="0"/>
        <w:spacing w:before="0" w:line="240" w:lineRule="auto"/>
        <w:ind w:left="0" w:right="0" w:firstLine="140"/>
        <w:jc w:val="both"/>
      </w:pPr>
      <w:bookmarkStart w:id="1206" w:name="bookmark1206"/>
      <w:bookmarkStart w:id="1207" w:name="bookmark1207"/>
      <w:bookmarkStart w:id="1210" w:name="bookmark1210"/>
      <w:bookmarkStart w:id="1211" w:name="bookmark1211"/>
      <w:bookmarkEnd w:id="1210"/>
      <w:r>
        <w:rPr>
          <w:color w:val="000000"/>
          <w:spacing w:val="0"/>
          <w:w w:val="100"/>
          <w:position w:val="0"/>
        </w:rPr>
        <w:t>短期借款分类</w:t>
      </w:r>
      <w:bookmarkEnd w:id="1206"/>
      <w:bookmarkEnd w:id="1207"/>
      <w:bookmarkEnd w:id="121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19" w:line="1" w:lineRule="exact"/>
      </w:pPr>
    </w:p>
    <w:p>
      <w:pPr>
        <w:pStyle w:val="Style51"/>
        <w:keepNext w:val="0"/>
        <w:keepLines w:val="0"/>
        <w:widowControl w:val="0"/>
        <w:shd w:val="clear" w:color="auto" w:fill="auto"/>
        <w:bidi w:val="0"/>
        <w:spacing w:before="0" w:after="120" w:line="310" w:lineRule="exact"/>
        <w:ind w:left="0" w:right="0" w:firstLine="440"/>
        <w:jc w:val="both"/>
      </w:pPr>
      <w:r>
        <w:rPr>
          <w:color w:val="000000"/>
          <w:spacing w:val="0"/>
          <w:w w:val="100"/>
          <w:position w:val="0"/>
          <w:sz w:val="24"/>
          <w:szCs w:val="24"/>
        </w:rPr>
        <w:t>保证借款情况：北京银行总部基地支行</w:t>
      </w:r>
      <w:r>
        <w:rPr>
          <w:rFonts w:ascii="Times New Roman" w:eastAsia="Times New Roman" w:hAnsi="Times New Roman" w:cs="Times New Roman"/>
          <w:color w:val="000000"/>
          <w:spacing w:val="0"/>
          <w:w w:val="100"/>
          <w:position w:val="0"/>
          <w:sz w:val="24"/>
          <w:szCs w:val="24"/>
        </w:rPr>
        <w:t>990</w:t>
      </w:r>
      <w:r>
        <w:rPr>
          <w:color w:val="000000"/>
          <w:spacing w:val="0"/>
          <w:w w:val="100"/>
          <w:position w:val="0"/>
          <w:sz w:val="24"/>
          <w:szCs w:val="24"/>
        </w:rPr>
        <w:t>万元短期借款，借款期限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日，系朱业胜提供个人保证担保；中信银行北京世纪城支行</w:t>
      </w:r>
      <w:r>
        <w:rPr>
          <w:rFonts w:ascii="Times New Roman" w:eastAsia="Times New Roman" w:hAnsi="Times New Roman" w:cs="Times New Roman"/>
          <w:color w:val="000000"/>
          <w:spacing w:val="0"/>
          <w:w w:val="100"/>
          <w:position w:val="0"/>
          <w:sz w:val="24"/>
          <w:szCs w:val="24"/>
        </w:rPr>
        <w:t>2,970</w:t>
      </w:r>
      <w:r>
        <w:rPr>
          <w:color w:val="000000"/>
          <w:spacing w:val="0"/>
          <w:w w:val="100"/>
          <w:position w:val="0"/>
          <w:sz w:val="24"/>
          <w:szCs w:val="24"/>
        </w:rPr>
        <w:t>万元短期借款，其 中</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万元借款期限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970</w:t>
      </w:r>
      <w:r>
        <w:rPr>
          <w:color w:val="000000"/>
          <w:spacing w:val="0"/>
          <w:w w:val="100"/>
          <w:position w:val="0"/>
          <w:sz w:val="24"/>
          <w:szCs w:val="24"/>
        </w:rPr>
        <w:t>万元借款期限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0</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日，系朱业胜提供个人保证担保；</w:t>
      </w:r>
    </w:p>
    <w:p>
      <w:pPr>
        <w:pStyle w:val="Style51"/>
        <w:keepNext w:val="0"/>
        <w:keepLines w:val="0"/>
        <w:widowControl w:val="0"/>
        <w:shd w:val="clear" w:color="auto" w:fill="auto"/>
        <w:bidi w:val="0"/>
        <w:spacing w:before="0" w:after="640" w:line="310" w:lineRule="exact"/>
        <w:ind w:left="0" w:right="0" w:firstLine="440"/>
        <w:jc w:val="both"/>
      </w:pPr>
      <w:r>
        <w:rPr>
          <w:color w:val="000000"/>
          <w:spacing w:val="0"/>
          <w:w w:val="100"/>
          <w:position w:val="0"/>
          <w:sz w:val="24"/>
          <w:szCs w:val="24"/>
        </w:rPr>
        <w:t>信用借款情况：杭州银行</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万元短期借款，借款期限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w:t>
      </w:r>
    </w:p>
    <w:p>
      <w:pPr>
        <w:pStyle w:val="Style36"/>
        <w:keepNext/>
        <w:keepLines/>
        <w:widowControl w:val="0"/>
        <w:numPr>
          <w:ilvl w:val="0"/>
          <w:numId w:val="147"/>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已逾期未偿还的短期借款情况</w:t>
      </w:r>
      <w:bookmarkEnd w:id="1212"/>
      <w:bookmarkEnd w:id="1213"/>
      <w:bookmarkEnd w:id="121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逾期利率</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16"/>
      <w:bookmarkEnd w:id="1217"/>
      <w:bookmarkEnd w:id="121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478" w:val="left"/>
        </w:tabs>
        <w:bidi w:val="0"/>
        <w:spacing w:before="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20"/>
      <w:bookmarkEnd w:id="1221"/>
      <w:bookmarkEnd w:id="122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24"/>
      <w:bookmarkEnd w:id="1225"/>
      <w:bookmarkEnd w:id="12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37,851,393.28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35,367,948.83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37,851,393.28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35,367,948.83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36"/>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28"/>
      <w:bookmarkEnd w:id="1229"/>
      <w:bookmarkEnd w:id="1231"/>
    </w:p>
    <w:p>
      <w:pPr>
        <w:pStyle w:val="Style36"/>
        <w:keepNext/>
        <w:keepLines/>
        <w:widowControl w:val="0"/>
        <w:numPr>
          <w:ilvl w:val="0"/>
          <w:numId w:val="149"/>
        </w:numPr>
        <w:shd w:val="clear" w:color="auto" w:fill="auto"/>
        <w:bidi w:val="0"/>
        <w:spacing w:before="0" w:line="240" w:lineRule="auto"/>
        <w:ind w:left="0" w:right="0" w:firstLine="14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应付账款列示</w:t>
      </w:r>
      <w:bookmarkEnd w:id="1228"/>
      <w:bookmarkEnd w:id="1229"/>
      <w:bookmarkEnd w:id="12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51,316,999.10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45,407,579.20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17,389,820.77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532,105.00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538,774.93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413,867.50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69,245,594.80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46,353,551.70</w:t>
            </w:r>
          </w:p>
        </w:tc>
      </w:tr>
    </w:tbl>
    <w:p>
      <w:pPr>
        <w:widowControl w:val="0"/>
        <w:spacing w:after="299" w:line="1" w:lineRule="exact"/>
      </w:pPr>
    </w:p>
    <w:p>
      <w:pPr>
        <w:pStyle w:val="Style36"/>
        <w:keepNext/>
        <w:keepLines/>
        <w:widowControl w:val="0"/>
        <w:numPr>
          <w:ilvl w:val="0"/>
          <w:numId w:val="149"/>
        </w:numPr>
        <w:shd w:val="clear" w:color="auto" w:fill="auto"/>
        <w:bidi w:val="0"/>
        <w:spacing w:before="0" w:line="240" w:lineRule="auto"/>
        <w:ind w:left="0" w:right="0" w:firstLine="1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4"/>
      <w:bookmarkEnd w:id="1235"/>
      <w:bookmarkEnd w:id="12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承德市兴达通用自动化设备制造有限公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1,388,641.29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项目正在执行中</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1,388,641.29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38"/>
      <w:bookmarkEnd w:id="1239"/>
      <w:bookmarkEnd w:id="1241"/>
    </w:p>
    <w:p>
      <w:pPr>
        <w:pStyle w:val="Style36"/>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38"/>
      <w:bookmarkEnd w:id="1239"/>
      <w:bookmarkEnd w:id="12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25,852,042.10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24,251,852.79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25,852,042.10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24,251,852.79</w:t>
            </w:r>
          </w:p>
        </w:tc>
      </w:tr>
    </w:tbl>
    <w:p>
      <w:pPr>
        <w:widowControl w:val="0"/>
        <w:spacing w:after="299" w:line="1" w:lineRule="exact"/>
      </w:pPr>
    </w:p>
    <w:p>
      <w:pPr>
        <w:pStyle w:val="Style36"/>
        <w:keepNext/>
        <w:keepLines/>
        <w:widowControl w:val="0"/>
        <w:numPr>
          <w:ilvl w:val="0"/>
          <w:numId w:val="127"/>
        </w:numPr>
        <w:shd w:val="clear" w:color="auto" w:fill="auto"/>
        <w:bidi w:val="0"/>
        <w:spacing w:before="0" w:line="240" w:lineRule="auto"/>
        <w:ind w:left="0" w:right="0" w:firstLine="14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3"/>
      <w:bookmarkEnd w:id="1244"/>
      <w:bookmarkEnd w:id="12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兰州金刚轮胎有限责任公司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1,065,000.00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合同尚未执行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上海精元机械有限公司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合同尚未执行</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2,122,000.00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6"/>
        <w:keepNext/>
        <w:keepLines/>
        <w:widowControl w:val="0"/>
        <w:numPr>
          <w:ilvl w:val="0"/>
          <w:numId w:val="127"/>
        </w:numPr>
        <w:shd w:val="clear" w:color="auto" w:fill="auto"/>
        <w:bidi w:val="0"/>
        <w:spacing w:before="0" w:line="240" w:lineRule="auto"/>
        <w:ind w:left="0" w:right="0" w:firstLine="1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期末建造合同形成的已结算未完工项目情况</w:t>
      </w:r>
      <w:bookmarkEnd w:id="1247"/>
      <w:bookmarkEnd w:id="1248"/>
      <w:bookmarkEnd w:id="12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51"/>
      <w:bookmarkEnd w:id="1252"/>
      <w:bookmarkEnd w:id="1254"/>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1"/>
      <w:bookmarkEnd w:id="1252"/>
      <w:bookmarkEnd w:id="12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4,359,744.94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43,143,065.53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42,655,555.22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4,847,255.25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3,019,245.58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4,359,744.94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46,184,775.91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45,674,800.80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4,869,720.05</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6"/>
      <w:bookmarkEnd w:id="1257"/>
      <w:bookmarkEnd w:id="1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3,811,063.05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37,262,602.13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36,882,117.81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4,191,547.37</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1,325,671.65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1,325,671.65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1,905,666.78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1,893,557.08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12,109.70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1,700,345.46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1,689,647.96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10,697.50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71,751.02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133,227.90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132,158.10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1,069.80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1,936,200.50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1,928,784.00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7,416.50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712,924.47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625,424.68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636,181.68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4,359,744.94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43,143,065.53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42,655,555.22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4,847,255.25</w:t>
            </w:r>
          </w:p>
        </w:tc>
      </w:tr>
    </w:tbl>
    <w:p>
      <w:pPr>
        <w:widowControl w:val="0"/>
        <w:spacing w:after="299" w:line="1" w:lineRule="exact"/>
      </w:pPr>
    </w:p>
    <w:p>
      <w:pPr>
        <w:pStyle w:val="Style36"/>
        <w:keepNext/>
        <w:keepLines/>
        <w:widowControl w:val="0"/>
        <w:numPr>
          <w:ilvl w:val="0"/>
          <w:numId w:val="149"/>
        </w:numPr>
        <w:shd w:val="clear" w:color="auto" w:fill="auto"/>
        <w:bidi w:val="0"/>
        <w:spacing w:before="0" w:line="240" w:lineRule="auto"/>
        <w:ind w:left="0" w:right="0" w:firstLine="14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设定提存计划列示</w:t>
      </w:r>
      <w:bookmarkEnd w:id="1259"/>
      <w:bookmarkEnd w:id="1260"/>
      <w:bookmarkEnd w:id="12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2,896,350.47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2,874,955.47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21,395.00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145,359.91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144,290.11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3,041,710.38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3,019,245.58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22,464.80</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63"/>
      <w:bookmarkEnd w:id="1264"/>
      <w:bookmarkEnd w:id="12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7,923,912.79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6,136,223.42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3,922,217.10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2,518,713.17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102,524.89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75,441.52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535,519.10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423,781.37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386,315.28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306,811.17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137,151.95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83,411.21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13,007,641.11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9,544,381.86</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67"/>
      <w:bookmarkEnd w:id="1268"/>
      <w:bookmarkEnd w:id="12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82,763.46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271"/>
      <w:bookmarkEnd w:id="1272"/>
      <w:bookmarkEnd w:id="1274"/>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75"/>
      <w:bookmarkEnd w:id="1276"/>
      <w:bookmarkEnd w:id="1278"/>
    </w:p>
    <w:p>
      <w:pPr>
        <w:pStyle w:val="Style36"/>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5"/>
      <w:bookmarkEnd w:id="1276"/>
      <w:bookmarkEnd w:id="12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925,526.60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代缴款（社保等）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88,818.30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202,164.42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77,320.15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138,536.40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188,916.02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102,310.25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1,280,581.07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443,011.07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0"/>
      <w:bookmarkEnd w:id="1281"/>
      <w:bookmarkEnd w:id="12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283"/>
      <w:bookmarkEnd w:id="1284"/>
      <w:bookmarkEnd w:id="1286"/>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87"/>
      <w:bookmarkEnd w:id="1288"/>
      <w:bookmarkEnd w:id="1290"/>
    </w:p>
    <w:p>
      <w:pPr>
        <w:pStyle w:val="Style30"/>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291"/>
      <w:bookmarkEnd w:id="1292"/>
      <w:bookmarkEnd w:id="129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802"/>
        <w:gridCol w:w="1594"/>
        <w:gridCol w:w="854"/>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债券名称面值发行日期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发行金额期初余额本期发行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本期偿还</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295"/>
      <w:bookmarkEnd w:id="1296"/>
      <w:bookmarkEnd w:id="1298"/>
    </w:p>
    <w:p>
      <w:pPr>
        <w:pStyle w:val="Style36"/>
        <w:keepNext/>
        <w:keepLines/>
        <w:widowControl w:val="0"/>
        <w:shd w:val="clear" w:color="auto" w:fill="auto"/>
        <w:bidi w:val="0"/>
        <w:spacing w:before="0" w:line="240" w:lineRule="auto"/>
        <w:ind w:left="0" w:right="0" w:firstLine="140"/>
        <w:jc w:val="both"/>
      </w:pPr>
      <w:bookmarkStart w:id="1295" w:name="bookmark1295"/>
      <w:bookmarkStart w:id="1296" w:name="bookmark1296"/>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95"/>
      <w:bookmarkEnd w:id="1296"/>
      <w:bookmarkEnd w:id="129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00"/>
      <w:bookmarkEnd w:id="1301"/>
      <w:bookmarkEnd w:id="1303"/>
    </w:p>
    <w:p>
      <w:pPr>
        <w:pStyle w:val="Style36"/>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00"/>
      <w:bookmarkEnd w:id="1301"/>
      <w:bookmarkEnd w:id="1304"/>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35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305"/>
      <w:bookmarkEnd w:id="1306"/>
      <w:bookmarkEnd w:id="1308"/>
    </w:p>
    <w:p>
      <w:pPr>
        <w:pStyle w:val="Style30"/>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6"/>
        <w:keepNext/>
        <w:keepLines/>
        <w:widowControl w:val="0"/>
        <w:shd w:val="clear" w:color="auto" w:fill="auto"/>
        <w:tabs>
          <w:tab w:pos="488"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09"/>
      <w:bookmarkEnd w:id="1310"/>
      <w:bookmarkEnd w:id="1312"/>
    </w:p>
    <w:p>
      <w:pPr>
        <w:pStyle w:val="Style36"/>
        <w:keepNext/>
        <w:keepLines/>
        <w:widowControl w:val="0"/>
        <w:shd w:val="clear" w:color="auto" w:fill="auto"/>
        <w:tabs>
          <w:tab w:pos="488" w:val="left"/>
        </w:tabs>
        <w:bidi w:val="0"/>
        <w:spacing w:before="0" w:line="240" w:lineRule="auto"/>
        <w:ind w:left="0" w:right="0" w:firstLine="0"/>
        <w:jc w:val="left"/>
      </w:pPr>
      <w:bookmarkStart w:id="1309" w:name="bookmark1309"/>
      <w:bookmarkStart w:id="1310" w:name="bookmark1310"/>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09"/>
      <w:bookmarkEnd w:id="1310"/>
      <w:bookmarkEnd w:id="1314"/>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2131"/>
        <w:gridCol w:w="2126"/>
        <w:gridCol w:w="2122"/>
        <w:gridCol w:w="213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发行在外的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bl>
    <w:tbl>
      <w:tblPr>
        <w:tblOverlap w:val="never"/>
        <w:jc w:val="center"/>
        <w:tblLayout w:type="fixed"/>
      </w:tblPr>
      <w:tblGrid>
        <w:gridCol w:w="1070"/>
        <w:gridCol w:w="1070"/>
        <w:gridCol w:w="1061"/>
        <w:gridCol w:w="1061"/>
        <w:gridCol w:w="1066"/>
        <w:gridCol w:w="1061"/>
        <w:gridCol w:w="1061"/>
        <w:gridCol w:w="1066"/>
        <w:gridCol w:w="10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15"/>
      <w:bookmarkEnd w:id="1316"/>
      <w:bookmarkEnd w:id="1318"/>
    </w:p>
    <w:p>
      <w:pPr>
        <w:pStyle w:val="Style36"/>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15"/>
      <w:bookmarkEnd w:id="1316"/>
      <w:bookmarkEnd w:id="131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20"/>
      <w:bookmarkEnd w:id="1321"/>
      <w:bookmarkEnd w:id="1323"/>
    </w:p>
    <w:p>
      <w:pPr>
        <w:pStyle w:val="Style36"/>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20"/>
      <w:bookmarkEnd w:id="1321"/>
      <w:bookmarkEnd w:id="1324"/>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both"/>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325"/>
      <w:bookmarkEnd w:id="1326"/>
      <w:bookmarkEnd w:id="132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计划资产：</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设定受益计划净负债(净资产)</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28"/>
      <w:bookmarkEnd w:id="1329"/>
      <w:bookmarkEnd w:id="1331"/>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5</w:t>
      </w:r>
      <w:bookmarkEnd w:id="133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32"/>
      <w:bookmarkEnd w:id="1333"/>
      <w:bookmarkEnd w:id="13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88,185.62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374,636.52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计提</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88,185.62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374,636.52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36"/>
      <w:bookmarkEnd w:id="1337"/>
      <w:bookmarkEnd w:id="13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7,141,393.26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14,671,566.38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收到芜湖市鸠江区 财政局拨付的基础 设施建设资金以及 信息物流技术研发 与装备制造工厂项 目建设资金</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7,141,393.26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14,671,566.38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本期新增补助金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 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输送及计量设备 生产建设项目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7,141,393.26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6,902,224.38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信息物流技术研 发与装备制造工 厂项目拨款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7,141,393.26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14,671,566.38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40"/>
      <w:bookmarkEnd w:id="1341"/>
      <w:bookmarkEnd w:id="13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344"/>
      <w:bookmarkEnd w:id="1345"/>
      <w:bookmarkEnd w:id="1347"/>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100,005,000.00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48"/>
      <w:bookmarkEnd w:id="1349"/>
      <w:bookmarkEnd w:id="1351"/>
    </w:p>
    <w:p>
      <w:pPr>
        <w:pStyle w:val="Style36"/>
        <w:keepNext/>
        <w:keepLines/>
        <w:widowControl w:val="0"/>
        <w:shd w:val="clear" w:color="auto" w:fill="auto"/>
        <w:tabs>
          <w:tab w:pos="628" w:val="left"/>
        </w:tabs>
        <w:bidi w:val="0"/>
        <w:spacing w:before="0" w:line="240" w:lineRule="auto"/>
        <w:ind w:left="0" w:right="0" w:firstLine="140"/>
        <w:jc w:val="left"/>
      </w:pPr>
      <w:bookmarkStart w:id="1348" w:name="bookmark1348"/>
      <w:bookmarkStart w:id="1349" w:name="bookmark1349"/>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348"/>
      <w:bookmarkEnd w:id="1349"/>
      <w:bookmarkEnd w:id="1353"/>
    </w:p>
    <w:p>
      <w:pPr>
        <w:pStyle w:val="Style36"/>
        <w:keepNext/>
        <w:keepLines/>
        <w:widowControl w:val="0"/>
        <w:shd w:val="clear" w:color="auto" w:fill="auto"/>
        <w:tabs>
          <w:tab w:pos="628" w:val="left"/>
        </w:tabs>
        <w:bidi w:val="0"/>
        <w:spacing w:before="0" w:line="240" w:lineRule="auto"/>
        <w:ind w:left="0" w:right="0" w:firstLine="140"/>
        <w:jc w:val="left"/>
      </w:pPr>
      <w:bookmarkStart w:id="1348" w:name="bookmark1348"/>
      <w:bookmarkStart w:id="1349" w:name="bookmark1349"/>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348"/>
      <w:bookmarkEnd w:id="1349"/>
      <w:bookmarkEnd w:id="13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1"/>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56"/>
      <w:bookmarkEnd w:id="1357"/>
      <w:bookmarkEnd w:id="13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184,709,742.00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33,335,000.00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151,374,742.00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184,709,742.00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33,335,000.00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151,374,742.00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60"/>
      <w:bookmarkEnd w:id="1361"/>
      <w:bookmarkEnd w:id="13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64"/>
      <w:bookmarkEnd w:id="1365"/>
      <w:bookmarkEnd w:id="13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8"/>
        <w:gridCol w:w="1066"/>
        <w:gridCol w:w="936"/>
        <w:gridCol w:w="1152"/>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本期所得 税前发生</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减：前期计入 其他综合收益 当期转入损益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减：所得税 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税后归属 于母公司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8"/>
                <w:szCs w:val="18"/>
              </w:rPr>
              <w:t>税后归属 于少数股 东</w:t>
            </w:r>
          </w:p>
        </w:tc>
        <w:tc>
          <w:tcPr>
            <w:vMerge/>
            <w:tcBorders>
              <w:left w:val="single" w:sz="4"/>
              <w:bottom w:val="single" w:sz="4"/>
              <w:right w:val="single" w:sz="4"/>
            </w:tcBorders>
            <w:shd w:val="clear" w:color="auto" w:fill="D3D3D3"/>
            <w:vAlign w:val="center"/>
          </w:tcPr>
          <w:p>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6"/>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68"/>
      <w:bookmarkEnd w:id="1369"/>
      <w:bookmarkEnd w:id="137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72"/>
      <w:bookmarkEnd w:id="1373"/>
      <w:bookmarkEnd w:id="13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12,021,736.42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2,192,013.12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14,213,749.54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12,021,736.42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2,192,013.12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14,213,749.54</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6</w:t>
      </w:r>
      <w:bookmarkEnd w:id="137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76"/>
      <w:bookmarkEnd w:id="1377"/>
      <w:bookmarkEnd w:id="13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111,678,314.47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95,278,464.55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111,678,314.47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95,278,464.55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16,196,857.68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2,192,013.12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1,828,384.64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120,349,559.03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111,678,314.47</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00" w:line="240" w:lineRule="auto"/>
        <w:ind w:left="0" w:right="0" w:firstLine="0"/>
        <w:jc w:val="left"/>
      </w:pPr>
      <w:bookmarkStart w:id="1380" w:name="bookmark1380"/>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81" w:name="bookmark1381"/>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82" w:name="bookmark1382"/>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00" w:line="240" w:lineRule="auto"/>
        <w:ind w:left="0" w:right="0" w:firstLine="0"/>
        <w:jc w:val="left"/>
      </w:pPr>
      <w:bookmarkStart w:id="1383" w:name="bookmark1383"/>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60" w:line="240" w:lineRule="auto"/>
        <w:ind w:left="0" w:right="0" w:firstLine="0"/>
        <w:jc w:val="left"/>
      </w:pPr>
      <w:bookmarkStart w:id="1384" w:name="bookmark1384"/>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6</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85"/>
      <w:bookmarkEnd w:id="1386"/>
      <w:bookmarkEnd w:id="138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141,074,424.29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214,272,084.27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144,967,131.67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219,082,696.88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141,074,424.29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214,272,084.27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144,967,131.67</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6</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89"/>
      <w:bookmarkEnd w:id="1390"/>
      <w:bookmarkEnd w:id="13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1,220,357.19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977,436.59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890,379.12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732,482.64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250,622.72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674,079.87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28,120.42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3,151,318.71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1,712,919.23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6</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93"/>
      <w:bookmarkEnd w:id="1394"/>
      <w:bookmarkEnd w:id="13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产品质量保证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1,487,696.21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1,071,104.85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989,133.76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1,069,769.84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427,924.13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457,322.20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出口业务佣金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134,224.71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1,086,963.96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602,151.23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351,067.69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3,641,130.04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4,036,228.54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6</w:t>
      </w:r>
      <w:bookmarkEnd w:id="139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97"/>
      <w:bookmarkEnd w:id="1398"/>
      <w:bookmarkEnd w:id="140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15,579,409.50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14,049,133.01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10,377,397.84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7,438,551.95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2,810,680.22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1,411,867.49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2,320,829.19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2,031,371.65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2,260,083.25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1,374,068.40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2,208,698.62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1,593,501.81</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1,876,055.40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1,468,708.69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876,012.92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476,264.84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849,639.66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843,078.65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757,150.20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1,203,759.98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法律顾问费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720,907.75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849,056.58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378,801.45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1,248,535.17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502,015.15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456,904.27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673,443.85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41,472,570.27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35,163,357.22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6</w:t>
      </w:r>
      <w:bookmarkEnd w:id="140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01"/>
      <w:bookmarkEnd w:id="1402"/>
      <w:bookmarkEnd w:id="14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1,473,269.63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595,157.17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833,820.09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797,345.85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利息净支出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639,449.54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-202,188.68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-943,830.42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-1,467,292.69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111,557.83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177,692.45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-85,477.51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-40,250.96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-1,643,401.05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6</w:t>
      </w:r>
      <w:bookmarkEnd w:id="140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05"/>
      <w:bookmarkEnd w:id="1406"/>
      <w:bookmarkEnd w:id="140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15,065,685.95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9,036,346.76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15,065,685.95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9,036,346.76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6</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09"/>
      <w:bookmarkEnd w:id="1410"/>
      <w:bookmarkEnd w:id="14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以公允价值计量的且其变动计入当期损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646,416.67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6</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13"/>
      <w:bookmarkEnd w:id="1414"/>
      <w:bookmarkEnd w:id="14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6</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17"/>
      <w:bookmarkEnd w:id="1418"/>
      <w:bookmarkEnd w:id="14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3,366,607.36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7,097,451.03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2,247,504.79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3,376,277.07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7,128,506.97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2,257,174.50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土地使用税</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713,301.81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输送及计量 设备生产建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239,168.88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促进经济平 稳较快发展 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财政局专利 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672,650.00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企业改制上 市补贴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1,119,102.57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2,699,846.15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流动资金贷 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235,275.98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失业岗位补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192,882.12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352,154.00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高新技术成 果转化项目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高新技术企 业认定奖励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科技攻关专 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国际化专项 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企业信用促 进会补贴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3,366,607.36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7,097,451.03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7</w:t>
      </w:r>
      <w:bookmarkEnd w:id="142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21"/>
      <w:bookmarkEnd w:id="1422"/>
      <w:bookmarkEnd w:id="14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4,328.64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4,328.64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12,342.97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20,832.76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5,030.50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20,832.76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33,175.73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9,359.14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33,175.73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7</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25"/>
      <w:bookmarkEnd w:id="1426"/>
      <w:bookmarkEnd w:id="1428"/>
    </w:p>
    <w:p>
      <w:pPr>
        <w:pStyle w:val="Style36"/>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5"/>
      <w:bookmarkEnd w:id="1426"/>
      <w:bookmarkEnd w:id="14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5,918,898.62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4,171,736.91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-3,619,618.56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-634,905.07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2,299,280.06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3,536,831.84</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0"/>
      <w:bookmarkEnd w:id="1431"/>
      <w:bookmarkEnd w:id="14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18,467,653.90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2,770,148.09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-518,760.74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27,684.54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466,745.92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721,532.79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研发费加计扣除影响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-1,168,070.54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2,299,280.06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4"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7</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33"/>
      <w:bookmarkEnd w:id="1434"/>
      <w:bookmarkEnd w:id="143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74"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7</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37"/>
      <w:bookmarkEnd w:id="1438"/>
      <w:bookmarkEnd w:id="1440"/>
    </w:p>
    <w:p>
      <w:pPr>
        <w:pStyle w:val="Style36"/>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7"/>
      <w:bookmarkEnd w:id="1438"/>
      <w:bookmarkEnd w:id="14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2,008,335.91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4,158,436.00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833,820.09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797,345.85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201,941.49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212,358.52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3,044,097.49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5,168,140.37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2"/>
      <w:bookmarkEnd w:id="1443"/>
      <w:bookmarkEnd w:id="14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2,613,499.65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5,748,458.16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15,566,017.92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12,964,610.00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86,437.47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111,557.83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3,273,114.01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1,248,259.80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21,539,069.05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20,072,885.79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5"/>
      <w:bookmarkEnd w:id="1446"/>
      <w:bookmarkEnd w:id="14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7,769,342.00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67,769,342.00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49"/>
      <w:bookmarkEnd w:id="1450"/>
      <w:bookmarkEnd w:id="14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53"/>
      <w:bookmarkEnd w:id="1454"/>
      <w:bookmarkEnd w:id="14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57"/>
      <w:bookmarkEnd w:id="1458"/>
      <w:bookmarkEnd w:id="14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8,803,992.60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8,803,992.60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7</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61"/>
      <w:bookmarkEnd w:id="1462"/>
      <w:bookmarkEnd w:id="1464"/>
    </w:p>
    <w:p>
      <w:pPr>
        <w:pStyle w:val="Style36"/>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1"/>
      <w:bookmarkEnd w:id="1462"/>
      <w:bookmarkEnd w:id="1465"/>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16,168,373.84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25,228,234.56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13,645,685.95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9,036,346.76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固定资产折旧、油气资产折耗、生产性生 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2,627,384.29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2,166,314.53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746,844.34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571,608.95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-646,416.67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639,333.03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-291,540.19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-3,522,656.06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-731,867.57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96,962.50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11,620,254.61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3,800,219.14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-99,548,301.12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-54,392,738.43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12,732,603.11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-18,971,264.77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-45,381,831.52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-34,151,190.71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63,834,557.97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89,628,436.92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89,628,436.92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65,300,964.40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-25,793,878.95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24,327,472.52</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66"/>
      <w:bookmarkEnd w:id="1467"/>
      <w:bookmarkEnd w:id="14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北京天中方环保科技有限公司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上海橡领高分子材料有限公司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452,613.04</w:t>
            </w:r>
          </w:p>
        </w:tc>
      </w:tr>
    </w:tbl>
    <w:p>
      <w:pPr>
        <w:spacing w:lineRule="exact" w:line="1"/>
        <w:rPr>
          <w:sz w:val="2"/>
          <w:szCs w:val="2"/>
        </w:rPr>
      </w:pPr>
      <w:r>
        <w:br w:type="page"/>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北京天中方环保科技有限公司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412,533.08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上海橡领高分子材料有限公司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1,047,386.96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51"/>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本期收到的处置子公司的现金净额</w:t>
      </w:r>
      <w:bookmarkEnd w:id="1469"/>
      <w:bookmarkEnd w:id="1470"/>
      <w:bookmarkEnd w:id="14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51"/>
        </w:numPr>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现金和现金等价物的构成</w:t>
      </w:r>
      <w:bookmarkEnd w:id="1473"/>
      <w:bookmarkEnd w:id="1474"/>
      <w:bookmarkEnd w:id="147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63,834,557.97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89,628,436.92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476,661.67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197,418.20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58,472,502.49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84,369,344.86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4,885,393.81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5,061,673.86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63,834,557.97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89,628,436.92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4" w:val="left"/>
        </w:tabs>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7</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77"/>
      <w:bookmarkEnd w:id="1478"/>
      <w:bookmarkEnd w:id="148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6"/>
        <w:keepNext/>
        <w:keepLines/>
        <w:widowControl w:val="0"/>
        <w:shd w:val="clear" w:color="auto" w:fill="auto"/>
        <w:tabs>
          <w:tab w:pos="474"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7</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81"/>
      <w:bookmarkEnd w:id="1482"/>
      <w:bookmarkEnd w:id="14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6,717,712.69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3,970,598.20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10,688,310.89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7</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85"/>
      <w:bookmarkEnd w:id="1486"/>
      <w:bookmarkEnd w:id="1488"/>
    </w:p>
    <w:p>
      <w:pPr>
        <w:pStyle w:val="Style36"/>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85"/>
      <w:bookmarkEnd w:id="1486"/>
      <w:bookmarkEnd w:id="14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24,319,734.47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3,505,799.98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24,319,734.47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30,413,787.77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4,384,285.39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30,413,787.77</w:t>
            </w:r>
          </w:p>
        </w:tc>
      </w:tr>
    </w:tbl>
    <w:p>
      <w:pPr>
        <w:widowControl w:val="0"/>
        <w:spacing w:after="7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26" w:lineRule="exact"/>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90"/>
      <w:bookmarkEnd w:id="1491"/>
      <w:bookmarkEnd w:id="1492"/>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line="326" w:lineRule="exact"/>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7</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493"/>
      <w:bookmarkEnd w:id="1494"/>
      <w:bookmarkEnd w:id="1496"/>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74" w:val="left"/>
        </w:tabs>
        <w:bidi w:val="0"/>
        <w:spacing w:before="0" w:line="326" w:lineRule="exact"/>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7</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497"/>
      <w:bookmarkEnd w:id="1498"/>
      <w:bookmarkEnd w:id="1500"/>
    </w:p>
    <w:p>
      <w:pPr>
        <w:pStyle w:val="Style26"/>
        <w:keepNext/>
        <w:keepLines/>
        <w:widowControl w:val="0"/>
        <w:shd w:val="clear" w:color="auto" w:fill="auto"/>
        <w:bidi w:val="0"/>
        <w:spacing w:before="0" w:after="28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sz w:val="24"/>
          <w:szCs w:val="24"/>
        </w:rPr>
        <w:t>八</w:t>
      </w:r>
      <w:bookmarkEnd w:id="1503"/>
      <w:r>
        <w:rPr>
          <w:color w:val="000000"/>
          <w:spacing w:val="0"/>
          <w:w w:val="100"/>
          <w:position w:val="0"/>
          <w:sz w:val="24"/>
          <w:szCs w:val="24"/>
        </w:rPr>
        <w:t>、合并范围的变更</w:t>
      </w:r>
      <w:bookmarkEnd w:id="1501"/>
      <w:bookmarkEnd w:id="1502"/>
      <w:bookmarkEnd w:id="1504"/>
    </w:p>
    <w:p>
      <w:pPr>
        <w:pStyle w:val="Style36"/>
        <w:keepNext/>
        <w:keepLines/>
        <w:widowControl w:val="0"/>
        <w:shd w:val="clear" w:color="auto" w:fill="auto"/>
        <w:bidi w:val="0"/>
        <w:spacing w:before="0" w:after="280" w:line="326" w:lineRule="exact"/>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bookmarkEnd w:id="1507"/>
      <w:r>
        <w:rPr>
          <w:color w:val="000000"/>
          <w:spacing w:val="0"/>
          <w:w w:val="100"/>
          <w:position w:val="0"/>
        </w:rPr>
        <w:t>、非同一控制下企业合并</w:t>
      </w:r>
      <w:bookmarkEnd w:id="1505"/>
      <w:bookmarkEnd w:id="1506"/>
      <w:bookmarkEnd w:id="1508"/>
    </w:p>
    <w:p>
      <w:pPr>
        <w:pStyle w:val="Style36"/>
        <w:keepNext/>
        <w:keepLines/>
        <w:widowControl w:val="0"/>
        <w:shd w:val="clear" w:color="auto" w:fill="auto"/>
        <w:bidi w:val="0"/>
        <w:spacing w:before="0" w:line="326" w:lineRule="exact"/>
        <w:ind w:left="0" w:right="0" w:firstLine="0"/>
        <w:jc w:val="left"/>
      </w:pPr>
      <w:bookmarkStart w:id="1505" w:name="bookmark1505"/>
      <w:bookmarkStart w:id="1506" w:name="bookmark1506"/>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05"/>
      <w:bookmarkEnd w:id="1506"/>
      <w:bookmarkEnd w:id="150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被购买方名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购买日至期 末被购买方 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购买日至期 末被购买方 的净利润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天中方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 下企业合并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资产过户完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5,340,534.22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485,560.26</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上海橡领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 下企业合并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资产过户完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-742,359.80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10"/>
      <w:bookmarkEnd w:id="1511"/>
      <w:bookmarkEnd w:id="15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天中方</w:t>
            </w:r>
          </w:p>
        </w:tc>
        <w:tc>
          <w:tcPr>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上海橡领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383,575.96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2,503,535.97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1,116,424.04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996,464.03</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13"/>
      <w:bookmarkEnd w:id="1514"/>
      <w:bookmarkEnd w:id="15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天中方</w:t>
            </w:r>
          </w:p>
        </w:tc>
        <w:tc>
          <w:tcPr>
            <w:gridSpan w:val="2"/>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上海橡领</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购买日公允价值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412,533.08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412,533.08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540,079.96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540,079.96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931,460.00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1,354,904.47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1,354,904.47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297,381.74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297,381.74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503,904.77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503,904.77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447,867.21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447,867.21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854,082.81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854,082.81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1,058,900.00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156,188.21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156,188.21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1,389,469.88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1,389,469.88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614,440.00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614,440.00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639,293.27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639,293.27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-73,520.04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-73,520.04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-51,464.03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-51,464.03</w:t>
            </w:r>
          </w:p>
        </w:tc>
      </w:tr>
    </w:tbl>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可辨认资产、负债公允价值的确定方法: 企业合并中承担的被购买方的或有负债: 其他说明：</w:t>
      </w:r>
      <w:r>
        <w:br w:type="page"/>
      </w:r>
    </w:p>
    <w:p>
      <w:pPr>
        <w:pStyle w:val="Style40"/>
        <w:keepNext w:val="0"/>
        <w:keepLines w:val="0"/>
        <w:widowControl w:val="0"/>
        <w:shd w:val="clear" w:color="auto" w:fill="auto"/>
        <w:tabs>
          <w:tab w:pos="488" w:val="left"/>
        </w:tabs>
        <w:bidi w:val="0"/>
        <w:spacing w:before="0" w:after="360" w:line="240" w:lineRule="auto"/>
        <w:ind w:left="0" w:right="0" w:firstLine="0"/>
        <w:jc w:val="left"/>
      </w:pPr>
      <w:bookmarkStart w:id="1517" w:name="bookmark1517"/>
      <w:r>
        <w:rPr>
          <w:b/>
          <w:bCs/>
          <w:color w:val="000000"/>
          <w:spacing w:val="0"/>
          <w:w w:val="100"/>
          <w:position w:val="0"/>
        </w:rPr>
        <w:t>（</w:t>
      </w:r>
      <w:bookmarkEnd w:id="151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购买日之前持有的股权按照公允价值重新计量产生的利得或损失</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val="0"/>
        <w:keepLines w:val="0"/>
        <w:widowControl w:val="0"/>
        <w:shd w:val="clear" w:color="auto" w:fill="auto"/>
        <w:tabs>
          <w:tab w:pos="488" w:val="left"/>
        </w:tabs>
        <w:bidi w:val="0"/>
        <w:spacing w:before="0" w:after="360" w:line="240" w:lineRule="auto"/>
        <w:ind w:left="0" w:right="0" w:firstLine="0"/>
        <w:jc w:val="left"/>
      </w:pPr>
      <w:bookmarkStart w:id="1518" w:name="bookmark1518"/>
      <w:r>
        <w:rPr>
          <w:b/>
          <w:bCs/>
          <w:color w:val="000000"/>
          <w:spacing w:val="0"/>
          <w:w w:val="100"/>
          <w:position w:val="0"/>
        </w:rPr>
        <w:t>（</w:t>
      </w:r>
      <w:bookmarkEnd w:id="151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购买日或合并当期期末无法合理确定合并对价或被购买方可辨认资产、负债公允价值的相关说明</w:t>
      </w:r>
    </w:p>
    <w:p>
      <w:pPr>
        <w:pStyle w:val="Style40"/>
        <w:keepNext w:val="0"/>
        <w:keepLines w:val="0"/>
        <w:widowControl w:val="0"/>
        <w:shd w:val="clear" w:color="auto" w:fill="auto"/>
        <w:tabs>
          <w:tab w:pos="488" w:val="left"/>
        </w:tabs>
        <w:bidi w:val="0"/>
        <w:spacing w:before="0" w:after="360" w:line="240" w:lineRule="auto"/>
        <w:ind w:left="0" w:right="0" w:firstLine="0"/>
        <w:jc w:val="left"/>
      </w:pPr>
      <w:bookmarkStart w:id="1519" w:name="bookmark1519"/>
      <w:r>
        <w:rPr>
          <w:b/>
          <w:bCs/>
          <w:color w:val="000000"/>
          <w:spacing w:val="0"/>
          <w:w w:val="100"/>
          <w:position w:val="0"/>
        </w:rPr>
        <w:t>（</w:t>
      </w:r>
      <w:bookmarkEnd w:id="151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40"/>
        <w:keepNext w:val="0"/>
        <w:keepLines w:val="0"/>
        <w:widowControl w:val="0"/>
        <w:shd w:val="clear" w:color="auto" w:fill="auto"/>
        <w:bidi w:val="0"/>
        <w:spacing w:before="0" w:after="360" w:line="240" w:lineRule="auto"/>
        <w:ind w:left="0" w:right="0" w:firstLine="0"/>
        <w:jc w:val="left"/>
      </w:pPr>
      <w:bookmarkStart w:id="1520" w:name="bookmark1520"/>
      <w:r>
        <w:rPr>
          <w:rFonts w:ascii="Times New Roman" w:eastAsia="Times New Roman" w:hAnsi="Times New Roman" w:cs="Times New Roman"/>
          <w:b/>
          <w:bCs/>
          <w:color w:val="000000"/>
          <w:spacing w:val="0"/>
          <w:w w:val="100"/>
          <w:position w:val="0"/>
        </w:rPr>
        <w:t>2</w:t>
      </w:r>
      <w:bookmarkEnd w:id="1520"/>
      <w:r>
        <w:rPr>
          <w:b/>
          <w:bCs/>
          <w:color w:val="000000"/>
          <w:spacing w:val="0"/>
          <w:w w:val="100"/>
          <w:position w:val="0"/>
        </w:rPr>
        <w:t>、同一控制下企业合并</w:t>
      </w:r>
    </w:p>
    <w:p>
      <w:pPr>
        <w:pStyle w:val="Style4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企业合并中 取得的权益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构成同一控 制下企业合 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比较期间被 合并方的净 利润</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或有对价及其变动的说明：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0"/>
        <w:keepNext w:val="0"/>
        <w:keepLines w:val="0"/>
        <w:widowControl w:val="0"/>
        <w:shd w:val="clear" w:color="auto" w:fill="auto"/>
        <w:bidi w:val="0"/>
        <w:spacing w:before="0" w:after="360" w:line="240" w:lineRule="auto"/>
        <w:ind w:left="0" w:right="0" w:firstLine="0"/>
        <w:jc w:val="both"/>
      </w:pPr>
      <w:bookmarkStart w:id="1521" w:name="bookmark1521"/>
      <w:r>
        <w:rPr>
          <w:b/>
          <w:bCs/>
          <w:color w:val="000000"/>
          <w:spacing w:val="0"/>
          <w:w w:val="100"/>
          <w:position w:val="0"/>
        </w:rPr>
        <w:t>（</w:t>
      </w:r>
      <w:bookmarkEnd w:id="1521"/>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40"/>
        <w:keepNext w:val="0"/>
        <w:keepLines w:val="0"/>
        <w:widowControl w:val="0"/>
        <w:shd w:val="clear" w:color="auto" w:fill="auto"/>
        <w:bidi w:val="0"/>
        <w:spacing w:before="0" w:after="260" w:line="240" w:lineRule="auto"/>
        <w:ind w:left="0" w:right="0" w:firstLine="0"/>
        <w:jc w:val="both"/>
      </w:pPr>
      <w:bookmarkStart w:id="1522" w:name="bookmark1522"/>
      <w:r>
        <w:rPr>
          <w:rFonts w:ascii="Times New Roman" w:eastAsia="Times New Roman" w:hAnsi="Times New Roman" w:cs="Times New Roman"/>
          <w:b/>
          <w:bCs/>
          <w:color w:val="000000"/>
          <w:spacing w:val="0"/>
          <w:w w:val="100"/>
          <w:position w:val="0"/>
        </w:rPr>
        <w:t>3</w:t>
      </w:r>
      <w:bookmarkEnd w:id="1522"/>
      <w:r>
        <w:rPr>
          <w:b/>
          <w:bCs/>
          <w:color w:val="000000"/>
          <w:spacing w:val="0"/>
          <w:w w:val="100"/>
          <w:position w:val="0"/>
        </w:rPr>
        <w:t>、反向购买</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color w:val="000000"/>
          <w:spacing w:val="0"/>
          <w:w w:val="100"/>
          <w:position w:val="0"/>
        </w:rPr>
        <w:t>、</w:t>
        <w:tab/>
        <w:t>处置子公司</w:t>
      </w:r>
      <w:bookmarkEnd w:id="1523"/>
      <w:bookmarkEnd w:id="1524"/>
      <w:bookmarkEnd w:id="152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i/>
          <w:iCs/>
          <w:color w:val="000000"/>
          <w:spacing w:val="0"/>
          <w:w w:val="100"/>
          <w:position w:val="0"/>
        </w:rPr>
        <w:t>是V否</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color w:val="000000"/>
          <w:spacing w:val="0"/>
          <w:w w:val="100"/>
          <w:position w:val="0"/>
        </w:rPr>
        <w:t>、</w:t>
        <w:tab/>
        <w:t>其他原因的合并范围变动</w:t>
      </w:r>
      <w:bookmarkEnd w:id="1527"/>
      <w:bookmarkEnd w:id="1528"/>
      <w:bookmarkEnd w:id="153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color w:val="000000"/>
          <w:spacing w:val="0"/>
          <w:w w:val="100"/>
          <w:position w:val="0"/>
        </w:rPr>
        <w:t>、</w:t>
        <w:tab/>
        <w:t>其他</w:t>
      </w:r>
      <w:bookmarkEnd w:id="1531"/>
      <w:bookmarkEnd w:id="1532"/>
      <w:bookmarkEnd w:id="1534"/>
    </w:p>
    <w:p>
      <w:pPr>
        <w:pStyle w:val="Style26"/>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sz w:val="24"/>
          <w:szCs w:val="24"/>
        </w:rPr>
        <w:t>九</w:t>
      </w:r>
      <w:bookmarkEnd w:id="1537"/>
      <w:r>
        <w:rPr>
          <w:color w:val="000000"/>
          <w:spacing w:val="0"/>
          <w:w w:val="100"/>
          <w:position w:val="0"/>
          <w:sz w:val="24"/>
          <w:szCs w:val="24"/>
        </w:rPr>
        <w:t>、在其他主体中的权益</w:t>
      </w:r>
      <w:bookmarkEnd w:id="1535"/>
      <w:bookmarkEnd w:id="1536"/>
      <w:bookmarkEnd w:id="1538"/>
    </w:p>
    <w:p>
      <w:pPr>
        <w:pStyle w:val="Style36"/>
        <w:keepNext/>
        <w:keepLines/>
        <w:widowControl w:val="0"/>
        <w:shd w:val="clear" w:color="auto" w:fill="auto"/>
        <w:bidi w:val="0"/>
        <w:spacing w:before="0" w:after="34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bookmarkEnd w:id="1541"/>
      <w:r>
        <w:rPr>
          <w:color w:val="000000"/>
          <w:spacing w:val="0"/>
          <w:w w:val="100"/>
          <w:position w:val="0"/>
        </w:rPr>
        <w:t>、在子公司中的权益</w:t>
      </w:r>
      <w:bookmarkEnd w:id="1539"/>
      <w:bookmarkEnd w:id="1540"/>
      <w:bookmarkEnd w:id="1542"/>
    </w:p>
    <w:p>
      <w:pPr>
        <w:pStyle w:val="Style36"/>
        <w:keepNext/>
        <w:keepLines/>
        <w:widowControl w:val="0"/>
        <w:shd w:val="clear" w:color="auto" w:fill="auto"/>
        <w:bidi w:val="0"/>
        <w:spacing w:before="0" w:after="340" w:line="240" w:lineRule="auto"/>
        <w:ind w:left="0" w:right="0" w:firstLine="140"/>
        <w:jc w:val="left"/>
      </w:pPr>
      <w:bookmarkStart w:id="1539" w:name="bookmark1539"/>
      <w:bookmarkStart w:id="1540" w:name="bookmark1540"/>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9"/>
      <w:bookmarkEnd w:id="1540"/>
      <w:bookmarkEnd w:id="154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北京万向新元环 保工程技术有限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北京四方同兴机 电技术开发有限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同一控制下企业 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芜湖万向新元环 保科技有限公司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芜湖市鸠江区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天津京万科技有</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天津市宝坻区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北京天中方环保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北京市昌平区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上海橡领高分子 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上海市嘉定区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万向新元绿柱石</w:t>
            </w:r>
          </w:p>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天津市宝坻区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对于纳入合并范围的重要的结构化主体，控制的依据：</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4"/>
      <w:bookmarkEnd w:id="1545"/>
      <w:bookmarkEnd w:id="154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本期归属于少数股东的</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本期向少数股东宣告分</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47"/>
      <w:bookmarkEnd w:id="1548"/>
      <w:bookmarkEnd w:id="155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子公司</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负债合 计</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8" w:val="left"/>
        </w:tabs>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51"/>
      <w:bookmarkEnd w:id="1552"/>
      <w:bookmarkEnd w:id="1554"/>
    </w:p>
    <w:p>
      <w:pPr>
        <w:pStyle w:val="Style36"/>
        <w:keepNext/>
        <w:keepLines/>
        <w:widowControl w:val="0"/>
        <w:shd w:val="clear" w:color="auto" w:fill="auto"/>
        <w:tabs>
          <w:tab w:pos="488" w:val="left"/>
        </w:tabs>
        <w:bidi w:val="0"/>
        <w:spacing w:before="0" w:line="240" w:lineRule="auto"/>
        <w:ind w:left="0" w:right="0" w:firstLine="0"/>
        <w:jc w:val="left"/>
      </w:pPr>
      <w:bookmarkStart w:id="1551" w:name="bookmark1551"/>
      <w:bookmarkStart w:id="1552" w:name="bookmark1552"/>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51"/>
      <w:bookmarkEnd w:id="1552"/>
      <w:bookmarkEnd w:id="155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color w:val="000000"/>
          <w:spacing w:val="0"/>
          <w:w w:val="100"/>
          <w:position w:val="0"/>
        </w:rPr>
        <w:t>、在子公司的所有者权益份额发生变化且仍控制子公司的交易</w:t>
      </w:r>
      <w:bookmarkEnd w:id="1557"/>
      <w:bookmarkEnd w:id="1558"/>
      <w:bookmarkEnd w:id="1560"/>
    </w:p>
    <w:p>
      <w:pPr>
        <w:pStyle w:val="Style36"/>
        <w:keepNext/>
        <w:keepLines/>
        <w:widowControl w:val="0"/>
        <w:shd w:val="clear" w:color="auto" w:fill="auto"/>
        <w:tabs>
          <w:tab w:pos="488" w:val="left"/>
        </w:tabs>
        <w:bidi w:val="0"/>
        <w:spacing w:before="0" w:line="240" w:lineRule="auto"/>
        <w:ind w:left="0" w:right="0" w:firstLine="0"/>
        <w:jc w:val="left"/>
      </w:pPr>
      <w:bookmarkStart w:id="1557" w:name="bookmark1557"/>
      <w:bookmarkStart w:id="1558" w:name="bookmark1558"/>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57"/>
      <w:bookmarkEnd w:id="1558"/>
      <w:bookmarkEnd w:id="1562"/>
    </w:p>
    <w:p>
      <w:pPr>
        <w:pStyle w:val="Style36"/>
        <w:keepNext/>
        <w:keepLines/>
        <w:widowControl w:val="0"/>
        <w:shd w:val="clear" w:color="auto" w:fill="auto"/>
        <w:tabs>
          <w:tab w:pos="488" w:val="left"/>
        </w:tabs>
        <w:bidi w:val="0"/>
        <w:spacing w:before="0" w:line="240" w:lineRule="auto"/>
        <w:ind w:left="0" w:right="0" w:firstLine="0"/>
        <w:jc w:val="left"/>
      </w:pPr>
      <w:bookmarkStart w:id="1557" w:name="bookmark1557"/>
      <w:bookmarkStart w:id="1558" w:name="bookmark1558"/>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57"/>
      <w:bookmarkEnd w:id="1558"/>
      <w:bookmarkEnd w:id="15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color w:val="000000"/>
          <w:spacing w:val="0"/>
          <w:w w:val="100"/>
          <w:position w:val="0"/>
        </w:rPr>
        <w:t>、在合营安排或联营企业中的权益</w:t>
      </w:r>
      <w:bookmarkEnd w:id="1565"/>
      <w:bookmarkEnd w:id="1566"/>
      <w:bookmarkEnd w:id="1568"/>
    </w:p>
    <w:p>
      <w:pPr>
        <w:pStyle w:val="Style36"/>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65"/>
      <w:bookmarkEnd w:id="1566"/>
      <w:bookmarkEnd w:id="1569"/>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70"/>
      <w:bookmarkEnd w:id="1571"/>
      <w:bookmarkEnd w:id="15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53"/>
        </w:numPr>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重要联营企业的主要财务信息</w:t>
      </w:r>
      <w:bookmarkEnd w:id="1573"/>
      <w:bookmarkEnd w:id="1574"/>
      <w:bookmarkEnd w:id="157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153"/>
        </w:numPr>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不重要的合营企业和联营企业的汇总财务信息</w:t>
      </w:r>
      <w:bookmarkEnd w:id="1577"/>
      <w:bookmarkEnd w:id="1578"/>
      <w:bookmarkEnd w:id="158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153"/>
        </w:numPr>
        <w:shd w:val="clear" w:color="auto" w:fill="auto"/>
        <w:tabs>
          <w:tab w:pos="628" w:val="left"/>
        </w:tabs>
        <w:bidi w:val="0"/>
        <w:spacing w:before="0" w:line="240" w:lineRule="auto"/>
        <w:ind w:left="0" w:right="0" w:firstLine="14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合营企业或联营企业向本公司转移资金的能力存在重大限制的说明</w:t>
      </w:r>
      <w:bookmarkEnd w:id="1581"/>
      <w:bookmarkEnd w:id="1582"/>
      <w:bookmarkEnd w:id="1584"/>
    </w:p>
    <w:p>
      <w:pPr>
        <w:pStyle w:val="Style36"/>
        <w:keepNext/>
        <w:keepLines/>
        <w:widowControl w:val="0"/>
        <w:numPr>
          <w:ilvl w:val="0"/>
          <w:numId w:val="153"/>
        </w:numPr>
        <w:shd w:val="clear" w:color="auto" w:fill="auto"/>
        <w:tabs>
          <w:tab w:pos="628" w:val="left"/>
        </w:tabs>
        <w:bidi w:val="0"/>
        <w:spacing w:before="0" w:line="240" w:lineRule="auto"/>
        <w:ind w:left="0" w:right="0" w:firstLine="140"/>
        <w:jc w:val="left"/>
      </w:pPr>
      <w:bookmarkStart w:id="1581" w:name="bookmark1581"/>
      <w:bookmarkStart w:id="1582" w:name="bookmark1582"/>
      <w:bookmarkStart w:id="1585" w:name="bookmark1585"/>
      <w:bookmarkStart w:id="1586" w:name="bookmark1586"/>
      <w:bookmarkEnd w:id="1585"/>
      <w:r>
        <w:rPr>
          <w:color w:val="000000"/>
          <w:spacing w:val="0"/>
          <w:w w:val="100"/>
          <w:position w:val="0"/>
        </w:rPr>
        <w:t>合营企业或联营企业发生的超额亏损</w:t>
      </w:r>
      <w:bookmarkEnd w:id="1581"/>
      <w:bookmarkEnd w:id="1582"/>
      <w:bookmarkEnd w:id="158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累积未确认前期累计认的损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本期未确认的损失(或本期分</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本期末累积未确认的损失</w:t>
            </w:r>
          </w:p>
        </w:tc>
      </w:tr>
    </w:tbl>
    <w:tbl>
      <w:tblPr>
        <w:tblOverlap w:val="never"/>
        <w:jc w:val="center"/>
        <w:tblLayout w:type="fixed"/>
      </w:tblPr>
      <w:tblGrid>
        <w:gridCol w:w="2395"/>
        <w:gridCol w:w="2395"/>
        <w:gridCol w:w="2390"/>
        <w:gridCol w:w="24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失</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0"/>
        <w:keepNext w:val="0"/>
        <w:keepLines w:val="0"/>
        <w:widowControl w:val="0"/>
        <w:numPr>
          <w:ilvl w:val="0"/>
          <w:numId w:val="153"/>
        </w:numPr>
        <w:shd w:val="clear" w:color="auto" w:fill="auto"/>
        <w:tabs>
          <w:tab w:pos="488" w:val="left"/>
        </w:tabs>
        <w:bidi w:val="0"/>
        <w:spacing w:before="0" w:after="380" w:line="240" w:lineRule="auto"/>
        <w:ind w:left="0" w:right="0" w:firstLine="0"/>
        <w:jc w:val="left"/>
      </w:pPr>
      <w:bookmarkStart w:id="1587" w:name="bookmark1587"/>
      <w:bookmarkEnd w:id="1587"/>
      <w:r>
        <w:rPr>
          <w:b/>
          <w:bCs/>
          <w:color w:val="000000"/>
          <w:spacing w:val="0"/>
          <w:w w:val="100"/>
          <w:position w:val="0"/>
        </w:rPr>
        <w:t>与合营企业投资相关的未确认承诺</w:t>
      </w:r>
    </w:p>
    <w:p>
      <w:pPr>
        <w:pStyle w:val="Style40"/>
        <w:keepNext w:val="0"/>
        <w:keepLines w:val="0"/>
        <w:widowControl w:val="0"/>
        <w:numPr>
          <w:ilvl w:val="0"/>
          <w:numId w:val="153"/>
        </w:numPr>
        <w:shd w:val="clear" w:color="auto" w:fill="auto"/>
        <w:tabs>
          <w:tab w:pos="488" w:val="left"/>
        </w:tabs>
        <w:bidi w:val="0"/>
        <w:spacing w:before="0" w:after="380" w:line="240" w:lineRule="auto"/>
        <w:ind w:left="0" w:right="0" w:firstLine="0"/>
        <w:jc w:val="left"/>
      </w:pPr>
      <w:bookmarkStart w:id="1588" w:name="bookmark1588"/>
      <w:bookmarkEnd w:id="1588"/>
      <w:r>
        <w:rPr>
          <w:b/>
          <w:bCs/>
          <w:color w:val="000000"/>
          <w:spacing w:val="0"/>
          <w:w w:val="100"/>
          <w:position w:val="0"/>
        </w:rPr>
        <w:t>与合营企业或联营企业投资相关的或有负债</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、重要的共同经营</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widowControl w:val="0"/>
        <w:spacing w:after="379" w:line="1" w:lineRule="exact"/>
      </w:pPr>
    </w:p>
    <w:p>
      <w:pPr>
        <w:pStyle w:val="Style40"/>
        <w:keepNext w:val="0"/>
        <w:keepLines w:val="0"/>
        <w:widowControl w:val="0"/>
        <w:shd w:val="clear" w:color="auto" w:fill="auto"/>
        <w:tabs>
          <w:tab w:pos="378" w:val="left"/>
        </w:tabs>
        <w:bidi w:val="0"/>
        <w:spacing w:before="0" w:after="380" w:line="240" w:lineRule="auto"/>
        <w:ind w:left="0" w:right="0" w:firstLine="0"/>
        <w:jc w:val="left"/>
      </w:pPr>
      <w:bookmarkStart w:id="1589" w:name="bookmark1589"/>
      <w:r>
        <w:rPr>
          <w:rFonts w:ascii="Times New Roman" w:eastAsia="Times New Roman" w:hAnsi="Times New Roman" w:cs="Times New Roman"/>
          <w:b/>
          <w:bCs/>
          <w:color w:val="000000"/>
          <w:spacing w:val="0"/>
          <w:w w:val="100"/>
          <w:position w:val="0"/>
        </w:rPr>
        <w:t>5</w:t>
      </w:r>
      <w:bookmarkEnd w:id="1589"/>
      <w:r>
        <w:rPr>
          <w:b/>
          <w:bCs/>
          <w:color w:val="000000"/>
          <w:spacing w:val="0"/>
          <w:w w:val="100"/>
          <w:position w:val="0"/>
        </w:rPr>
        <w:t>、</w:t>
        <w:tab/>
        <w:t>在未纳入合并财务报表范围的结构化主体中的权益</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40"/>
        <w:keepNext w:val="0"/>
        <w:keepLines w:val="0"/>
        <w:widowControl w:val="0"/>
        <w:shd w:val="clear" w:color="auto" w:fill="auto"/>
        <w:tabs>
          <w:tab w:pos="378" w:val="left"/>
        </w:tabs>
        <w:bidi w:val="0"/>
        <w:spacing w:before="0" w:after="300" w:line="240" w:lineRule="auto"/>
        <w:ind w:left="0" w:right="0" w:firstLine="0"/>
        <w:jc w:val="left"/>
      </w:pPr>
      <w:bookmarkStart w:id="1590" w:name="bookmark1590"/>
      <w:r>
        <w:rPr>
          <w:rFonts w:ascii="Times New Roman" w:eastAsia="Times New Roman" w:hAnsi="Times New Roman" w:cs="Times New Roman"/>
          <w:b/>
          <w:bCs/>
          <w:color w:val="000000"/>
          <w:spacing w:val="0"/>
          <w:w w:val="100"/>
          <w:position w:val="0"/>
        </w:rPr>
        <w:t>6</w:t>
      </w:r>
      <w:bookmarkEnd w:id="1590"/>
      <w:r>
        <w:rPr>
          <w:b/>
          <w:bCs/>
          <w:color w:val="000000"/>
          <w:spacing w:val="0"/>
          <w:w w:val="100"/>
          <w:position w:val="0"/>
        </w:rPr>
        <w:t>、</w:t>
        <w:tab/>
        <w:t>其他</w:t>
      </w:r>
    </w:p>
    <w:p>
      <w:pPr>
        <w:pStyle w:val="Style26"/>
        <w:keepNext/>
        <w:keepLines/>
        <w:widowControl w:val="0"/>
        <w:shd w:val="clear" w:color="auto" w:fill="auto"/>
        <w:bidi w:val="0"/>
        <w:spacing w:before="0" w:after="300" w:line="312" w:lineRule="exact"/>
        <w:ind w:left="0" w:right="0" w:firstLine="0"/>
        <w:jc w:val="left"/>
      </w:pPr>
      <w:bookmarkStart w:id="1591" w:name="bookmark1591"/>
      <w:bookmarkStart w:id="1592" w:name="bookmark1592"/>
      <w:bookmarkStart w:id="1593" w:name="bookmark1593"/>
      <w:r>
        <w:rPr>
          <w:color w:val="000000"/>
          <w:spacing w:val="0"/>
          <w:w w:val="100"/>
          <w:position w:val="0"/>
          <w:sz w:val="24"/>
          <w:szCs w:val="24"/>
        </w:rPr>
        <w:t>十、与金融工具相关的风险</w:t>
      </w:r>
      <w:bookmarkEnd w:id="1591"/>
      <w:bookmarkEnd w:id="1592"/>
      <w:bookmarkEnd w:id="1593"/>
    </w:p>
    <w:p>
      <w:pPr>
        <w:pStyle w:val="Style51"/>
        <w:keepNext w:val="0"/>
        <w:keepLines w:val="0"/>
        <w:widowControl w:val="0"/>
        <w:shd w:val="clear" w:color="auto" w:fill="auto"/>
        <w:bidi w:val="0"/>
        <w:spacing w:before="0" w:after="140" w:line="313" w:lineRule="exact"/>
        <w:ind w:left="0" w:right="0" w:firstLine="500"/>
        <w:jc w:val="both"/>
      </w:pPr>
      <w:r>
        <w:rPr>
          <w:color w:val="000000"/>
          <w:spacing w:val="0"/>
          <w:w w:val="100"/>
          <w:position w:val="0"/>
          <w:sz w:val="24"/>
          <w:szCs w:val="24"/>
        </w:rPr>
        <w:t>本公司的主要金融工具包括货币资金、应收账款、应收票据、应收利息、其他应收款、 其他流动资产、应付账款、应付利息、其他应付款、短期借款。各项金融工具的详细情况已 于相关附注内披露。与这些金融工具有关的风险，以及本公司为降低这些风险所采取的风险 管理政策如下所述。本公司管理层对这些风险敞口进行管理和监控以确保将上述风险控制在 限定的范围之内。</w:t>
      </w:r>
    </w:p>
    <w:p>
      <w:pPr>
        <w:pStyle w:val="Style51"/>
        <w:keepNext w:val="0"/>
        <w:keepLines w:val="0"/>
        <w:widowControl w:val="0"/>
        <w:shd w:val="clear" w:color="auto" w:fill="auto"/>
        <w:bidi w:val="0"/>
        <w:spacing w:before="0" w:after="140"/>
        <w:ind w:left="0" w:right="0" w:firstLine="500"/>
        <w:jc w:val="left"/>
      </w:pPr>
      <w:r>
        <w:rPr>
          <w:color w:val="000000"/>
          <w:spacing w:val="0"/>
          <w:w w:val="100"/>
          <w:position w:val="0"/>
          <w:sz w:val="24"/>
          <w:szCs w:val="24"/>
        </w:rPr>
        <w:t>本公司的金融工具导致的主要风险是市场风险、信用风险及流动性风险。</w:t>
      </w:r>
    </w:p>
    <w:p>
      <w:pPr>
        <w:pStyle w:val="Style51"/>
        <w:keepNext w:val="0"/>
        <w:keepLines w:val="0"/>
        <w:widowControl w:val="0"/>
        <w:numPr>
          <w:ilvl w:val="0"/>
          <w:numId w:val="155"/>
        </w:numPr>
        <w:shd w:val="clear" w:color="auto" w:fill="auto"/>
        <w:tabs>
          <w:tab w:pos="959" w:val="left"/>
        </w:tabs>
        <w:bidi w:val="0"/>
        <w:spacing w:before="0" w:after="80" w:line="271" w:lineRule="auto"/>
        <w:ind w:left="0" w:right="0" w:firstLine="500"/>
        <w:jc w:val="both"/>
      </w:pPr>
      <w:bookmarkStart w:id="1594" w:name="bookmark1594"/>
      <w:bookmarkEnd w:id="1594"/>
      <w:r>
        <w:rPr>
          <w:color w:val="000000"/>
          <w:spacing w:val="0"/>
          <w:w w:val="100"/>
          <w:position w:val="0"/>
          <w:sz w:val="24"/>
          <w:szCs w:val="24"/>
        </w:rPr>
        <w:t>市场风险</w:t>
      </w:r>
    </w:p>
    <w:p>
      <w:pPr>
        <w:pStyle w:val="Style51"/>
        <w:keepNext w:val="0"/>
        <w:keepLines w:val="0"/>
        <w:widowControl w:val="0"/>
        <w:shd w:val="clear" w:color="auto" w:fill="auto"/>
        <w:bidi w:val="0"/>
        <w:spacing w:before="0" w:after="80" w:line="302" w:lineRule="exact"/>
        <w:ind w:left="0" w:right="0" w:firstLine="500"/>
        <w:jc w:val="left"/>
      </w:pPr>
      <w:r>
        <w:rPr>
          <w:color w:val="000000"/>
          <w:spacing w:val="0"/>
          <w:w w:val="100"/>
          <w:position w:val="0"/>
          <w:sz w:val="24"/>
          <w:szCs w:val="24"/>
        </w:rPr>
        <w:t>金融工具的市场风险，是指金融工具的公允价值或未来现金流量因市场价格变动而发生 波动的风险，主要为利率风险。</w:t>
      </w:r>
    </w:p>
    <w:p>
      <w:pPr>
        <w:pStyle w:val="Style51"/>
        <w:keepNext w:val="0"/>
        <w:keepLines w:val="0"/>
        <w:widowControl w:val="0"/>
        <w:shd w:val="clear" w:color="auto" w:fill="auto"/>
        <w:bidi w:val="0"/>
        <w:spacing w:before="0" w:after="140"/>
        <w:ind w:left="0" w:right="0" w:firstLine="500"/>
        <w:jc w:val="left"/>
      </w:pPr>
      <w:r>
        <w:rPr>
          <w:color w:val="000000"/>
          <w:spacing w:val="0"/>
          <w:w w:val="100"/>
          <w:position w:val="0"/>
          <w:sz w:val="24"/>
          <w:szCs w:val="24"/>
        </w:rPr>
        <w:t>利率风险，是指金融工具的公允价值或未来现金流量因市场利率变动而发生波动的风险。 利率风险可源于已确认的计息金融工具和未确认的金融工具(如某些贷款承诺)。</w:t>
      </w:r>
    </w:p>
    <w:p>
      <w:pPr>
        <w:pStyle w:val="Style51"/>
        <w:keepNext w:val="0"/>
        <w:keepLines w:val="0"/>
        <w:widowControl w:val="0"/>
        <w:shd w:val="clear" w:color="auto" w:fill="auto"/>
        <w:bidi w:val="0"/>
        <w:spacing w:before="0" w:after="140"/>
        <w:ind w:left="0" w:right="0" w:firstLine="500"/>
        <w:jc w:val="left"/>
      </w:pPr>
      <w:r>
        <w:rPr>
          <w:color w:val="000000"/>
          <w:spacing w:val="0"/>
          <w:w w:val="100"/>
          <w:position w:val="0"/>
          <w:sz w:val="24"/>
          <w:szCs w:val="24"/>
        </w:rPr>
        <w:t>本公司密切关注利率变动对本公司利率风险的影响。本公司目前并未采取利率对冲政策。 但管理层负责监控利率风险，并将于需要时考虑对冲重大利率风险。由于定期存款为短期存 款，故银行存款的公允价值利率风险并不重大。</w:t>
      </w:r>
    </w:p>
    <w:p>
      <w:pPr>
        <w:pStyle w:val="Style51"/>
        <w:keepNext w:val="0"/>
        <w:keepLines w:val="0"/>
        <w:widowControl w:val="0"/>
        <w:numPr>
          <w:ilvl w:val="0"/>
          <w:numId w:val="155"/>
        </w:numPr>
        <w:shd w:val="clear" w:color="auto" w:fill="auto"/>
        <w:tabs>
          <w:tab w:pos="959" w:val="left"/>
        </w:tabs>
        <w:bidi w:val="0"/>
        <w:spacing w:before="0" w:after="80" w:line="271" w:lineRule="auto"/>
        <w:ind w:left="0" w:right="0" w:firstLine="500"/>
        <w:jc w:val="both"/>
      </w:pPr>
      <w:bookmarkStart w:id="1595" w:name="bookmark1595"/>
      <w:bookmarkEnd w:id="1595"/>
      <w:r>
        <w:rPr>
          <w:color w:val="000000"/>
          <w:spacing w:val="0"/>
          <w:w w:val="100"/>
          <w:position w:val="0"/>
          <w:sz w:val="24"/>
          <w:szCs w:val="24"/>
        </w:rPr>
        <w:t>信用风险</w:t>
      </w:r>
    </w:p>
    <w:p>
      <w:pPr>
        <w:pStyle w:val="Style51"/>
        <w:keepNext w:val="0"/>
        <w:keepLines w:val="0"/>
        <w:widowControl w:val="0"/>
        <w:shd w:val="clear" w:color="auto" w:fill="auto"/>
        <w:bidi w:val="0"/>
        <w:spacing w:before="0" w:after="140"/>
        <w:ind w:left="0" w:right="0" w:firstLine="500"/>
        <w:jc w:val="both"/>
      </w:pPr>
      <w:r>
        <w:rPr>
          <w:color w:val="000000"/>
          <w:spacing w:val="0"/>
          <w:w w:val="100"/>
          <w:position w:val="0"/>
          <w:sz w:val="24"/>
          <w:szCs w:val="24"/>
        </w:rPr>
        <w:t>信用风险，是指金融工具的一方不履行义务，造成另一方发生财务损失的风险。</w:t>
      </w:r>
    </w:p>
    <w:p>
      <w:pPr>
        <w:pStyle w:val="Style51"/>
        <w:keepNext w:val="0"/>
        <w:keepLines w:val="0"/>
        <w:widowControl w:val="0"/>
        <w:shd w:val="clear" w:color="auto" w:fill="auto"/>
        <w:bidi w:val="0"/>
        <w:spacing w:before="0" w:after="220"/>
        <w:ind w:left="0" w:right="0" w:firstLine="500"/>
        <w:jc w:val="both"/>
      </w:pPr>
      <w:r>
        <w:rPr>
          <w:color w:val="000000"/>
          <w:spacing w:val="0"/>
          <w:w w:val="100"/>
          <w:position w:val="0"/>
          <w:sz w:val="24"/>
          <w:szCs w:val="24"/>
        </w:rPr>
        <w:t>本公司对信用风险按组合分类进行管理。信用风险主要产生于银行存款和应收款项等。</w:t>
      </w:r>
    </w:p>
    <w:p>
      <w:pPr>
        <w:pStyle w:val="Style51"/>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本公司银行存款主要存放于国有银行和其它大中型上市银行，本公司预期银行存款不存 在重大的信用风险。</w:t>
      </w:r>
    </w:p>
    <w:p>
      <w:pPr>
        <w:pStyle w:val="Style51"/>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对于应收款项，本公司设定相关政策以控制信用风险敞口。本公司基于对债务人的财务 状况、外部评级、从第三方获取担保的可能性、信用记录及其它因素诸如目前市场状况等评 估债务人的信用资质并设谿相应欠款额度与信用期限。本公司会定期对债务人信用记录进行 监控，对于信用记录不良的债务人，本公司会采用书面催款、缩短信用期或取消信用期等方 式，以确保本公司的整体信用风险在可控的范围内。</w:t>
      </w:r>
    </w:p>
    <w:p>
      <w:pPr>
        <w:pStyle w:val="Style51"/>
        <w:keepNext w:val="0"/>
        <w:keepLines w:val="0"/>
        <w:widowControl w:val="0"/>
        <w:shd w:val="clear" w:color="auto" w:fill="auto"/>
        <w:bidi w:val="0"/>
        <w:spacing w:before="0" w:after="100" w:line="307" w:lineRule="exact"/>
        <w:ind w:left="0" w:right="0" w:firstLine="480"/>
        <w:jc w:val="both"/>
      </w:pPr>
      <w:r>
        <w:rPr>
          <w:color w:val="000000"/>
          <w:spacing w:val="0"/>
          <w:w w:val="100"/>
          <w:position w:val="0"/>
          <w:sz w:val="24"/>
          <w:szCs w:val="24"/>
        </w:rPr>
        <w:t>本公司所承受的最大信用风险敞口为资产负债表中每项金融资产的账面金额。本公司没 有提供任何其他可能令本公司承受信用风险的担保。</w:t>
      </w:r>
    </w:p>
    <w:p>
      <w:pPr>
        <w:pStyle w:val="Style51"/>
        <w:keepNext w:val="0"/>
        <w:keepLines w:val="0"/>
        <w:widowControl w:val="0"/>
        <w:shd w:val="clear" w:color="auto" w:fill="auto"/>
        <w:bidi w:val="0"/>
        <w:spacing w:before="0" w:after="100" w:line="322" w:lineRule="exact"/>
        <w:ind w:left="0" w:right="0" w:firstLine="480"/>
        <w:jc w:val="both"/>
      </w:pPr>
      <w:r>
        <w:rPr>
          <w:color w:val="000000"/>
          <w:spacing w:val="0"/>
          <w:w w:val="100"/>
          <w:position w:val="0"/>
          <w:sz w:val="24"/>
          <w:szCs w:val="24"/>
        </w:rPr>
        <w:t>本公司应收账款中，欠款金额前五大客户的应收账款占本公司应收账款总额的</w:t>
      </w:r>
      <w:r>
        <w:rPr>
          <w:rFonts w:ascii="Times New Roman" w:eastAsia="Times New Roman" w:hAnsi="Times New Roman" w:cs="Times New Roman"/>
          <w:color w:val="000000"/>
          <w:spacing w:val="0"/>
          <w:w w:val="100"/>
          <w:position w:val="0"/>
          <w:sz w:val="24"/>
          <w:szCs w:val="24"/>
        </w:rPr>
        <w:t>38.51%</w:t>
      </w:r>
      <w:r>
        <w:rPr>
          <w:color w:val="000000"/>
          <w:spacing w:val="0"/>
          <w:w w:val="100"/>
          <w:position w:val="0"/>
          <w:sz w:val="24"/>
          <w:szCs w:val="24"/>
        </w:rPr>
        <w:t>； 本公司其他应收款中，欠款金额前五大公司的其他应收款占本公司其他应收款总额的</w:t>
      </w:r>
      <w:r>
        <w:rPr>
          <w:rFonts w:ascii="Times New Roman" w:eastAsia="Times New Roman" w:hAnsi="Times New Roman" w:cs="Times New Roman"/>
          <w:color w:val="000000"/>
          <w:spacing w:val="0"/>
          <w:w w:val="100"/>
          <w:position w:val="0"/>
          <w:sz w:val="24"/>
          <w:szCs w:val="24"/>
        </w:rPr>
        <w:t>43.30%</w:t>
      </w:r>
      <w:r>
        <w:rPr>
          <w:color w:val="000000"/>
          <w:spacing w:val="0"/>
          <w:w w:val="100"/>
          <w:position w:val="0"/>
          <w:sz w:val="24"/>
          <w:szCs w:val="24"/>
        </w:rPr>
        <w:t>。</w:t>
      </w:r>
    </w:p>
    <w:p>
      <w:pPr>
        <w:pStyle w:val="Style51"/>
        <w:keepNext w:val="0"/>
        <w:keepLines w:val="0"/>
        <w:widowControl w:val="0"/>
        <w:numPr>
          <w:ilvl w:val="0"/>
          <w:numId w:val="155"/>
        </w:numPr>
        <w:shd w:val="clear" w:color="auto" w:fill="auto"/>
        <w:bidi w:val="0"/>
        <w:spacing w:before="0" w:after="100" w:line="271" w:lineRule="auto"/>
        <w:ind w:left="0" w:right="0" w:firstLine="480"/>
        <w:jc w:val="both"/>
      </w:pPr>
      <w:bookmarkStart w:id="1596" w:name="bookmark1596"/>
      <w:bookmarkEnd w:id="1596"/>
      <w:r>
        <w:rPr>
          <w:color w:val="000000"/>
          <w:spacing w:val="0"/>
          <w:w w:val="100"/>
          <w:position w:val="0"/>
          <w:sz w:val="24"/>
          <w:szCs w:val="24"/>
        </w:rPr>
        <w:t>流动性风险</w:t>
      </w:r>
    </w:p>
    <w:p>
      <w:pPr>
        <w:pStyle w:val="Style51"/>
        <w:keepNext w:val="0"/>
        <w:keepLines w:val="0"/>
        <w:widowControl w:val="0"/>
        <w:shd w:val="clear" w:color="auto" w:fill="auto"/>
        <w:bidi w:val="0"/>
        <w:spacing w:before="0" w:after="100"/>
        <w:ind w:left="0" w:right="0" w:firstLine="480"/>
        <w:jc w:val="both"/>
      </w:pPr>
      <w:r>
        <w:rPr>
          <w:color w:val="000000"/>
          <w:spacing w:val="0"/>
          <w:w w:val="100"/>
          <w:position w:val="0"/>
          <w:sz w:val="24"/>
          <w:szCs w:val="24"/>
        </w:rPr>
        <w:t>流动性风险，是指本公司在履行以交付现金或其他金融资产的方式结算的义务时发生资 金短缺的风险。</w:t>
      </w:r>
    </w:p>
    <w:p>
      <w:pPr>
        <w:pStyle w:val="Style51"/>
        <w:keepNext w:val="0"/>
        <w:keepLines w:val="0"/>
        <w:widowControl w:val="0"/>
        <w:shd w:val="clear" w:color="auto" w:fill="auto"/>
        <w:bidi w:val="0"/>
        <w:spacing w:before="0" w:after="640" w:line="313" w:lineRule="exact"/>
        <w:ind w:left="0" w:right="0" w:firstLine="480"/>
        <w:jc w:val="both"/>
      </w:pPr>
      <w:r>
        <w:rPr>
          <w:color w:val="000000"/>
          <w:spacing w:val="0"/>
          <w:w w:val="100"/>
          <w:position w:val="0"/>
          <w:sz w:val="24"/>
          <w:szCs w:val="24"/>
        </w:rPr>
        <w:t>管理流动风险时，本公司及各子公司负责自身的现金管理工作，包括现金盈余的短期投 资和筹措贷款以应付预计现金需求(如果借款额超过某些预设授权上限，便需获得本公司董 事会的批准)。此外，本公司也会考虑与供应商协商，要求其调减部分债务金额，或者用出 售长账龄应收账款的形式提早获取资金，以减轻公司的现金流压力。本公司的政策是定期监 控短期和长期的流动资金需求，以及是否符合借款协议的规定，以确保维持充裕的现金储备 和可供随时变现的有价证券，同时获得主要金融机构承诺提供足够的备用资金，以满足短期 和较长期的流动资金需求。</w:t>
      </w:r>
    </w:p>
    <w:p>
      <w:pPr>
        <w:pStyle w:val="Style5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z w:val="24"/>
          <w:szCs w:val="24"/>
        </w:rPr>
        <w:t>十一、公允价值的披露</w:t>
      </w:r>
    </w:p>
    <w:p>
      <w:pPr>
        <w:pStyle w:val="Style4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第一层次公允价值计</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407" w:right="1039" w:bottom="1445" w:left="1059" w:header="0" w:footer="3" w:gutter="0"/>
          <w:cols w:space="720"/>
          <w:noEndnote/>
          <w:rtlGutter w:val="0"/>
          <w:docGrid w:linePitch="360"/>
        </w:sectPr>
      </w:pP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597" w:name="bookmark1597"/>
      <w:r>
        <w:rPr>
          <w:rFonts w:ascii="Times New Roman" w:eastAsia="Times New Roman" w:hAnsi="Times New Roman" w:cs="Times New Roman"/>
          <w:b/>
          <w:bCs/>
          <w:color w:val="000000"/>
          <w:spacing w:val="0"/>
          <w:w w:val="100"/>
          <w:position w:val="0"/>
        </w:rPr>
        <w:t>2</w:t>
      </w:r>
      <w:bookmarkEnd w:id="1597"/>
      <w:r>
        <w:rPr>
          <w:b/>
          <w:bCs/>
          <w:color w:val="000000"/>
          <w:spacing w:val="0"/>
          <w:w w:val="100"/>
          <w:position w:val="0"/>
        </w:rPr>
        <w:t>、</w:t>
        <w:tab/>
        <w:t>持续和非持续第一层次公允价值计量项目市价的确定依据</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598" w:name="bookmark1598"/>
      <w:r>
        <w:rPr>
          <w:rFonts w:ascii="Times New Roman" w:eastAsia="Times New Roman" w:hAnsi="Times New Roman" w:cs="Times New Roman"/>
          <w:b/>
          <w:bCs/>
          <w:color w:val="000000"/>
          <w:spacing w:val="0"/>
          <w:w w:val="100"/>
          <w:position w:val="0"/>
        </w:rPr>
        <w:t>3</w:t>
      </w:r>
      <w:bookmarkEnd w:id="1598"/>
      <w:r>
        <w:rPr>
          <w:b/>
          <w:bCs/>
          <w:color w:val="000000"/>
          <w:spacing w:val="0"/>
          <w:w w:val="100"/>
          <w:position w:val="0"/>
        </w:rPr>
        <w:t>、</w:t>
        <w:tab/>
        <w:t>持续和非持续第二层次公允价值计量项目，采用的估值技术和重要参数的定性及定量信息</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599" w:name="bookmark1599"/>
      <w:r>
        <w:rPr>
          <w:rFonts w:ascii="Times New Roman" w:eastAsia="Times New Roman" w:hAnsi="Times New Roman" w:cs="Times New Roman"/>
          <w:b/>
          <w:bCs/>
          <w:color w:val="000000"/>
          <w:spacing w:val="0"/>
          <w:w w:val="100"/>
          <w:position w:val="0"/>
        </w:rPr>
        <w:t>4</w:t>
      </w:r>
      <w:bookmarkEnd w:id="1599"/>
      <w:r>
        <w:rPr>
          <w:b/>
          <w:bCs/>
          <w:color w:val="000000"/>
          <w:spacing w:val="0"/>
          <w:w w:val="100"/>
          <w:position w:val="0"/>
        </w:rPr>
        <w:t>、</w:t>
        <w:tab/>
        <w:t>持续和非持续第三层次公允价值计量项目，采用的估值技术和重要参数的定性及定量信息</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00" w:name="bookmark1600"/>
      <w:r>
        <w:rPr>
          <w:rFonts w:ascii="Times New Roman" w:eastAsia="Times New Roman" w:hAnsi="Times New Roman" w:cs="Times New Roman"/>
          <w:b/>
          <w:bCs/>
          <w:color w:val="000000"/>
          <w:spacing w:val="0"/>
          <w:w w:val="100"/>
          <w:position w:val="0"/>
        </w:rPr>
        <w:t>5</w:t>
      </w:r>
      <w:bookmarkEnd w:id="1600"/>
      <w:r>
        <w:rPr>
          <w:b/>
          <w:bCs/>
          <w:color w:val="000000"/>
          <w:spacing w:val="0"/>
          <w:w w:val="100"/>
          <w:position w:val="0"/>
        </w:rPr>
        <w:t>、</w:t>
        <w:tab/>
        <w:t>持续的第三层次公允价值计量项目，期初与期末账面价值间的调节信息及不可观察参数敏感性分析</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01" w:name="bookmark1601"/>
      <w:r>
        <w:rPr>
          <w:rFonts w:ascii="Times New Roman" w:eastAsia="Times New Roman" w:hAnsi="Times New Roman" w:cs="Times New Roman"/>
          <w:b/>
          <w:bCs/>
          <w:color w:val="000000"/>
          <w:spacing w:val="0"/>
          <w:w w:val="100"/>
          <w:position w:val="0"/>
        </w:rPr>
        <w:t>6</w:t>
      </w:r>
      <w:bookmarkEnd w:id="1601"/>
      <w:r>
        <w:rPr>
          <w:b/>
          <w:bCs/>
          <w:color w:val="000000"/>
          <w:spacing w:val="0"/>
          <w:w w:val="100"/>
          <w:position w:val="0"/>
        </w:rPr>
        <w:t>、</w:t>
        <w:tab/>
        <w:t>持续的公允价值计量项目，本期内发生各层级之间转换的，转换的原因及确定转换时点的政策</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02" w:name="bookmark1602"/>
      <w:r>
        <w:rPr>
          <w:rFonts w:ascii="Times New Roman" w:eastAsia="Times New Roman" w:hAnsi="Times New Roman" w:cs="Times New Roman"/>
          <w:b/>
          <w:bCs/>
          <w:color w:val="000000"/>
          <w:spacing w:val="0"/>
          <w:w w:val="100"/>
          <w:position w:val="0"/>
        </w:rPr>
        <w:t>7</w:t>
      </w:r>
      <w:bookmarkEnd w:id="1602"/>
      <w:r>
        <w:rPr>
          <w:b/>
          <w:bCs/>
          <w:color w:val="000000"/>
          <w:spacing w:val="0"/>
          <w:w w:val="100"/>
          <w:position w:val="0"/>
        </w:rPr>
        <w:t>、</w:t>
        <w:tab/>
        <w:t>本期内发生的估值技术变更及变更原因</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03" w:name="bookmark1603"/>
      <w:r>
        <w:rPr>
          <w:rFonts w:ascii="Times New Roman" w:eastAsia="Times New Roman" w:hAnsi="Times New Roman" w:cs="Times New Roman"/>
          <w:b/>
          <w:bCs/>
          <w:color w:val="000000"/>
          <w:spacing w:val="0"/>
          <w:w w:val="100"/>
          <w:position w:val="0"/>
        </w:rPr>
        <w:t>8</w:t>
      </w:r>
      <w:bookmarkEnd w:id="1603"/>
      <w:r>
        <w:rPr>
          <w:b/>
          <w:bCs/>
          <w:color w:val="000000"/>
          <w:spacing w:val="0"/>
          <w:w w:val="100"/>
          <w:position w:val="0"/>
        </w:rPr>
        <w:t>、</w:t>
        <w:tab/>
        <w:t>不以公允价值计量的金融资产和金融负债的公允价值情况</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04" w:name="bookmark1604"/>
      <w:r>
        <w:rPr>
          <w:rFonts w:ascii="Times New Roman" w:eastAsia="Times New Roman" w:hAnsi="Times New Roman" w:cs="Times New Roman"/>
          <w:b/>
          <w:bCs/>
          <w:color w:val="000000"/>
          <w:spacing w:val="0"/>
          <w:w w:val="100"/>
          <w:position w:val="0"/>
        </w:rPr>
        <w:t>9</w:t>
      </w:r>
      <w:bookmarkEnd w:id="1604"/>
      <w:r>
        <w:rPr>
          <w:b/>
          <w:bCs/>
          <w:color w:val="000000"/>
          <w:spacing w:val="0"/>
          <w:w w:val="100"/>
          <w:position w:val="0"/>
        </w:rPr>
        <w:t>、</w:t>
        <w:tab/>
        <w:t>其他</w:t>
      </w:r>
    </w:p>
    <w:p>
      <w:pPr>
        <w:pStyle w:val="Style26"/>
        <w:keepNext/>
        <w:keepLines/>
        <w:widowControl w:val="0"/>
        <w:shd w:val="clear" w:color="auto" w:fill="auto"/>
        <w:bidi w:val="0"/>
        <w:spacing w:before="0" w:after="340" w:line="240" w:lineRule="auto"/>
        <w:ind w:left="0" w:right="0" w:firstLine="0"/>
        <w:jc w:val="left"/>
      </w:pPr>
      <w:bookmarkStart w:id="1605" w:name="bookmark1605"/>
      <w:bookmarkStart w:id="1606" w:name="bookmark1606"/>
      <w:bookmarkStart w:id="1607" w:name="bookmark1607"/>
      <w:r>
        <w:rPr>
          <w:color w:val="000000"/>
          <w:spacing w:val="0"/>
          <w:w w:val="100"/>
          <w:position w:val="0"/>
          <w:sz w:val="24"/>
          <w:szCs w:val="24"/>
        </w:rPr>
        <w:t>十二、关联方及关联交易</w:t>
      </w:r>
      <w:bookmarkEnd w:id="1605"/>
      <w:bookmarkEnd w:id="1606"/>
      <w:bookmarkEnd w:id="1607"/>
    </w:p>
    <w:p>
      <w:pPr>
        <w:pStyle w:val="Style4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rPr>
                <w:sz w:val="18"/>
                <w:szCs w:val="18"/>
              </w:rPr>
            </w:pPr>
            <w:r>
              <w:rPr>
                <w:color w:val="000000"/>
                <w:spacing w:val="0"/>
                <w:w w:val="100"/>
                <w:position w:val="0"/>
                <w:sz w:val="18"/>
                <w:szCs w:val="18"/>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8"/>
                <w:szCs w:val="18"/>
              </w:rPr>
              <w:t>母公司对本企业的 表决权比例</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40"/>
        <w:keepNext w:val="0"/>
        <w:keepLines w:val="0"/>
        <w:widowControl w:val="0"/>
        <w:shd w:val="clear" w:color="auto" w:fill="auto"/>
        <w:tabs>
          <w:tab w:pos="378" w:val="left"/>
        </w:tabs>
        <w:bidi w:val="0"/>
        <w:spacing w:before="0" w:after="400" w:line="240" w:lineRule="auto"/>
        <w:ind w:left="0" w:right="0" w:firstLine="0"/>
        <w:jc w:val="left"/>
      </w:pPr>
      <w:bookmarkStart w:id="1608" w:name="bookmark1608"/>
      <w:r>
        <w:rPr>
          <w:rFonts w:ascii="Times New Roman" w:eastAsia="Times New Roman" w:hAnsi="Times New Roman" w:cs="Times New Roman"/>
          <w:b/>
          <w:bCs/>
          <w:color w:val="000000"/>
          <w:spacing w:val="0"/>
          <w:w w:val="100"/>
          <w:position w:val="0"/>
        </w:rPr>
        <w:t>2</w:t>
      </w:r>
      <w:bookmarkEnd w:id="1608"/>
      <w:r>
        <w:rPr>
          <w:b/>
          <w:bCs/>
          <w:color w:val="000000"/>
          <w:spacing w:val="0"/>
          <w:w w:val="100"/>
          <w:position w:val="0"/>
        </w:rPr>
        <w:t>、</w:t>
        <w:tab/>
        <w:t>本企业的子公司情况</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p>
    <w:p>
      <w:pPr>
        <w:pStyle w:val="Style40"/>
        <w:keepNext w:val="0"/>
        <w:keepLines w:val="0"/>
        <w:widowControl w:val="0"/>
        <w:shd w:val="clear" w:color="auto" w:fill="auto"/>
        <w:tabs>
          <w:tab w:pos="378" w:val="left"/>
        </w:tabs>
        <w:bidi w:val="0"/>
        <w:spacing w:before="0" w:after="400" w:line="240" w:lineRule="auto"/>
        <w:ind w:left="0" w:right="0" w:firstLine="0"/>
        <w:jc w:val="left"/>
      </w:pPr>
      <w:bookmarkStart w:id="1609" w:name="bookmark1609"/>
      <w:r>
        <w:rPr>
          <w:rFonts w:ascii="Times New Roman" w:eastAsia="Times New Roman" w:hAnsi="Times New Roman" w:cs="Times New Roman"/>
          <w:b/>
          <w:bCs/>
          <w:color w:val="000000"/>
          <w:spacing w:val="0"/>
          <w:w w:val="100"/>
          <w:position w:val="0"/>
        </w:rPr>
        <w:t>3</w:t>
      </w:r>
      <w:bookmarkEnd w:id="1609"/>
      <w:r>
        <w:rPr>
          <w:b/>
          <w:bCs/>
          <w:color w:val="000000"/>
          <w:spacing w:val="0"/>
          <w:w w:val="100"/>
          <w:position w:val="0"/>
        </w:rPr>
        <w:t>、</w:t>
        <w:tab/>
        <w:t>本企业合营和联营企业情况</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0"/>
        <w:keepNext w:val="0"/>
        <w:keepLines w:val="0"/>
        <w:widowControl w:val="0"/>
        <w:shd w:val="clear" w:color="auto" w:fill="auto"/>
        <w:bidi w:val="0"/>
        <w:spacing w:before="0" w:after="340" w:line="240" w:lineRule="auto"/>
        <w:ind w:left="0" w:right="0" w:firstLine="0"/>
        <w:jc w:val="left"/>
      </w:pPr>
      <w:bookmarkStart w:id="1610" w:name="bookmark1610"/>
      <w:r>
        <w:rPr>
          <w:rFonts w:ascii="Times New Roman" w:eastAsia="Times New Roman" w:hAnsi="Times New Roman" w:cs="Times New Roman"/>
          <w:b/>
          <w:bCs/>
          <w:color w:val="000000"/>
          <w:spacing w:val="0"/>
          <w:w w:val="100"/>
          <w:position w:val="0"/>
        </w:rPr>
        <w:t>4</w:t>
      </w:r>
      <w:bookmarkEnd w:id="1610"/>
      <w:r>
        <w:rPr>
          <w:b/>
          <w:bCs/>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王际松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贾丽娟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张德强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北京世纪万向投资咨询有限公司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本公司之股东</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侯玉艳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本公司实际控制人朱业胜之配偶</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color w:val="000000"/>
          <w:spacing w:val="0"/>
          <w:w w:val="100"/>
          <w:position w:val="0"/>
        </w:rPr>
        <w:t>、关联交易情况</w:t>
      </w:r>
      <w:bookmarkEnd w:id="1611"/>
      <w:bookmarkEnd w:id="1612"/>
      <w:bookmarkEnd w:id="1614"/>
    </w:p>
    <w:p>
      <w:pPr>
        <w:pStyle w:val="Style36"/>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11"/>
      <w:bookmarkEnd w:id="1612"/>
      <w:bookmarkEnd w:id="161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16"/>
      <w:bookmarkEnd w:id="1617"/>
      <w:bookmarkEnd w:id="161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43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承包方名</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承包收益</w:t>
            </w:r>
          </w:p>
        </w:tc>
      </w:tr>
      <w:tr>
        <w:trPr>
          <w:trHeight w:val="1109"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承包情况说明</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出包情况表：</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单位： 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承包方名</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出包费定</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6"/>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19"/>
      <w:bookmarkEnd w:id="1620"/>
      <w:bookmarkEnd w:id="162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上期确认的租赁收入</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本公司作为承租方：</w:t>
      </w:r>
    </w:p>
    <w:p>
      <w:pPr>
        <w:pStyle w:val="Style30"/>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上期确认的租赁费</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6"/>
        <w:keepNext/>
        <w:keepLines/>
        <w:widowControl w:val="0"/>
        <w:numPr>
          <w:ilvl w:val="0"/>
          <w:numId w:val="155"/>
        </w:numPr>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关联担保情况</w:t>
      </w:r>
      <w:bookmarkEnd w:id="1623"/>
      <w:bookmarkEnd w:id="1624"/>
      <w:bookmarkEnd w:id="16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朱业胜及其配偶侯玉艳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朱业胜、姜承法、曾维 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5,828,900.00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朱业胜及其配偶侯玉艳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朱业胜、姜承法、曾维 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朱业胜、姜承法、曾维 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朱业胜、姜承法、曾维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8,097,900.00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p>
      <w:pPr>
        <w:pStyle w:val="Style21"/>
        <w:keepNext w:val="0"/>
        <w:keepLines w:val="0"/>
        <w:widowControl w:val="0"/>
        <w:shd w:val="clear" w:color="auto" w:fill="auto"/>
        <w:tabs>
          <w:tab w:pos="2731" w:val="left"/>
        </w:tabs>
        <w:bidi w:val="0"/>
        <w:spacing w:before="0" w:after="0" w:line="240" w:lineRule="auto"/>
        <w:ind w:left="0" w:right="0" w:firstLine="0"/>
        <w:jc w:val="left"/>
        <w:rPr>
          <w:sz w:val="18"/>
          <w:szCs w:val="18"/>
        </w:rPr>
      </w:pPr>
      <w:r>
        <mc:AlternateContent>
          <mc:Choice Requires="wps">
            <w:drawing>
              <wp:anchor distT="0" distB="0" distL="0" distR="0" simplePos="0" relativeHeight="125829380" behindDoc="0" locked="0" layoutInCell="1" allowOverlap="1">
                <wp:simplePos x="0" y="0"/>
                <wp:positionH relativeFrom="page">
                  <wp:posOffset>714375</wp:posOffset>
                </wp:positionH>
                <wp:positionV relativeFrom="margin">
                  <wp:posOffset>0</wp:posOffset>
                </wp:positionV>
                <wp:extent cx="6087110" cy="265430"/>
                <wp:wrapTopAndBottom/>
                <wp:docPr id="24" name="Shape 24"/>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1920"/>
                              <w:gridCol w:w="1915"/>
                              <w:gridCol w:w="1915"/>
                              <w:gridCol w:w="1910"/>
                              <w:gridCol w:w="1925"/>
                            </w:tblGrid>
                            <w:tr>
                              <w:trPr>
                                <w:tblHeade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56.25pt;margin-top:0;width:479.30000000000001pt;height:20.900000000000002pt;z-index:-125829373;mso-wrap-distance-left:0;mso-wrap-distance-right:0;mso-position-horizontal-relative:page;mso-position-vertical-relative:margin" filled="f" stroked="f">
                <v:textbox inset="0,0,0,0">
                  <w:txbxContent>
                    <w:tbl>
                      <w:tblPr>
                        <w:tblOverlap w:val="never"/>
                        <w:jc w:val="left"/>
                        <w:tblLayout w:type="fixed"/>
                      </w:tblPr>
                      <w:tblGrid>
                        <w:gridCol w:w="1920"/>
                        <w:gridCol w:w="1915"/>
                        <w:gridCol w:w="1915"/>
                        <w:gridCol w:w="1910"/>
                        <w:gridCol w:w="1925"/>
                      </w:tblGrid>
                      <w:tr>
                        <w:trPr>
                          <w:tblHeade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朱业胜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8"/>
          <w:szCs w:val="18"/>
        </w:rPr>
        <w:t>朱业胜</w:t>
        <w:tab/>
      </w:r>
      <w:r>
        <w:rPr>
          <w:rFonts w:ascii="Times New Roman" w:eastAsia="Times New Roman" w:hAnsi="Times New Roman" w:cs="Times New Roman"/>
          <w:color w:val="000000"/>
          <w:spacing w:val="0"/>
          <w:w w:val="100"/>
          <w:position w:val="0"/>
          <w:sz w:val="18"/>
          <w:szCs w:val="18"/>
        </w:rPr>
        <w:t xml:space="preserve">30,000,000.00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 否</w:t>
      </w:r>
    </w:p>
    <w:p>
      <w:pPr>
        <w:pStyle w:val="Style30"/>
        <w:keepNext w:val="0"/>
        <w:keepLines w:val="0"/>
        <w:widowControl w:val="0"/>
        <w:shd w:val="clear" w:color="auto" w:fill="auto"/>
        <w:bidi w:val="0"/>
        <w:spacing w:before="80" w:after="36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after="0" w:line="240" w:lineRule="auto"/>
        <w:ind w:left="0" w:right="0" w:firstLine="0"/>
        <w:jc w:val="left"/>
      </w:pPr>
      <w:r>
        <w:drawing>
          <wp:anchor distT="165100" distB="0" distL="114300" distR="114300" simplePos="0" relativeHeight="125829382" behindDoc="0" locked="0" layoutInCell="1" allowOverlap="1">
            <wp:simplePos x="0" y="0"/>
            <wp:positionH relativeFrom="page">
              <wp:posOffset>714375</wp:posOffset>
            </wp:positionH>
            <wp:positionV relativeFrom="margin">
              <wp:posOffset>1109345</wp:posOffset>
            </wp:positionV>
            <wp:extent cx="6120130" cy="95694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5"/>
                    <a:stretch/>
                  </pic:blipFill>
                  <pic:spPr>
                    <a:xfrm>
                      <a:ext cx="6120130" cy="956945"/>
                    </a:xfrm>
                    <a:prstGeom prst="rect"/>
                  </pic:spPr>
                </pic:pic>
              </a:graphicData>
            </a:graphic>
          </wp:anchor>
        </w:drawing>
      </w: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27"/>
      <w:bookmarkEnd w:id="1628"/>
      <w:bookmarkEnd w:id="1630"/>
    </w:p>
    <w:p>
      <w:pPr>
        <w:pStyle w:val="Style36"/>
        <w:keepNext/>
        <w:keepLines/>
        <w:widowControl w:val="0"/>
        <w:shd w:val="clear" w:color="auto" w:fill="auto"/>
        <w:bidi w:val="0"/>
        <w:spacing w:before="0" w:after="340" w:line="240" w:lineRule="auto"/>
        <w:ind w:left="0" w:right="0" w:firstLine="14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31"/>
      <w:bookmarkEnd w:id="1632"/>
      <w:bookmarkEnd w:id="16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635"/>
      <w:bookmarkEnd w:id="1636"/>
      <w:bookmarkEnd w:id="16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39"/>
      <w:bookmarkEnd w:id="1640"/>
      <w:bookmarkEnd w:id="1642"/>
    </w:p>
    <w:p>
      <w:pPr>
        <w:pStyle w:val="Style36"/>
        <w:keepNext/>
        <w:keepLines/>
        <w:widowControl w:val="0"/>
        <w:shd w:val="clear" w:color="auto" w:fill="auto"/>
        <w:bidi w:val="0"/>
        <w:spacing w:before="0" w:after="340" w:line="240" w:lineRule="auto"/>
        <w:ind w:left="0" w:right="0" w:firstLine="0"/>
        <w:jc w:val="left"/>
      </w:pPr>
      <w:bookmarkStart w:id="1639" w:name="bookmark1639"/>
      <w:bookmarkStart w:id="1640" w:name="bookmark1640"/>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color w:val="000000"/>
          <w:spacing w:val="0"/>
          <w:w w:val="100"/>
          <w:position w:val="0"/>
        </w:rPr>
        <w:t>、关联方应收应付款项</w:t>
      </w:r>
      <w:bookmarkEnd w:id="1639"/>
      <w:bookmarkEnd w:id="1640"/>
      <w:bookmarkEnd w:id="1644"/>
    </w:p>
    <w:p>
      <w:pPr>
        <w:pStyle w:val="Style36"/>
        <w:keepNext/>
        <w:keepLines/>
        <w:widowControl w:val="0"/>
        <w:shd w:val="clear" w:color="auto" w:fill="auto"/>
        <w:bidi w:val="0"/>
        <w:spacing w:before="0" w:after="340" w:line="240" w:lineRule="auto"/>
        <w:ind w:left="0" w:right="0" w:firstLine="0"/>
        <w:jc w:val="left"/>
      </w:pPr>
      <w:bookmarkStart w:id="1639" w:name="bookmark1639"/>
      <w:bookmarkStart w:id="1640" w:name="bookmark1640"/>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39"/>
      <w:bookmarkEnd w:id="1640"/>
      <w:bookmarkEnd w:id="164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46"/>
      <w:bookmarkEnd w:id="1647"/>
      <w:bookmarkEnd w:id="164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bl>
    <w:p>
      <w:pPr>
        <w:pStyle w:val="Style40"/>
        <w:keepNext w:val="0"/>
        <w:keepLines w:val="0"/>
        <w:widowControl w:val="0"/>
        <w:shd w:val="clear" w:color="auto" w:fill="auto"/>
        <w:tabs>
          <w:tab w:pos="373" w:val="left"/>
        </w:tabs>
        <w:bidi w:val="0"/>
        <w:spacing w:before="0" w:after="340" w:line="240" w:lineRule="auto"/>
        <w:ind w:left="0" w:right="0" w:firstLine="0"/>
        <w:jc w:val="left"/>
      </w:pPr>
      <w:bookmarkStart w:id="1649" w:name="bookmark1649"/>
      <w:r>
        <w:rPr>
          <w:rFonts w:ascii="Times New Roman" w:eastAsia="Times New Roman" w:hAnsi="Times New Roman" w:cs="Times New Roman"/>
          <w:b/>
          <w:bCs/>
          <w:color w:val="000000"/>
          <w:spacing w:val="0"/>
          <w:w w:val="100"/>
          <w:position w:val="0"/>
        </w:rPr>
        <w:t>7</w:t>
      </w:r>
      <w:bookmarkEnd w:id="1649"/>
      <w:r>
        <w:rPr>
          <w:b/>
          <w:bCs/>
          <w:color w:val="000000"/>
          <w:spacing w:val="0"/>
          <w:w w:val="100"/>
          <w:position w:val="0"/>
        </w:rPr>
        <w:t>、</w:t>
        <w:tab/>
        <w:t>关联方承诺</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50" w:name="bookmark1650"/>
      <w:r>
        <w:rPr>
          <w:rFonts w:ascii="Times New Roman" w:eastAsia="Times New Roman" w:hAnsi="Times New Roman" w:cs="Times New Roman"/>
          <w:b/>
          <w:bCs/>
          <w:color w:val="000000"/>
          <w:spacing w:val="0"/>
          <w:w w:val="100"/>
          <w:position w:val="0"/>
        </w:rPr>
        <w:t>8</w:t>
      </w:r>
      <w:bookmarkEnd w:id="1650"/>
      <w:r>
        <w:rPr>
          <w:b/>
          <w:bCs/>
          <w:color w:val="000000"/>
          <w:spacing w:val="0"/>
          <w:w w:val="100"/>
          <w:position w:val="0"/>
        </w:rPr>
        <w:t>、</w:t>
        <w:tab/>
        <w:t>其他</w:t>
      </w:r>
    </w:p>
    <w:p>
      <w:pPr>
        <w:pStyle w:val="Style26"/>
        <w:keepNext/>
        <w:keepLines/>
        <w:widowControl w:val="0"/>
        <w:shd w:val="clear" w:color="auto" w:fill="auto"/>
        <w:bidi w:val="0"/>
        <w:spacing w:before="0" w:after="340" w:line="240" w:lineRule="auto"/>
        <w:ind w:left="0" w:right="0" w:firstLine="0"/>
        <w:jc w:val="left"/>
      </w:pPr>
      <w:bookmarkStart w:id="1651" w:name="bookmark1651"/>
      <w:bookmarkStart w:id="1652" w:name="bookmark1652"/>
      <w:bookmarkStart w:id="1653" w:name="bookmark1653"/>
      <w:r>
        <w:rPr>
          <w:color w:val="000000"/>
          <w:spacing w:val="0"/>
          <w:w w:val="100"/>
          <w:position w:val="0"/>
          <w:sz w:val="24"/>
          <w:szCs w:val="24"/>
        </w:rPr>
        <w:t>十三、股份支付</w:t>
      </w:r>
      <w:bookmarkEnd w:id="1651"/>
      <w:bookmarkEnd w:id="1652"/>
      <w:bookmarkEnd w:id="1653"/>
    </w:p>
    <w:p>
      <w:pPr>
        <w:pStyle w:val="Style40"/>
        <w:keepNext w:val="0"/>
        <w:keepLines w:val="0"/>
        <w:widowControl w:val="0"/>
        <w:shd w:val="clear" w:color="auto" w:fill="auto"/>
        <w:tabs>
          <w:tab w:pos="368" w:val="left"/>
        </w:tabs>
        <w:bidi w:val="0"/>
        <w:spacing w:before="0" w:after="340" w:line="240" w:lineRule="auto"/>
        <w:ind w:left="0" w:right="0" w:firstLine="0"/>
        <w:jc w:val="left"/>
      </w:pPr>
      <w:bookmarkStart w:id="1654" w:name="bookmark1654"/>
      <w:r>
        <w:rPr>
          <w:rFonts w:ascii="Times New Roman" w:eastAsia="Times New Roman" w:hAnsi="Times New Roman" w:cs="Times New Roman"/>
          <w:b/>
          <w:bCs/>
          <w:color w:val="000000"/>
          <w:spacing w:val="0"/>
          <w:w w:val="100"/>
          <w:position w:val="0"/>
        </w:rPr>
        <w:t>1</w:t>
      </w:r>
      <w:bookmarkEnd w:id="1654"/>
      <w:r>
        <w:rPr>
          <w:b/>
          <w:bCs/>
          <w:color w:val="000000"/>
          <w:spacing w:val="0"/>
          <w:w w:val="100"/>
          <w:position w:val="0"/>
        </w:rPr>
        <w:t>、</w:t>
        <w:tab/>
        <w:t>股份支付总体情况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55" w:name="bookmark1655"/>
      <w:r>
        <w:rPr>
          <w:rFonts w:ascii="Times New Roman" w:eastAsia="Times New Roman" w:hAnsi="Times New Roman" w:cs="Times New Roman"/>
          <w:b/>
          <w:bCs/>
          <w:color w:val="000000"/>
          <w:spacing w:val="0"/>
          <w:w w:val="100"/>
          <w:position w:val="0"/>
        </w:rPr>
        <w:t>2</w:t>
      </w:r>
      <w:bookmarkEnd w:id="1655"/>
      <w:r>
        <w:rPr>
          <w:b/>
          <w:bCs/>
          <w:color w:val="000000"/>
          <w:spacing w:val="0"/>
          <w:w w:val="100"/>
          <w:position w:val="0"/>
        </w:rPr>
        <w:t>、</w:t>
        <w:tab/>
        <w:t>以权益结算的股份支付情况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56" w:name="bookmark1656"/>
      <w:r>
        <w:rPr>
          <w:rFonts w:ascii="Times New Roman" w:eastAsia="Times New Roman" w:hAnsi="Times New Roman" w:cs="Times New Roman"/>
          <w:b/>
          <w:bCs/>
          <w:color w:val="000000"/>
          <w:spacing w:val="0"/>
          <w:w w:val="100"/>
          <w:position w:val="0"/>
        </w:rPr>
        <w:t>3</w:t>
      </w:r>
      <w:bookmarkEnd w:id="1656"/>
      <w:r>
        <w:rPr>
          <w:b/>
          <w:bCs/>
          <w:color w:val="000000"/>
          <w:spacing w:val="0"/>
          <w:w w:val="100"/>
          <w:position w:val="0"/>
        </w:rPr>
        <w:t>、</w:t>
        <w:tab/>
        <w:t>以现金结算的股份支付情况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57" w:name="bookmark1657"/>
      <w:r>
        <w:rPr>
          <w:rFonts w:ascii="Times New Roman" w:eastAsia="Times New Roman" w:hAnsi="Times New Roman" w:cs="Times New Roman"/>
          <w:b/>
          <w:bCs/>
          <w:color w:val="000000"/>
          <w:spacing w:val="0"/>
          <w:w w:val="100"/>
          <w:position w:val="0"/>
        </w:rPr>
        <w:t>4</w:t>
      </w:r>
      <w:bookmarkEnd w:id="1657"/>
      <w:r>
        <w:rPr>
          <w:b/>
          <w:bCs/>
          <w:color w:val="000000"/>
          <w:spacing w:val="0"/>
          <w:w w:val="100"/>
          <w:position w:val="0"/>
        </w:rPr>
        <w:t>、</w:t>
        <w:tab/>
        <w:t>股份支付的修改、终止情况</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58" w:name="bookmark1658"/>
      <w:r>
        <w:rPr>
          <w:rFonts w:ascii="Times New Roman" w:eastAsia="Times New Roman" w:hAnsi="Times New Roman" w:cs="Times New Roman"/>
          <w:b/>
          <w:bCs/>
          <w:color w:val="000000"/>
          <w:spacing w:val="0"/>
          <w:w w:val="100"/>
          <w:position w:val="0"/>
        </w:rPr>
        <w:t>5</w:t>
      </w:r>
      <w:bookmarkEnd w:id="1658"/>
      <w:r>
        <w:rPr>
          <w:b/>
          <w:bCs/>
          <w:color w:val="000000"/>
          <w:spacing w:val="0"/>
          <w:w w:val="100"/>
          <w:position w:val="0"/>
        </w:rPr>
        <w:t>、</w:t>
        <w:tab/>
        <w:t>其他</w:t>
      </w:r>
    </w:p>
    <w:p>
      <w:pPr>
        <w:pStyle w:val="Style26"/>
        <w:keepNext/>
        <w:keepLines/>
        <w:widowControl w:val="0"/>
        <w:shd w:val="clear" w:color="auto" w:fill="auto"/>
        <w:bidi w:val="0"/>
        <w:spacing w:before="0" w:after="340" w:line="240" w:lineRule="auto"/>
        <w:ind w:left="0" w:right="0" w:firstLine="0"/>
        <w:jc w:val="left"/>
      </w:pPr>
      <w:bookmarkStart w:id="1659" w:name="bookmark1659"/>
      <w:bookmarkStart w:id="1660" w:name="bookmark1660"/>
      <w:bookmarkStart w:id="1661" w:name="bookmark1661"/>
      <w:r>
        <w:rPr>
          <w:color w:val="000000"/>
          <w:spacing w:val="0"/>
          <w:w w:val="100"/>
          <w:position w:val="0"/>
          <w:sz w:val="24"/>
          <w:szCs w:val="24"/>
        </w:rPr>
        <w:t>十四、承诺及或有事项</w:t>
      </w:r>
      <w:bookmarkEnd w:id="1659"/>
      <w:bookmarkEnd w:id="1660"/>
      <w:bookmarkEnd w:id="1661"/>
    </w:p>
    <w:p>
      <w:pPr>
        <w:pStyle w:val="Style40"/>
        <w:keepNext w:val="0"/>
        <w:keepLines w:val="0"/>
        <w:widowControl w:val="0"/>
        <w:shd w:val="clear" w:color="auto" w:fill="auto"/>
        <w:tabs>
          <w:tab w:pos="368" w:val="left"/>
        </w:tabs>
        <w:bidi w:val="0"/>
        <w:spacing w:before="0" w:after="340" w:line="240" w:lineRule="auto"/>
        <w:ind w:left="0" w:right="0" w:firstLine="0"/>
        <w:jc w:val="left"/>
      </w:pPr>
      <w:bookmarkStart w:id="1662" w:name="bookmark1662"/>
      <w:r>
        <w:rPr>
          <w:rFonts w:ascii="Times New Roman" w:eastAsia="Times New Roman" w:hAnsi="Times New Roman" w:cs="Times New Roman"/>
          <w:b/>
          <w:bCs/>
          <w:color w:val="000000"/>
          <w:spacing w:val="0"/>
          <w:w w:val="100"/>
          <w:position w:val="0"/>
        </w:rPr>
        <w:t>1</w:t>
      </w:r>
      <w:bookmarkEnd w:id="1662"/>
      <w:r>
        <w:rPr>
          <w:b/>
          <w:bCs/>
          <w:color w:val="000000"/>
          <w:spacing w:val="0"/>
          <w:w w:val="100"/>
          <w:position w:val="0"/>
        </w:rPr>
        <w:t>、</w:t>
        <w:tab/>
        <w:t>重要承诺事项</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51"/>
        <w:keepNext w:val="0"/>
        <w:keepLines w:val="0"/>
        <w:widowControl w:val="0"/>
        <w:shd w:val="clear" w:color="auto" w:fill="auto"/>
        <w:bidi w:val="0"/>
        <w:spacing w:before="0" w:after="640" w:line="240" w:lineRule="auto"/>
        <w:ind w:left="0" w:right="0" w:firstLine="58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日止，本公司无需要披露的重大承诺事项。</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63" w:name="bookmark1663"/>
      <w:r>
        <w:rPr>
          <w:rFonts w:ascii="Times New Roman" w:eastAsia="Times New Roman" w:hAnsi="Times New Roman" w:cs="Times New Roman"/>
          <w:b/>
          <w:bCs/>
          <w:color w:val="000000"/>
          <w:spacing w:val="0"/>
          <w:w w:val="100"/>
          <w:position w:val="0"/>
        </w:rPr>
        <w:t>2</w:t>
      </w:r>
      <w:bookmarkEnd w:id="1663"/>
      <w:r>
        <w:rPr>
          <w:b/>
          <w:bCs/>
          <w:color w:val="000000"/>
          <w:spacing w:val="0"/>
          <w:w w:val="100"/>
          <w:position w:val="0"/>
        </w:rPr>
        <w:t>、</w:t>
        <w:tab/>
        <w:t>或有事项</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64" w:name="bookmark1664"/>
      <w:r>
        <w:rPr>
          <w:b/>
          <w:bCs/>
          <w:color w:val="000000"/>
          <w:spacing w:val="0"/>
          <w:w w:val="100"/>
          <w:position w:val="0"/>
        </w:rPr>
        <w:t>（</w:t>
      </w:r>
      <w:bookmarkEnd w:id="166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51"/>
        <w:keepNext w:val="0"/>
        <w:keepLines w:val="0"/>
        <w:widowControl w:val="0"/>
        <w:shd w:val="clear" w:color="auto" w:fill="auto"/>
        <w:bidi w:val="0"/>
        <w:spacing w:before="0" w:after="640" w:line="240" w:lineRule="auto"/>
        <w:ind w:left="0" w:right="0" w:firstLine="58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日止，本公司无需要披露的重大或有事项。</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65" w:name="bookmark1665"/>
      <w:r>
        <w:rPr>
          <w:b/>
          <w:bCs/>
          <w:color w:val="000000"/>
          <w:spacing w:val="0"/>
          <w:w w:val="100"/>
          <w:position w:val="0"/>
        </w:rPr>
        <w:t>（</w:t>
      </w:r>
      <w:bookmarkEnd w:id="16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40"/>
        <w:keepNext w:val="0"/>
        <w:keepLines w:val="0"/>
        <w:widowControl w:val="0"/>
        <w:shd w:val="clear" w:color="auto" w:fill="auto"/>
        <w:bidi w:val="0"/>
        <w:spacing w:before="0" w:after="320" w:line="240" w:lineRule="auto"/>
        <w:ind w:left="0" w:right="0" w:firstLine="0"/>
        <w:jc w:val="left"/>
      </w:pPr>
      <w:bookmarkStart w:id="1666" w:name="bookmark1666"/>
      <w:r>
        <w:rPr>
          <w:rFonts w:ascii="Times New Roman" w:eastAsia="Times New Roman" w:hAnsi="Times New Roman" w:cs="Times New Roman"/>
          <w:b/>
          <w:bCs/>
          <w:color w:val="000000"/>
          <w:spacing w:val="0"/>
          <w:w w:val="100"/>
          <w:position w:val="0"/>
        </w:rPr>
        <w:t>3</w:t>
      </w:r>
      <w:bookmarkEnd w:id="1666"/>
      <w:r>
        <w:rPr>
          <w:b/>
          <w:bCs/>
          <w:color w:val="000000"/>
          <w:spacing w:val="0"/>
          <w:w w:val="100"/>
          <w:position w:val="0"/>
        </w:rPr>
        <w:t>、其他</w:t>
      </w:r>
    </w:p>
    <w:p>
      <w:pPr>
        <w:pStyle w:val="Style26"/>
        <w:keepNext/>
        <w:keepLines/>
        <w:widowControl w:val="0"/>
        <w:shd w:val="clear" w:color="auto" w:fill="auto"/>
        <w:bidi w:val="0"/>
        <w:spacing w:before="0" w:after="320" w:line="240" w:lineRule="auto"/>
        <w:ind w:left="0" w:right="0" w:firstLine="0"/>
        <w:jc w:val="left"/>
      </w:pPr>
      <w:bookmarkStart w:id="1667" w:name="bookmark1667"/>
      <w:bookmarkStart w:id="1668" w:name="bookmark1668"/>
      <w:bookmarkStart w:id="1669" w:name="bookmark1669"/>
      <w:r>
        <w:rPr>
          <w:color w:val="000000"/>
          <w:spacing w:val="0"/>
          <w:w w:val="100"/>
          <w:position w:val="0"/>
          <w:sz w:val="24"/>
          <w:szCs w:val="24"/>
        </w:rPr>
        <w:t>十五、资产负债表日后事项</w:t>
      </w:r>
      <w:bookmarkEnd w:id="1667"/>
      <w:bookmarkEnd w:id="1668"/>
      <w:bookmarkEnd w:id="1669"/>
    </w:p>
    <w:p>
      <w:pPr>
        <w:pStyle w:val="Style36"/>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670"/>
      <w:bookmarkEnd w:id="1671"/>
      <w:bookmarkEnd w:id="16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bl>
    <w:p>
      <w:pPr>
        <w:widowControl w:val="0"/>
        <w:spacing w:after="319" w:line="1" w:lineRule="exact"/>
      </w:pPr>
    </w:p>
    <w:p>
      <w:pPr>
        <w:pStyle w:val="Style36"/>
        <w:keepNext/>
        <w:keepLines/>
        <w:widowControl w:val="0"/>
        <w:shd w:val="clear" w:color="auto" w:fill="auto"/>
        <w:tabs>
          <w:tab w:pos="378" w:val="left"/>
        </w:tabs>
        <w:bidi w:val="0"/>
        <w:spacing w:before="0" w:after="32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color w:val="000000"/>
          <w:spacing w:val="0"/>
          <w:w w:val="100"/>
          <w:position w:val="0"/>
        </w:rPr>
        <w:t>、</w:t>
        <w:tab/>
        <w:t>销售退回</w:t>
      </w:r>
      <w:bookmarkEnd w:id="1673"/>
      <w:bookmarkEnd w:id="1674"/>
      <w:bookmarkEnd w:id="1676"/>
    </w:p>
    <w:p>
      <w:pPr>
        <w:pStyle w:val="Style36"/>
        <w:keepNext/>
        <w:keepLines/>
        <w:widowControl w:val="0"/>
        <w:shd w:val="clear" w:color="auto" w:fill="auto"/>
        <w:tabs>
          <w:tab w:pos="378" w:val="left"/>
        </w:tabs>
        <w:bidi w:val="0"/>
        <w:spacing w:before="0" w:after="320" w:line="240" w:lineRule="auto"/>
        <w:ind w:left="0" w:right="0" w:firstLine="0"/>
        <w:jc w:val="left"/>
      </w:pPr>
      <w:bookmarkStart w:id="1673" w:name="bookmark1673"/>
      <w:bookmarkStart w:id="1674" w:name="bookmark1674"/>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color w:val="000000"/>
          <w:spacing w:val="0"/>
          <w:w w:val="100"/>
          <w:position w:val="0"/>
        </w:rPr>
        <w:t>、</w:t>
        <w:tab/>
        <w:t>其他资产负债表日后事项说明</w:t>
      </w:r>
      <w:bookmarkEnd w:id="1673"/>
      <w:bookmarkEnd w:id="1674"/>
      <w:bookmarkEnd w:id="1678"/>
    </w:p>
    <w:p>
      <w:pPr>
        <w:pStyle w:val="Style51"/>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日，公司召开第二届董事会第十七次会议，审议通过了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年度利润分配预 案：以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年末公司总股本</w:t>
      </w:r>
      <w:r>
        <w:rPr>
          <w:rFonts w:ascii="Times New Roman" w:eastAsia="Times New Roman" w:hAnsi="Times New Roman" w:cs="Times New Roman"/>
          <w:color w:val="000000"/>
          <w:spacing w:val="0"/>
          <w:w w:val="100"/>
          <w:position w:val="0"/>
          <w:sz w:val="24"/>
          <w:szCs w:val="24"/>
        </w:rPr>
        <w:t>10,000.5</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股派发现金股利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元人 民币(含税)，共计派发现金股利</w:t>
      </w:r>
      <w:r>
        <w:rPr>
          <w:rFonts w:ascii="Times New Roman" w:eastAsia="Times New Roman" w:hAnsi="Times New Roman" w:cs="Times New Roman"/>
          <w:color w:val="000000"/>
          <w:spacing w:val="0"/>
          <w:w w:val="100"/>
          <w:position w:val="0"/>
          <w:sz w:val="24"/>
          <w:szCs w:val="24"/>
        </w:rPr>
        <w:t>330</w:t>
      </w:r>
      <w:r>
        <w:rPr>
          <w:color w:val="000000"/>
          <w:spacing w:val="0"/>
          <w:w w:val="100"/>
          <w:position w:val="0"/>
          <w:sz w:val="24"/>
          <w:szCs w:val="24"/>
        </w:rPr>
        <w:t>万元。</w:t>
      </w:r>
    </w:p>
    <w:p>
      <w:pPr>
        <w:pStyle w:val="Style51"/>
        <w:keepNext w:val="0"/>
        <w:keepLines w:val="0"/>
        <w:widowControl w:val="0"/>
        <w:shd w:val="clear" w:color="auto" w:fill="auto"/>
        <w:bidi w:val="0"/>
        <w:spacing w:before="0" w:after="720" w:line="314" w:lineRule="exact"/>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日止，除上述事项外，本公司无需要披露的其他资产负债表日后事项。</w:t>
      </w:r>
    </w:p>
    <w:p>
      <w:pPr>
        <w:pStyle w:val="Style26"/>
        <w:keepNext/>
        <w:keepLines/>
        <w:widowControl w:val="0"/>
        <w:shd w:val="clear" w:color="auto" w:fill="auto"/>
        <w:bidi w:val="0"/>
        <w:spacing w:before="0" w:after="320" w:line="314" w:lineRule="exact"/>
        <w:ind w:left="0" w:right="0" w:firstLine="0"/>
        <w:jc w:val="left"/>
      </w:pPr>
      <w:bookmarkStart w:id="1679" w:name="bookmark1679"/>
      <w:bookmarkStart w:id="1680" w:name="bookmark1680"/>
      <w:bookmarkStart w:id="1681" w:name="bookmark1681"/>
      <w:r>
        <w:rPr>
          <w:color w:val="000000"/>
          <w:spacing w:val="0"/>
          <w:w w:val="100"/>
          <w:position w:val="0"/>
          <w:sz w:val="24"/>
          <w:szCs w:val="24"/>
        </w:rPr>
        <w:t>十六、其他重要事项</w:t>
      </w:r>
      <w:bookmarkEnd w:id="1679"/>
      <w:bookmarkEnd w:id="1680"/>
      <w:bookmarkEnd w:id="1681"/>
    </w:p>
    <w:p>
      <w:pPr>
        <w:pStyle w:val="Style36"/>
        <w:keepNext/>
        <w:keepLines/>
        <w:widowControl w:val="0"/>
        <w:shd w:val="clear" w:color="auto" w:fill="auto"/>
        <w:bidi w:val="0"/>
        <w:spacing w:before="0" w:after="32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682"/>
      <w:bookmarkEnd w:id="1683"/>
      <w:bookmarkEnd w:id="1684"/>
    </w:p>
    <w:p>
      <w:pPr>
        <w:pStyle w:val="Style36"/>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82"/>
      <w:bookmarkEnd w:id="1683"/>
      <w:bookmarkEnd w:id="16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累积影响数</w:t>
            </w: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采用未来适用法的原因</w:t>
            </w:r>
          </w:p>
        </w:tc>
      </w:tr>
    </w:tbl>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86" w:name="bookmark1686"/>
      <w:r>
        <w:rPr>
          <w:rFonts w:ascii="Times New Roman" w:eastAsia="Times New Roman" w:hAnsi="Times New Roman" w:cs="Times New Roman"/>
          <w:b/>
          <w:bCs/>
          <w:color w:val="000000"/>
          <w:spacing w:val="0"/>
          <w:w w:val="100"/>
          <w:position w:val="0"/>
        </w:rPr>
        <w:t>2</w:t>
      </w:r>
      <w:bookmarkEnd w:id="1686"/>
      <w:r>
        <w:rPr>
          <w:b/>
          <w:bCs/>
          <w:color w:val="000000"/>
          <w:spacing w:val="0"/>
          <w:w w:val="100"/>
          <w:position w:val="0"/>
        </w:rPr>
        <w:t>、</w:t>
        <w:tab/>
        <w:t>债务重组</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87" w:name="bookmark1687"/>
      <w:r>
        <w:rPr>
          <w:rFonts w:ascii="Times New Roman" w:eastAsia="Times New Roman" w:hAnsi="Times New Roman" w:cs="Times New Roman"/>
          <w:b/>
          <w:bCs/>
          <w:color w:val="000000"/>
          <w:spacing w:val="0"/>
          <w:w w:val="100"/>
          <w:position w:val="0"/>
        </w:rPr>
        <w:t>3</w:t>
      </w:r>
      <w:bookmarkEnd w:id="1687"/>
      <w:r>
        <w:rPr>
          <w:b/>
          <w:bCs/>
          <w:color w:val="000000"/>
          <w:spacing w:val="0"/>
          <w:w w:val="100"/>
          <w:position w:val="0"/>
        </w:rPr>
        <w:t>、</w:t>
        <w:tab/>
        <w:t>资产置换</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88" w:name="bookmark1688"/>
      <w:r>
        <w:rPr>
          <w:b/>
          <w:bCs/>
          <w:color w:val="000000"/>
          <w:spacing w:val="0"/>
          <w:w w:val="100"/>
          <w:position w:val="0"/>
        </w:rPr>
        <w:t>（</w:t>
      </w:r>
      <w:bookmarkEnd w:id="168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89" w:name="bookmark1689"/>
      <w:r>
        <w:rPr>
          <w:b/>
          <w:bCs/>
          <w:color w:val="000000"/>
          <w:spacing w:val="0"/>
          <w:w w:val="100"/>
          <w:position w:val="0"/>
        </w:rPr>
        <w:t>（</w:t>
      </w:r>
      <w:bookmarkEnd w:id="16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90" w:name="bookmark1690"/>
      <w:r>
        <w:rPr>
          <w:rFonts w:ascii="Times New Roman" w:eastAsia="Times New Roman" w:hAnsi="Times New Roman" w:cs="Times New Roman"/>
          <w:b/>
          <w:bCs/>
          <w:color w:val="000000"/>
          <w:spacing w:val="0"/>
          <w:w w:val="100"/>
          <w:position w:val="0"/>
        </w:rPr>
        <w:t>4</w:t>
      </w:r>
      <w:bookmarkEnd w:id="1690"/>
      <w:r>
        <w:rPr>
          <w:b/>
          <w:bCs/>
          <w:color w:val="000000"/>
          <w:spacing w:val="0"/>
          <w:w w:val="100"/>
          <w:position w:val="0"/>
        </w:rPr>
        <w:t>、</w:t>
        <w:tab/>
        <w:t>年金计划</w:t>
      </w:r>
    </w:p>
    <w:p>
      <w:pPr>
        <w:pStyle w:val="Style40"/>
        <w:keepNext w:val="0"/>
        <w:keepLines w:val="0"/>
        <w:widowControl w:val="0"/>
        <w:shd w:val="clear" w:color="auto" w:fill="auto"/>
        <w:tabs>
          <w:tab w:pos="378" w:val="left"/>
        </w:tabs>
        <w:bidi w:val="0"/>
        <w:spacing w:before="0" w:after="380" w:line="240" w:lineRule="auto"/>
        <w:ind w:left="0" w:right="0" w:firstLine="0"/>
        <w:jc w:val="left"/>
      </w:pPr>
      <w:bookmarkStart w:id="1691" w:name="bookmark1691"/>
      <w:r>
        <w:rPr>
          <w:rFonts w:ascii="Times New Roman" w:eastAsia="Times New Roman" w:hAnsi="Times New Roman" w:cs="Times New Roman"/>
          <w:b/>
          <w:bCs/>
          <w:color w:val="000000"/>
          <w:spacing w:val="0"/>
          <w:w w:val="100"/>
          <w:position w:val="0"/>
        </w:rPr>
        <w:t>5</w:t>
      </w:r>
      <w:bookmarkEnd w:id="1691"/>
      <w:r>
        <w:rPr>
          <w:b/>
          <w:bCs/>
          <w:color w:val="000000"/>
          <w:spacing w:val="0"/>
          <w:w w:val="100"/>
          <w:position w:val="0"/>
        </w:rPr>
        <w:t>、</w:t>
        <w:tab/>
        <w:t>终止经营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归属于母公司所 有者的终止经营 利润</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0"/>
        <w:keepNext w:val="0"/>
        <w:keepLines w:val="0"/>
        <w:widowControl w:val="0"/>
        <w:shd w:val="clear" w:color="auto" w:fill="auto"/>
        <w:bidi w:val="0"/>
        <w:spacing w:before="0" w:after="34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rPr>
        <w:t>6</w:t>
      </w:r>
      <w:bookmarkEnd w:id="1692"/>
      <w:r>
        <w:rPr>
          <w:b/>
          <w:bCs/>
          <w:color w:val="000000"/>
          <w:spacing w:val="0"/>
          <w:w w:val="100"/>
          <w:position w:val="0"/>
        </w:rPr>
        <w:t>、分部信息</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93" w:name="bookmark1693"/>
      <w:r>
        <w:rPr>
          <w:b/>
          <w:bCs/>
          <w:color w:val="000000"/>
          <w:spacing w:val="0"/>
          <w:w w:val="100"/>
          <w:position w:val="0"/>
        </w:rPr>
        <w:t>（</w:t>
      </w:r>
      <w:bookmarkEnd w:id="169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40"/>
        <w:keepNext w:val="0"/>
        <w:keepLines w:val="0"/>
        <w:widowControl w:val="0"/>
        <w:shd w:val="clear" w:color="auto" w:fill="auto"/>
        <w:tabs>
          <w:tab w:pos="488" w:val="left"/>
        </w:tabs>
        <w:bidi w:val="0"/>
        <w:spacing w:before="0" w:after="380" w:line="240" w:lineRule="auto"/>
        <w:ind w:left="0" w:right="0" w:firstLine="0"/>
        <w:jc w:val="left"/>
      </w:pPr>
      <w:bookmarkStart w:id="1694" w:name="bookmark1694"/>
      <w:r>
        <w:rPr>
          <w:b/>
          <w:bCs/>
          <w:color w:val="000000"/>
          <w:spacing w:val="0"/>
          <w:w w:val="100"/>
          <w:position w:val="0"/>
        </w:rPr>
        <w:t>（</w:t>
      </w:r>
      <w:bookmarkEnd w:id="169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339" w:line="1" w:lineRule="exact"/>
      </w:pP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95" w:name="bookmark1695"/>
      <w:r>
        <w:rPr>
          <w:b/>
          <w:bCs/>
          <w:color w:val="000000"/>
          <w:spacing w:val="0"/>
          <w:w w:val="100"/>
          <w:position w:val="0"/>
        </w:rPr>
        <w:t>（</w:t>
      </w:r>
      <w:bookmarkEnd w:id="169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40"/>
        <w:keepNext w:val="0"/>
        <w:keepLines w:val="0"/>
        <w:widowControl w:val="0"/>
        <w:shd w:val="clear" w:color="auto" w:fill="auto"/>
        <w:tabs>
          <w:tab w:pos="488" w:val="left"/>
        </w:tabs>
        <w:bidi w:val="0"/>
        <w:spacing w:before="0" w:after="340" w:line="240" w:lineRule="auto"/>
        <w:ind w:left="0" w:right="0" w:firstLine="0"/>
        <w:jc w:val="left"/>
      </w:pPr>
      <w:bookmarkStart w:id="1696" w:name="bookmark1696"/>
      <w:r>
        <w:rPr>
          <w:b/>
          <w:bCs/>
          <w:color w:val="000000"/>
          <w:spacing w:val="0"/>
          <w:w w:val="100"/>
          <w:position w:val="0"/>
        </w:rPr>
        <w:t>（</w:t>
      </w:r>
      <w:bookmarkEnd w:id="169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40"/>
        <w:keepNext w:val="0"/>
        <w:keepLines w:val="0"/>
        <w:widowControl w:val="0"/>
        <w:shd w:val="clear" w:color="auto" w:fill="auto"/>
        <w:tabs>
          <w:tab w:pos="373" w:val="left"/>
        </w:tabs>
        <w:bidi w:val="0"/>
        <w:spacing w:before="0" w:after="340" w:line="240" w:lineRule="auto"/>
        <w:ind w:left="0" w:right="0" w:firstLine="0"/>
        <w:jc w:val="left"/>
      </w:pPr>
      <w:bookmarkStart w:id="1697" w:name="bookmark1697"/>
      <w:r>
        <w:rPr>
          <w:rFonts w:ascii="Times New Roman" w:eastAsia="Times New Roman" w:hAnsi="Times New Roman" w:cs="Times New Roman"/>
          <w:b/>
          <w:bCs/>
          <w:color w:val="000000"/>
          <w:spacing w:val="0"/>
          <w:w w:val="100"/>
          <w:position w:val="0"/>
        </w:rPr>
        <w:t>7</w:t>
      </w:r>
      <w:bookmarkEnd w:id="1697"/>
      <w:r>
        <w:rPr>
          <w:b/>
          <w:bCs/>
          <w:color w:val="000000"/>
          <w:spacing w:val="0"/>
          <w:w w:val="100"/>
          <w:position w:val="0"/>
        </w:rPr>
        <w:t>、</w:t>
        <w:tab/>
        <w:t>其他对投资者决策有影响的重要交易和事项</w:t>
      </w:r>
    </w:p>
    <w:p>
      <w:pPr>
        <w:pStyle w:val="Style40"/>
        <w:keepNext w:val="0"/>
        <w:keepLines w:val="0"/>
        <w:widowControl w:val="0"/>
        <w:shd w:val="clear" w:color="auto" w:fill="auto"/>
        <w:tabs>
          <w:tab w:pos="378" w:val="left"/>
        </w:tabs>
        <w:bidi w:val="0"/>
        <w:spacing w:before="0" w:after="340" w:line="240" w:lineRule="auto"/>
        <w:ind w:left="0" w:right="0" w:firstLine="0"/>
        <w:jc w:val="left"/>
      </w:pPr>
      <w:bookmarkStart w:id="1698" w:name="bookmark1698"/>
      <w:r>
        <w:rPr>
          <w:rFonts w:ascii="Times New Roman" w:eastAsia="Times New Roman" w:hAnsi="Times New Roman" w:cs="Times New Roman"/>
          <w:b/>
          <w:bCs/>
          <w:color w:val="000000"/>
          <w:spacing w:val="0"/>
          <w:w w:val="100"/>
          <w:position w:val="0"/>
        </w:rPr>
        <w:t>8</w:t>
      </w:r>
      <w:bookmarkEnd w:id="1698"/>
      <w:r>
        <w:rPr>
          <w:b/>
          <w:bCs/>
          <w:color w:val="000000"/>
          <w:spacing w:val="0"/>
          <w:w w:val="100"/>
          <w:position w:val="0"/>
        </w:rPr>
        <w:t>、</w:t>
        <w:tab/>
        <w:t>其他</w:t>
      </w:r>
    </w:p>
    <w:p>
      <w:pPr>
        <w:pStyle w:val="Style26"/>
        <w:keepNext/>
        <w:keepLines/>
        <w:widowControl w:val="0"/>
        <w:shd w:val="clear" w:color="auto" w:fill="auto"/>
        <w:bidi w:val="0"/>
        <w:spacing w:before="0" w:after="340" w:line="240" w:lineRule="auto"/>
        <w:ind w:left="0" w:right="0" w:firstLine="0"/>
        <w:jc w:val="left"/>
      </w:pPr>
      <w:bookmarkStart w:id="1699" w:name="bookmark1699"/>
      <w:bookmarkStart w:id="1700" w:name="bookmark1700"/>
      <w:bookmarkStart w:id="1701" w:name="bookmark1701"/>
      <w:r>
        <w:rPr>
          <w:color w:val="000000"/>
          <w:spacing w:val="0"/>
          <w:w w:val="100"/>
          <w:position w:val="0"/>
          <w:sz w:val="24"/>
          <w:szCs w:val="24"/>
        </w:rPr>
        <w:t>十七、母公司财务报表主要项目注释</w:t>
      </w:r>
      <w:bookmarkEnd w:id="1699"/>
      <w:bookmarkEnd w:id="1700"/>
      <w:bookmarkEnd w:id="1701"/>
    </w:p>
    <w:p>
      <w:pPr>
        <w:pStyle w:val="Style4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0"/>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3835"/>
        <w:gridCol w:w="410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sectPr>
          <w:footnotePr>
            <w:pos w:val="pageBottom"/>
            <w:numFmt w:val="decimal"/>
            <w:numRestart w:val="continuous"/>
          </w:footnotePr>
          <w:pgSz w:w="11900" w:h="16840"/>
          <w:pgMar w:top="1374" w:right="1069" w:bottom="1633" w:left="1072" w:header="0" w:footer="3" w:gutter="0"/>
          <w:cols w:space="720"/>
          <w:noEndnote/>
          <w:rtlGutter w:val="0"/>
          <w:docGrid w:linePitch="360"/>
        </w:sectPr>
      </w:pP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32,880,0</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207,851,1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154,256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133,664,49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32,880,0</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207,851,1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154,256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133,664,49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133,975,985.67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6,698,799.28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69,522,772.50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6,952,277.25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15,227,016.50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4,568,104.95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13,233,612.48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6,616,806.24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3,638,793.80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2,911,035.04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5,133,050.36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5,133,050.36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240,731,231.31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32,880,073.12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13.66%</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02"/>
      <w:bookmarkEnd w:id="1703"/>
      <w:bookmarkEnd w:id="170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6"/>
        <w:keepNext/>
        <w:keepLines/>
        <w:widowControl w:val="0"/>
        <w:numPr>
          <w:ilvl w:val="0"/>
          <w:numId w:val="157"/>
        </w:numPr>
        <w:shd w:val="clear" w:color="auto" w:fill="auto"/>
        <w:bidi w:val="0"/>
        <w:spacing w:before="0" w:after="12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本期实际核销的应收账款情况</w:t>
      </w:r>
      <w:bookmarkEnd w:id="1705"/>
      <w:bookmarkEnd w:id="1706"/>
      <w:bookmarkEnd w:id="1708"/>
      <w:r>
        <w:br w:type="page"/>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6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09"/>
      <w:bookmarkEnd w:id="1710"/>
      <w:bookmarkEnd w:id="1712"/>
    </w:p>
    <w:tbl>
      <w:tblPr>
        <w:tblOverlap w:val="never"/>
        <w:jc w:val="center"/>
        <w:tblLayout w:type="fixed"/>
      </w:tblPr>
      <w:tblGrid>
        <w:gridCol w:w="3658"/>
        <w:gridCol w:w="1982"/>
        <w:gridCol w:w="1987"/>
        <w:gridCol w:w="1699"/>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60"/>
              <w:jc w:val="left"/>
            </w:pPr>
            <w:r>
              <w:rPr>
                <w:b/>
                <w:bCs/>
                <w:color w:val="000000"/>
                <w:spacing w:val="0"/>
                <w:w w:val="100"/>
                <w:position w:val="0"/>
              </w:rPr>
              <w:t>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占应收账款余额合计 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坏账准备余额</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三角轮胎股份有限公司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29,142,630.00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2,769,763.00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Maxxis Rubber India Private Limited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27,193,040.00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1,359,652.00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合肥万力轮胎有限公司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20,150,000.00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1,007,500.00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八亿橡胶有限责任公司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11,900,650.00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1,517,825.00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青岛耐克森轮胎有限公司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9,701,150.00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753,097.05</w:t>
            </w:r>
          </w:p>
        </w:tc>
      </w:tr>
      <w:tr>
        <w:trPr>
          <w:trHeight w:val="36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98,087,470.00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40.75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7,407,837.05</w:t>
            </w:r>
          </w:p>
        </w:tc>
      </w:tr>
    </w:tbl>
    <w:p>
      <w:pPr>
        <w:widowControl w:val="0"/>
        <w:spacing w:after="63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13"/>
      <w:bookmarkEnd w:id="1714"/>
      <w:bookmarkEnd w:id="1716"/>
    </w:p>
    <w:p>
      <w:pPr>
        <w:pStyle w:val="Style36"/>
        <w:keepNext/>
        <w:keepLines/>
        <w:widowControl w:val="0"/>
        <w:shd w:val="clear" w:color="auto" w:fill="auto"/>
        <w:tabs>
          <w:tab w:pos="488" w:val="left"/>
        </w:tabs>
        <w:bidi w:val="0"/>
        <w:spacing w:before="0" w:line="240" w:lineRule="auto"/>
        <w:ind w:left="0" w:right="0" w:firstLine="0"/>
        <w:jc w:val="left"/>
      </w:pPr>
      <w:bookmarkStart w:id="1713" w:name="bookmark1713"/>
      <w:bookmarkStart w:id="1714" w:name="bookmark1714"/>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13"/>
      <w:bookmarkEnd w:id="1714"/>
      <w:bookmarkEnd w:id="171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9"/>
      <w:bookmarkEnd w:id="1720"/>
      <w:bookmarkEnd w:id="1721"/>
    </w:p>
    <w:p>
      <w:pPr>
        <w:pStyle w:val="Style36"/>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19"/>
      <w:bookmarkEnd w:id="1720"/>
      <w:bookmarkEnd w:id="17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按信用风险特征组</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合计提坏账准备的</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169,415,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507,313.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61,448,539.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169,415,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507,313.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61,448,539.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年以内分项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1,511,332.78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75,566.64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596,140.53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59,614.05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551,587.90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165,476.37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76,656.00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3,014,881.21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507,313.06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3"/>
      <w:bookmarkEnd w:id="1724"/>
      <w:bookmarkEnd w:id="172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726"/>
      <w:bookmarkEnd w:id="1727"/>
      <w:bookmarkEnd w:id="1729"/>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after="120" w:line="240" w:lineRule="auto"/>
        <w:ind w:left="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74" w:right="1069" w:bottom="1633" w:left="1072" w:header="0" w:footer="3" w:gutter="0"/>
          <w:cols w:space="720"/>
          <w:noEndnote/>
          <w:rtlGutter w:val="0"/>
          <w:docGrid w:linePitch="360"/>
        </w:sectPr>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730"/>
      <w:bookmarkEnd w:id="1731"/>
      <w:bookmarkEnd w:id="1733"/>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165,570,988.20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58,718,709.98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1,948,780.00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1,746,291.00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619,464.45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487,669.95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1,276,280.21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745,772.16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169,415,512.86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61,698,443.09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34"/>
      <w:bookmarkEnd w:id="1735"/>
      <w:bookmarkEnd w:id="17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坏账准备期末余额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天津京万科技有限公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113,000,965.08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芜湖万向新元环保科</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52,408,023.12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安徽省招标集团股份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539,440.00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38,944.00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北京首都开发股份有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417,807.00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4-5</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北方筑业（北京）工 程咨询有限公司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166,666,235.20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53,944.00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738"/>
      <w:bookmarkEnd w:id="1739"/>
      <w:bookmarkEnd w:id="17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及依据</w:t>
            </w:r>
          </w:p>
        </w:tc>
      </w:tr>
    </w:tbl>
    <w:p>
      <w:pPr>
        <w:widowControl w:val="0"/>
        <w:spacing w:after="31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742"/>
      <w:bookmarkEnd w:id="1743"/>
      <w:bookmarkEnd w:id="1745"/>
    </w:p>
    <w:p>
      <w:pPr>
        <w:pStyle w:val="Style36"/>
        <w:keepNext/>
        <w:keepLines/>
        <w:widowControl w:val="0"/>
        <w:shd w:val="clear" w:color="auto" w:fill="auto"/>
        <w:tabs>
          <w:tab w:pos="488" w:val="left"/>
        </w:tabs>
        <w:bidi w:val="0"/>
        <w:spacing w:before="0" w:line="240" w:lineRule="auto"/>
        <w:ind w:left="0" w:right="0" w:firstLine="0"/>
        <w:jc w:val="left"/>
      </w:pPr>
      <w:bookmarkStart w:id="1742" w:name="bookmark1742"/>
      <w:bookmarkStart w:id="1743" w:name="bookmark1743"/>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742"/>
      <w:bookmarkEnd w:id="1743"/>
      <w:bookmarkEnd w:id="174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3</w:t>
      </w:r>
      <w:bookmarkEnd w:id="1750"/>
      <w:r>
        <w:rPr>
          <w:color w:val="000000"/>
          <w:spacing w:val="0"/>
          <w:w w:val="100"/>
          <w:position w:val="0"/>
        </w:rPr>
        <w:t>、长期股权投资</w:t>
      </w:r>
      <w:bookmarkEnd w:id="1748"/>
      <w:bookmarkEnd w:id="1749"/>
      <w:bookmarkEnd w:id="1751"/>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38,844,000.00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38,844,000.00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2"/>
      <w:bookmarkEnd w:id="1753"/>
      <w:bookmarkEnd w:id="175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本期计提减值准 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减值准备期末余 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北京万向新元环 保工程技术有限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北京四方同兴机 电技术开发有限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芜湖万向新元环 保科技有限公司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天津京万科技有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北京天中方环保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上海橡领高分子 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38,844,000.00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55"/>
      <w:bookmarkEnd w:id="1756"/>
      <w:bookmarkEnd w:id="1757"/>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减值准备</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bl>
    <w:p>
      <w:pPr>
        <w:spacing w:lineRule="exact" w:line="1"/>
        <w:rPr>
          <w:sz w:val="2"/>
          <w:szCs w:val="2"/>
        </w:rPr>
      </w:pPr>
      <w:r>
        <w:br w:type="page"/>
      </w:r>
    </w:p>
    <w:p>
      <w:pPr>
        <w:pStyle w:val="Style36"/>
        <w:keepNext/>
        <w:keepLines/>
        <w:widowControl w:val="0"/>
        <w:numPr>
          <w:ilvl w:val="0"/>
          <w:numId w:val="159"/>
        </w:numPr>
        <w:shd w:val="clear" w:color="auto" w:fill="auto"/>
        <w:bidi w:val="0"/>
        <w:spacing w:before="0" w:after="340" w:line="240" w:lineRule="auto"/>
        <w:ind w:left="0" w:right="0" w:firstLine="0"/>
        <w:jc w:val="both"/>
      </w:pPr>
      <w:bookmarkStart w:id="1758" w:name="bookmark1758"/>
      <w:bookmarkStart w:id="1759" w:name="bookmark1759"/>
      <w:bookmarkStart w:id="1760" w:name="bookmark1760"/>
      <w:bookmarkStart w:id="1761" w:name="bookmark1761"/>
      <w:bookmarkEnd w:id="1760"/>
      <w:r>
        <w:rPr>
          <w:color w:val="000000"/>
          <w:spacing w:val="0"/>
          <w:w w:val="100"/>
          <w:position w:val="0"/>
        </w:rPr>
        <w:t>其他说明</w:t>
      </w:r>
      <w:bookmarkEnd w:id="1758"/>
      <w:bookmarkEnd w:id="1759"/>
      <w:bookmarkEnd w:id="1761"/>
    </w:p>
    <w:p>
      <w:pPr>
        <w:pStyle w:val="Style36"/>
        <w:keepNext/>
        <w:keepLines/>
        <w:widowControl w:val="0"/>
        <w:shd w:val="clear" w:color="auto" w:fill="auto"/>
        <w:bidi w:val="0"/>
        <w:spacing w:before="0" w:after="340" w:line="240" w:lineRule="auto"/>
        <w:ind w:left="0" w:right="0" w:firstLine="0"/>
        <w:jc w:val="both"/>
      </w:pPr>
      <w:bookmarkStart w:id="1758" w:name="bookmark1758"/>
      <w:bookmarkStart w:id="1759" w:name="bookmark1759"/>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、营业收入和营业成本</w:t>
      </w:r>
      <w:bookmarkEnd w:id="1758"/>
      <w:bookmarkEnd w:id="1759"/>
      <w:bookmarkEnd w:id="17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214,617,951.57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149,067,925.78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167,137,570.08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118,177,865.34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214,617,951.57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149,067,925.78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167,137,570.08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118,177,865.34</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color w:val="000000"/>
          <w:spacing w:val="0"/>
          <w:w w:val="100"/>
          <w:position w:val="0"/>
        </w:rPr>
        <w:t>、投资收益</w:t>
      </w:r>
      <w:bookmarkEnd w:id="1764"/>
      <w:bookmarkEnd w:id="1765"/>
      <w:bookmarkEnd w:id="17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银行理财产品收益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1,053,150.65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color w:val="000000"/>
          <w:spacing w:val="0"/>
          <w:w w:val="100"/>
          <w:position w:val="0"/>
        </w:rPr>
        <w:t>、其他</w:t>
      </w:r>
      <w:bookmarkEnd w:id="1768"/>
      <w:bookmarkEnd w:id="1769"/>
      <w:bookmarkEnd w:id="1771"/>
    </w:p>
    <w:p>
      <w:pPr>
        <w:pStyle w:val="Style26"/>
        <w:keepNext/>
        <w:keepLines/>
        <w:widowControl w:val="0"/>
        <w:shd w:val="clear" w:color="auto" w:fill="auto"/>
        <w:bidi w:val="0"/>
        <w:spacing w:before="0" w:after="340" w:line="240" w:lineRule="auto"/>
        <w:ind w:left="0" w:right="0" w:firstLine="0"/>
        <w:jc w:val="both"/>
      </w:pPr>
      <w:bookmarkStart w:id="1772" w:name="bookmark1772"/>
      <w:bookmarkStart w:id="1773" w:name="bookmark1773"/>
      <w:bookmarkStart w:id="1774" w:name="bookmark1774"/>
      <w:r>
        <w:rPr>
          <w:color w:val="000000"/>
          <w:spacing w:val="0"/>
          <w:w w:val="100"/>
          <w:position w:val="0"/>
          <w:sz w:val="24"/>
          <w:szCs w:val="24"/>
        </w:rPr>
        <w:t>十八、补充资料</w:t>
      </w:r>
      <w:bookmarkEnd w:id="1772"/>
      <w:bookmarkEnd w:id="1773"/>
      <w:bookmarkEnd w:id="1774"/>
    </w:p>
    <w:p>
      <w:pPr>
        <w:pStyle w:val="Style36"/>
        <w:keepNext/>
        <w:keepLines/>
        <w:widowControl w:val="0"/>
        <w:shd w:val="clear" w:color="auto" w:fill="auto"/>
        <w:bidi w:val="0"/>
        <w:spacing w:before="0" w:after="340" w:line="240" w:lineRule="auto"/>
        <w:ind w:left="0" w:right="0" w:firstLine="0"/>
        <w:jc w:val="both"/>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5"/>
      <w:bookmarkEnd w:id="1776"/>
      <w:bookmarkEnd w:id="1777"/>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-12,342.97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2,247,504.79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与政府补助差额为软件产品符合即征即 退政策的增值税退税，不属于非经常性 损益。</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406,733.98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397,929.00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2,231,909.65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8"/>
      <w:bookmarkEnd w:id="1779"/>
      <w:bookmarkEnd w:id="1780"/>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279" w:line="1" w:lineRule="exact"/>
      </w:pPr>
    </w:p>
    <w:p>
      <w:pPr>
        <w:pStyle w:val="Style36"/>
        <w:keepNext/>
        <w:keepLines/>
        <w:widowControl w:val="0"/>
        <w:shd w:val="clear" w:color="auto" w:fill="auto"/>
        <w:tabs>
          <w:tab w:pos="404" w:val="left"/>
        </w:tabs>
        <w:bidi w:val="0"/>
        <w:spacing w:before="0" w:after="280" w:line="322" w:lineRule="exact"/>
        <w:ind w:left="0" w:right="0" w:firstLine="0"/>
        <w:jc w:val="both"/>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境内外会计准则下会计数据差异</w:t>
      </w:r>
      <w:bookmarkEnd w:id="1781"/>
      <w:bookmarkEnd w:id="1782"/>
      <w:bookmarkEnd w:id="1784"/>
    </w:p>
    <w:p>
      <w:pPr>
        <w:pStyle w:val="Style36"/>
        <w:keepNext/>
        <w:keepLines/>
        <w:widowControl w:val="0"/>
        <w:shd w:val="clear" w:color="auto" w:fill="auto"/>
        <w:tabs>
          <w:tab w:pos="488" w:val="left"/>
        </w:tabs>
        <w:bidi w:val="0"/>
        <w:spacing w:before="0" w:line="322" w:lineRule="exact"/>
        <w:ind w:left="0" w:right="0" w:firstLine="0"/>
        <w:jc w:val="both"/>
      </w:pPr>
      <w:bookmarkStart w:id="1781" w:name="bookmark1781"/>
      <w:bookmarkStart w:id="1782" w:name="bookmark1782"/>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81"/>
      <w:bookmarkEnd w:id="1782"/>
      <w:bookmarkEnd w:id="1786"/>
    </w:p>
    <w:p>
      <w:pPr>
        <w:pStyle w:val="Style3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322" w:lineRule="exact"/>
        <w:ind w:left="0" w:right="0" w:firstLine="0"/>
        <w:jc w:val="both"/>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87"/>
      <w:bookmarkEnd w:id="1788"/>
      <w:bookmarkEnd w:id="1790"/>
    </w:p>
    <w:p>
      <w:pPr>
        <w:pStyle w:val="Style3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589" w:val="left"/>
        </w:tabs>
        <w:bidi w:val="0"/>
        <w:spacing w:before="0" w:after="280" w:line="322" w:lineRule="exact"/>
        <w:ind w:left="0" w:right="0" w:firstLine="0"/>
        <w:jc w:val="both"/>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791"/>
      <w:bookmarkEnd w:id="1792"/>
      <w:bookmarkEnd w:id="1794"/>
    </w:p>
    <w:p>
      <w:pPr>
        <w:pStyle w:val="Style36"/>
        <w:keepNext/>
        <w:keepLines/>
        <w:widowControl w:val="0"/>
        <w:shd w:val="clear" w:color="auto" w:fill="auto"/>
        <w:tabs>
          <w:tab w:pos="404" w:val="left"/>
        </w:tabs>
        <w:bidi w:val="0"/>
        <w:spacing w:before="0" w:after="280" w:line="322" w:lineRule="exact"/>
        <w:ind w:left="0" w:right="0" w:firstLine="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74" w:right="1069" w:bottom="1633" w:left="1072" w:header="0" w:footer="3" w:gutter="0"/>
          <w:cols w:space="720"/>
          <w:noEndnote/>
          <w:titlePg/>
          <w:rtlGutter w:val="0"/>
          <w:docGrid w:linePitch="360"/>
        </w:sectPr>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color w:val="000000"/>
          <w:spacing w:val="0"/>
          <w:w w:val="100"/>
          <w:position w:val="0"/>
        </w:rPr>
        <w:t>、</w:t>
        <w:tab/>
        <w:t>其他</w:t>
      </w:r>
      <w:bookmarkEnd w:id="1795"/>
      <w:bookmarkEnd w:id="1796"/>
      <w:bookmarkEnd w:id="1798"/>
    </w:p>
    <w:p>
      <w:pPr>
        <w:pStyle w:val="Style14"/>
        <w:keepNext/>
        <w:keepLines/>
        <w:widowControl w:val="0"/>
        <w:shd w:val="clear" w:color="auto" w:fill="auto"/>
        <w:bidi w:val="0"/>
        <w:spacing w:before="0" w:after="580" w:line="240" w:lineRule="auto"/>
        <w:ind w:left="0" w:right="0" w:firstLine="0"/>
        <w:jc w:val="center"/>
      </w:pPr>
      <w:bookmarkStart w:id="1799" w:name="bookmark1799"/>
      <w:bookmarkStart w:id="1800" w:name="bookmark1800"/>
      <w:bookmarkStart w:id="1801" w:name="bookmark1801"/>
      <w:r>
        <w:rPr>
          <w:color w:val="000000"/>
          <w:spacing w:val="0"/>
          <w:w w:val="100"/>
          <w:position w:val="0"/>
        </w:rPr>
        <w:t>第十二节 备查文件目录</w:t>
      </w:r>
      <w:bookmarkEnd w:id="1799"/>
      <w:bookmarkEnd w:id="1800"/>
      <w:bookmarkEnd w:id="1801"/>
    </w:p>
    <w:p>
      <w:pPr>
        <w:pStyle w:val="Style40"/>
        <w:keepNext w:val="0"/>
        <w:keepLines w:val="0"/>
        <w:widowControl w:val="0"/>
        <w:shd w:val="clear" w:color="auto" w:fill="auto"/>
        <w:tabs>
          <w:tab w:pos="469" w:val="left"/>
        </w:tabs>
        <w:bidi w:val="0"/>
        <w:spacing w:before="0" w:after="60" w:line="240" w:lineRule="auto"/>
        <w:ind w:left="0" w:right="0" w:firstLine="0"/>
        <w:jc w:val="left"/>
      </w:pPr>
      <w:bookmarkStart w:id="1802" w:name="bookmark1802"/>
      <w:r>
        <w:rPr>
          <w:color w:val="000000"/>
          <w:spacing w:val="0"/>
          <w:w w:val="100"/>
          <w:position w:val="0"/>
        </w:rPr>
        <w:t>一</w:t>
      </w:r>
      <w:bookmarkEnd w:id="1802"/>
      <w:r>
        <w:rPr>
          <w:color w:val="000000"/>
          <w:spacing w:val="0"/>
          <w:w w:val="100"/>
          <w:position w:val="0"/>
        </w:rPr>
        <w:t>、</w:t>
        <w:tab/>
        <w:t>载有公司法定代表人、主管会计工作负责人、会计机构负责人签名并盖章的会计报表。</w:t>
      </w:r>
    </w:p>
    <w:p>
      <w:pPr>
        <w:pStyle w:val="Style40"/>
        <w:keepNext w:val="0"/>
        <w:keepLines w:val="0"/>
        <w:widowControl w:val="0"/>
        <w:shd w:val="clear" w:color="auto" w:fill="auto"/>
        <w:tabs>
          <w:tab w:pos="469" w:val="left"/>
        </w:tabs>
        <w:bidi w:val="0"/>
        <w:spacing w:before="0" w:after="60" w:line="240" w:lineRule="auto"/>
        <w:ind w:left="0" w:right="0" w:firstLine="0"/>
        <w:jc w:val="left"/>
      </w:pPr>
      <w:bookmarkStart w:id="1803" w:name="bookmark1803"/>
      <w:r>
        <w:rPr>
          <w:color w:val="000000"/>
          <w:spacing w:val="0"/>
          <w:w w:val="100"/>
          <w:position w:val="0"/>
        </w:rPr>
        <w:t>二</w:t>
      </w:r>
      <w:bookmarkEnd w:id="1803"/>
      <w:r>
        <w:rPr>
          <w:color w:val="000000"/>
          <w:spacing w:val="0"/>
          <w:w w:val="100"/>
          <w:position w:val="0"/>
        </w:rPr>
        <w:t>、</w:t>
        <w:tab/>
        <w:t>载有会计师事务所盖章，注册会计师签名并盖章的审计报告原件。</w:t>
      </w:r>
    </w:p>
    <w:p>
      <w:pPr>
        <w:pStyle w:val="Style40"/>
        <w:keepNext w:val="0"/>
        <w:keepLines w:val="0"/>
        <w:widowControl w:val="0"/>
        <w:shd w:val="clear" w:color="auto" w:fill="auto"/>
        <w:tabs>
          <w:tab w:pos="474" w:val="left"/>
        </w:tabs>
        <w:bidi w:val="0"/>
        <w:spacing w:before="0" w:after="60" w:line="240" w:lineRule="auto"/>
        <w:ind w:left="0" w:right="0" w:firstLine="0"/>
        <w:jc w:val="left"/>
      </w:pPr>
      <w:bookmarkStart w:id="1804" w:name="bookmark1804"/>
      <w:r>
        <w:rPr>
          <w:color w:val="000000"/>
          <w:spacing w:val="0"/>
          <w:w w:val="100"/>
          <w:position w:val="0"/>
        </w:rPr>
        <w:t>三</w:t>
      </w:r>
      <w:bookmarkEnd w:id="1804"/>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474" w:val="left"/>
        </w:tabs>
        <w:bidi w:val="0"/>
        <w:spacing w:before="0" w:after="60" w:line="240" w:lineRule="auto"/>
        <w:ind w:left="0" w:right="0" w:firstLine="0"/>
        <w:jc w:val="left"/>
      </w:pPr>
      <w:bookmarkStart w:id="1805" w:name="bookmark1805"/>
      <w:r>
        <w:rPr>
          <w:color w:val="000000"/>
          <w:spacing w:val="0"/>
          <w:w w:val="100"/>
          <w:position w:val="0"/>
        </w:rPr>
        <w:t>四</w:t>
      </w:r>
      <w:bookmarkEnd w:id="1805"/>
      <w:r>
        <w:rPr>
          <w:color w:val="000000"/>
          <w:spacing w:val="0"/>
          <w:w w:val="100"/>
          <w:position w:val="0"/>
        </w:rPr>
        <w:t>、</w:t>
        <w:tab/>
        <w:t>经公司法定代表人朱业胜先生签名的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年年度报告文件原件。</w:t>
      </w:r>
    </w:p>
    <w:sectPr>
      <w:footnotePr>
        <w:pos w:val="pageBottom"/>
        <w:numFmt w:val="decimal"/>
        <w:numRestart w:val="continuous"/>
      </w:footnotePr>
      <w:pgSz w:w="11900" w:h="16840"/>
      <w:pgMar w:top="1642" w:right="1104" w:bottom="164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10131425</wp:posOffset>
              </wp:positionV>
              <wp:extent cx="30480" cy="77470"/>
              <wp:wrapNone/>
              <wp:docPr id="4" name="Shape 4"/>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75pt;width:2.3999999999999999pt;height:6.100000000000000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10131425</wp:posOffset>
              </wp:positionV>
              <wp:extent cx="30480" cy="77470"/>
              <wp:wrapNone/>
              <wp:docPr id="9" name="Shape 9"/>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75pt;width:2.3999999999999999pt;height:6.100000000000000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6730365</wp:posOffset>
              </wp:positionH>
              <wp:positionV relativeFrom="page">
                <wp:posOffset>9955530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95000000000005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6730365</wp:posOffset>
              </wp:positionH>
              <wp:positionV relativeFrom="page">
                <wp:posOffset>9955530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95000000000005pt;margin-top:78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6730365</wp:posOffset>
              </wp:positionH>
              <wp:positionV relativeFrom="page">
                <wp:posOffset>9955530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9.95000000000005pt;margin-top:783.89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6334760</wp:posOffset>
              </wp:positionH>
              <wp:positionV relativeFrom="page">
                <wp:posOffset>9688830</wp:posOffset>
              </wp:positionV>
              <wp:extent cx="499745" cy="106680"/>
              <wp:wrapNone/>
              <wp:docPr id="36" name="Shape 3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2" type="#_x0000_t202" style="position:absolute;margin-left:498.80000000000001pt;margin-top:762.89999999999998pt;width:39.35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6679565</wp:posOffset>
              </wp:positionH>
              <wp:positionV relativeFrom="page">
                <wp:posOffset>10151745</wp:posOffset>
              </wp:positionV>
              <wp:extent cx="155575" cy="79375"/>
              <wp:wrapNone/>
              <wp:docPr id="38" name="Shape 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4" type="#_x0000_t202" style="position:absolute;margin-left:525.95000000000005pt;margin-top:799.35000000000002pt;width:12.25pt;height:6.25pt;z-index:-18874403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6730365</wp:posOffset>
              </wp:positionH>
              <wp:positionV relativeFrom="page">
                <wp:posOffset>9955530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9.95000000000005pt;margin-top:783.89999999999998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6730365</wp:posOffset>
              </wp:positionH>
              <wp:positionV relativeFrom="page">
                <wp:posOffset>9955530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9.95000000000005pt;margin-top:783.89999999999998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6334760</wp:posOffset>
              </wp:positionH>
              <wp:positionV relativeFrom="page">
                <wp:posOffset>9688830</wp:posOffset>
              </wp:positionV>
              <wp:extent cx="499745" cy="106680"/>
              <wp:wrapNone/>
              <wp:docPr id="53" name="Shape 5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9" type="#_x0000_t202" style="position:absolute;margin-left:498.80000000000001pt;margin-top:762.89999999999998pt;width:39.35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6679565</wp:posOffset>
              </wp:positionH>
              <wp:positionV relativeFrom="page">
                <wp:posOffset>10151745</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1" type="#_x0000_t202" style="position:absolute;margin-left:525.95000000000005pt;margin-top:799.35000000000002pt;width:12.25pt;height:6.25pt;z-index:-18874402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478155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64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624205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149999999999999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478155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27.5pt;margin-top:37.649999999999999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624205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149999999999999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4159250</wp:posOffset>
              </wp:positionH>
              <wp:positionV relativeFrom="page">
                <wp:posOffset>518795</wp:posOffset>
              </wp:positionV>
              <wp:extent cx="2675890" cy="106680"/>
              <wp:wrapNone/>
              <wp:docPr id="11" name="Shape 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27.5pt;margin-top:40.850000000000001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4159250</wp:posOffset>
              </wp:positionH>
              <wp:positionV relativeFrom="page">
                <wp:posOffset>518795</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2" type="#_x0000_t202" style="position:absolute;margin-left:327.5pt;margin-top:40.850000000000001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4159250</wp:posOffset>
              </wp:positionH>
              <wp:positionV relativeFrom="page">
                <wp:posOffset>518795</wp:posOffset>
              </wp:positionV>
              <wp:extent cx="2675890" cy="106680"/>
              <wp:wrapNone/>
              <wp:docPr id="28" name="Shape 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4" type="#_x0000_t202" style="position:absolute;margin-left:327.5pt;margin-top:40.850000000000001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4161790</wp:posOffset>
              </wp:positionH>
              <wp:positionV relativeFrom="page">
                <wp:posOffset>692150</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北京万向新元科技股份有限公司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327.69999999999999pt;margin-top:54.5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北京万向新元科技股份有限公司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891540</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70.2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4159250</wp:posOffset>
              </wp:positionH>
              <wp:positionV relativeFrom="page">
                <wp:posOffset>518795</wp:posOffset>
              </wp:positionV>
              <wp:extent cx="2675890" cy="106680"/>
              <wp:wrapNone/>
              <wp:docPr id="40" name="Shape 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6" type="#_x0000_t202" style="position:absolute;margin-left:327.5pt;margin-top:40.850000000000001pt;width:210.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42" name="Shape 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4159250</wp:posOffset>
              </wp:positionH>
              <wp:positionV relativeFrom="page">
                <wp:posOffset>518795</wp:posOffset>
              </wp:positionV>
              <wp:extent cx="2675890" cy="106680"/>
              <wp:wrapNone/>
              <wp:docPr id="45" name="Shape 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1" type="#_x0000_t202" style="position:absolute;margin-left:327.5pt;margin-top:40.850000000000001pt;width:210.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北京万向新元科技股份有限公司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47" name="Shape 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4161790</wp:posOffset>
              </wp:positionH>
              <wp:positionV relativeFrom="page">
                <wp:posOffset>692150</wp:posOffset>
              </wp:positionV>
              <wp:extent cx="2675890" cy="106680"/>
              <wp:wrapNone/>
              <wp:docPr id="50" name="Shape 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北京万向新元科技股份有限公司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327.69999999999999pt;margin-top:54.5pt;width:210.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北京万向新元科技股份有限公司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891540</wp:posOffset>
              </wp:positionV>
              <wp:extent cx="6160135" cy="0"/>
              <wp:wrapNone/>
              <wp:docPr id="52" name="Shape 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70.2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正文文本 (3)_"/>
    <w:basedOn w:val="DefaultParagraphFont"/>
    <w:link w:val="Style51"/>
    <w:rPr>
      <w:rFonts w:ascii="SimSun" w:eastAsia="SimSun" w:hAnsi="SimSun" w:cs="SimSun"/>
      <w:b w:val="0"/>
      <w:bCs w:val="0"/>
      <w:i w:val="0"/>
      <w:iCs w:val="0"/>
      <w:smallCaps w:val="0"/>
      <w:strike w:val="0"/>
      <w:u w:val="none"/>
      <w:shd w:val="clear" w:color="auto" w:fill="auto"/>
    </w:rPr>
  </w:style>
  <w:style w:type="character" w:customStyle="1" w:styleId="CharStyle74">
    <w:name w:val="页眉或页脚_"/>
    <w:basedOn w:val="DefaultParagraphFont"/>
    <w:link w:val="Style73"/>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730" w:after="95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51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spacing w:after="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标题 #3"/>
    <w:basedOn w:val="Normal"/>
    <w:link w:val="CharStyle27"/>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30">
    <w:name w:val="正文文本 (2)"/>
    <w:basedOn w:val="Normal"/>
    <w:link w:val="CharStyle31"/>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after="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正文文本 (3)"/>
    <w:basedOn w:val="Normal"/>
    <w:link w:val="CharStyle52"/>
    <w:pPr>
      <w:widowControl w:val="0"/>
      <w:shd w:val="clear" w:color="auto" w:fill="auto"/>
      <w:spacing w:after="480" w:line="312" w:lineRule="exact"/>
    </w:pPr>
    <w:rPr>
      <w:rFonts w:ascii="SimSun" w:eastAsia="SimSun" w:hAnsi="SimSun" w:cs="SimSun"/>
      <w:b w:val="0"/>
      <w:bCs w:val="0"/>
      <w:i w:val="0"/>
      <w:iCs w:val="0"/>
      <w:smallCaps w:val="0"/>
      <w:strike w:val="0"/>
      <w:u w:val="none"/>
      <w:shd w:val="clear" w:color="auto" w:fill="auto"/>
    </w:rPr>
  </w:style>
  <w:style w:type="paragraph" w:customStyle="1" w:styleId="Style73">
    <w:name w:val="页眉或页脚"/>
    <w:basedOn w:val="Normal"/>
    <w:link w:val="CharStyle7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2016年年度报告全文.doc</dc:title>
  <dc:subject/>
  <dc:creator>Administrator</dc:creator>
  <cp:keywords/>
</cp:coreProperties>
</file>