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90" w:lineRule="exact"/>
        <w:ind w:left="504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1152525" cy="6286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52525" cy="628650"/>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1114" w:right="1114" w:firstLine="0"/>
        <w:jc w:val="center"/>
        <w:rPr>
          <w:rFonts w:ascii="宋体" w:hAnsi="宋体" w:cs="宋体" w:eastAsia="宋体" w:hint="default"/>
          <w:sz w:val="36"/>
          <w:szCs w:val="36"/>
        </w:rPr>
      </w:pPr>
      <w:r>
        <w:rPr>
          <w:rFonts w:ascii="宋体" w:hAnsi="宋体" w:cs="宋体" w:eastAsia="宋体" w:hint="default"/>
          <w:b/>
          <w:bCs/>
          <w:sz w:val="36"/>
          <w:szCs w:val="36"/>
        </w:rPr>
        <w:t>北京合纵科技股份有限公司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114" w:right="111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1114" w:right="11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821"/>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公司负责人刘泽刚、主管会计工作负责人韦强及会计机构负责人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张晓屹声明：保证年度报告中财务报告的真实、准确、完整。</w:t>
      </w:r>
      <w:r>
        <w:rPr>
          <w:rFonts w:ascii="宋体" w:hAnsi="宋体" w:cs="宋体" w:eastAsia="宋体" w:hint="default"/>
          <w:sz w:val="28"/>
          <w:szCs w:val="28"/>
        </w:rPr>
      </w:r>
    </w:p>
    <w:p>
      <w:pPr>
        <w:spacing w:before="147"/>
        <w:ind w:left="1695" w:right="821"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line="448" w:lineRule="auto" w:before="0"/>
        <w:ind w:left="1695" w:right="821" w:hanging="14"/>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、市场竞争风险</w:t>
      </w:r>
      <w:r>
        <w:rPr>
          <w:rFonts w:ascii="宋体" w:hAnsi="宋体" w:cs="宋体" w:eastAsia="宋体" w:hint="default"/>
          <w:b/>
          <w:bCs/>
          <w:spacing w:val="1"/>
          <w:w w:val="99"/>
          <w:sz w:val="28"/>
          <w:szCs w:val="28"/>
        </w:rPr>
        <w:t> </w:t>
      </w:r>
      <w:r>
        <w:rPr>
          <w:rFonts w:ascii="宋体" w:hAnsi="宋体" w:cs="宋体" w:eastAsia="宋体" w:hint="default"/>
          <w:b/>
          <w:bCs/>
          <w:spacing w:val="8"/>
          <w:w w:val="95"/>
          <w:sz w:val="28"/>
          <w:szCs w:val="28"/>
        </w:rPr>
        <w:t>公司所处行业逐渐趋向竞争加剧和产能过剩，且随着我国经济进入</w:t>
      </w:r>
      <w:r>
        <w:rPr>
          <w:rFonts w:ascii="Times New Roman" w:hAnsi="Times New Roman" w:cs="Times New Roman" w:eastAsia="Times New Roman" w:hint="default"/>
          <w:b/>
          <w:bCs/>
          <w:spacing w:val="8"/>
          <w:w w:val="95"/>
          <w:sz w:val="28"/>
          <w:szCs w:val="28"/>
        </w:rPr>
        <w:t>“</w:t>
      </w:r>
      <w:r>
        <w:rPr>
          <w:rFonts w:ascii="宋体" w:hAnsi="宋体" w:cs="宋体" w:eastAsia="宋体" w:hint="default"/>
          <w:b/>
          <w:bCs/>
          <w:spacing w:val="8"/>
          <w:w w:val="95"/>
          <w:sz w:val="28"/>
          <w:szCs w:val="28"/>
        </w:rPr>
        <w:t>新常</w:t>
      </w:r>
      <w:r>
        <w:rPr>
          <w:rFonts w:ascii="宋体" w:hAnsi="宋体" w:cs="宋体" w:eastAsia="宋体" w:hint="default"/>
          <w:sz w:val="28"/>
          <w:szCs w:val="28"/>
        </w:rPr>
      </w:r>
    </w:p>
    <w:p>
      <w:pPr>
        <w:spacing w:line="355" w:lineRule="exact" w:before="0"/>
        <w:ind w:left="1133" w:right="821" w:firstLine="0"/>
        <w:jc w:val="left"/>
        <w:rPr>
          <w:rFonts w:ascii="宋体" w:hAnsi="宋体" w:cs="宋体" w:eastAsia="宋体" w:hint="default"/>
          <w:sz w:val="28"/>
          <w:szCs w:val="28"/>
        </w:rPr>
      </w:pPr>
      <w:r>
        <w:rPr>
          <w:rFonts w:ascii="宋体" w:hAnsi="宋体" w:cs="宋体" w:eastAsia="宋体" w:hint="default"/>
          <w:b/>
          <w:bCs/>
          <w:sz w:val="28"/>
          <w:szCs w:val="28"/>
        </w:rPr>
        <w:t>态</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，国家电力系统的投资建设力度将保持稳健增长的态势，一些地区受经济增</w:t>
      </w:r>
      <w:r>
        <w:rPr>
          <w:rFonts w:ascii="宋体" w:hAnsi="宋体" w:cs="宋体" w:eastAsia="宋体" w:hint="default"/>
          <w:sz w:val="28"/>
          <w:szCs w:val="28"/>
        </w:rPr>
      </w:r>
    </w:p>
    <w:p>
      <w:pPr>
        <w:spacing w:line="410" w:lineRule="auto" w:before="236"/>
        <w:ind w:left="1133" w:right="821"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速下降的影响，客户相关建设项目存在订单执行周期延长的情况，导致公司在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现有传统市场的业务增长速度趋缓，有些区域甚至下降的可能。</w:t>
      </w:r>
      <w:r>
        <w:rPr>
          <w:rFonts w:ascii="宋体" w:hAnsi="宋体" w:cs="宋体" w:eastAsia="宋体" w:hint="default"/>
          <w:sz w:val="28"/>
          <w:szCs w:val="28"/>
        </w:rPr>
      </w:r>
    </w:p>
    <w:p>
      <w:pPr>
        <w:spacing w:line="446" w:lineRule="auto" w:before="158"/>
        <w:ind w:left="1695" w:right="821"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、生产经营的季节性风险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公司主要从事配电设备的生产及销售，报告期内的主要客户为电力系统供</w:t>
      </w:r>
      <w:r>
        <w:rPr>
          <w:rFonts w:ascii="宋体" w:hAnsi="宋体" w:cs="宋体" w:eastAsia="宋体" w:hint="default"/>
          <w:spacing w:val="3"/>
          <w:sz w:val="28"/>
          <w:szCs w:val="28"/>
        </w:rPr>
      </w:r>
    </w:p>
    <w:p>
      <w:pPr>
        <w:spacing w:line="410" w:lineRule="auto" w:before="16"/>
        <w:ind w:left="1133" w:right="821"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电企业和各铁路线路项目公司。受用户采购习惯、项目施工进度、资金管理和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结算方式的影响，本行业销售与回款存在较强的季节性。</w:t>
      </w:r>
      <w:r>
        <w:rPr>
          <w:rFonts w:ascii="宋体" w:hAnsi="宋体" w:cs="宋体" w:eastAsia="宋体" w:hint="default"/>
          <w:sz w:val="28"/>
          <w:szCs w:val="28"/>
        </w:rPr>
      </w:r>
    </w:p>
    <w:p>
      <w:pPr>
        <w:spacing w:line="446" w:lineRule="auto" w:before="159"/>
        <w:ind w:left="1695" w:right="821"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、成长性风险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公司业务近年来保持了较好发展的态势，但公司的规模尚小，尚未经历完</w:t>
      </w:r>
      <w:r>
        <w:rPr>
          <w:rFonts w:ascii="宋体" w:hAnsi="宋体" w:cs="宋体" w:eastAsia="宋体" w:hint="default"/>
          <w:spacing w:val="3"/>
          <w:sz w:val="28"/>
          <w:szCs w:val="28"/>
        </w:rPr>
      </w:r>
    </w:p>
    <w:p>
      <w:pPr>
        <w:spacing w:line="408" w:lineRule="auto" w:before="16"/>
        <w:ind w:left="1133" w:right="821"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整的行业周期波动与企业成长周期，企业规模的快速扩张会给公司带来资金、</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管理、营销、技术、产能与人才瓶颈等诸多挑战。尽管公司在十余年的发展过</w:t>
      </w:r>
      <w:r>
        <w:rPr>
          <w:rFonts w:ascii="宋体" w:hAnsi="宋体" w:cs="宋体" w:eastAsia="宋体" w:hint="default"/>
          <w:spacing w:val="3"/>
          <w:sz w:val="28"/>
          <w:szCs w:val="28"/>
        </w:rPr>
      </w:r>
    </w:p>
    <w:p>
      <w:pPr>
        <w:spacing w:after="0" w:line="408" w:lineRule="auto"/>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10" w:lineRule="auto" w:before="13"/>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程中，积累了比较丰富的管理经验，但公司的持续增长仍然存在不确定性，公</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司仍面临着一定的成长性风险。</w:t>
      </w:r>
      <w:r>
        <w:rPr>
          <w:rFonts w:ascii="宋体" w:hAnsi="宋体" w:cs="宋体" w:eastAsia="宋体" w:hint="default"/>
          <w:sz w:val="28"/>
          <w:szCs w:val="28"/>
        </w:rPr>
      </w:r>
    </w:p>
    <w:p>
      <w:pPr>
        <w:spacing w:line="448" w:lineRule="auto" w:before="158"/>
        <w:ind w:left="1695" w:right="821"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、经营风险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公司主要客户电网公司的招投标模式，逐步由原先地市级、省级自主招标</w:t>
      </w:r>
      <w:r>
        <w:rPr>
          <w:rFonts w:ascii="宋体" w:hAnsi="宋体" w:cs="宋体" w:eastAsia="宋体" w:hint="default"/>
          <w:spacing w:val="3"/>
          <w:sz w:val="28"/>
          <w:szCs w:val="28"/>
        </w:rPr>
      </w:r>
    </w:p>
    <w:p>
      <w:pPr>
        <w:spacing w:line="405" w:lineRule="auto" w:before="14"/>
        <w:ind w:left="1133" w:right="1139" w:firstLine="0"/>
        <w:jc w:val="both"/>
        <w:rPr>
          <w:rFonts w:ascii="宋体" w:hAnsi="宋体" w:cs="宋体" w:eastAsia="宋体" w:hint="default"/>
          <w:sz w:val="28"/>
          <w:szCs w:val="28"/>
        </w:rPr>
      </w:pPr>
      <w:r>
        <w:rPr>
          <w:rFonts w:ascii="宋体" w:hAnsi="宋体" w:cs="宋体" w:eastAsia="宋体" w:hint="default"/>
          <w:b/>
          <w:bCs/>
          <w:sz w:val="28"/>
          <w:szCs w:val="28"/>
        </w:rPr>
        <w:t>调整为</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总部组织，网省实施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b/>
          <w:bCs/>
          <w:spacing w:val="-75"/>
          <w:sz w:val="28"/>
          <w:szCs w:val="28"/>
        </w:rPr>
        <w:t> </w:t>
      </w:r>
      <w:r>
        <w:rPr>
          <w:rFonts w:ascii="宋体" w:hAnsi="宋体" w:cs="宋体" w:eastAsia="宋体" w:hint="default"/>
          <w:b/>
          <w:bCs/>
          <w:sz w:val="28"/>
          <w:szCs w:val="28"/>
        </w:rPr>
        <w:t>这意味着以往分散在各地市、各省的区域优势</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企业，目前大多集中到电网省网公司或电网总公司平台参与竞争。面对加剧的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市场竞争，为获取更多中标订单，各竞标企业趋于降低报价，进而挤压产品的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毛利空间。预计在未来几年内，产品的平均售价仍将呈下降趋势，从而给公司</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的盈利能力带来负面影响。因此，公司存在主要产品市场价格及毛利下降的风  </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险。</w:t>
      </w:r>
      <w:r>
        <w:rPr>
          <w:rFonts w:ascii="宋体" w:hAnsi="宋体" w:cs="宋体" w:eastAsia="宋体" w:hint="default"/>
          <w:sz w:val="28"/>
          <w:szCs w:val="28"/>
        </w:rPr>
      </w:r>
    </w:p>
    <w:p>
      <w:pPr>
        <w:spacing w:line="446" w:lineRule="auto" w:before="164"/>
        <w:ind w:left="1695" w:right="821"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、营运资金短缺的风险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公司所从事的配电及控制设备制造业属资金和技术密集型的行业，其所面</w:t>
      </w:r>
      <w:r>
        <w:rPr>
          <w:rFonts w:ascii="宋体" w:hAnsi="宋体" w:cs="宋体" w:eastAsia="宋体" w:hint="default"/>
          <w:spacing w:val="3"/>
          <w:sz w:val="28"/>
          <w:szCs w:val="28"/>
        </w:rPr>
      </w:r>
    </w:p>
    <w:p>
      <w:pPr>
        <w:spacing w:line="408" w:lineRule="auto" w:before="16"/>
        <w:ind w:left="1133" w:right="1143"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对的电力、铁路等主要客户在产业链中处于强势地位。由于行业内普遍采用招</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投标制度以及质量保证金制度，公司承接业务需要先垫付一定的资金。而在销</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售回款上，由于电力和铁路部门付款的内部程序复杂，需要涉及多部门、多环</w:t>
      </w:r>
      <w:r>
        <w:rPr>
          <w:rFonts w:ascii="宋体" w:hAnsi="宋体" w:cs="宋体" w:eastAsia="宋体" w:hint="default"/>
          <w:b/>
          <w:bCs/>
          <w:spacing w:val="24"/>
          <w:w w:val="95"/>
          <w:sz w:val="28"/>
          <w:szCs w:val="28"/>
        </w:rPr>
        <w:t> </w:t>
      </w:r>
      <w:r>
        <w:rPr>
          <w:rFonts w:ascii="宋体" w:hAnsi="宋体" w:cs="宋体" w:eastAsia="宋体" w:hint="default"/>
          <w:b/>
          <w:bCs/>
          <w:spacing w:val="24"/>
          <w:w w:val="95"/>
          <w:sz w:val="28"/>
          <w:szCs w:val="28"/>
        </w:rPr>
      </w:r>
      <w:r>
        <w:rPr>
          <w:rFonts w:ascii="宋体" w:hAnsi="宋体" w:cs="宋体" w:eastAsia="宋体" w:hint="default"/>
          <w:b/>
          <w:bCs/>
          <w:sz w:val="28"/>
          <w:szCs w:val="28"/>
        </w:rPr>
        <w:t>节，导致配电及控制设备生产企业的销售回款时间都相对较长。</w:t>
      </w:r>
      <w:r>
        <w:rPr>
          <w:rFonts w:ascii="宋体" w:hAnsi="宋体" w:cs="宋体" w:eastAsia="宋体" w:hint="default"/>
          <w:sz w:val="28"/>
          <w:szCs w:val="28"/>
        </w:rPr>
      </w:r>
    </w:p>
    <w:p>
      <w:pPr>
        <w:spacing w:line="408" w:lineRule="auto" w:before="161"/>
        <w:ind w:left="1134" w:right="821" w:firstLine="562"/>
        <w:jc w:val="left"/>
        <w:rPr>
          <w:rFonts w:ascii="宋体" w:hAnsi="宋体" w:cs="宋体" w:eastAsia="宋体" w:hint="default"/>
          <w:sz w:val="28"/>
          <w:szCs w:val="28"/>
        </w:rPr>
      </w:pPr>
      <w:r>
        <w:rPr>
          <w:rFonts w:ascii="宋体" w:hAnsi="宋体" w:cs="宋体" w:eastAsia="宋体" w:hint="default"/>
          <w:b/>
          <w:bCs/>
          <w:spacing w:val="3"/>
          <w:sz w:val="28"/>
          <w:szCs w:val="28"/>
        </w:rPr>
        <w:t>与此同时，配电及控制设备制造业的部分产品采取按照客户要求定制的方</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式生产，产品技术差异大，产品生产周期较长；加上设备安装调试检验等环节，</w:t>
      </w:r>
      <w:r>
        <w:rPr>
          <w:rFonts w:ascii="宋体" w:hAnsi="宋体" w:cs="宋体" w:eastAsia="宋体" w:hint="default"/>
          <w:b/>
          <w:bCs/>
          <w:spacing w:val="63"/>
          <w:w w:val="95"/>
          <w:sz w:val="28"/>
          <w:szCs w:val="28"/>
        </w:rPr>
        <w:t> </w:t>
      </w:r>
      <w:r>
        <w:rPr>
          <w:rFonts w:ascii="宋体" w:hAnsi="宋体" w:cs="宋体" w:eastAsia="宋体" w:hint="default"/>
          <w:b/>
          <w:bCs/>
          <w:spacing w:val="63"/>
          <w:w w:val="95"/>
          <w:sz w:val="28"/>
          <w:szCs w:val="28"/>
        </w:rPr>
      </w:r>
      <w:r>
        <w:rPr>
          <w:rFonts w:ascii="宋体" w:hAnsi="宋体" w:cs="宋体" w:eastAsia="宋体" w:hint="default"/>
          <w:b/>
          <w:bCs/>
          <w:sz w:val="28"/>
          <w:szCs w:val="28"/>
        </w:rPr>
        <w:t>导致公司存货占用资金较多。</w:t>
      </w:r>
      <w:r>
        <w:rPr>
          <w:rFonts w:ascii="宋体" w:hAnsi="宋体" w:cs="宋体" w:eastAsia="宋体" w:hint="default"/>
          <w:sz w:val="28"/>
          <w:szCs w:val="28"/>
        </w:rPr>
      </w:r>
    </w:p>
    <w:p>
      <w:pPr>
        <w:spacing w:line="408" w:lineRule="auto" w:before="160"/>
        <w:ind w:left="1134" w:right="821" w:firstLine="562"/>
        <w:jc w:val="left"/>
        <w:rPr>
          <w:rFonts w:ascii="宋体" w:hAnsi="宋体" w:cs="宋体" w:eastAsia="宋体" w:hint="default"/>
          <w:sz w:val="28"/>
          <w:szCs w:val="28"/>
        </w:rPr>
      </w:pPr>
      <w:r>
        <w:rPr>
          <w:rFonts w:ascii="宋体" w:hAnsi="宋体" w:cs="宋体" w:eastAsia="宋体" w:hint="default"/>
          <w:b/>
          <w:bCs/>
          <w:spacing w:val="3"/>
          <w:w w:val="95"/>
          <w:sz w:val="28"/>
          <w:szCs w:val="28"/>
        </w:rPr>
        <w:t>虽然公司随着本期募集资金的到位，资金压力有所缓解，但是由于公司业</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务发展较快，正在积极筹建新的生产基地，将会占用较大规模的自有资金，因</w:t>
      </w:r>
      <w:r>
        <w:rPr>
          <w:rFonts w:ascii="宋体" w:hAnsi="宋体" w:cs="宋体" w:eastAsia="宋体" w:hint="default"/>
          <w:spacing w:val="3"/>
          <w:sz w:val="28"/>
          <w:szCs w:val="28"/>
        </w:rPr>
      </w:r>
    </w:p>
    <w:p>
      <w:pPr>
        <w:spacing w:after="0" w:line="408" w:lineRule="auto"/>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472" w:lineRule="auto" w:before="13"/>
        <w:ind w:left="1695" w:right="821" w:hanging="562"/>
        <w:jc w:val="left"/>
        <w:rPr>
          <w:rFonts w:ascii="宋体" w:hAnsi="宋体" w:cs="宋体" w:eastAsia="宋体" w:hint="default"/>
          <w:sz w:val="28"/>
          <w:szCs w:val="28"/>
        </w:rPr>
      </w:pPr>
      <w:r>
        <w:rPr>
          <w:rFonts w:ascii="宋体" w:hAnsi="宋体" w:cs="宋体" w:eastAsia="宋体" w:hint="default"/>
          <w:b/>
          <w:bCs/>
          <w:sz w:val="28"/>
          <w:szCs w:val="28"/>
        </w:rPr>
        <w:t>此公司存在短期内营运资金短缺的风险。</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55"/>
          <w:sz w:val="28"/>
          <w:szCs w:val="28"/>
        </w:rPr>
        <w:t> </w:t>
      </w:r>
      <w:r>
        <w:rPr>
          <w:rFonts w:ascii="Times New Roman" w:hAnsi="Times New Roman" w:cs="Times New Roman" w:eastAsia="Times New Roman" w:hint="default"/>
          <w:b/>
          <w:bCs/>
          <w:sz w:val="28"/>
          <w:szCs w:val="28"/>
        </w:rPr>
        <w:t>2016</w:t>
      </w:r>
      <w:r>
        <w:rPr>
          <w:rFonts w:ascii="Times New Roman" w:hAnsi="Times New Roman" w:cs="Times New Roman" w:eastAsia="Times New Roman" w:hint="default"/>
          <w:b/>
          <w:bCs/>
          <w:spacing w:val="10"/>
          <w:sz w:val="28"/>
          <w:szCs w:val="28"/>
        </w:rPr>
        <w:t> </w:t>
      </w:r>
      <w:r>
        <w:rPr>
          <w:rFonts w:ascii="宋体" w:hAnsi="宋体" w:cs="宋体" w:eastAsia="宋体" w:hint="default"/>
          <w:b/>
          <w:bCs/>
          <w:sz w:val="28"/>
          <w:szCs w:val="28"/>
        </w:rPr>
        <w:t>年</w:t>
      </w:r>
      <w:r>
        <w:rPr>
          <w:rFonts w:ascii="宋体" w:hAnsi="宋体" w:cs="宋体" w:eastAsia="宋体" w:hint="default"/>
          <w:b/>
          <w:bCs/>
          <w:spacing w:val="-61"/>
          <w:sz w:val="28"/>
          <w:szCs w:val="28"/>
        </w:rPr>
        <w:t> </w:t>
      </w:r>
      <w:r>
        <w:rPr>
          <w:rFonts w:ascii="Times New Roman" w:hAnsi="Times New Roman" w:cs="Times New Roman" w:eastAsia="Times New Roman" w:hint="default"/>
          <w:b/>
          <w:bCs/>
          <w:sz w:val="28"/>
          <w:szCs w:val="28"/>
        </w:rPr>
        <w:t>4</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月</w:t>
      </w:r>
      <w:r>
        <w:rPr>
          <w:rFonts w:ascii="宋体" w:hAnsi="宋体" w:cs="宋体" w:eastAsia="宋体" w:hint="default"/>
          <w:b/>
          <w:bCs/>
          <w:spacing w:val="-60"/>
          <w:sz w:val="28"/>
          <w:szCs w:val="28"/>
        </w:rPr>
        <w:t> </w:t>
      </w:r>
      <w:r>
        <w:rPr>
          <w:rFonts w:ascii="Times New Roman" w:hAnsi="Times New Roman" w:cs="Times New Roman" w:eastAsia="Times New Roman" w:hint="default"/>
          <w:b/>
          <w:bCs/>
          <w:sz w:val="28"/>
          <w:szCs w:val="28"/>
        </w:rPr>
        <w:t>24</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日总股</w:t>
      </w:r>
      <w:r>
        <w:rPr>
          <w:rFonts w:ascii="宋体" w:hAnsi="宋体" w:cs="宋体" w:eastAsia="宋体" w:hint="default"/>
          <w:sz w:val="28"/>
          <w:szCs w:val="28"/>
        </w:rPr>
      </w:r>
    </w:p>
    <w:p>
      <w:pPr>
        <w:spacing w:line="324" w:lineRule="exact" w:before="0"/>
        <w:ind w:left="1133" w:right="821" w:firstLine="0"/>
        <w:jc w:val="left"/>
        <w:rPr>
          <w:rFonts w:ascii="宋体" w:hAnsi="宋体" w:cs="宋体" w:eastAsia="宋体" w:hint="default"/>
          <w:sz w:val="28"/>
          <w:szCs w:val="28"/>
        </w:rPr>
      </w:pPr>
      <w:r>
        <w:rPr>
          <w:rFonts w:ascii="宋体" w:hAnsi="宋体" w:cs="宋体" w:eastAsia="宋体" w:hint="default"/>
          <w:b/>
          <w:bCs/>
          <w:w w:val="99"/>
          <w:sz w:val="28"/>
          <w:szCs w:val="28"/>
        </w:rPr>
        <w:t>本为基</w:t>
      </w:r>
      <w:r>
        <w:rPr>
          <w:rFonts w:ascii="宋体" w:hAnsi="宋体" w:cs="宋体" w:eastAsia="宋体" w:hint="default"/>
          <w:b/>
          <w:bCs/>
          <w:spacing w:val="2"/>
          <w:w w:val="99"/>
          <w:sz w:val="28"/>
          <w:szCs w:val="28"/>
        </w:rPr>
        <w:t>数</w:t>
      </w:r>
      <w:r>
        <w:rPr>
          <w:rFonts w:ascii="宋体" w:hAnsi="宋体" w:cs="宋体" w:eastAsia="宋体" w:hint="default"/>
          <w:b/>
          <w:bCs/>
          <w:spacing w:val="-49"/>
          <w:w w:val="99"/>
          <w:sz w:val="28"/>
          <w:szCs w:val="28"/>
        </w:rPr>
        <w:t>，</w:t>
      </w: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4</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49"/>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49"/>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49"/>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before="237"/>
        <w:ind w:left="1134" w:right="821" w:firstLine="0"/>
        <w:jc w:val="left"/>
        <w:rPr>
          <w:rFonts w:ascii="宋体" w:hAnsi="宋体" w:cs="宋体" w:eastAsia="宋体" w:hint="default"/>
          <w:sz w:val="28"/>
          <w:szCs w:val="28"/>
        </w:rPr>
      </w:pPr>
      <w:r>
        <w:rPr>
          <w:rFonts w:ascii="宋体" w:hAnsi="宋体" w:cs="宋体" w:eastAsia="宋体" w:hint="default"/>
          <w:b/>
          <w:bCs/>
          <w:sz w:val="28"/>
          <w:szCs w:val="28"/>
        </w:rPr>
        <w:t>以资本公积金向全体股东每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股转增</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15</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1114" w:right="111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074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财务报告</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0"/>
              </w:rPr>
              <w:t> </w:t>
            </w:r>
            <w:r>
              <w:rPr/>
              <w:t>备查文件目录</w:t>
            </w:r>
            <w:r>
              <w:rPr>
                <w:rFonts w:ascii="Times New Roman" w:hAnsi="Times New Roman" w:cs="Times New Roman" w:eastAsia="Times New Roman" w:hint="default"/>
              </w:rPr>
              <w:tab/>
              <w:t>148</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before="946"/>
        <w:ind w:left="1114" w:right="111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公司、合纵科技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主办券商、保荐机构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申万宏源证券承销保荐有限责任公司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公司总经理、副总经理、财务总监、董事会秘书</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合纵实科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北京合纵实科电力科技有限公司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合纵畅达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北京合纵畅达金属制品有限责任公司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合纵开创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北京合纵开创电气技术有限公司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合纵科沃尔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北京合纵科沃尔电力科技有限公司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天津合纵</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天津合纵电力设备有限公司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821"/>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21"/>
        <w:jc w:val="left"/>
        <w:rPr>
          <w:b w:val="0"/>
          <w:bCs w:val="0"/>
        </w:rPr>
      </w:pPr>
      <w:r>
        <w:rPr/>
        <w:pict>
          <v:group style="position:absolute;margin-left:172.339996pt;margin-top:114.735596pt;width:361.5pt;height:19.6pt;mso-position-horizontal-relative:page;mso-position-vertical-relative:paragraph;z-index:-781024"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合纵科技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300477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合纵科技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Beijing    Hezong Science&amp;Technology  </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Hezong Science &amp;</w:t>
            </w:r>
            <w:r>
              <w:rPr>
                <w:rFonts w:ascii="Times New Roman"/>
                <w:spacing w:val="-21"/>
                <w:sz w:val="18"/>
              </w:rPr>
              <w:t> </w:t>
            </w:r>
            <w:r>
              <w:rPr>
                <w:rFonts w:ascii="Times New Roman"/>
                <w:sz w:val="18"/>
              </w:rPr>
              <w:t>Technology</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刘泽刚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北京市海淀区上地三街</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号（嘉华大厦）</w:t>
            </w:r>
            <w:r>
              <w:rPr>
                <w:rFonts w:ascii="Times New Roman" w:hAnsi="Times New Roman" w:cs="Times New Roman" w:eastAsia="Times New Roman" w:hint="default"/>
                <w:sz w:val="18"/>
                <w:szCs w:val="18"/>
              </w:rPr>
              <w:t>D1211</w:t>
            </w:r>
            <w:r>
              <w:rPr>
                <w:rFonts w:ascii="宋体" w:hAnsi="宋体" w:cs="宋体" w:eastAsia="宋体" w:hint="default"/>
                <w:sz w:val="18"/>
                <w:szCs w:val="18"/>
              </w:rPr>
              <w:t>、</w:t>
            </w:r>
            <w:r>
              <w:rPr>
                <w:rFonts w:ascii="Times New Roman" w:hAnsi="Times New Roman" w:cs="Times New Roman" w:eastAsia="Times New Roman" w:hint="default"/>
                <w:sz w:val="18"/>
                <w:szCs w:val="18"/>
              </w:rPr>
              <w:t>1212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北京市海淀区上地三街</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号（嘉华大厦）</w:t>
            </w:r>
            <w:r>
              <w:rPr>
                <w:rFonts w:ascii="Times New Roman" w:hAnsi="Times New Roman" w:cs="Times New Roman" w:eastAsia="Times New Roman" w:hint="default"/>
                <w:sz w:val="18"/>
                <w:szCs w:val="18"/>
              </w:rPr>
              <w:t>D1211</w:t>
            </w:r>
            <w:r>
              <w:rPr>
                <w:rFonts w:ascii="宋体" w:hAnsi="宋体" w:cs="宋体" w:eastAsia="宋体" w:hint="default"/>
                <w:sz w:val="18"/>
                <w:szCs w:val="18"/>
              </w:rPr>
              <w:t>、</w:t>
            </w:r>
            <w:r>
              <w:rPr>
                <w:rFonts w:ascii="Times New Roman" w:hAnsi="Times New Roman" w:cs="Times New Roman" w:eastAsia="Times New Roman" w:hint="default"/>
                <w:sz w:val="18"/>
                <w:szCs w:val="18"/>
              </w:rPr>
              <w:t>1212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http://www.chinahezong.com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fengzheng@chinahezong.com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821"/>
        <w:jc w:val="left"/>
        <w:rPr>
          <w:b w:val="0"/>
          <w:bCs w:val="0"/>
        </w:rPr>
      </w:pPr>
      <w:r>
        <w:rPr/>
        <w:pict>
          <v:group style="position:absolute;margin-left:377.079987pt;margin-top:74.475616pt;width:161.25pt;height:17.6pt;mso-position-horizontal-relative:page;mso-position-vertical-relative:paragraph;z-index:-780976" coordorigin="7542,1490" coordsize="3225,352">
            <v:group style="position:absolute;left:7542;top:1490;width:3135;height:352" coordorigin="7542,1490" coordsize="3135,352">
              <v:shape style="position:absolute;left:7542;top:1490;width:3135;height:352" coordorigin="7542,1490" coordsize="3135,352" path="m7542,1841l10676,1841,10676,1490,7542,1490,7542,1841xe" filled="true" fillcolor="#ffffff" stroked="false">
                <v:path arrowok="t"/>
                <v:fill type="solid"/>
              </v:shape>
              <v:shape style="position:absolute;left:10586;top:159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陈德香</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13" w:space="0" w:color="FFFFFF"/>
            </w:tcBorders>
          </w:tcPr>
          <w:p>
            <w:pPr>
              <w:pStyle w:val="TableParagraph"/>
              <w:spacing w:line="240" w:lineRule="auto" w:before="51"/>
              <w:ind w:left="16" w:right="-44"/>
              <w:jc w:val="left"/>
              <w:rPr>
                <w:rFonts w:ascii="宋体" w:hAnsi="宋体" w:cs="宋体" w:eastAsia="宋体" w:hint="default"/>
                <w:sz w:val="18"/>
                <w:szCs w:val="18"/>
              </w:rPr>
            </w:pPr>
            <w:r>
              <w:rPr>
                <w:rFonts w:ascii="宋体" w:hAnsi="宋体" w:cs="宋体" w:eastAsia="宋体" w:hint="default"/>
                <w:sz w:val="18"/>
                <w:szCs w:val="18"/>
              </w:rPr>
              <w:t>北京市海淀区上地三街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号（嘉华大厦）</w:t>
            </w:r>
            <w:r>
              <w:rPr>
                <w:rFonts w:ascii="宋体" w:hAnsi="宋体" w:cs="宋体" w:eastAsia="宋体" w:hint="default"/>
                <w:sz w:val="18"/>
                <w:szCs w:val="18"/>
              </w:rPr>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D1211</w:t>
            </w:r>
            <w:r>
              <w:rPr>
                <w:rFonts w:ascii="宋体" w:hAnsi="宋体" w:cs="宋体" w:eastAsia="宋体" w:hint="default"/>
                <w:sz w:val="18"/>
                <w:szCs w:val="18"/>
              </w:rPr>
              <w:t>、</w:t>
            </w:r>
            <w:r>
              <w:rPr>
                <w:rFonts w:ascii="Times New Roman" w:hAnsi="Times New Roman" w:cs="Times New Roman" w:eastAsia="Times New Roman" w:hint="default"/>
                <w:sz w:val="18"/>
                <w:szCs w:val="18"/>
              </w:rPr>
              <w:t>1212</w:t>
            </w:r>
          </w:p>
        </w:tc>
        <w:tc>
          <w:tcPr>
            <w:tcW w:w="3190" w:type="dxa"/>
            <w:tcBorders>
              <w:top w:val="single" w:sz="4" w:space="0" w:color="000000"/>
              <w:left w:val="single" w:sz="13" w:space="0" w:color="FFFFFF"/>
              <w:bottom w:val="nil" w:sz="6" w:space="0" w:color="auto"/>
              <w:right w:val="nil" w:sz="6" w:space="0" w:color="auto"/>
            </w:tcBorders>
          </w:tcPr>
          <w:p>
            <w:pP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13" w:space="0" w:color="FFFFFF"/>
            </w:tcBorders>
          </w:tcPr>
          <w:p>
            <w:pPr/>
          </w:p>
        </w:tc>
        <w:tc>
          <w:tcPr>
            <w:tcW w:w="3190" w:type="dxa"/>
            <w:vMerge w:val="restart"/>
            <w:tcBorders>
              <w:top w:val="nil" w:sz="6" w:space="0" w:color="auto"/>
              <w:left w:val="single" w:sz="13" w:space="0" w:color="FFFFFF"/>
              <w:right w:val="nil" w:sz="6" w:space="0" w:color="auto"/>
            </w:tcBorders>
          </w:tcPr>
          <w:p>
            <w:pPr>
              <w:pStyle w:val="TableParagraph"/>
              <w:spacing w:line="145" w:lineRule="exact"/>
              <w:ind w:left="11" w:right="0"/>
              <w:jc w:val="left"/>
              <w:rPr>
                <w:rFonts w:ascii="宋体" w:hAnsi="宋体" w:cs="宋体" w:eastAsia="宋体" w:hint="default"/>
                <w:sz w:val="18"/>
                <w:szCs w:val="18"/>
              </w:rPr>
            </w:pPr>
            <w:r>
              <w:rPr>
                <w:rFonts w:ascii="宋体" w:hAnsi="宋体" w:cs="宋体" w:eastAsia="宋体" w:hint="default"/>
                <w:sz w:val="18"/>
                <w:szCs w:val="18"/>
              </w:rPr>
              <w:t>北京市海淀区上地三街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3"/>
                <w:sz w:val="18"/>
                <w:szCs w:val="18"/>
              </w:rPr>
              <w:t>号（嘉华大厦</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D1211</w:t>
            </w:r>
            <w:r>
              <w:rPr>
                <w:rFonts w:ascii="宋体" w:hAnsi="宋体" w:cs="宋体" w:eastAsia="宋体" w:hint="default"/>
                <w:sz w:val="18"/>
                <w:szCs w:val="18"/>
              </w:rPr>
              <w:t>、</w:t>
            </w:r>
            <w:r>
              <w:rPr>
                <w:rFonts w:ascii="Times New Roman" w:hAnsi="Times New Roman" w:cs="Times New Roman" w:eastAsia="Times New Roman" w:hint="default"/>
                <w:sz w:val="18"/>
                <w:szCs w:val="18"/>
              </w:rPr>
              <w:t>1212</w:t>
            </w: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13" w:space="0" w:color="FFFFFF"/>
            </w:tcBorders>
          </w:tcPr>
          <w:p>
            <w:pPr/>
          </w:p>
        </w:tc>
        <w:tc>
          <w:tcPr>
            <w:tcW w:w="3190" w:type="dxa"/>
            <w:vMerge/>
            <w:tcBorders>
              <w:left w:val="single" w:sz="13" w:space="0" w:color="FFFFFF"/>
              <w:bottom w:val="single" w:sz="4" w:space="0" w:color="000000"/>
              <w:right w:val="nil" w:sz="6" w:space="0" w:color="auto"/>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010-62973188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010-62973188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010-62975911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010-62975911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fengzheng@chinahezong.com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chendexiang@chinahezong.com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821"/>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（巨潮资讯网）</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821"/>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21"/>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信用中和会计师事务所（特殊普通合伙）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唐炫、唐静</w:t>
            </w:r>
          </w:p>
        </w:tc>
      </w:tr>
    </w:tbl>
    <w:p>
      <w:pPr>
        <w:pStyle w:val="BodyText"/>
        <w:spacing w:line="240" w:lineRule="auto" w:before="51"/>
        <w:ind w:left="1134" w:right="821"/>
        <w:jc w:val="left"/>
      </w:pPr>
      <w:r>
        <w:rPr/>
        <w:t>公司聘请的报告期内履行持续督导职责的保荐机构</w:t>
      </w:r>
    </w:p>
    <w:p>
      <w:pPr>
        <w:pStyle w:val="BodyText"/>
        <w:spacing w:line="240" w:lineRule="auto" w:before="117"/>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571"/>
        <w:gridCol w:w="2214"/>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申万宏源证券承销保荐有限 责任公司</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center"/>
              <w:rPr>
                <w:rFonts w:ascii="宋体" w:hAnsi="宋体" w:cs="宋体" w:eastAsia="宋体" w:hint="default"/>
                <w:sz w:val="18"/>
                <w:szCs w:val="18"/>
              </w:rPr>
            </w:pPr>
            <w:r>
              <w:rPr>
                <w:rFonts w:ascii="宋体" w:hAnsi="宋体" w:cs="宋体" w:eastAsia="宋体" w:hint="default"/>
                <w:sz w:val="18"/>
                <w:szCs w:val="18"/>
              </w:rPr>
              <w:t>北京市西城区太平桥大街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号</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罗捷、崔勇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821"/>
        <w:jc w:val="left"/>
      </w:pPr>
      <w:r>
        <w:rPr/>
        <w:t>公司聘请的报告期内履行持续督导职责的财务顾问</w:t>
      </w:r>
    </w:p>
    <w:p>
      <w:pPr>
        <w:pStyle w:val="BodyText"/>
        <w:spacing w:line="240" w:lineRule="auto" w:before="116"/>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21"/>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21"/>
        <w:jc w:val="left"/>
      </w:pPr>
      <w:r>
        <w:rPr/>
        <w:t>公司是否因会计政策变更及会计差错更正等追溯调整或重述以前年度会计数据</w:t>
      </w:r>
    </w:p>
    <w:p>
      <w:pPr>
        <w:pStyle w:val="BodyText"/>
        <w:spacing w:line="240" w:lineRule="auto" w:before="117"/>
        <w:ind w:right="8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1,117,448,993.36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911,464,692.14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714,235,239.84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87,495,468.10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75,285,176.63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76,570,100.39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81,810,330.18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74,491,461.26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72,654,205.95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30,171,391.35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18,973,009.68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65,768,012.51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1,564,310,630.66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993,962,113.48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815,817,550.51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732,756,011.99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417,546,047.41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358,696,870.78</w:t>
            </w:r>
          </w:p>
        </w:tc>
      </w:tr>
    </w:tbl>
    <w:p>
      <w:pPr>
        <w:spacing w:line="240" w:lineRule="auto" w:before="2"/>
        <w:rPr>
          <w:rFonts w:ascii="宋体" w:hAnsi="宋体" w:cs="宋体" w:eastAsia="宋体" w:hint="default"/>
          <w:sz w:val="18"/>
          <w:szCs w:val="18"/>
        </w:rPr>
      </w:pPr>
    </w:p>
    <w:p>
      <w:pPr>
        <w:pStyle w:val="Heading2"/>
        <w:spacing w:line="240" w:lineRule="auto" w:before="26"/>
        <w:ind w:left="1134" w:right="821"/>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148,712,915.43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333,395,587.79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270,443,746.58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364,896,743.56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-16,847,742.52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46,741,381.09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21,818,454.17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35,783,375.36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-18,266,299.99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45,670,521.10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21,658,067.59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32,748,041.48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-85,392,975.95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60,732,763.79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-53,783,556.78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108,615,160.29</w:t>
            </w:r>
          </w:p>
        </w:tc>
      </w:tr>
    </w:tbl>
    <w:p>
      <w:pPr>
        <w:pStyle w:val="BodyText"/>
        <w:spacing w:line="240" w:lineRule="auto" w:before="51"/>
        <w:ind w:left="1134" w:right="821"/>
        <w:jc w:val="left"/>
      </w:pPr>
      <w:r>
        <w:rPr/>
        <w:t>上述财务指标或其加总数是否与公司已披露季度报告、半年度报告相关财务指标存在重大差异</w:t>
      </w:r>
    </w:p>
    <w:p>
      <w:pPr>
        <w:pStyle w:val="BodyText"/>
        <w:spacing w:line="240" w:lineRule="auto" w:before="117"/>
        <w:ind w:right="8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821"/>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21"/>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6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821"/>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821"/>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-143,273.77</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-3,757,349.33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-79,785.58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固定资产报废处置</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6,843,608.50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4,686,517.77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4,639,763.73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3,993.56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42,660.67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1,000,673.75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139,939.02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691,960.73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14,454.30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-5,216.35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5,685,137.92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793,715.37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3,915,894.44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821"/>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2"/>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821"/>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821"/>
        <w:jc w:val="left"/>
      </w:pPr>
      <w:r>
        <w:rPr/>
        <w:t>项目界定为经常性损益的项目的情形。</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4"/>
        <w:jc w:val="center"/>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821"/>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9" w:firstLine="360"/>
        <w:jc w:val="both"/>
      </w:pPr>
      <w:r>
        <w:rPr>
          <w:spacing w:val="-2"/>
        </w:rPr>
        <w:t>公司是从事配电及控制设备制造及相关技术服务的高科技企业。公司的主营业务是：面向国内电力网络、市政建设、铁</w:t>
      </w:r>
      <w:r>
        <w:rPr/>
        <w:t> </w:t>
      </w:r>
      <w:r>
        <w:rPr>
          <w:spacing w:val="-2"/>
        </w:rPr>
        <w:t>路、城市轨道交通等诸多领域，生产和销售户外中高压配电和控制设备，产品主要包括环网柜、箱式变电站、柱上开关、变</w:t>
      </w:r>
      <w:r>
        <w:rPr>
          <w:spacing w:val="-67"/>
        </w:rPr>
        <w:t> </w:t>
      </w:r>
      <w:r>
        <w:rPr>
          <w:spacing w:val="-67"/>
        </w:rPr>
      </w:r>
      <w:r>
        <w:rPr/>
        <w:t>压器、电缆附件、其他开关等共计六大类二十个系列。</w:t>
      </w:r>
    </w:p>
    <w:p>
      <w:pPr>
        <w:pStyle w:val="BodyText"/>
        <w:spacing w:line="240" w:lineRule="auto" w:before="19"/>
        <w:ind w:left="1494" w:right="821"/>
        <w:jc w:val="left"/>
      </w:pPr>
      <w:r>
        <w:rPr/>
        <w:t>报告期内的公司主营业务未发生重大变化。</w:t>
      </w:r>
    </w:p>
    <w:p>
      <w:pPr>
        <w:spacing w:line="240" w:lineRule="auto" w:before="2"/>
        <w:rPr>
          <w:rFonts w:ascii="宋体" w:hAnsi="宋体" w:cs="宋体" w:eastAsia="宋体" w:hint="default"/>
          <w:sz w:val="25"/>
          <w:szCs w:val="25"/>
        </w:rPr>
      </w:pPr>
    </w:p>
    <w:p>
      <w:pPr>
        <w:pStyle w:val="Heading2"/>
        <w:spacing w:line="240" w:lineRule="auto"/>
        <w:ind w:left="1134" w:right="821"/>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821"/>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18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子公司天津合纵新增土地使用权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6,644.02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为扩大产能，新增天津生产基地建设项目</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8,963.94</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万元，密云云腾路厂房</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10,983.87</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3,032.04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821"/>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21"/>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left="1134" w:right="1079" w:firstLine="360"/>
        <w:jc w:val="both"/>
      </w:pPr>
      <w:r>
        <w:rPr>
          <w:spacing w:val="-2"/>
        </w:rPr>
        <w:t>公司经过近</w:t>
      </w:r>
      <w:r>
        <w:rPr>
          <w:rFonts w:ascii="Times New Roman" w:hAnsi="Times New Roman" w:cs="Times New Roman" w:eastAsia="Times New Roman" w:hint="default"/>
          <w:spacing w:val="-2"/>
        </w:rPr>
        <w:t>20</w:t>
      </w:r>
      <w:r>
        <w:rPr>
          <w:spacing w:val="-2"/>
        </w:rPr>
        <w:t>年发展，已经成为一家能够生产配电领域一次设备全系列产品的高科技企业，能够为客户提供配电系统建</w:t>
      </w:r>
      <w:r>
        <w:rPr/>
        <w:t> 设的完整解决方案，并提供良好的后续服务。公司生产的环网柜系列产品，年产量连续</w:t>
      </w:r>
      <w:r>
        <w:rPr>
          <w:rFonts w:ascii="Times New Roman" w:hAnsi="Times New Roman" w:cs="Times New Roman" w:eastAsia="Times New Roman" w:hint="default"/>
        </w:rPr>
        <w:t>3</w:t>
      </w:r>
      <w:r>
        <w:rPr/>
        <w:t>年在中国电器工业协会高压开关分</w:t>
      </w:r>
      <w:r>
        <w:rPr>
          <w:spacing w:val="-82"/>
        </w:rPr>
        <w:t> </w:t>
      </w:r>
      <w:r>
        <w:rPr>
          <w:spacing w:val="-82"/>
        </w:rPr>
      </w:r>
      <w:r>
        <w:rPr>
          <w:spacing w:val="-2"/>
        </w:rPr>
        <w:t>会编制的行业年鉴中排名第一，奠定了细分市场的行业龙头地位；箱式变电站系列产品、架空开关系列产品已经站在国内企</w:t>
      </w:r>
      <w:r>
        <w:rPr>
          <w:spacing w:val="-66"/>
        </w:rPr>
        <w:t> </w:t>
      </w:r>
      <w:r>
        <w:rPr>
          <w:spacing w:val="-66"/>
        </w:rPr>
      </w:r>
      <w:r>
        <w:rPr/>
        <w:t>业第一方阵；公司的变压器系列产品，近</w:t>
      </w:r>
      <w:r>
        <w:rPr>
          <w:rFonts w:ascii="Times New Roman" w:hAnsi="Times New Roman" w:cs="Times New Roman" w:eastAsia="Times New Roman" w:hint="default"/>
        </w:rPr>
        <w:t>3</w:t>
      </w:r>
      <w:r>
        <w:rPr/>
        <w:t>年保持了近</w:t>
      </w:r>
      <w:r>
        <w:rPr>
          <w:rFonts w:ascii="Times New Roman" w:hAnsi="Times New Roman" w:cs="Times New Roman" w:eastAsia="Times New Roman" w:hint="default"/>
        </w:rPr>
        <w:t>100%</w:t>
      </w:r>
      <w:r>
        <w:rPr/>
        <w:t>的复合增长速度，已经成长为配电变压器细分市场的重要企业。 在配电设备领域公司已经站在行业前端。</w:t>
      </w:r>
    </w:p>
    <w:p>
      <w:pPr>
        <w:pStyle w:val="BodyText"/>
        <w:spacing w:line="300" w:lineRule="auto" w:before="28"/>
        <w:ind w:left="1493" w:right="821"/>
        <w:jc w:val="left"/>
      </w:pPr>
      <w:r>
        <w:rPr/>
        <w:t>近</w:t>
      </w:r>
      <w:r>
        <w:rPr>
          <w:rFonts w:ascii="Times New Roman" w:hAnsi="Times New Roman" w:cs="Times New Roman" w:eastAsia="Times New Roman" w:hint="default"/>
        </w:rPr>
        <w:t>3</w:t>
      </w:r>
      <w:r>
        <w:rPr/>
        <w:t>年来，公司在国家电网集中招投标项目中表现良好，市场份额名列前茅，订单量持续稳定增长。 </w:t>
      </w:r>
      <w:r>
        <w:rPr>
          <w:spacing w:val="-2"/>
        </w:rPr>
        <w:t>公司生产的全系列产品，全部拥有核心技术和自主知识产权，这不仅让公司在国内激烈的市场竞争中保持了较大的成本</w:t>
      </w:r>
    </w:p>
    <w:p>
      <w:pPr>
        <w:pStyle w:val="BodyText"/>
        <w:spacing w:line="316" w:lineRule="auto" w:before="31"/>
        <w:ind w:left="1493" w:right="1037" w:hanging="360"/>
        <w:jc w:val="left"/>
      </w:pPr>
      <w:r>
        <w:rPr/>
        <w:t>优势和品质优势，同时也为参与国际市场的业务打下了良好的基础。公司近年来研发投入持续增长，技术储备丰厚。 </w:t>
      </w:r>
      <w:r>
        <w:rPr>
          <w:spacing w:val="-1"/>
        </w:rPr>
        <w:t>公司拥有一支团结一致，积极进取的管理团队，且专业经验丰富。公司的董事会成员里，</w:t>
      </w:r>
      <w:r>
        <w:rPr>
          <w:rFonts w:ascii="Times New Roman" w:hAnsi="Times New Roman" w:cs="Times New Roman" w:eastAsia="Times New Roman" w:hint="default"/>
          <w:spacing w:val="-1"/>
        </w:rPr>
        <w:t>2/3</w:t>
      </w:r>
      <w:r>
        <w:rPr>
          <w:spacing w:val="-1"/>
        </w:rPr>
        <w:t>具有电力行业的专业学历，</w:t>
      </w:r>
    </w:p>
    <w:p>
      <w:pPr>
        <w:pStyle w:val="BodyText"/>
        <w:spacing w:line="300" w:lineRule="auto"/>
        <w:ind w:right="821"/>
        <w:jc w:val="left"/>
      </w:pPr>
      <w:r>
        <w:rPr/>
        <w:t>并具有十年以上的管理经验；有</w:t>
      </w:r>
      <w:r>
        <w:rPr>
          <w:rFonts w:ascii="Times New Roman" w:hAnsi="Times New Roman" w:cs="Times New Roman" w:eastAsia="Times New Roman" w:hint="default"/>
        </w:rPr>
        <w:t>1/3</w:t>
      </w:r>
      <w:r>
        <w:rPr/>
        <w:t>具有财务、管理方面的专业学历，并具有十年以上的管理经验。公司经营管理层普遍具</w:t>
      </w:r>
      <w:r>
        <w:rPr>
          <w:spacing w:val="-48"/>
        </w:rPr>
        <w:t> </w:t>
      </w:r>
      <w:r>
        <w:rPr>
          <w:spacing w:val="-48"/>
        </w:rPr>
      </w:r>
      <w:r>
        <w:rPr/>
        <w:t>备</w:t>
      </w:r>
      <w:r>
        <w:rPr>
          <w:rFonts w:ascii="Times New Roman" w:hAnsi="Times New Roman" w:cs="Times New Roman" w:eastAsia="Times New Roman" w:hint="default"/>
        </w:rPr>
        <w:t>10</w:t>
      </w:r>
      <w:r>
        <w:rPr/>
        <w:t>年以上的电力设备制造行业从业经验。</w:t>
      </w:r>
    </w:p>
    <w:p>
      <w:pPr>
        <w:spacing w:after="0" w:line="30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114"/>
        <w:jc w:val="center"/>
        <w:rPr>
          <w:b w:val="0"/>
          <w:bCs w:val="0"/>
        </w:rPr>
      </w:pPr>
      <w:bookmarkStart w:name="第四节 管理层讨论与分析" w:id="21"/>
      <w:bookmarkEnd w:id="21"/>
      <w:r>
        <w:rPr>
          <w:b w:val="0"/>
          <w:bCs w:val="0"/>
        </w:rPr>
      </w:r>
      <w:bookmarkStart w:name="_bookmark2" w:id="22"/>
      <w:bookmarkEnd w:id="22"/>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21"/>
        <w:jc w:val="left"/>
        <w:rPr>
          <w:b w:val="0"/>
          <w:bCs w:val="0"/>
        </w:rPr>
      </w:pPr>
      <w:bookmarkStart w:name="一、概述" w:id="23"/>
      <w:bookmarkEnd w:id="23"/>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rFonts w:ascii="宋体" w:hAnsi="宋体" w:cs="宋体" w:eastAsia="宋体" w:hint="default"/>
          <w:spacing w:val="-2"/>
        </w:rPr>
        <w:t>2015</w:t>
      </w:r>
      <w:r>
        <w:rPr>
          <w:spacing w:val="-2"/>
        </w:rPr>
        <w:t>年是公司上市的第一年，公司董事会和管理层，本着勤勉尽职的原则，努力开拓新市场，使公司的各项工作稳步推</w:t>
      </w:r>
      <w:r>
        <w:rPr/>
        <w:t> 进，卓有成效。</w:t>
      </w:r>
    </w:p>
    <w:p>
      <w:pPr>
        <w:pStyle w:val="BodyText"/>
        <w:spacing w:line="316" w:lineRule="auto" w:before="19"/>
        <w:ind w:right="1128" w:firstLine="360"/>
        <w:jc w:val="both"/>
      </w:pPr>
      <w:r>
        <w:rPr>
          <w:rFonts w:ascii="宋体" w:hAnsi="宋体" w:cs="宋体" w:eastAsia="宋体" w:hint="default"/>
          <w:spacing w:val="-1"/>
        </w:rPr>
        <w:t>2015</w:t>
      </w:r>
      <w:r>
        <w:rPr>
          <w:spacing w:val="-1"/>
        </w:rPr>
        <w:t>年，我国总体经济形势并不乐观</w:t>
      </w:r>
      <w:r>
        <w:rPr>
          <w:rFonts w:ascii="宋体" w:hAnsi="宋体" w:cs="宋体" w:eastAsia="宋体" w:hint="default"/>
          <w:spacing w:val="-1"/>
        </w:rPr>
        <w:t>:</w:t>
      </w:r>
      <w:r>
        <w:rPr>
          <w:rFonts w:ascii="宋体" w:hAnsi="宋体" w:cs="宋体" w:eastAsia="宋体" w:hint="default"/>
          <w:spacing w:val="-32"/>
        </w:rPr>
        <w:t> </w:t>
      </w:r>
      <w:r>
        <w:rPr>
          <w:rFonts w:ascii="宋体" w:hAnsi="宋体" w:cs="宋体" w:eastAsia="宋体" w:hint="default"/>
          <w:spacing w:val="-1"/>
        </w:rPr>
        <w:t>GDP</w:t>
      </w:r>
      <w:r>
        <w:rPr>
          <w:spacing w:val="-1"/>
        </w:rPr>
        <w:t>增长跌落至</w:t>
      </w:r>
      <w:r>
        <w:rPr>
          <w:rFonts w:ascii="宋体" w:hAnsi="宋体" w:cs="宋体" w:eastAsia="宋体" w:hint="default"/>
          <w:spacing w:val="-1"/>
        </w:rPr>
        <w:t>7%</w:t>
      </w:r>
      <w:r>
        <w:rPr>
          <w:spacing w:val="-1"/>
        </w:rPr>
        <w:t>以下，制造业</w:t>
      </w:r>
      <w:r>
        <w:rPr>
          <w:rFonts w:ascii="宋体" w:hAnsi="宋体" w:cs="宋体" w:eastAsia="宋体" w:hint="default"/>
          <w:spacing w:val="-1"/>
        </w:rPr>
        <w:t>PMI</w:t>
      </w:r>
      <w:r>
        <w:rPr>
          <w:spacing w:val="-1"/>
        </w:rPr>
        <w:t>指数持续在</w:t>
      </w:r>
      <w:r>
        <w:rPr>
          <w:rFonts w:ascii="宋体" w:hAnsi="宋体" w:cs="宋体" w:eastAsia="宋体" w:hint="default"/>
          <w:spacing w:val="-1"/>
        </w:rPr>
        <w:t>50</w:t>
      </w:r>
      <w:r>
        <w:rPr>
          <w:spacing w:val="-1"/>
        </w:rPr>
        <w:t>左右的临界点徘徊，全社会用电</w:t>
      </w:r>
      <w:r>
        <w:rPr/>
        <w:t> 量仅微增</w:t>
      </w:r>
      <w:r>
        <w:rPr>
          <w:rFonts w:ascii="宋体" w:hAnsi="宋体" w:cs="宋体" w:eastAsia="宋体" w:hint="default"/>
        </w:rPr>
        <w:t>0.5%</w:t>
      </w:r>
      <w:r>
        <w:rPr/>
        <w:t>，导致</w:t>
      </w:r>
      <w:r>
        <w:rPr>
          <w:rFonts w:ascii="宋体" w:hAnsi="宋体" w:cs="宋体" w:eastAsia="宋体" w:hint="default"/>
        </w:rPr>
        <w:t>2015</w:t>
      </w:r>
      <w:r>
        <w:rPr/>
        <w:t>年电力配电设备投资总体呈现趋缓态势，公司订单的执行速度较慢。</w:t>
      </w:r>
      <w:r>
        <w:rPr>
          <w:rFonts w:ascii="宋体" w:hAnsi="宋体" w:cs="宋体" w:eastAsia="宋体" w:hint="default"/>
        </w:rPr>
        <w:t>2015</w:t>
      </w:r>
      <w:r>
        <w:rPr/>
        <w:t>年</w:t>
      </w:r>
      <w:r>
        <w:rPr>
          <w:rFonts w:ascii="宋体" w:hAnsi="宋体" w:cs="宋体" w:eastAsia="宋体" w:hint="default"/>
        </w:rPr>
        <w:t>9</w:t>
      </w:r>
      <w:r>
        <w:rPr/>
        <w:t>月，国家能源局发布</w:t>
      </w:r>
      <w:r>
        <w:rPr>
          <w:spacing w:val="-82"/>
        </w:rPr>
        <w:t> </w:t>
      </w:r>
      <w:r>
        <w:rPr>
          <w:spacing w:val="-82"/>
        </w:rPr>
      </w:r>
      <w:r>
        <w:rPr/>
        <w:t>了《配电网建设改造行动计划（</w:t>
      </w:r>
      <w:r>
        <w:rPr>
          <w:rFonts w:ascii="宋体" w:hAnsi="宋体" w:cs="宋体" w:eastAsia="宋体" w:hint="default"/>
        </w:rPr>
        <w:t>2015~2020</w:t>
      </w:r>
      <w:r>
        <w:rPr/>
        <w:t>年）》，明确了未来</w:t>
      </w:r>
      <w:r>
        <w:rPr>
          <w:rFonts w:ascii="宋体" w:hAnsi="宋体" w:cs="宋体" w:eastAsia="宋体" w:hint="default"/>
        </w:rPr>
        <w:t>5</w:t>
      </w:r>
      <w:r>
        <w:rPr/>
        <w:t>年内我国配电网的建设投资不少于</w:t>
      </w:r>
      <w:r>
        <w:rPr>
          <w:rFonts w:ascii="宋体" w:hAnsi="宋体" w:cs="宋体" w:eastAsia="宋体" w:hint="default"/>
        </w:rPr>
        <w:t>2</w:t>
      </w:r>
      <w:r>
        <w:rPr/>
        <w:t>万亿元，这一规划的出</w:t>
      </w:r>
      <w:r>
        <w:rPr>
          <w:spacing w:val="-84"/>
        </w:rPr>
        <w:t> </w:t>
      </w:r>
      <w:r>
        <w:rPr>
          <w:spacing w:val="-84"/>
        </w:rPr>
      </w:r>
      <w:r>
        <w:rPr/>
        <w:t>台，比较有力地推动了本行业的业务增长，自</w:t>
      </w:r>
      <w:r>
        <w:rPr>
          <w:rFonts w:ascii="宋体" w:hAnsi="宋体" w:cs="宋体" w:eastAsia="宋体" w:hint="default"/>
        </w:rPr>
        <w:t>2015</w:t>
      </w:r>
      <w:r>
        <w:rPr/>
        <w:t>年</w:t>
      </w:r>
      <w:r>
        <w:rPr>
          <w:rFonts w:ascii="宋体" w:hAnsi="宋体" w:cs="宋体" w:eastAsia="宋体" w:hint="default"/>
        </w:rPr>
        <w:t>3</w:t>
      </w:r>
      <w:r>
        <w:rPr/>
        <w:t>季度起，公司的中标量和订单签订量有所加快，为</w:t>
      </w:r>
      <w:r>
        <w:rPr>
          <w:rFonts w:ascii="宋体" w:hAnsi="宋体" w:cs="宋体" w:eastAsia="宋体" w:hint="default"/>
        </w:rPr>
        <w:t>2016</w:t>
      </w:r>
      <w:r>
        <w:rPr/>
        <w:t>年公司的持续</w:t>
      </w:r>
      <w:r>
        <w:rPr>
          <w:spacing w:val="-83"/>
        </w:rPr>
        <w:t> </w:t>
      </w:r>
      <w:r>
        <w:rPr>
          <w:spacing w:val="-83"/>
        </w:rPr>
      </w:r>
      <w:r>
        <w:rPr>
          <w:spacing w:val="-2"/>
        </w:rPr>
        <w:t>增长打下了良好的基础。从细分市场看，农村电网的相关设备增长明显高于其他市场，这与国家发改委《关于“十三五”期</w:t>
      </w:r>
      <w:r>
        <w:rPr>
          <w:spacing w:val="-65"/>
        </w:rPr>
        <w:t> </w:t>
      </w:r>
      <w:r>
        <w:rPr>
          <w:spacing w:val="-65"/>
        </w:rPr>
      </w:r>
      <w:r>
        <w:rPr>
          <w:spacing w:val="-2"/>
        </w:rPr>
        <w:t>间实施新一轮农村电网改造升级工程的意见》提出的十三五期间，农村电网投资将达到</w:t>
      </w:r>
      <w:r>
        <w:rPr>
          <w:rFonts w:ascii="宋体" w:hAnsi="宋体" w:cs="宋体" w:eastAsia="宋体" w:hint="default"/>
          <w:spacing w:val="-2"/>
        </w:rPr>
        <w:t>7000</w:t>
      </w:r>
      <w:r>
        <w:rPr>
          <w:spacing w:val="-2"/>
        </w:rPr>
        <w:t>亿元相印证，可以预计，在未来</w:t>
      </w:r>
      <w:r>
        <w:rPr>
          <w:spacing w:val="-62"/>
        </w:rPr>
        <w:t> </w:t>
      </w:r>
      <w:r>
        <w:rPr>
          <w:spacing w:val="-62"/>
        </w:rPr>
      </w:r>
      <w:r>
        <w:rPr>
          <w:rFonts w:ascii="宋体" w:hAnsi="宋体" w:cs="宋体" w:eastAsia="宋体" w:hint="default"/>
        </w:rPr>
        <w:t>5</w:t>
      </w:r>
      <w:r>
        <w:rPr/>
        <w:t>年内，变压器（尤其是非晶合金变压器）、柱上开关、低压配电柜等产品将是公司业务保持增长的一个主要动力来源。</w:t>
      </w:r>
    </w:p>
    <w:p>
      <w:pPr>
        <w:pStyle w:val="BodyText"/>
        <w:spacing w:line="316" w:lineRule="auto" w:before="19"/>
        <w:ind w:left="1134" w:right="1042" w:firstLine="360"/>
        <w:jc w:val="both"/>
      </w:pPr>
      <w:r>
        <w:rPr>
          <w:rFonts w:ascii="宋体" w:hAnsi="宋体" w:cs="宋体" w:eastAsia="宋体" w:hint="default"/>
          <w:spacing w:val="-3"/>
        </w:rPr>
        <w:t>2015</w:t>
      </w:r>
      <w:r>
        <w:rPr>
          <w:spacing w:val="-3"/>
        </w:rPr>
        <w:t>年公司实现销售收入</w:t>
      </w:r>
      <w:r>
        <w:rPr>
          <w:rFonts w:ascii="宋体" w:hAnsi="宋体" w:cs="宋体" w:eastAsia="宋体" w:hint="default"/>
          <w:color w:val="393939"/>
          <w:spacing w:val="-3"/>
        </w:rPr>
        <w:t>111,744.90</w:t>
      </w:r>
      <w:r>
        <w:rPr>
          <w:spacing w:val="-3"/>
        </w:rPr>
        <w:t>万元，较</w:t>
      </w:r>
      <w:r>
        <w:rPr>
          <w:rFonts w:ascii="宋体" w:hAnsi="宋体" w:cs="宋体" w:eastAsia="宋体" w:hint="default"/>
          <w:spacing w:val="-3"/>
        </w:rPr>
        <w:t>2014</w:t>
      </w:r>
      <w:r>
        <w:rPr>
          <w:spacing w:val="-3"/>
        </w:rPr>
        <w:t>年增长</w:t>
      </w:r>
      <w:r>
        <w:rPr>
          <w:rFonts w:ascii="宋体" w:hAnsi="宋体" w:cs="宋体" w:eastAsia="宋体" w:hint="default"/>
          <w:color w:val="393939"/>
          <w:spacing w:val="-3"/>
        </w:rPr>
        <w:t>22.60%</w:t>
      </w:r>
      <w:r>
        <w:rPr>
          <w:spacing w:val="-3"/>
        </w:rPr>
        <w:t>；公司实现净利润</w:t>
      </w:r>
      <w:r>
        <w:rPr>
          <w:rFonts w:ascii="宋体" w:hAnsi="宋体" w:cs="宋体" w:eastAsia="宋体" w:hint="default"/>
          <w:color w:val="393939"/>
          <w:spacing w:val="-3"/>
        </w:rPr>
        <w:t>8,721.11</w:t>
      </w:r>
      <w:r>
        <w:rPr>
          <w:spacing w:val="-3"/>
        </w:rPr>
        <w:t>万元，较</w:t>
      </w:r>
      <w:r>
        <w:rPr>
          <w:rFonts w:ascii="宋体" w:hAnsi="宋体" w:cs="宋体" w:eastAsia="宋体" w:hint="default"/>
          <w:spacing w:val="-3"/>
        </w:rPr>
        <w:t>2014</w:t>
      </w:r>
      <w:r>
        <w:rPr>
          <w:spacing w:val="-3"/>
        </w:rPr>
        <w:t>年增长</w:t>
      </w:r>
      <w:r>
        <w:rPr>
          <w:rFonts w:ascii="宋体" w:hAnsi="宋体" w:cs="宋体" w:eastAsia="宋体" w:hint="default"/>
          <w:color w:val="393939"/>
          <w:spacing w:val="-3"/>
        </w:rPr>
        <w:t>16.26</w:t>
      </w:r>
      <w:r>
        <w:rPr>
          <w:rFonts w:ascii="宋体" w:hAnsi="宋体" w:cs="宋体" w:eastAsia="宋体" w:hint="default"/>
          <w:spacing w:val="-3"/>
        </w:rPr>
        <w:t>%</w:t>
      </w:r>
      <w:r>
        <w:rPr>
          <w:spacing w:val="-3"/>
        </w:rPr>
        <w:t>。</w:t>
      </w:r>
      <w:r>
        <w:rPr/>
        <w:t> 其中，归属于母公司的净利润增长</w:t>
      </w:r>
      <w:r>
        <w:rPr>
          <w:rFonts w:ascii="宋体" w:hAnsi="宋体" w:cs="宋体" w:eastAsia="宋体" w:hint="default"/>
          <w:color w:val="393939"/>
        </w:rPr>
        <w:t>16.22</w:t>
      </w:r>
      <w:r>
        <w:rPr>
          <w:rFonts w:ascii="宋体" w:hAnsi="宋体" w:cs="宋体" w:eastAsia="宋体" w:hint="default"/>
        </w:rPr>
        <w:t>%</w:t>
      </w:r>
      <w:r>
        <w:rPr/>
        <w:t>。公司业绩增长的主要原因是公司主营业务的增长。</w:t>
      </w:r>
    </w:p>
    <w:p>
      <w:pPr>
        <w:pStyle w:val="BodyText"/>
        <w:spacing w:line="316" w:lineRule="auto" w:before="19"/>
        <w:ind w:left="1493" w:right="6793"/>
        <w:jc w:val="left"/>
      </w:pPr>
      <w:r>
        <w:rPr/>
        <w:t>公司回顾总结报告期内披露的主要工作情况： </w:t>
      </w:r>
      <w:r>
        <w:rPr>
          <w:rFonts w:ascii="宋体" w:hAnsi="宋体" w:cs="宋体" w:eastAsia="宋体" w:hint="default"/>
        </w:rPr>
        <w:t>1</w:t>
      </w:r>
      <w:r>
        <w:rPr/>
        <w:t>、募集资金进展情况</w:t>
      </w:r>
    </w:p>
    <w:p>
      <w:pPr>
        <w:pStyle w:val="BodyText"/>
        <w:spacing w:line="316" w:lineRule="auto" w:before="19"/>
        <w:ind w:right="1042" w:firstLine="360"/>
        <w:jc w:val="both"/>
      </w:pPr>
      <w:r>
        <w:rPr>
          <w:spacing w:val="-3"/>
        </w:rPr>
        <w:t>公司于</w:t>
      </w:r>
      <w:r>
        <w:rPr>
          <w:rFonts w:ascii="宋体" w:hAnsi="宋体" w:cs="宋体" w:eastAsia="宋体" w:hint="default"/>
          <w:spacing w:val="-3"/>
        </w:rPr>
        <w:t>2015</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IPO</w:t>
      </w:r>
      <w:r>
        <w:rPr>
          <w:spacing w:val="-3"/>
        </w:rPr>
        <w:t>时募集资金净额为：</w:t>
      </w:r>
      <w:r>
        <w:rPr>
          <w:rFonts w:ascii="宋体" w:hAnsi="宋体" w:cs="宋体" w:eastAsia="宋体" w:hint="default"/>
          <w:spacing w:val="-3"/>
        </w:rPr>
        <w:t>24,415.05</w:t>
      </w:r>
      <w:r>
        <w:rPr>
          <w:spacing w:val="-3"/>
        </w:rPr>
        <w:t>万元，截至报告期末，公司累计使用募集资金净额为</w:t>
      </w:r>
      <w:r>
        <w:rPr>
          <w:rFonts w:ascii="宋体" w:hAnsi="宋体" w:cs="宋体" w:eastAsia="宋体" w:hint="default"/>
          <w:spacing w:val="-3"/>
        </w:rPr>
        <w:t>20,870.02</w:t>
      </w:r>
      <w:r>
        <w:rPr>
          <w:spacing w:val="-3"/>
        </w:rPr>
        <w:t>万元，</w:t>
      </w:r>
      <w:r>
        <w:rPr/>
        <w:t> 募集资金使用比例为：</w:t>
      </w:r>
      <w:r>
        <w:rPr>
          <w:rFonts w:ascii="宋体" w:hAnsi="宋体" w:cs="宋体" w:eastAsia="宋体" w:hint="default"/>
        </w:rPr>
        <w:t>85.48%</w:t>
      </w:r>
      <w:r>
        <w:rPr/>
        <w:t>。</w:t>
      </w:r>
    </w:p>
    <w:p>
      <w:pPr>
        <w:pStyle w:val="BodyText"/>
        <w:spacing w:line="319" w:lineRule="auto" w:before="19"/>
        <w:ind w:left="1494" w:right="821"/>
        <w:jc w:val="left"/>
      </w:pPr>
      <w:r>
        <w:rPr>
          <w:rFonts w:ascii="宋体" w:hAnsi="宋体" w:cs="宋体" w:eastAsia="宋体" w:hint="default"/>
        </w:rPr>
        <w:t>2</w:t>
      </w:r>
      <w:r>
        <w:rPr/>
        <w:t>、员工持股计划 </w:t>
      </w:r>
      <w:r>
        <w:rPr>
          <w:spacing w:val="-2"/>
        </w:rPr>
        <w:t>为进一步完善公司的法人治理结构，促进公司建立、健全激励约束机制，充分调动公司员工的积极性，有效地将股东利</w:t>
      </w:r>
    </w:p>
    <w:p>
      <w:pPr>
        <w:pStyle w:val="BodyText"/>
        <w:spacing w:line="316" w:lineRule="auto" w:before="17"/>
        <w:ind w:right="1131"/>
        <w:jc w:val="both"/>
      </w:pPr>
      <w:r>
        <w:rPr>
          <w:spacing w:val="-2"/>
        </w:rPr>
        <w:t>益、公司利益和经营者个人利益结合在一起，使各方共同关注公司的长远发展，公司董事会根据相关法律法规的规定，拟定</w:t>
      </w:r>
      <w:r>
        <w:rPr>
          <w:spacing w:val="-66"/>
        </w:rPr>
        <w:t> </w:t>
      </w:r>
      <w:r>
        <w:rPr>
          <w:spacing w:val="-66"/>
        </w:rPr>
      </w:r>
      <w:r>
        <w:rPr/>
        <w:t>了《北京合纵科技股份有限公司第一期员工持股计划（草案）（非公开发行方式认购）》，相关事宜已经</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13</w:t>
      </w:r>
      <w:r>
        <w:rPr/>
        <w:t>日召</w:t>
      </w:r>
      <w:r>
        <w:rPr>
          <w:spacing w:val="-85"/>
        </w:rPr>
        <w:t> </w:t>
      </w:r>
      <w:r>
        <w:rPr/>
        <w:t>开的公司第三届董事会第二十五次会议和</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31</w:t>
      </w:r>
      <w:r>
        <w:rPr/>
        <w:t>日召开的公司</w:t>
      </w:r>
      <w:r>
        <w:rPr>
          <w:rFonts w:ascii="宋体" w:hAnsi="宋体" w:cs="宋体" w:eastAsia="宋体" w:hint="default"/>
        </w:rPr>
        <w:t>2015</w:t>
      </w:r>
      <w:r>
        <w:rPr/>
        <w:t>年第五次临时股东大会审议通过。</w:t>
      </w:r>
    </w:p>
    <w:p>
      <w:pPr>
        <w:pStyle w:val="BodyText"/>
        <w:spacing w:line="316" w:lineRule="auto" w:before="19"/>
        <w:ind w:right="1129" w:firstLine="360"/>
        <w:jc w:val="both"/>
      </w:pPr>
      <w:r>
        <w:rPr>
          <w:rFonts w:ascii="宋体" w:hAnsi="宋体" w:cs="宋体" w:eastAsia="宋体" w:hint="default"/>
        </w:rPr>
        <w:t>2015</w:t>
      </w:r>
      <w:r>
        <w:rPr/>
        <w:t>年</w:t>
      </w:r>
      <w:r>
        <w:rPr>
          <w:rFonts w:ascii="宋体" w:hAnsi="宋体" w:cs="宋体" w:eastAsia="宋体" w:hint="default"/>
        </w:rPr>
        <w:t>9</w:t>
      </w:r>
      <w:r>
        <w:rPr/>
        <w:t>月，综合考虑公司实际情况和股票市场异常波动，为确保本次非公开发行的顺利进行，公司对发行价格进行调 整（由</w:t>
      </w:r>
      <w:r>
        <w:rPr>
          <w:rFonts w:ascii="宋体" w:hAnsi="宋体" w:cs="宋体" w:eastAsia="宋体" w:hint="default"/>
        </w:rPr>
        <w:t>34.66</w:t>
      </w:r>
      <w:r>
        <w:rPr/>
        <w:t>元</w:t>
      </w:r>
      <w:r>
        <w:rPr>
          <w:rFonts w:ascii="宋体" w:hAnsi="宋体" w:cs="宋体" w:eastAsia="宋体" w:hint="default"/>
        </w:rPr>
        <w:t>/</w:t>
      </w:r>
      <w:r>
        <w:rPr/>
        <w:t>股调整为</w:t>
      </w:r>
      <w:r>
        <w:rPr>
          <w:rFonts w:ascii="宋体" w:hAnsi="宋体" w:cs="宋体" w:eastAsia="宋体" w:hint="default"/>
        </w:rPr>
        <w:t>28.68</w:t>
      </w:r>
      <w:r>
        <w:rPr/>
        <w:t>元</w:t>
      </w:r>
      <w:r>
        <w:rPr>
          <w:rFonts w:ascii="宋体" w:hAnsi="宋体" w:cs="宋体" w:eastAsia="宋体" w:hint="default"/>
        </w:rPr>
        <w:t>/</w:t>
      </w:r>
      <w:r>
        <w:rPr/>
        <w:t>股），相关事宜已经</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25</w:t>
      </w:r>
      <w:r>
        <w:rPr/>
        <w:t>日召开的第三届董事会第二十七次会议和</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12</w:t>
      </w:r>
      <w:r>
        <w:rPr>
          <w:rFonts w:ascii="宋体" w:hAnsi="宋体" w:cs="宋体" w:eastAsia="宋体" w:hint="default"/>
          <w:spacing w:val="-83"/>
        </w:rPr>
        <w:t> </w:t>
      </w:r>
      <w:r>
        <w:rPr/>
        <w:t>日召开的公司</w:t>
      </w:r>
      <w:r>
        <w:rPr>
          <w:rFonts w:ascii="宋体" w:hAnsi="宋体" w:cs="宋体" w:eastAsia="宋体" w:hint="default"/>
        </w:rPr>
        <w:t>2015</w:t>
      </w:r>
      <w:r>
        <w:rPr/>
        <w:t>年第六次临时股东大会审议通过。</w:t>
      </w:r>
    </w:p>
    <w:p>
      <w:pPr>
        <w:pStyle w:val="BodyText"/>
        <w:spacing w:line="316" w:lineRule="auto" w:before="19"/>
        <w:ind w:right="1129" w:firstLine="360"/>
        <w:jc w:val="both"/>
      </w:pPr>
      <w:r>
        <w:rPr>
          <w:rFonts w:ascii="宋体" w:hAnsi="宋体" w:cs="宋体" w:eastAsia="宋体" w:hint="default"/>
        </w:rPr>
        <w:t>2015</w:t>
      </w:r>
      <w:r>
        <w:rPr/>
        <w:t>年</w:t>
      </w:r>
      <w:r>
        <w:rPr>
          <w:rFonts w:ascii="宋体" w:hAnsi="宋体" w:cs="宋体" w:eastAsia="宋体" w:hint="default"/>
        </w:rPr>
        <w:t>11</w:t>
      </w:r>
      <w:r>
        <w:rPr/>
        <w:t>月，公司根据有关规定就该员工持股计划涉及的非公开发行股份事宜向中国证监会申请核准，并于</w:t>
      </w:r>
      <w:r>
        <w:rPr>
          <w:rFonts w:ascii="宋体" w:hAnsi="宋体" w:cs="宋体" w:eastAsia="宋体" w:hint="default"/>
        </w:rPr>
        <w:t>2015</w:t>
      </w:r>
      <w:r>
        <w:rPr/>
        <w:t>年</w:t>
      </w:r>
      <w:r>
        <w:rPr>
          <w:rFonts w:ascii="宋体" w:hAnsi="宋体" w:cs="宋体" w:eastAsia="宋体" w:hint="default"/>
        </w:rPr>
        <w:t>11</w:t>
      </w:r>
      <w:r>
        <w:rPr>
          <w:rFonts w:ascii="宋体" w:hAnsi="宋体" w:cs="宋体" w:eastAsia="宋体" w:hint="default"/>
          <w:spacing w:val="1"/>
        </w:rPr>
        <w:t> </w:t>
      </w:r>
      <w:r>
        <w:rPr/>
        <w:t>月</w:t>
      </w:r>
      <w:r>
        <w:rPr>
          <w:rFonts w:ascii="宋体" w:hAnsi="宋体" w:cs="宋体" w:eastAsia="宋体" w:hint="default"/>
        </w:rPr>
        <w:t>30</w:t>
      </w:r>
      <w:r>
        <w:rPr/>
        <w:t>日收到中国证监会出具的《中国证监会行政许可申请受理通知书》（</w:t>
      </w:r>
      <w:r>
        <w:rPr>
          <w:rFonts w:ascii="宋体" w:hAnsi="宋体" w:cs="宋体" w:eastAsia="宋体" w:hint="default"/>
        </w:rPr>
        <w:t>153368</w:t>
      </w:r>
      <w:r>
        <w:rPr/>
        <w:t>号）。</w:t>
      </w:r>
    </w:p>
    <w:p>
      <w:pPr>
        <w:pStyle w:val="BodyText"/>
        <w:spacing w:line="316" w:lineRule="auto" w:before="19"/>
        <w:ind w:left="1134" w:right="1131" w:firstLine="360"/>
        <w:jc w:val="both"/>
      </w:pP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23</w:t>
      </w:r>
      <w:r>
        <w:rPr/>
        <w:t>日，中国证监会发行审核委员会对公司此次非公开发行股票的申请进行了审核。根据审核结果，公司本次 非公开发行股票的申请获得审核通过。</w:t>
      </w:r>
    </w:p>
    <w:p>
      <w:pPr>
        <w:pStyle w:val="BodyText"/>
        <w:spacing w:line="316" w:lineRule="auto" w:before="19"/>
        <w:ind w:left="1493" w:right="1123"/>
        <w:jc w:val="left"/>
      </w:pPr>
      <w:r>
        <w:rPr>
          <w:rFonts w:ascii="宋体" w:hAnsi="宋体" w:cs="宋体" w:eastAsia="宋体" w:hint="default"/>
        </w:rPr>
        <w:t>3</w:t>
      </w:r>
      <w:r>
        <w:rPr/>
        <w:t>、投资情况 公司于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19</w:t>
      </w:r>
      <w:r>
        <w:rPr/>
        <w:t>日召开第三届董事会第十七次会议和</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3</w:t>
      </w:r>
      <w:r>
        <w:rPr/>
        <w:t>日召开的</w:t>
      </w:r>
      <w:r>
        <w:rPr>
          <w:rFonts w:ascii="宋体" w:hAnsi="宋体" w:cs="宋体" w:eastAsia="宋体" w:hint="default"/>
        </w:rPr>
        <w:t>2015</w:t>
      </w:r>
      <w:r>
        <w:rPr/>
        <w:t>年第一次临时股东大会，审议通过了</w:t>
      </w:r>
    </w:p>
    <w:p>
      <w:pPr>
        <w:pStyle w:val="BodyText"/>
        <w:spacing w:line="316" w:lineRule="auto" w:before="19"/>
        <w:ind w:right="821"/>
        <w:jc w:val="left"/>
      </w:pPr>
      <w:r>
        <w:rPr>
          <w:spacing w:val="-2"/>
        </w:rPr>
        <w:t>《关于公司对外设立全资子公司并购买土地建设生产基地的议案》，同意公司在天津设立全资子公司，注册资本</w:t>
      </w:r>
      <w:r>
        <w:rPr>
          <w:rFonts w:ascii="宋体" w:hAnsi="宋体" w:cs="宋体" w:eastAsia="宋体" w:hint="default"/>
          <w:spacing w:val="-2"/>
        </w:rPr>
        <w:t>8,000</w:t>
      </w:r>
      <w:r>
        <w:rPr>
          <w:spacing w:val="-2"/>
        </w:rPr>
        <w:t>万元。</w:t>
      </w:r>
      <w:r>
        <w:rPr>
          <w:spacing w:val="-59"/>
        </w:rPr>
        <w:t> </w:t>
      </w:r>
      <w:r>
        <w:rPr/>
        <w:t>由其在天津购置土地建设新的生产基地，主要从事电力节能环保型高低压设备生产、研发、销售及相关服务， 投资总额不</w:t>
      </w:r>
      <w:r>
        <w:rPr>
          <w:spacing w:val="-81"/>
        </w:rPr>
        <w:t> </w:t>
      </w:r>
      <w:r>
        <w:rPr>
          <w:spacing w:val="-81"/>
        </w:rPr>
      </w:r>
      <w:r>
        <w:rPr/>
        <w:t>超过</w:t>
      </w:r>
      <w:r>
        <w:rPr>
          <w:rFonts w:ascii="宋体" w:hAnsi="宋体" w:cs="宋体" w:eastAsia="宋体" w:hint="default"/>
        </w:rPr>
        <w:t>6</w:t>
      </w:r>
      <w:r>
        <w:rPr/>
        <w:t>亿。</w:t>
      </w:r>
    </w:p>
    <w:p>
      <w:pPr>
        <w:pStyle w:val="BodyText"/>
        <w:spacing w:line="240" w:lineRule="auto" w:before="19"/>
        <w:ind w:left="1494" w:right="821"/>
        <w:jc w:val="left"/>
      </w:pP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24</w:t>
      </w:r>
      <w:r>
        <w:rPr/>
        <w:t>日，天津市滨海新区规划和国土资源管理局、天津市滨海新区土地发展中心出具《挂牌地块成交确认书》。</w:t>
      </w:r>
    </w:p>
    <w:p>
      <w:pPr>
        <w:pStyle w:val="BodyText"/>
        <w:spacing w:line="319" w:lineRule="auto" w:before="76"/>
        <w:ind w:left="1134" w:right="1116"/>
        <w:jc w:val="left"/>
      </w:pPr>
      <w:r>
        <w:rPr>
          <w:rFonts w:ascii="宋体" w:hAnsi="宋体" w:cs="宋体" w:eastAsia="宋体" w:hint="default"/>
          <w:spacing w:val="-3"/>
        </w:rPr>
        <w:t>2015</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26</w:t>
      </w:r>
      <w:r>
        <w:rPr>
          <w:spacing w:val="-3"/>
        </w:rPr>
        <w:t>日，天津合纵取得《天津滨海高新技术产业开发区管理委员会关于同意天津合纵电力设备有限公司合纵科技（天</w:t>
      </w:r>
      <w:r>
        <w:rPr/>
        <w:t> 津）生产基地项目备案的通知》（津高新区发改审【</w:t>
      </w:r>
      <w:r>
        <w:rPr>
          <w:rFonts w:ascii="宋体" w:hAnsi="宋体" w:cs="宋体" w:eastAsia="宋体" w:hint="default"/>
        </w:rPr>
        <w:t>2015</w:t>
      </w:r>
      <w:r>
        <w:rPr/>
        <w:t>】</w:t>
      </w:r>
      <w:r>
        <w:rPr>
          <w:rFonts w:ascii="宋体" w:hAnsi="宋体" w:cs="宋体" w:eastAsia="宋体" w:hint="default"/>
        </w:rPr>
        <w:t>122</w:t>
      </w:r>
      <w:r>
        <w:rPr/>
        <w:t>号）。</w:t>
      </w:r>
    </w:p>
    <w:p>
      <w:pPr>
        <w:pStyle w:val="BodyText"/>
        <w:spacing w:line="316" w:lineRule="auto" w:before="17"/>
        <w:ind w:right="1131" w:firstLine="360"/>
        <w:jc w:val="both"/>
      </w:pP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9</w:t>
      </w:r>
      <w:r>
        <w:rPr>
          <w:spacing w:val="-2"/>
        </w:rPr>
        <w:t>日，天津合纵与天津滨海高新技术产业开发区国土资源和房屋管理局签署了《天津市国有建设用地使用权出</w:t>
      </w:r>
      <w:r>
        <w:rPr/>
        <w:t> 让合同》，约定将坐落于滨海高新区滨海科技园、宗地编号为津滨高（挂）</w:t>
      </w:r>
      <w:r>
        <w:rPr>
          <w:rFonts w:ascii="宋体" w:hAnsi="宋体" w:cs="宋体" w:eastAsia="宋体" w:hint="default"/>
        </w:rPr>
        <w:t>G2015-08</w:t>
      </w:r>
      <w:r>
        <w:rPr>
          <w:rFonts w:ascii="宋体" w:hAnsi="宋体" w:cs="宋体" w:eastAsia="宋体" w:hint="default"/>
          <w:spacing w:val="7"/>
        </w:rPr>
        <w:t> </w:t>
      </w:r>
      <w:r>
        <w:rPr/>
        <w:t>号的土地出让给天津合纵，出让宗地 面积为</w:t>
      </w:r>
      <w:r>
        <w:rPr>
          <w:rFonts w:ascii="宋体" w:hAnsi="宋体" w:cs="宋体" w:eastAsia="宋体" w:hint="default"/>
        </w:rPr>
        <w:t>133,334.10 </w:t>
      </w:r>
      <w:r>
        <w:rPr/>
        <w:t>平方米，土地出让金为</w:t>
      </w:r>
      <w:r>
        <w:rPr>
          <w:rFonts w:ascii="宋体" w:hAnsi="宋体" w:cs="宋体" w:eastAsia="宋体" w:hint="default"/>
        </w:rPr>
        <w:t>6,410</w:t>
      </w:r>
      <w:r>
        <w:rPr/>
        <w:t>万元，土地性质为工业用地，使用权年期为</w:t>
      </w:r>
      <w:r>
        <w:rPr>
          <w:rFonts w:ascii="宋体" w:hAnsi="宋体" w:cs="宋体" w:eastAsia="宋体" w:hint="default"/>
        </w:rPr>
        <w:t>50</w:t>
      </w:r>
      <w:r>
        <w:rPr/>
        <w:t>年。</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134" w:right="1130" w:firstLine="360"/>
        <w:jc w:val="both"/>
      </w:pP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25</w:t>
      </w:r>
      <w:r>
        <w:rPr>
          <w:spacing w:val="-2"/>
        </w:rPr>
        <w:t>日，天津合纵向天津滨海高新技术产业开发区国土资源和房屋管理局支付了全部土地出让金</w:t>
      </w:r>
      <w:r>
        <w:rPr>
          <w:rFonts w:ascii="宋体" w:hAnsi="宋体" w:cs="宋体" w:eastAsia="宋体" w:hint="default"/>
          <w:spacing w:val="-2"/>
        </w:rPr>
        <w:t>6,410</w:t>
      </w:r>
      <w:r>
        <w:rPr>
          <w:spacing w:val="-2"/>
        </w:rPr>
        <w:t>万元，并</w:t>
      </w:r>
      <w:r>
        <w:rPr/>
        <w:t> </w:t>
      </w:r>
      <w:r>
        <w:rPr>
          <w:spacing w:val="-2"/>
        </w:rPr>
        <w:t>已办理完毕相关手续，</w:t>
      </w: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月取得天津市人民政府、天津市国土资源和房屋管理局联合颁发的上述公告所述地块的房地</w:t>
      </w:r>
      <w:r>
        <w:rPr>
          <w:spacing w:val="-58"/>
        </w:rPr>
        <w:t> </w:t>
      </w:r>
      <w:r>
        <w:rPr>
          <w:spacing w:val="-58"/>
        </w:rPr>
      </w:r>
      <w:r>
        <w:rPr/>
        <w:t>产权证书【房地证津字第</w:t>
      </w:r>
      <w:r>
        <w:rPr>
          <w:rFonts w:ascii="宋体" w:hAnsi="宋体" w:cs="宋体" w:eastAsia="宋体" w:hint="default"/>
        </w:rPr>
        <w:t>116051500133</w:t>
      </w:r>
      <w:r>
        <w:rPr/>
        <w:t>号】。</w:t>
      </w:r>
    </w:p>
    <w:p>
      <w:pPr>
        <w:pStyle w:val="BodyText"/>
        <w:spacing w:line="240" w:lineRule="auto" w:before="19"/>
        <w:ind w:left="1493" w:right="821"/>
        <w:jc w:val="left"/>
      </w:pPr>
      <w:r>
        <w:rPr/>
        <w:t>截至报告期末，公司累计在天津生产基地投资总金额为：</w:t>
      </w:r>
      <w:r>
        <w:rPr>
          <w:rFonts w:ascii="宋体" w:hAnsi="宋体" w:cs="宋体" w:eastAsia="宋体" w:hint="default"/>
        </w:rPr>
        <w:t>15,607.96</w:t>
      </w:r>
      <w:r>
        <w:rPr/>
        <w:t>万元。</w:t>
      </w:r>
    </w:p>
    <w:p>
      <w:pPr>
        <w:spacing w:line="240" w:lineRule="auto" w:before="2"/>
        <w:rPr>
          <w:rFonts w:ascii="宋体" w:hAnsi="宋体" w:cs="宋体" w:eastAsia="宋体" w:hint="default"/>
          <w:sz w:val="25"/>
          <w:szCs w:val="25"/>
        </w:rPr>
      </w:pPr>
    </w:p>
    <w:p>
      <w:pPr>
        <w:pStyle w:val="Heading2"/>
        <w:spacing w:line="240" w:lineRule="auto"/>
        <w:ind w:right="821"/>
        <w:jc w:val="left"/>
        <w:rPr>
          <w:b w:val="0"/>
          <w:bCs w:val="0"/>
        </w:rPr>
      </w:pPr>
      <w:bookmarkStart w:name="二、主营业务分析" w:id="24"/>
      <w:bookmarkEnd w:id="24"/>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概述" w:id="25"/>
      <w:bookmarkEnd w:id="25"/>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821"/>
        <w:jc w:val="left"/>
      </w:pPr>
      <w:r>
        <w:rPr/>
        <w:t>主要经营情况： </w:t>
      </w:r>
      <w:r>
        <w:rPr>
          <w:rFonts w:ascii="宋体" w:hAnsi="宋体" w:cs="宋体" w:eastAsia="宋体" w:hint="default"/>
          <w:spacing w:val="-2"/>
        </w:rPr>
        <w:t>1</w:t>
      </w:r>
      <w:r>
        <w:rPr>
          <w:spacing w:val="-2"/>
        </w:rPr>
        <w:t>、营业收入：本期较上年同期增加</w:t>
      </w:r>
      <w:r>
        <w:rPr>
          <w:rFonts w:ascii="宋体" w:hAnsi="宋体" w:cs="宋体" w:eastAsia="宋体" w:hint="default"/>
          <w:spacing w:val="-2"/>
        </w:rPr>
        <w:t>20,598.43</w:t>
      </w:r>
      <w:r>
        <w:rPr>
          <w:spacing w:val="-2"/>
        </w:rPr>
        <w:t>万元，增幅</w:t>
      </w:r>
      <w:r>
        <w:rPr>
          <w:rFonts w:ascii="宋体" w:hAnsi="宋体" w:cs="宋体" w:eastAsia="宋体" w:hint="default"/>
          <w:spacing w:val="-2"/>
        </w:rPr>
        <w:t>22.60%</w:t>
      </w:r>
      <w:r>
        <w:rPr>
          <w:spacing w:val="-2"/>
        </w:rPr>
        <w:t>，主要原因系公司积极开拓电力市场、铁路和用户工程</w:t>
      </w:r>
    </w:p>
    <w:p>
      <w:pPr>
        <w:pStyle w:val="BodyText"/>
        <w:spacing w:line="240" w:lineRule="auto" w:before="19"/>
        <w:ind w:right="821"/>
        <w:jc w:val="left"/>
      </w:pPr>
      <w:r>
        <w:rPr/>
        <w:t>市场，签订合同订单持续增加所致。</w:t>
      </w:r>
    </w:p>
    <w:p>
      <w:pPr>
        <w:pStyle w:val="BodyText"/>
        <w:spacing w:line="316" w:lineRule="auto" w:before="117"/>
        <w:ind w:right="1130" w:firstLine="360"/>
        <w:jc w:val="both"/>
      </w:pPr>
      <w:r>
        <w:rPr>
          <w:rFonts w:ascii="宋体" w:hAnsi="宋体" w:cs="宋体" w:eastAsia="宋体" w:hint="default"/>
        </w:rPr>
        <w:t>2</w:t>
      </w:r>
      <w:r>
        <w:rPr/>
        <w:t>、营业成本：本期较上年同期增加</w:t>
      </w:r>
      <w:r>
        <w:rPr>
          <w:spacing w:val="-58"/>
        </w:rPr>
        <w:t> </w:t>
      </w:r>
      <w:r>
        <w:rPr>
          <w:rFonts w:ascii="宋体" w:hAnsi="宋体" w:cs="宋体" w:eastAsia="宋体" w:hint="default"/>
        </w:rPr>
        <w:t>18,677.84</w:t>
      </w:r>
      <w:r>
        <w:rPr>
          <w:rFonts w:ascii="宋体" w:hAnsi="宋体" w:cs="宋体" w:eastAsia="宋体" w:hint="default"/>
          <w:spacing w:val="-58"/>
        </w:rPr>
        <w:t> </w:t>
      </w:r>
      <w:r>
        <w:rPr/>
        <w:t>万元，增幅</w:t>
      </w:r>
      <w:r>
        <w:rPr>
          <w:spacing w:val="-58"/>
        </w:rPr>
        <w:t> </w:t>
      </w:r>
      <w:r>
        <w:rPr>
          <w:rFonts w:ascii="宋体" w:hAnsi="宋体" w:cs="宋体" w:eastAsia="宋体" w:hint="default"/>
        </w:rPr>
        <w:t>29.59%</w:t>
      </w:r>
      <w:r>
        <w:rPr/>
        <w:t>，主要原因系营业收入增长所致，成本增幅大于收入 </w:t>
      </w:r>
      <w:r>
        <w:rPr>
          <w:spacing w:val="-2"/>
        </w:rPr>
        <w:t>增幅主要系本期销售产品结构变化，毛利低的变压器增长较快，占总收入的比例增加，另外，市场竞争加剧使各产品的毛利</w:t>
      </w:r>
      <w:r>
        <w:rPr>
          <w:spacing w:val="-65"/>
        </w:rPr>
        <w:t> </w:t>
      </w:r>
      <w:r>
        <w:rPr>
          <w:spacing w:val="-65"/>
        </w:rPr>
      </w:r>
      <w:r>
        <w:rPr/>
        <w:t>率略有下降。</w:t>
      </w:r>
    </w:p>
    <w:p>
      <w:pPr>
        <w:pStyle w:val="BodyText"/>
        <w:spacing w:line="240" w:lineRule="auto" w:before="59"/>
        <w:ind w:left="1493" w:right="821"/>
        <w:jc w:val="left"/>
      </w:pPr>
      <w:r>
        <w:rPr>
          <w:rFonts w:ascii="宋体" w:hAnsi="宋体" w:cs="宋体" w:eastAsia="宋体" w:hint="default"/>
        </w:rPr>
        <w:t>3</w:t>
      </w:r>
      <w:r>
        <w:rPr/>
        <w:t>、财务费用：本期较上年同期增加</w:t>
      </w:r>
      <w:r>
        <w:rPr>
          <w:spacing w:val="-46"/>
        </w:rPr>
        <w:t> </w:t>
      </w:r>
      <w:r>
        <w:rPr>
          <w:rFonts w:ascii="宋体" w:hAnsi="宋体" w:cs="宋体" w:eastAsia="宋体" w:hint="default"/>
        </w:rPr>
        <w:t>67.23</w:t>
      </w:r>
      <w:r>
        <w:rPr>
          <w:rFonts w:ascii="宋体" w:hAnsi="宋体" w:cs="宋体" w:eastAsia="宋体" w:hint="default"/>
          <w:spacing w:val="-45"/>
        </w:rPr>
        <w:t> </w:t>
      </w:r>
      <w:r>
        <w:rPr/>
        <w:t>万元，增幅</w:t>
      </w:r>
      <w:r>
        <w:rPr>
          <w:spacing w:val="-46"/>
        </w:rPr>
        <w:t> </w:t>
      </w:r>
      <w:r>
        <w:rPr>
          <w:rFonts w:ascii="宋体" w:hAnsi="宋体" w:cs="宋体" w:eastAsia="宋体" w:hint="default"/>
        </w:rPr>
        <w:t>35.59%</w:t>
      </w:r>
      <w:r>
        <w:rPr/>
        <w:t>，主要原因系公司借款增加导致利息支出增加。</w:t>
      </w:r>
    </w:p>
    <w:p>
      <w:pPr>
        <w:pStyle w:val="BodyText"/>
        <w:spacing w:line="240" w:lineRule="auto" w:before="116"/>
        <w:ind w:left="1494" w:right="821"/>
        <w:jc w:val="left"/>
      </w:pPr>
      <w:r>
        <w:rPr>
          <w:rFonts w:ascii="宋体" w:hAnsi="宋体" w:cs="宋体" w:eastAsia="宋体" w:hint="default"/>
        </w:rPr>
        <w:t>4</w:t>
      </w:r>
      <w:r>
        <w:rPr/>
        <w:t>、营业外收入：本期较上年同期增加</w:t>
      </w:r>
      <w:r>
        <w:rPr>
          <w:spacing w:val="-46"/>
        </w:rPr>
        <w:t> </w:t>
      </w:r>
      <w:r>
        <w:rPr>
          <w:rFonts w:ascii="宋体" w:hAnsi="宋体" w:cs="宋体" w:eastAsia="宋体" w:hint="default"/>
        </w:rPr>
        <w:t>216.21</w:t>
      </w:r>
      <w:r>
        <w:rPr>
          <w:rFonts w:ascii="宋体" w:hAnsi="宋体" w:cs="宋体" w:eastAsia="宋体" w:hint="default"/>
          <w:spacing w:val="-46"/>
        </w:rPr>
        <w:t> </w:t>
      </w:r>
      <w:r>
        <w:rPr/>
        <w:t>万元，增幅</w:t>
      </w:r>
      <w:r>
        <w:rPr>
          <w:spacing w:val="-46"/>
        </w:rPr>
        <w:t> </w:t>
      </w:r>
      <w:r>
        <w:rPr>
          <w:rFonts w:ascii="宋体" w:hAnsi="宋体" w:cs="宋体" w:eastAsia="宋体" w:hint="default"/>
        </w:rPr>
        <w:t>46.09%</w:t>
      </w:r>
      <w:r>
        <w:rPr/>
        <w:t>，主要原因系公司收到的政府补助增加。</w:t>
      </w:r>
    </w:p>
    <w:p>
      <w:pPr>
        <w:pStyle w:val="BodyText"/>
        <w:spacing w:line="240" w:lineRule="auto" w:before="115"/>
        <w:ind w:left="1494" w:right="821"/>
        <w:jc w:val="left"/>
      </w:pPr>
      <w:r>
        <w:rPr>
          <w:rFonts w:ascii="宋体" w:hAnsi="宋体" w:cs="宋体" w:eastAsia="宋体" w:hint="default"/>
        </w:rPr>
        <w:t>5</w:t>
      </w:r>
      <w:r>
        <w:rPr/>
        <w:t>、营业外支出：本期较上年同期减少</w:t>
      </w:r>
      <w:r>
        <w:rPr>
          <w:spacing w:val="-52"/>
        </w:rPr>
        <w:t> </w:t>
      </w:r>
      <w:r>
        <w:rPr>
          <w:rFonts w:ascii="宋体" w:hAnsi="宋体" w:cs="宋体" w:eastAsia="宋体" w:hint="default"/>
        </w:rPr>
        <w:t>360.50</w:t>
      </w:r>
      <w:r>
        <w:rPr>
          <w:rFonts w:ascii="宋体" w:hAnsi="宋体" w:cs="宋体" w:eastAsia="宋体" w:hint="default"/>
          <w:spacing w:val="-52"/>
        </w:rPr>
        <w:t> </w:t>
      </w:r>
      <w:r>
        <w:rPr/>
        <w:t>万元，减少</w:t>
      </w:r>
      <w:r>
        <w:rPr>
          <w:spacing w:val="-52"/>
        </w:rPr>
        <w:t> </w:t>
      </w:r>
      <w:r>
        <w:rPr>
          <w:rFonts w:ascii="宋体" w:hAnsi="宋体" w:cs="宋体" w:eastAsia="宋体" w:hint="default"/>
        </w:rPr>
        <w:t>95.94%</w:t>
      </w:r>
      <w:r>
        <w:rPr/>
        <w:t>，主要原因系</w:t>
      </w:r>
      <w:r>
        <w:rPr>
          <w:spacing w:val="-52"/>
        </w:rPr>
        <w:t> </w:t>
      </w:r>
      <w:r>
        <w:rPr>
          <w:rFonts w:ascii="宋体" w:hAnsi="宋体" w:cs="宋体" w:eastAsia="宋体" w:hint="default"/>
        </w:rPr>
        <w:t>2014</w:t>
      </w:r>
      <w:r>
        <w:rPr>
          <w:rFonts w:ascii="宋体" w:hAnsi="宋体" w:cs="宋体" w:eastAsia="宋体" w:hint="default"/>
          <w:spacing w:val="-52"/>
        </w:rPr>
        <w:t> </w:t>
      </w:r>
      <w:r>
        <w:rPr/>
        <w:t>年公司将云腾路</w:t>
      </w:r>
      <w:r>
        <w:rPr>
          <w:spacing w:val="-52"/>
        </w:rPr>
        <w:t> </w:t>
      </w:r>
      <w:r>
        <w:rPr>
          <w:rFonts w:ascii="宋体" w:hAnsi="宋体" w:cs="宋体" w:eastAsia="宋体" w:hint="default"/>
        </w:rPr>
        <w:t>7</w:t>
      </w:r>
      <w:r>
        <w:rPr>
          <w:rFonts w:ascii="宋体" w:hAnsi="宋体" w:cs="宋体" w:eastAsia="宋体" w:hint="default"/>
          <w:spacing w:val="-51"/>
        </w:rPr>
        <w:t> </w:t>
      </w:r>
      <w:r>
        <w:rPr/>
        <w:t>号的宿舍等拆除</w:t>
      </w:r>
    </w:p>
    <w:p>
      <w:pPr>
        <w:pStyle w:val="BodyText"/>
        <w:spacing w:line="240" w:lineRule="auto" w:before="77"/>
        <w:ind w:right="821"/>
        <w:jc w:val="left"/>
      </w:pPr>
      <w:r>
        <w:rPr/>
        <w:t>新建生产车间，产生净损失</w:t>
      </w:r>
      <w:r>
        <w:rPr>
          <w:spacing w:val="-46"/>
        </w:rPr>
        <w:t> </w:t>
      </w:r>
      <w:r>
        <w:rPr>
          <w:rFonts w:ascii="宋体" w:hAnsi="宋体" w:cs="宋体" w:eastAsia="宋体" w:hint="default"/>
        </w:rPr>
        <w:t>370</w:t>
      </w:r>
      <w:r>
        <w:rPr>
          <w:rFonts w:ascii="宋体" w:hAnsi="宋体" w:cs="宋体" w:eastAsia="宋体" w:hint="default"/>
          <w:spacing w:val="-46"/>
        </w:rPr>
        <w:t> </w:t>
      </w:r>
      <w:r>
        <w:rPr/>
        <w:t>万元。</w:t>
      </w:r>
    </w:p>
    <w:p>
      <w:pPr>
        <w:pStyle w:val="BodyText"/>
        <w:spacing w:line="240" w:lineRule="auto" w:before="117"/>
        <w:ind w:left="1493" w:right="821"/>
        <w:jc w:val="left"/>
      </w:pPr>
      <w:r>
        <w:rPr>
          <w:rFonts w:ascii="宋体" w:hAnsi="宋体" w:cs="宋体" w:eastAsia="宋体" w:hint="default"/>
        </w:rPr>
        <w:t>6</w:t>
      </w:r>
      <w:r>
        <w:rPr/>
        <w:t>、研发投入：本期较上年同期增加</w:t>
      </w:r>
      <w:r>
        <w:rPr>
          <w:spacing w:val="-46"/>
        </w:rPr>
        <w:t> </w:t>
      </w:r>
      <w:r>
        <w:rPr>
          <w:rFonts w:ascii="宋体" w:hAnsi="宋体" w:cs="宋体" w:eastAsia="宋体" w:hint="default"/>
        </w:rPr>
        <w:t>2,452.51</w:t>
      </w:r>
      <w:r>
        <w:rPr>
          <w:rFonts w:ascii="宋体" w:hAnsi="宋体" w:cs="宋体" w:eastAsia="宋体" w:hint="default"/>
          <w:spacing w:val="-46"/>
        </w:rPr>
        <w:t> </w:t>
      </w:r>
      <w:r>
        <w:rPr/>
        <w:t>万元，增幅</w:t>
      </w:r>
      <w:r>
        <w:rPr>
          <w:spacing w:val="-46"/>
        </w:rPr>
        <w:t> </w:t>
      </w:r>
      <w:r>
        <w:rPr>
          <w:rFonts w:ascii="宋体" w:hAnsi="宋体" w:cs="宋体" w:eastAsia="宋体" w:hint="default"/>
        </w:rPr>
        <w:t>55.12%</w:t>
      </w:r>
      <w:r>
        <w:rPr/>
        <w:t>。主要系公司加速新产品研发，增加了研发投入。</w:t>
      </w:r>
    </w:p>
    <w:p>
      <w:pPr>
        <w:pStyle w:val="BodyText"/>
        <w:spacing w:line="240" w:lineRule="auto" w:before="116"/>
        <w:ind w:left="1494" w:right="821"/>
        <w:jc w:val="left"/>
      </w:pPr>
      <w:r>
        <w:rPr>
          <w:rFonts w:ascii="宋体" w:hAnsi="宋体" w:cs="宋体" w:eastAsia="宋体" w:hint="default"/>
        </w:rPr>
        <w:t>7</w:t>
      </w:r>
      <w:r>
        <w:rPr/>
        <w:t>、经营活动产生的现金流量净额：本期较上年同期增加</w:t>
      </w:r>
      <w:r>
        <w:rPr>
          <w:spacing w:val="-45"/>
        </w:rPr>
        <w:t> </w:t>
      </w:r>
      <w:r>
        <w:rPr>
          <w:rFonts w:ascii="宋体" w:hAnsi="宋体" w:cs="宋体" w:eastAsia="宋体" w:hint="default"/>
        </w:rPr>
        <w:t>1,119.84</w:t>
      </w:r>
      <w:r>
        <w:rPr>
          <w:rFonts w:ascii="宋体" w:hAnsi="宋体" w:cs="宋体" w:eastAsia="宋体" w:hint="default"/>
          <w:spacing w:val="-46"/>
        </w:rPr>
        <w:t> </w:t>
      </w:r>
      <w:r>
        <w:rPr/>
        <w:t>万元，增幅</w:t>
      </w:r>
      <w:r>
        <w:rPr>
          <w:spacing w:val="-46"/>
        </w:rPr>
        <w:t> </w:t>
      </w:r>
      <w:r>
        <w:rPr>
          <w:rFonts w:ascii="宋体" w:hAnsi="宋体" w:cs="宋体" w:eastAsia="宋体" w:hint="default"/>
        </w:rPr>
        <w:t>59.02%</w:t>
      </w:r>
      <w:r>
        <w:rPr/>
        <w:t>。主要是公司加大了催款力度。</w:t>
      </w:r>
    </w:p>
    <w:p>
      <w:pPr>
        <w:pStyle w:val="BodyText"/>
        <w:spacing w:line="316" w:lineRule="auto" w:before="115"/>
        <w:ind w:right="1130" w:firstLine="360"/>
        <w:jc w:val="both"/>
      </w:pPr>
      <w:r>
        <w:rPr>
          <w:rFonts w:ascii="宋体" w:hAnsi="宋体" w:cs="宋体" w:eastAsia="宋体" w:hint="default"/>
        </w:rPr>
        <w:t>8</w:t>
      </w:r>
      <w:r>
        <w:rPr/>
        <w:t>、投资活动产生的现金流量净额：本期较上年同期减少</w:t>
      </w:r>
      <w:r>
        <w:rPr>
          <w:rFonts w:ascii="宋体" w:hAnsi="宋体" w:cs="宋体" w:eastAsia="宋体" w:hint="default"/>
        </w:rPr>
        <w:t>17,667.50</w:t>
      </w:r>
      <w:r>
        <w:rPr/>
        <w:t>万元，减少</w:t>
      </w:r>
      <w:r>
        <w:rPr>
          <w:rFonts w:ascii="宋体" w:hAnsi="宋体" w:cs="宋体" w:eastAsia="宋体" w:hint="default"/>
        </w:rPr>
        <w:t>608.67%</w:t>
      </w:r>
      <w:r>
        <w:rPr/>
        <w:t>，主要是为扩大产能密云云腾路 改扩建和天津生产基地基础基建支出增加。</w:t>
      </w:r>
    </w:p>
    <w:p>
      <w:pPr>
        <w:pStyle w:val="BodyText"/>
        <w:spacing w:line="240" w:lineRule="auto" w:before="19"/>
        <w:ind w:left="1493" w:right="821"/>
        <w:jc w:val="left"/>
      </w:pPr>
      <w:r>
        <w:rPr>
          <w:rFonts w:ascii="宋体" w:hAnsi="宋体" w:cs="宋体" w:eastAsia="宋体" w:hint="default"/>
          <w:spacing w:val="-3"/>
        </w:rPr>
        <w:t>9</w:t>
      </w:r>
      <w:r>
        <w:rPr>
          <w:spacing w:val="-3"/>
        </w:rPr>
        <w:t>、筹资活动产生的现金流量净额：本期较上年同期增加</w:t>
      </w:r>
      <w:r>
        <w:rPr>
          <w:rFonts w:ascii="宋体" w:hAnsi="宋体" w:cs="宋体" w:eastAsia="宋体" w:hint="default"/>
          <w:spacing w:val="-3"/>
        </w:rPr>
        <w:t>23,252.86</w:t>
      </w:r>
      <w:r>
        <w:rPr>
          <w:spacing w:val="-3"/>
        </w:rPr>
        <w:t>万元，增幅</w:t>
      </w:r>
      <w:r>
        <w:rPr>
          <w:rFonts w:ascii="宋体" w:hAnsi="宋体" w:cs="宋体" w:eastAsia="宋体" w:hint="default"/>
          <w:spacing w:val="-3"/>
        </w:rPr>
        <w:t>2047.24%</w:t>
      </w:r>
      <w:r>
        <w:rPr>
          <w:spacing w:val="-3"/>
        </w:rPr>
        <w:t>，主要是上市首发募集资金所致。</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2、收入与成本" w:id="26"/>
      <w:bookmarkEnd w:id="26"/>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821"/>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1,117,448,993.36</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911,464,692.14</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22.60%</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输配电设备制造</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1,117,448,993.36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911,464,692.14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环网柜</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316,843,484.42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383,245,236.67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42.05%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柱上开关</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116,935,029.98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54,240,990.46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115.58%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箱式变电站</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152,903,453.96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179,528,177.78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19.70%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电缆附件</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4,429,599.20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3,929,402.88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0.43%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其他开关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216,636,695.58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144,249,088.57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309,700,730.22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146,271,795.78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111.73%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1,117,448,993.36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911,464,692.14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22.60%</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环网柜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316,843,484.42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177,272,880.17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柱上开关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116,935,029.98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78,449,228.80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箱式变电站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152,903,453.96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117,152,270.67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216,636,695.58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174,434,947.53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309,700,730.22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267,442,265.27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r>
    </w:tbl>
    <w:p>
      <w:pPr>
        <w:pStyle w:val="BodyText"/>
        <w:spacing w:line="240" w:lineRule="auto" w:before="51"/>
        <w:ind w:left="1134" w:right="821"/>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4"/>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21"/>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输配电设备制造</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69.07%</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59,115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37,560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57.39%</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-19.63%</w:t>
            </w:r>
          </w:p>
        </w:tc>
      </w:tr>
    </w:tbl>
    <w:p>
      <w:pPr>
        <w:pStyle w:val="BodyText"/>
        <w:spacing w:line="240" w:lineRule="auto" w:before="51"/>
        <w:ind w:left="1134" w:right="821"/>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40" w:lineRule="auto" w:before="102"/>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产品结构不同导致数量变化较大。</w:t>
      </w:r>
    </w:p>
    <w:p>
      <w:pPr>
        <w:spacing w:line="240" w:lineRule="auto" w:before="12"/>
        <w:rPr>
          <w:rFonts w:ascii="宋体" w:hAnsi="宋体" w:cs="宋体" w:eastAsia="宋体" w:hint="default"/>
          <w:sz w:val="20"/>
          <w:szCs w:val="20"/>
        </w:rPr>
      </w:pPr>
    </w:p>
    <w:p>
      <w:pPr>
        <w:pStyle w:val="Heading3"/>
        <w:spacing w:line="240" w:lineRule="auto"/>
        <w:ind w:right="821"/>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2849"/>
        <w:jc w:val="right"/>
      </w:pPr>
      <w:r>
        <w:rPr/>
        <w:t>单位：元</w:t>
      </w:r>
    </w:p>
    <w:p>
      <w:pPr>
        <w:spacing w:line="240" w:lineRule="auto" w:before="1"/>
        <w:rPr>
          <w:rFonts w:ascii="宋体" w:hAnsi="宋体" w:cs="宋体" w:eastAsia="宋体" w:hint="default"/>
          <w:sz w:val="8"/>
          <w:szCs w:val="8"/>
        </w:rPr>
      </w:pPr>
    </w:p>
    <w:tbl>
      <w:tblPr>
        <w:tblW w:w="0" w:type="auto"/>
        <w:jc w:val="left"/>
        <w:tblInd w:w="1126" w:type="dxa"/>
        <w:tblLayout w:type="fixed"/>
        <w:tblCellMar>
          <w:top w:w="0" w:type="dxa"/>
          <w:left w:w="0" w:type="dxa"/>
          <w:bottom w:w="0" w:type="dxa"/>
          <w:right w:w="0" w:type="dxa"/>
        </w:tblCellMar>
        <w:tblLook w:val="01E0"/>
      </w:tblPr>
      <w:tblGrid>
        <w:gridCol w:w="2979"/>
        <w:gridCol w:w="1701"/>
        <w:gridCol w:w="1559"/>
        <w:gridCol w:w="1702"/>
        <w:gridCol w:w="992"/>
      </w:tblGrid>
      <w:tr>
        <w:trPr>
          <w:trHeight w:val="659"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合同日期</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合同金额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03" w:right="85" w:hanging="143"/>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日已执行金额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完成情况</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江苏省电力公司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6" w:right="0"/>
              <w:jc w:val="left"/>
              <w:rPr>
                <w:rFonts w:ascii="Times New Roman" w:hAnsi="Times New Roman" w:cs="Times New Roman" w:eastAsia="Times New Roman" w:hint="default"/>
                <w:sz w:val="18"/>
                <w:szCs w:val="18"/>
              </w:rPr>
            </w:pPr>
            <w:r>
              <w:rPr>
                <w:rFonts w:ascii="Times New Roman"/>
                <w:sz w:val="18"/>
              </w:rPr>
              <w:t>4,876,326.00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0" w:right="0"/>
              <w:jc w:val="left"/>
              <w:rPr>
                <w:rFonts w:ascii="Times New Roman" w:hAnsi="Times New Roman" w:cs="Times New Roman" w:eastAsia="Times New Roman" w:hint="default"/>
                <w:sz w:val="18"/>
                <w:szCs w:val="18"/>
              </w:rPr>
            </w:pPr>
            <w:r>
              <w:rPr>
                <w:rFonts w:ascii="Times New Roman"/>
                <w:sz w:val="18"/>
              </w:rPr>
              <w:t>4,876,326.00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979"/>
        <w:gridCol w:w="1701"/>
        <w:gridCol w:w="1559"/>
        <w:gridCol w:w="1702"/>
        <w:gridCol w:w="992"/>
      </w:tblGrid>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国网河南省电力公司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5,022,108.00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5,022,108.00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中国铁建电气化局集团有限公司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19,374,530.00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19,374,530.00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w:t>
            </w:r>
          </w:p>
        </w:tc>
      </w:tr>
      <w:tr>
        <w:trPr>
          <w:trHeight w:val="426"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江苏省电力公司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4,457,700.00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4,457,700.00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100%</w:t>
            </w:r>
          </w:p>
        </w:tc>
      </w:tr>
      <w:tr>
        <w:trPr>
          <w:trHeight w:val="42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国网北京市电力公司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6,845,904.00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6,845,904.00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国网北京市电力公司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4,207,788.00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4,207,788.00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徐州新电高科电气有限公司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4,626,699.00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4,626,699.00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国网北京市电力公司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10,661,625.00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10,661,625.00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国网北京市电力公司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6,425,406.00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6,425,406.00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w:t>
            </w:r>
          </w:p>
        </w:tc>
      </w:tr>
      <w:tr>
        <w:trPr>
          <w:trHeight w:val="426"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徐州新电高科电气有限公司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4,715,995.68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4,715,995.68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临策铁路有限责任公司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4,198,080.00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4,198,080.00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安阳优创电器有限责任公司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4,267,700.00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4,267,700.00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国网宁夏电力公司银川供电公司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4,349,943.00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4,349,943.00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江苏省电力公司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6,476,301.00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6,476,301.00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国网山东省电力公司青岛供电公司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5,801,796.00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5,801,796.00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w:t>
            </w:r>
          </w:p>
        </w:tc>
      </w:tr>
      <w:tr>
        <w:trPr>
          <w:trHeight w:val="426"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国网山西省电力公司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6,077,214.00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6,077,214.00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国网北京市电力公司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9,581,247.00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9,581,247.00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w:t>
            </w:r>
          </w:p>
        </w:tc>
      </w:tr>
      <w:tr>
        <w:trPr>
          <w:trHeight w:val="42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北京爱普电力工程有限公司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10,322,150.00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北京爱普电力工程有限公司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4,064,070.00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南通通明投资实业有限公司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5,415,660.00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5,415,660.00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国网河南省电力公司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4,979,520.00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2,201,472.00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44%</w:t>
            </w:r>
          </w:p>
        </w:tc>
      </w:tr>
      <w:tr>
        <w:trPr>
          <w:trHeight w:val="426"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南通通明投资实业有限公司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4,200,000.00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4,200,000.00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国网四川省电力公司泸州供电公司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5,927,980.50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北京依海建筑工程有限公司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7,834,225.00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北京京电宝临电力工程有限公司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6,225,219.00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沈阳铁路局</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7,229,920.00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749,400.00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厦门京鹭实业发展有限公司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4,060,800.00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134" w:right="821"/>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环网柜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160,352,546.39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192,436,754.11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-16.67%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环网柜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6,306,326.39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6,466,345.22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环网柜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10,614,007.39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11,043,173.98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柱上开关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70,463,097.31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32,522,238.39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116.66%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柱上开关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1,969,075.64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1,094,764.23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柱上开关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6,024,900.77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3,243,745.87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箱式变电站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112,192,256.68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128,220,105.31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箱式变电站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2,164,448.92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3,464,665.08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箱式变电站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2,795,565.07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5,801,939.14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电缆附件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2,887,468.66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1,494,543.74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电缆附件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114,884.78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102.14%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电缆附件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170,613.62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115,336.71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158,739,575.25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107,608,331.92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6,315,830.08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4,092,164.74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9,379,542.20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8,304,334.30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250,768,678.27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113,676,769.61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5,778,125.61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3,429,956.49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10,895,461.39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8,061,649.56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134" w:right="821"/>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1"/>
        <w:ind w:right="1042"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日，本公司第三届董事会第十七次会议审议通过《关于公司对外设立全资子公司并购买土地建设生产基地 </w:t>
      </w:r>
      <w:r>
        <w:rPr>
          <w:spacing w:val="-1"/>
        </w:rPr>
        <w:t>的议案》，本公司投资人民币</w:t>
      </w:r>
      <w:r>
        <w:rPr>
          <w:rFonts w:ascii="Times New Roman" w:hAnsi="Times New Roman" w:cs="Times New Roman" w:eastAsia="Times New Roman" w:hint="default"/>
          <w:spacing w:val="-1"/>
        </w:rPr>
        <w:t>8,000</w:t>
      </w:r>
      <w:r>
        <w:rPr>
          <w:spacing w:val="-1"/>
        </w:rPr>
        <w:t>万元设立天津合纵电力设备有限公司。天津合纵电力设备有限公司成立于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9</w:t>
      </w:r>
      <w:r>
        <w:rPr>
          <w:spacing w:val="-1"/>
        </w:rPr>
        <w:t>日，</w:t>
      </w:r>
      <w:r>
        <w:rPr>
          <w:spacing w:val="-73"/>
        </w:rPr>
        <w:t> </w:t>
      </w:r>
      <w:r>
        <w:rPr/>
        <w:t>注册资本</w:t>
      </w:r>
      <w:r>
        <w:rPr>
          <w:rFonts w:ascii="Times New Roman" w:hAnsi="Times New Roman" w:cs="Times New Roman" w:eastAsia="Times New Roman" w:hint="default"/>
        </w:rPr>
        <w:t>8,000.00</w:t>
      </w:r>
      <w:r>
        <w:rPr/>
        <w:t>万元，注册资本出资已经北京中靖诚会计师事务所以中靖诚验字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E-1981</w:t>
      </w:r>
      <w:r>
        <w:rPr/>
        <w:t>号验资报告审验。</w:t>
      </w:r>
    </w:p>
    <w:p>
      <w:pPr>
        <w:spacing w:line="240" w:lineRule="auto" w:before="12"/>
        <w:rPr>
          <w:rFonts w:ascii="宋体" w:hAnsi="宋体" w:cs="宋体" w:eastAsia="宋体" w:hint="default"/>
          <w:sz w:val="21"/>
          <w:szCs w:val="21"/>
        </w:rPr>
      </w:pPr>
    </w:p>
    <w:p>
      <w:pPr>
        <w:pStyle w:val="Heading3"/>
        <w:spacing w:line="240" w:lineRule="auto"/>
        <w:ind w:left="1134" w:right="821"/>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21"/>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21"/>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465,998,774.69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41.71%</w:t>
            </w:r>
          </w:p>
        </w:tc>
      </w:tr>
    </w:tbl>
    <w:p>
      <w:pPr>
        <w:pStyle w:val="BodyText"/>
        <w:spacing w:line="240" w:lineRule="auto" w:before="51"/>
        <w:ind w:left="1134" w:right="821"/>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3" w:right="0"/>
              <w:jc w:val="left"/>
              <w:rPr>
                <w:rFonts w:ascii="Times New Roman" w:hAnsi="Times New Roman" w:cs="Times New Roman" w:eastAsia="Times New Roman" w:hint="default"/>
                <w:sz w:val="18"/>
                <w:szCs w:val="18"/>
              </w:rPr>
            </w:pPr>
            <w:r>
              <w:rPr>
                <w:rFonts w:ascii="Times New Roman"/>
                <w:sz w:val="18"/>
              </w:rPr>
              <w:t>286,208,674.69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68,248,524.00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44,759,700.00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33,960,284.00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32,821,592.00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465,998,774.69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41.71%</w:t>
            </w:r>
          </w:p>
        </w:tc>
      </w:tr>
    </w:tbl>
    <w:p>
      <w:pPr>
        <w:pStyle w:val="BodyText"/>
        <w:spacing w:line="240" w:lineRule="auto" w:before="51"/>
        <w:ind w:left="1134" w:right="821"/>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323,613,487.84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30.06%</w:t>
            </w:r>
          </w:p>
        </w:tc>
      </w:tr>
    </w:tbl>
    <w:p>
      <w:pPr>
        <w:pStyle w:val="BodyText"/>
        <w:spacing w:line="240" w:lineRule="auto" w:before="51"/>
        <w:ind w:left="1134" w:right="821"/>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226,665,840.23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26,414,749.61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25,305,443.04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23,940,282.36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21,287,172.60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323,613,487.84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30.06%</w:t>
            </w:r>
          </w:p>
        </w:tc>
      </w:tr>
    </w:tbl>
    <w:p>
      <w:pPr>
        <w:spacing w:line="240" w:lineRule="auto" w:before="3"/>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116,934,731.21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100,958,748.27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70,935,150.90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74,522,624.42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2,561,513.30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1,889,171.15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35.59%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公司扩大产能新增天津生产基地建 </w:t>
            </w:r>
            <w:r>
              <w:rPr>
                <w:rFonts w:ascii="宋体" w:hAnsi="宋体" w:cs="宋体" w:eastAsia="宋体" w:hint="default"/>
                <w:spacing w:val="-2"/>
                <w:sz w:val="18"/>
                <w:szCs w:val="18"/>
              </w:rPr>
              <w:t>设，密云厂区改扩建，增加银行借款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导致利息增加</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3138"/>
        <w:jc w:val="left"/>
        <w:rPr>
          <w:b w:val="0"/>
          <w:bCs w:val="0"/>
        </w:rPr>
      </w:pPr>
      <w:bookmarkStart w:name="5、现金流" w:id="36"/>
      <w:bookmarkEnd w:id="36"/>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35"/>
        <w:jc w:val="right"/>
      </w:pPr>
      <w:r>
        <w:rPr/>
        <w:t>单位：元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1,058,466,100.04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890,039,479.18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1,028,294,708.69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871,066,469.50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30,171,391.35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18,973,009.68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168,347.00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701.65%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205,869,915.62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29,047,578.54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608.73%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-205,701,568.62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-29,026,578.54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-608.67%</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359,416,589.30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349.27%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138,246,112.97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91,358,124.72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51.32%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221,170,476.33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-11,358,124.72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2,047.24%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45,640,299.06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-21,411,693.58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313.16%</w:t>
            </w:r>
          </w:p>
        </w:tc>
      </w:tr>
    </w:tbl>
    <w:p>
      <w:pPr>
        <w:pStyle w:val="BodyText"/>
        <w:spacing w:line="240" w:lineRule="auto" w:before="51"/>
        <w:ind w:left="140" w:right="3138"/>
        <w:jc w:val="left"/>
      </w:pPr>
      <w:r>
        <w:rPr/>
        <w:t>相关数据同比发生重大变动的主要影响因素说明</w:t>
      </w:r>
    </w:p>
    <w:p>
      <w:pPr>
        <w:pStyle w:val="BodyText"/>
        <w:spacing w:line="324" w:lineRule="auto" w:before="116"/>
        <w:ind w:left="500" w:right="313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经营活动产生的现金流量净额较上年同期增加</w:t>
      </w:r>
      <w:r>
        <w:rPr>
          <w:rFonts w:ascii="宋体" w:hAnsi="宋体" w:cs="宋体" w:eastAsia="宋体" w:hint="default"/>
        </w:rPr>
        <w:t>59.02%</w:t>
      </w:r>
      <w:r>
        <w:rPr/>
        <w:t>，公司整体保持较高的货款回收率，本期销售商品提供劳务收到的现金较上年同期大幅增加所致。 投资活动产生的现金流量净额较上年同期减少</w:t>
      </w:r>
      <w:r>
        <w:rPr>
          <w:rFonts w:ascii="宋体" w:hAnsi="宋体" w:cs="宋体" w:eastAsia="宋体" w:hint="default"/>
        </w:rPr>
        <w:t>608.67%,</w:t>
      </w:r>
      <w:r>
        <w:rPr/>
        <w:t>公司云腾路厂房改扩建、天津基建项目投入增加，支付的现金大幅增加所致。 筹资活动产生的现金流量净额较上年同期增加</w:t>
      </w:r>
      <w:r>
        <w:rPr>
          <w:rFonts w:ascii="宋体" w:hAnsi="宋体" w:cs="宋体" w:eastAsia="宋体" w:hint="default"/>
        </w:rPr>
        <w:t>2047.24%</w:t>
      </w:r>
      <w:r>
        <w:rPr/>
        <w:t>，公司首发上市收到的募集资金所致。</w:t>
      </w:r>
    </w:p>
    <w:p>
      <w:pPr>
        <w:pStyle w:val="BodyText"/>
        <w:spacing w:line="240" w:lineRule="auto" w:before="54"/>
        <w:ind w:left="139" w:right="3138"/>
        <w:jc w:val="left"/>
      </w:pPr>
      <w:r>
        <w:rPr/>
        <w:t>报告期内公司经营活动产生的现金净流量与本年度净利润存在重大差异的原因说明</w:t>
      </w:r>
    </w:p>
    <w:p>
      <w:pPr>
        <w:pStyle w:val="BodyText"/>
        <w:spacing w:line="340" w:lineRule="auto" w:before="116"/>
        <w:ind w:left="140" w:right="727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报告期经营活动产生的现金净流量与本年度净利润存在重大差异的主要原因经营性应收项目增加导致。</w:t>
      </w:r>
    </w:p>
    <w:p>
      <w:pPr>
        <w:spacing w:after="0" w:line="340" w:lineRule="auto"/>
        <w:jc w:val="left"/>
        <w:sectPr>
          <w:headerReference w:type="default" r:id="rId13"/>
          <w:footerReference w:type="default" r:id="rId14"/>
          <w:pgSz w:w="16840" w:h="11910" w:orient="landscape"/>
          <w:pgMar w:header="867" w:footer="979" w:top="1060" w:bottom="1160" w:left="1300" w:right="0"/>
          <w:pgNumType w:start="18"/>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3138"/>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00" w:right="55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作为一家一直专注于户外配电系列产品的企业，公司通过近十年不断地研发和自主创新，掌握了配电领域户外产品的主要核心技术，并拥有这些产品的自主知识产权。报告期</w:t>
      </w:r>
    </w:p>
    <w:p>
      <w:pPr>
        <w:pStyle w:val="BodyText"/>
        <w:spacing w:line="240" w:lineRule="auto" w:before="2"/>
        <w:ind w:left="140" w:right="3138"/>
        <w:jc w:val="left"/>
      </w:pPr>
      <w:r>
        <w:rPr/>
        <w:t>内，公司及其子公司新获得专利证书</w:t>
      </w:r>
      <w:r>
        <w:rPr>
          <w:rFonts w:ascii="Times New Roman" w:hAnsi="Times New Roman" w:cs="Times New Roman" w:eastAsia="Times New Roman" w:hint="default"/>
        </w:rPr>
        <w:t>14</w:t>
      </w:r>
      <w:r>
        <w:rPr/>
        <w:t>项，具体如下：</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852"/>
        <w:gridCol w:w="1276"/>
        <w:gridCol w:w="4350"/>
        <w:gridCol w:w="1814"/>
        <w:gridCol w:w="2017"/>
        <w:gridCol w:w="3302"/>
      </w:tblGrid>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专利类型</w:t>
            </w:r>
          </w:p>
        </w:tc>
        <w:tc>
          <w:tcPr>
            <w:tcW w:w="4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专利权保护期限</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授权公告日</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专利权人</w:t>
            </w:r>
          </w:p>
        </w:tc>
      </w:tr>
      <w:tr>
        <w:trPr>
          <w:trHeight w:val="65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一种断路器柜以及</w:t>
            </w:r>
            <w:r>
              <w:rPr>
                <w:rFonts w:ascii="Times New Roman" w:hAnsi="Times New Roman" w:cs="Times New Roman" w:eastAsia="Times New Roman" w:hint="default"/>
                <w:sz w:val="18"/>
                <w:szCs w:val="18"/>
              </w:rPr>
              <w:t>HXGN-12</w:t>
            </w:r>
            <w:r>
              <w:rPr>
                <w:rFonts w:ascii="宋体" w:hAnsi="宋体" w:cs="宋体" w:eastAsia="宋体" w:hint="default"/>
                <w:sz w:val="18"/>
                <w:szCs w:val="18"/>
              </w:rPr>
              <w:t>系列开关柜</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p>
            <w:pPr>
              <w:pStyle w:val="TableParagraph"/>
              <w:spacing w:line="240" w:lineRule="auto" w:before="63"/>
              <w:ind w:left="2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r>
      <w:tr>
        <w:trPr>
          <w:trHeight w:val="65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一种新型</w:t>
            </w:r>
            <w:r>
              <w:rPr>
                <w:rFonts w:ascii="Times New Roman" w:hAnsi="Times New Roman" w:cs="Times New Roman" w:eastAsia="Times New Roman" w:hint="default"/>
                <w:sz w:val="18"/>
                <w:szCs w:val="18"/>
              </w:rPr>
              <w:t>KYN28-12</w:t>
            </w:r>
            <w:r>
              <w:rPr>
                <w:rFonts w:ascii="宋体" w:hAnsi="宋体" w:cs="宋体" w:eastAsia="宋体" w:hint="default"/>
                <w:sz w:val="18"/>
                <w:szCs w:val="18"/>
              </w:rPr>
              <w:t>系列开关柜</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p>
            <w:pPr>
              <w:pStyle w:val="TableParagraph"/>
              <w:spacing w:line="240" w:lineRule="auto" w:before="63"/>
              <w:ind w:left="2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r>
      <w:tr>
        <w:trPr>
          <w:trHeight w:val="65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一种新型高压开关分合传动装置</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p>
            <w:pPr>
              <w:pStyle w:val="TableParagraph"/>
              <w:spacing w:line="240" w:lineRule="auto" w:before="63"/>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r>
      <w:tr>
        <w:trPr>
          <w:trHeight w:val="65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一种应用于复合开关</w:t>
            </w:r>
            <w:r>
              <w:rPr>
                <w:rFonts w:ascii="Times New Roman" w:hAnsi="Times New Roman" w:cs="Times New Roman" w:eastAsia="Times New Roman" w:hint="default"/>
                <w:sz w:val="18"/>
                <w:szCs w:val="18"/>
              </w:rPr>
              <w:t>-</w:t>
            </w:r>
            <w:r>
              <w:rPr>
                <w:rFonts w:ascii="宋体" w:hAnsi="宋体" w:cs="宋体" w:eastAsia="宋体" w:hint="default"/>
                <w:sz w:val="18"/>
                <w:szCs w:val="18"/>
              </w:rPr>
              <w:t>熔断组合电器的接地辅刀装置</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p>
            <w:pPr>
              <w:pStyle w:val="TableParagraph"/>
              <w:spacing w:line="240" w:lineRule="auto" w:before="63"/>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r>
      <w:tr>
        <w:trPr>
          <w:trHeight w:val="65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4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一种带测温功能的带电指示器</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p>
            <w:pPr>
              <w:pStyle w:val="TableParagraph"/>
              <w:spacing w:line="240" w:lineRule="auto" w:before="63"/>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r>
      <w:tr>
        <w:trPr>
          <w:trHeight w:val="66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4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阻燃屏蔽型可分离连接器</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p>
            <w:pPr>
              <w:pStyle w:val="TableParagraph"/>
              <w:spacing w:line="240" w:lineRule="auto" w:before="63"/>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r>
      <w:tr>
        <w:trPr>
          <w:trHeight w:val="65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4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新的齿轮传动双操作孔隔离机构</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p>
            <w:pPr>
              <w:pStyle w:val="TableParagraph"/>
              <w:spacing w:line="240" w:lineRule="auto" w:before="63"/>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r>
      <w:tr>
        <w:trPr>
          <w:trHeight w:val="65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10kV</w:t>
            </w:r>
            <w:r>
              <w:rPr>
                <w:rFonts w:ascii="宋体" w:hAnsi="宋体" w:cs="宋体" w:eastAsia="宋体" w:hint="default"/>
                <w:sz w:val="18"/>
                <w:szCs w:val="18"/>
              </w:rPr>
              <w:t>节能型欧变</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p>
            <w:pPr>
              <w:pStyle w:val="TableParagraph"/>
              <w:spacing w:line="240" w:lineRule="auto" w:before="63"/>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北京合纵实科电力科技有限公司</w:t>
            </w:r>
          </w:p>
        </w:tc>
      </w:tr>
      <w:tr>
        <w:trPr>
          <w:trHeight w:val="65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一种通用型变压器计量箱</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p>
            <w:pPr>
              <w:pStyle w:val="TableParagraph"/>
              <w:spacing w:line="240" w:lineRule="auto" w:before="63"/>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北京合纵实科电力科技有限公司</w:t>
            </w:r>
          </w:p>
        </w:tc>
      </w:tr>
      <w:tr>
        <w:trPr>
          <w:trHeight w:val="65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一种环网柜生产中一次装配与二次装配的对接装置</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p>
            <w:pPr>
              <w:pStyle w:val="TableParagraph"/>
              <w:spacing w:line="240" w:lineRule="auto" w:before="63"/>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北京合纵实科电力科技有限公司</w:t>
            </w:r>
          </w:p>
        </w:tc>
      </w:tr>
      <w:tr>
        <w:trPr>
          <w:trHeight w:val="65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一种新型高压断路器分合传动装置</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p>
            <w:pPr>
              <w:pStyle w:val="TableParagraph"/>
              <w:spacing w:line="240" w:lineRule="auto" w:before="63"/>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北京合纵实科电力科技有限公司</w:t>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4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SMC1</w:t>
            </w:r>
            <w:r>
              <w:rPr>
                <w:rFonts w:ascii="宋体" w:hAnsi="宋体" w:cs="宋体" w:eastAsia="宋体" w:hint="default"/>
                <w:sz w:val="18"/>
                <w:szCs w:val="18"/>
              </w:rPr>
              <w:t>高压负荷开关</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北京合纵科沃尔电力科技有限公司</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220" w:left="1300" w:right="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856"/>
        <w:gridCol w:w="1276"/>
        <w:gridCol w:w="4350"/>
        <w:gridCol w:w="1814"/>
        <w:gridCol w:w="2017"/>
        <w:gridCol w:w="3302"/>
        <w:gridCol w:w="379"/>
      </w:tblGrid>
      <w:tr>
        <w:trPr>
          <w:trHeight w:val="361" w:hRule="exact"/>
        </w:trPr>
        <w:tc>
          <w:tcPr>
            <w:tcW w:w="856" w:type="dxa"/>
            <w:tcBorders>
              <w:top w:val="single" w:sz="17" w:space="0" w:color="000000"/>
              <w:left w:val="single" w:sz="6" w:space="0" w:color="000000"/>
              <w:bottom w:val="single" w:sz="6" w:space="0" w:color="000000"/>
              <w:right w:val="single" w:sz="6" w:space="0" w:color="000000"/>
            </w:tcBorders>
          </w:tcPr>
          <w:p>
            <w:pPr/>
          </w:p>
        </w:tc>
        <w:tc>
          <w:tcPr>
            <w:tcW w:w="1276" w:type="dxa"/>
            <w:tcBorders>
              <w:top w:val="single" w:sz="17" w:space="0" w:color="000000"/>
              <w:left w:val="single" w:sz="6" w:space="0" w:color="000000"/>
              <w:bottom w:val="single" w:sz="6" w:space="0" w:color="000000"/>
              <w:right w:val="single" w:sz="6" w:space="0" w:color="000000"/>
            </w:tcBorders>
          </w:tcPr>
          <w:p>
            <w:pPr/>
          </w:p>
        </w:tc>
        <w:tc>
          <w:tcPr>
            <w:tcW w:w="4350" w:type="dxa"/>
            <w:tcBorders>
              <w:top w:val="single" w:sz="17" w:space="0" w:color="000000"/>
              <w:left w:val="single" w:sz="6" w:space="0" w:color="000000"/>
              <w:bottom w:val="single" w:sz="6" w:space="0" w:color="000000"/>
              <w:right w:val="single" w:sz="6" w:space="0" w:color="000000"/>
            </w:tcBorders>
          </w:tcPr>
          <w:p>
            <w:pPr/>
          </w:p>
        </w:tc>
        <w:tc>
          <w:tcPr>
            <w:tcW w:w="181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1"/>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017" w:type="dxa"/>
            <w:tcBorders>
              <w:top w:val="single" w:sz="17" w:space="0" w:color="000000"/>
              <w:left w:val="single" w:sz="6" w:space="0" w:color="000000"/>
              <w:bottom w:val="single" w:sz="6" w:space="0" w:color="000000"/>
              <w:right w:val="single" w:sz="6" w:space="0" w:color="000000"/>
            </w:tcBorders>
          </w:tcPr>
          <w:p>
            <w:pPr/>
          </w:p>
        </w:tc>
        <w:tc>
          <w:tcPr>
            <w:tcW w:w="3302" w:type="dxa"/>
            <w:tcBorders>
              <w:top w:val="single" w:sz="17" w:space="0" w:color="000000"/>
              <w:left w:val="single" w:sz="6" w:space="0" w:color="000000"/>
              <w:bottom w:val="single" w:sz="6" w:space="0" w:color="000000"/>
              <w:right w:val="single" w:sz="6" w:space="0" w:color="000000"/>
            </w:tcBorders>
          </w:tcPr>
          <w:p>
            <w:pPr/>
          </w:p>
        </w:tc>
        <w:tc>
          <w:tcPr>
            <w:tcW w:w="379" w:type="dxa"/>
            <w:vMerge w:val="restart"/>
            <w:tcBorders>
              <w:top w:val="single" w:sz="6" w:space="0" w:color="000000"/>
              <w:left w:val="single" w:sz="6" w:space="0" w:color="000000"/>
              <w:right w:val="nil" w:sz="6" w:space="0" w:color="auto"/>
            </w:tcBorders>
          </w:tcPr>
          <w:p>
            <w:pPr/>
          </w:p>
        </w:tc>
      </w:tr>
      <w:tr>
        <w:trPr>
          <w:trHeight w:val="659"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13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4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SMC1</w:t>
            </w:r>
            <w:r>
              <w:rPr>
                <w:rFonts w:ascii="宋体" w:hAnsi="宋体" w:cs="宋体" w:eastAsia="宋体" w:hint="default"/>
                <w:sz w:val="18"/>
                <w:szCs w:val="18"/>
              </w:rPr>
              <w:t>密封面平面度检验工装</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p>
            <w:pPr>
              <w:pStyle w:val="TableParagraph"/>
              <w:spacing w:line="240" w:lineRule="auto" w:before="63"/>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北京合纵科沃尔电力科技有限公司</w:t>
            </w:r>
          </w:p>
        </w:tc>
        <w:tc>
          <w:tcPr>
            <w:tcW w:w="379" w:type="dxa"/>
            <w:vMerge/>
            <w:tcBorders>
              <w:left w:val="single" w:sz="6" w:space="0" w:color="000000"/>
              <w:right w:val="nil" w:sz="6" w:space="0" w:color="auto"/>
            </w:tcBorders>
          </w:tcPr>
          <w:p>
            <w:pPr/>
          </w:p>
        </w:tc>
      </w:tr>
      <w:tr>
        <w:trPr>
          <w:trHeight w:val="664"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14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4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磁吹灭弧的</w:t>
            </w:r>
            <w:r>
              <w:rPr>
                <w:rFonts w:ascii="Times New Roman" w:hAnsi="Times New Roman" w:cs="Times New Roman" w:eastAsia="Times New Roman" w:hint="default"/>
                <w:sz w:val="18"/>
                <w:szCs w:val="18"/>
              </w:rPr>
              <w:t>SF6</w:t>
            </w:r>
            <w:r>
              <w:rPr>
                <w:rFonts w:ascii="宋体" w:hAnsi="宋体" w:cs="宋体" w:eastAsia="宋体" w:hint="default"/>
                <w:sz w:val="18"/>
                <w:szCs w:val="18"/>
              </w:rPr>
              <w:t>三工位负荷开关</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p>
            <w:pPr>
              <w:pStyle w:val="TableParagraph"/>
              <w:spacing w:line="240" w:lineRule="auto" w:before="63"/>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北京合纵科沃尔电力科技有限公司</w:t>
            </w:r>
          </w:p>
        </w:tc>
        <w:tc>
          <w:tcPr>
            <w:tcW w:w="379" w:type="dxa"/>
            <w:vMerge/>
            <w:tcBorders>
              <w:left w:val="single" w:sz="6" w:space="0" w:color="000000"/>
              <w:bottom w:val="nil" w:sz="6" w:space="0" w:color="auto"/>
              <w:right w:val="nil" w:sz="6" w:space="0" w:color="auto"/>
            </w:tcBorders>
          </w:tcPr>
          <w:p>
            <w:pPr/>
          </w:p>
        </w:tc>
      </w:tr>
    </w:tbl>
    <w:p>
      <w:pPr>
        <w:spacing w:line="240" w:lineRule="auto" w:before="13"/>
        <w:rPr>
          <w:rFonts w:ascii="宋体" w:hAnsi="宋体" w:cs="宋体" w:eastAsia="宋体" w:hint="default"/>
          <w:sz w:val="20"/>
          <w:szCs w:val="20"/>
        </w:rPr>
      </w:pPr>
    </w:p>
    <w:p>
      <w:pPr>
        <w:pStyle w:val="BodyText"/>
        <w:spacing w:line="240" w:lineRule="auto" w:before="44"/>
        <w:ind w:left="480" w:right="0"/>
        <w:jc w:val="left"/>
      </w:pPr>
      <w:r>
        <w:rPr/>
        <w:t>报告期内，公司重大在研项目</w:t>
      </w:r>
      <w:r>
        <w:rPr>
          <w:rFonts w:ascii="Times New Roman" w:hAnsi="Times New Roman" w:cs="Times New Roman" w:eastAsia="Times New Roman" w:hint="default"/>
        </w:rPr>
        <w:t>8</w:t>
      </w:r>
      <w:r>
        <w:rPr/>
        <w:t>项，各项目进展情况如下：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44"/>
        <w:ind w:left="0" w:right="1139"/>
        <w:jc w:val="right"/>
      </w:pPr>
      <w:r>
        <w:rPr/>
        <w:pict>
          <v:shape style="position:absolute;margin-left:71.639999pt;margin-top:-129.628296pt;width:709.95pt;height:340.7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1702"/>
                    <w:gridCol w:w="1700"/>
                    <w:gridCol w:w="5104"/>
                    <w:gridCol w:w="3402"/>
                    <w:gridCol w:w="1417"/>
                  </w:tblGrid>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项目进展</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拟达到的目标</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93" w:right="0"/>
                          <w:jc w:val="left"/>
                          <w:rPr>
                            <w:rFonts w:ascii="宋体" w:hAnsi="宋体" w:cs="宋体" w:eastAsia="宋体" w:hint="default"/>
                            <w:sz w:val="18"/>
                            <w:szCs w:val="18"/>
                          </w:rPr>
                        </w:pPr>
                        <w:r>
                          <w:rPr>
                            <w:rFonts w:ascii="宋体" w:hAnsi="宋体" w:cs="宋体" w:eastAsia="宋体" w:hint="default"/>
                            <w:sz w:val="18"/>
                            <w:szCs w:val="18"/>
                          </w:rPr>
                          <w:t>预计对公司未来的影响</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市场领域</w:t>
                        </w:r>
                      </w:p>
                    </w:tc>
                  </w:tr>
                  <w:tr>
                    <w:trPr>
                      <w:trHeight w:val="1283"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0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12kV</w:t>
                        </w:r>
                        <w:r>
                          <w:rPr>
                            <w:rFonts w:ascii="宋体" w:hAnsi="宋体" w:cs="宋体" w:eastAsia="宋体" w:hint="default"/>
                            <w:sz w:val="18"/>
                            <w:szCs w:val="18"/>
                          </w:rPr>
                          <w:t>智能户外真空开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关设备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2" w:right="2"/>
                          <w:jc w:val="both"/>
                          <w:rPr>
                            <w:rFonts w:ascii="宋体" w:hAnsi="宋体" w:cs="宋体" w:eastAsia="宋体" w:hint="default"/>
                            <w:sz w:val="18"/>
                            <w:szCs w:val="18"/>
                          </w:rPr>
                        </w:pPr>
                        <w:r>
                          <w:rPr>
                            <w:rFonts w:ascii="宋体" w:hAnsi="宋体" w:cs="宋体" w:eastAsia="宋体" w:hint="default"/>
                            <w:spacing w:val="6"/>
                            <w:sz w:val="18"/>
                            <w:szCs w:val="18"/>
                          </w:rPr>
                          <w:t>完成三款产品研发，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为提高产品竞争力，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年主要进行降成</w:t>
                        </w:r>
                        <w:r>
                          <w:rPr>
                            <w:rFonts w:ascii="宋体" w:hAnsi="宋体" w:cs="宋体" w:eastAsia="宋体" w:hint="default"/>
                            <w:sz w:val="18"/>
                            <w:szCs w:val="18"/>
                          </w:rPr>
                          <w:t> 本设计</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9" w:lineRule="auto"/>
                          <w:ind w:left="2" w:right="7"/>
                          <w:jc w:val="both"/>
                          <w:rPr>
                            <w:rFonts w:ascii="宋体" w:hAnsi="宋体" w:cs="宋体" w:eastAsia="宋体" w:hint="default"/>
                            <w:sz w:val="18"/>
                            <w:szCs w:val="18"/>
                          </w:rPr>
                        </w:pPr>
                        <w:r>
                          <w:rPr>
                            <w:rFonts w:ascii="宋体" w:hAnsi="宋体" w:cs="宋体" w:eastAsia="宋体" w:hint="default"/>
                            <w:sz w:val="18"/>
                            <w:szCs w:val="18"/>
                          </w:rPr>
                          <w:t>高度集成的多功能柱上开关平台化产品。从各种配网自动化组网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方式所需的采集、控制出发，将开关本体、操动机构及测量控制</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单元有机融合为统一的整体，实现多种馈线自动化功能。</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
                          <w:jc w:val="both"/>
                          <w:rPr>
                            <w:rFonts w:ascii="宋体" w:hAnsi="宋体" w:cs="宋体" w:eastAsia="宋体" w:hint="default"/>
                            <w:sz w:val="18"/>
                            <w:szCs w:val="18"/>
                          </w:rPr>
                        </w:pPr>
                        <w:r>
                          <w:rPr>
                            <w:rFonts w:ascii="宋体" w:hAnsi="宋体" w:cs="宋体" w:eastAsia="宋体" w:hint="default"/>
                            <w:spacing w:val="-3"/>
                            <w:sz w:val="18"/>
                            <w:szCs w:val="18"/>
                          </w:rPr>
                          <w:t>提升公司柱上开关产品的技术水平，可替代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现有户外柱上开关设备，为配网智能化打下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坚实基础，提高公司产品的竞争力和市场占</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有率</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电力</w:t>
                        </w:r>
                      </w:p>
                    </w:tc>
                  </w:tr>
                  <w:tr>
                    <w:trPr>
                      <w:trHeight w:val="971"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0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12kV</w:t>
                        </w:r>
                        <w:r>
                          <w:rPr>
                            <w:rFonts w:ascii="宋体" w:hAnsi="宋体" w:cs="宋体" w:eastAsia="宋体" w:hint="default"/>
                            <w:sz w:val="18"/>
                            <w:szCs w:val="18"/>
                          </w:rPr>
                          <w:t>环保气体绝缘环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网柜</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pacing w:val="6"/>
                            <w:sz w:val="18"/>
                            <w:szCs w:val="18"/>
                          </w:rPr>
                          <w:t>通过国家级鉴定，正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逐步推向市场</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
                          <w:jc w:val="both"/>
                          <w:rPr>
                            <w:rFonts w:ascii="宋体" w:hAnsi="宋体" w:cs="宋体" w:eastAsia="宋体" w:hint="default"/>
                            <w:sz w:val="18"/>
                            <w:szCs w:val="18"/>
                          </w:rPr>
                        </w:pPr>
                        <w:r>
                          <w:rPr>
                            <w:rFonts w:ascii="宋体" w:hAnsi="宋体" w:cs="宋体" w:eastAsia="宋体" w:hint="default"/>
                            <w:sz w:val="18"/>
                            <w:szCs w:val="18"/>
                          </w:rPr>
                          <w:t>全新的环保理念设计，采用空气或氮气作为主绝缘介质，真空开</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断，零表压，环保性能优良，有望成为未来环网柜市场发展的主</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流产品。</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3"/>
                            <w:sz w:val="18"/>
                            <w:szCs w:val="18"/>
                          </w:rPr>
                          <w:t>符合环保要求，具有明显技术优势，代表了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环网柜的发展方向，为公司长期稳定发展提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供产品和技术保障</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电力</w:t>
                        </w:r>
                      </w:p>
                    </w:tc>
                  </w:tr>
                  <w:tr>
                    <w:trPr>
                      <w:trHeight w:val="972"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00" w:lineRule="auto"/>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10kV</w:t>
                        </w:r>
                        <w:r>
                          <w:rPr>
                            <w:rFonts w:ascii="宋体" w:hAnsi="宋体" w:cs="宋体" w:eastAsia="宋体" w:hint="default"/>
                            <w:sz w:val="18"/>
                            <w:szCs w:val="18"/>
                          </w:rPr>
                          <w:t>智能调容非晶合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金变压器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技术研讨阶段</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
                          <w:jc w:val="left"/>
                          <w:rPr>
                            <w:rFonts w:ascii="宋体" w:hAnsi="宋体" w:cs="宋体" w:eastAsia="宋体" w:hint="default"/>
                            <w:sz w:val="18"/>
                            <w:szCs w:val="18"/>
                          </w:rPr>
                        </w:pPr>
                        <w:r>
                          <w:rPr>
                            <w:rFonts w:ascii="宋体" w:hAnsi="宋体" w:cs="宋体" w:eastAsia="宋体" w:hint="default"/>
                            <w:sz w:val="18"/>
                            <w:szCs w:val="18"/>
                          </w:rPr>
                          <w:t>通过智能控制的调容开关，在不停电情况下，根据实际负荷大小 改变高低压绕组联结方式，实现容量转换，使变压器运行在较佳</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经济运行方式，采用非晶合金铁芯，节能环保。</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21"/>
                          <w:ind w:left="-11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 w:right="0"/>
                          <w:jc w:val="left"/>
                          <w:rPr>
                            <w:rFonts w:ascii="宋体" w:hAnsi="宋体" w:cs="宋体" w:eastAsia="宋体" w:hint="default"/>
                            <w:sz w:val="18"/>
                            <w:szCs w:val="18"/>
                          </w:rPr>
                        </w:pPr>
                        <w:r>
                          <w:rPr>
                            <w:rFonts w:ascii="宋体" w:hAnsi="宋体" w:cs="宋体" w:eastAsia="宋体" w:hint="default"/>
                            <w:spacing w:val="-3"/>
                            <w:sz w:val="18"/>
                            <w:szCs w:val="18"/>
                          </w:rPr>
                          <w:t>完善公司变压器产品系列，提高产品市场占</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有率</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17"/>
                            <w:sz w:val="18"/>
                            <w:szCs w:val="18"/>
                          </w:rPr>
                          <w:t>电力、冶金、石化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矿山、城市轨道交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通</w:t>
                        </w:r>
                      </w:p>
                    </w:tc>
                  </w:tr>
                  <w:tr>
                    <w:trPr>
                      <w:trHeight w:val="971"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8"/>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40.5kV</w:t>
                        </w:r>
                        <w:r>
                          <w:rPr>
                            <w:rFonts w:ascii="宋体" w:hAnsi="宋体" w:cs="宋体" w:eastAsia="宋体" w:hint="default"/>
                            <w:spacing w:val="5"/>
                            <w:sz w:val="18"/>
                            <w:szCs w:val="18"/>
                          </w:rPr>
                          <w:t>环保气体绝缘</w:t>
                        </w:r>
                        <w:r>
                          <w:rPr>
                            <w:rFonts w:ascii="宋体" w:hAnsi="宋体" w:cs="宋体" w:eastAsia="宋体" w:hint="default"/>
                            <w:spacing w:val="-79"/>
                            <w:sz w:val="18"/>
                            <w:szCs w:val="18"/>
                          </w:rPr>
                          <w:t> </w:t>
                        </w:r>
                        <w:r>
                          <w:rPr>
                            <w:rFonts w:ascii="宋体" w:hAnsi="宋体" w:cs="宋体" w:eastAsia="宋体" w:hint="default"/>
                            <w:sz w:val="18"/>
                            <w:szCs w:val="18"/>
                          </w:rPr>
                          <w:t>金</w:t>
                        </w:r>
                        <w:r>
                          <w:rPr>
                            <w:rFonts w:ascii="宋体" w:hAnsi="宋体" w:cs="宋体" w:eastAsia="宋体" w:hint="default"/>
                            <w:spacing w:val="-56"/>
                            <w:sz w:val="18"/>
                            <w:szCs w:val="18"/>
                          </w:rPr>
                          <w:t> </w:t>
                        </w:r>
                        <w:r>
                          <w:rPr>
                            <w:rFonts w:ascii="宋体" w:hAnsi="宋体" w:cs="宋体" w:eastAsia="宋体" w:hint="default"/>
                            <w:sz w:val="18"/>
                            <w:szCs w:val="18"/>
                          </w:rPr>
                          <w:t>属</w:t>
                        </w:r>
                        <w:r>
                          <w:rPr>
                            <w:rFonts w:ascii="宋体" w:hAnsi="宋体" w:cs="宋体" w:eastAsia="宋体" w:hint="default"/>
                            <w:spacing w:val="-56"/>
                            <w:sz w:val="18"/>
                            <w:szCs w:val="18"/>
                          </w:rPr>
                          <w:t> </w:t>
                        </w:r>
                        <w:r>
                          <w:rPr>
                            <w:rFonts w:ascii="宋体" w:hAnsi="宋体" w:cs="宋体" w:eastAsia="宋体" w:hint="default"/>
                            <w:sz w:val="18"/>
                            <w:szCs w:val="18"/>
                          </w:rPr>
                          <w:t>封</w:t>
                        </w:r>
                        <w:r>
                          <w:rPr>
                            <w:rFonts w:ascii="宋体" w:hAnsi="宋体" w:cs="宋体" w:eastAsia="宋体" w:hint="default"/>
                            <w:spacing w:val="-56"/>
                            <w:sz w:val="18"/>
                            <w:szCs w:val="18"/>
                          </w:rPr>
                          <w:t> </w:t>
                        </w:r>
                        <w:r>
                          <w:rPr>
                            <w:rFonts w:ascii="宋体" w:hAnsi="宋体" w:cs="宋体" w:eastAsia="宋体" w:hint="default"/>
                            <w:sz w:val="18"/>
                            <w:szCs w:val="18"/>
                          </w:rPr>
                          <w:t>闭</w:t>
                        </w:r>
                        <w:r>
                          <w:rPr>
                            <w:rFonts w:ascii="宋体" w:hAnsi="宋体" w:cs="宋体" w:eastAsia="宋体" w:hint="default"/>
                            <w:spacing w:val="-57"/>
                            <w:sz w:val="18"/>
                            <w:szCs w:val="18"/>
                          </w:rPr>
                          <w:t> </w:t>
                        </w:r>
                        <w:r>
                          <w:rPr>
                            <w:rFonts w:ascii="宋体" w:hAnsi="宋体" w:cs="宋体" w:eastAsia="宋体" w:hint="default"/>
                            <w:sz w:val="18"/>
                            <w:szCs w:val="18"/>
                          </w:rPr>
                          <w:t>开</w:t>
                        </w:r>
                        <w:r>
                          <w:rPr>
                            <w:rFonts w:ascii="宋体" w:hAnsi="宋体" w:cs="宋体" w:eastAsia="宋体" w:hint="default"/>
                            <w:spacing w:val="-57"/>
                            <w:sz w:val="18"/>
                            <w:szCs w:val="18"/>
                          </w:rPr>
                          <w:t> </w:t>
                        </w:r>
                        <w:r>
                          <w:rPr>
                            <w:rFonts w:ascii="宋体" w:hAnsi="宋体" w:cs="宋体" w:eastAsia="宋体" w:hint="default"/>
                            <w:sz w:val="18"/>
                            <w:szCs w:val="18"/>
                          </w:rPr>
                          <w:t>关</w:t>
                        </w:r>
                        <w:r>
                          <w:rPr>
                            <w:rFonts w:ascii="宋体" w:hAnsi="宋体" w:cs="宋体" w:eastAsia="宋体" w:hint="default"/>
                            <w:spacing w:val="-56"/>
                            <w:sz w:val="18"/>
                            <w:szCs w:val="18"/>
                          </w:rPr>
                          <w:t> </w:t>
                        </w:r>
                        <w:r>
                          <w:rPr>
                            <w:rFonts w:ascii="宋体" w:hAnsi="宋体" w:cs="宋体" w:eastAsia="宋体" w:hint="default"/>
                            <w:sz w:val="18"/>
                            <w:szCs w:val="18"/>
                          </w:rPr>
                          <w:t>设</w:t>
                        </w:r>
                        <w:r>
                          <w:rPr>
                            <w:rFonts w:ascii="宋体" w:hAnsi="宋体" w:cs="宋体" w:eastAsia="宋体" w:hint="default"/>
                            <w:spacing w:val="-56"/>
                            <w:sz w:val="18"/>
                            <w:szCs w:val="18"/>
                          </w:rPr>
                          <w:t> </w:t>
                        </w:r>
                        <w:r>
                          <w:rPr>
                            <w:rFonts w:ascii="宋体" w:hAnsi="宋体" w:cs="宋体" w:eastAsia="宋体" w:hint="default"/>
                            <w:sz w:val="18"/>
                            <w:szCs w:val="18"/>
                          </w:rPr>
                          <w:t>备</w:t>
                        </w:r>
                      </w:p>
                      <w:p>
                        <w:pPr>
                          <w:pStyle w:val="TableParagraph"/>
                          <w:spacing w:line="240" w:lineRule="auto" w:before="32"/>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C-GIS</w:t>
                        </w:r>
                        <w:r>
                          <w:rPr>
                            <w:rFonts w:ascii="宋体" w:hAnsi="宋体" w:cs="宋体" w:eastAsia="宋体" w:hint="default"/>
                            <w:sz w:val="18"/>
                            <w:szCs w:val="18"/>
                          </w:rPr>
                          <w:t>）</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pacing w:val="6"/>
                            <w:sz w:val="18"/>
                            <w:szCs w:val="18"/>
                          </w:rPr>
                          <w:t>研发工作完成，转入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市场推广阶段</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1"/>
                          <w:jc w:val="both"/>
                          <w:rPr>
                            <w:rFonts w:ascii="宋体" w:hAnsi="宋体" w:cs="宋体" w:eastAsia="宋体" w:hint="default"/>
                            <w:sz w:val="18"/>
                            <w:szCs w:val="18"/>
                          </w:rPr>
                        </w:pPr>
                        <w:r>
                          <w:rPr>
                            <w:rFonts w:ascii="宋体" w:hAnsi="宋体" w:cs="宋体" w:eastAsia="宋体" w:hint="default"/>
                            <w:sz w:val="18"/>
                            <w:szCs w:val="18"/>
                          </w:rPr>
                          <w:t>采用环保气体代替现有</w:t>
                        </w:r>
                        <w:r>
                          <w:rPr>
                            <w:rFonts w:ascii="Times New Roman" w:hAnsi="Times New Roman" w:cs="Times New Roman" w:eastAsia="Times New Roman" w:hint="default"/>
                            <w:sz w:val="18"/>
                            <w:szCs w:val="18"/>
                          </w:rPr>
                          <w:t>C-GIS</w:t>
                        </w:r>
                        <w:r>
                          <w:rPr>
                            <w:rFonts w:ascii="宋体" w:hAnsi="宋体" w:cs="宋体" w:eastAsia="宋体" w:hint="default"/>
                            <w:sz w:val="18"/>
                            <w:szCs w:val="18"/>
                          </w:rPr>
                          <w:t>通常采用的</w:t>
                        </w:r>
                        <w:r>
                          <w:rPr>
                            <w:rFonts w:ascii="Times New Roman" w:hAnsi="Times New Roman" w:cs="Times New Roman" w:eastAsia="Times New Roman" w:hint="default"/>
                            <w:sz w:val="18"/>
                            <w:szCs w:val="18"/>
                          </w:rPr>
                          <w:t>SF6</w:t>
                        </w:r>
                        <w:r>
                          <w:rPr>
                            <w:rFonts w:ascii="宋体" w:hAnsi="宋体" w:cs="宋体" w:eastAsia="宋体" w:hint="default"/>
                            <w:sz w:val="18"/>
                            <w:szCs w:val="18"/>
                          </w:rPr>
                          <w:t>气体，实现设备的节 能与环保目标。它具有占地面积小、智能化、免维护、全工况等</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特点，综合经济效益十分明显，具有很大的市场空间。</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 w:right="1"/>
                          <w:jc w:val="left"/>
                          <w:rPr>
                            <w:rFonts w:ascii="宋体" w:hAnsi="宋体" w:cs="宋体" w:eastAsia="宋体" w:hint="default"/>
                            <w:sz w:val="18"/>
                            <w:szCs w:val="18"/>
                          </w:rPr>
                        </w:pPr>
                        <w:r>
                          <w:rPr>
                            <w:rFonts w:ascii="宋体" w:hAnsi="宋体" w:cs="宋体" w:eastAsia="宋体" w:hint="default"/>
                            <w:spacing w:val="-3"/>
                            <w:sz w:val="18"/>
                            <w:szCs w:val="18"/>
                          </w:rPr>
                          <w:t>推动公司产品向更高电压等级发展，开发更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加广阔的市场前景，扩大公司发展空间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电力</w:t>
                        </w:r>
                      </w:p>
                    </w:tc>
                  </w:tr>
                  <w:tr>
                    <w:trPr>
                      <w:trHeight w:val="65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35kV</w:t>
                        </w:r>
                        <w:r>
                          <w:rPr>
                            <w:rFonts w:ascii="宋体" w:hAnsi="宋体" w:cs="宋体" w:eastAsia="宋体" w:hint="default"/>
                            <w:sz w:val="18"/>
                            <w:szCs w:val="18"/>
                          </w:rPr>
                          <w:t>箱式模块化变电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站</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技术研讨阶段</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
                          <w:jc w:val="left"/>
                          <w:rPr>
                            <w:rFonts w:ascii="宋体" w:hAnsi="宋体" w:cs="宋体" w:eastAsia="宋体" w:hint="default"/>
                            <w:sz w:val="18"/>
                            <w:szCs w:val="18"/>
                          </w:rPr>
                        </w:pPr>
                        <w:r>
                          <w:rPr>
                            <w:rFonts w:ascii="宋体" w:hAnsi="宋体" w:cs="宋体" w:eastAsia="宋体" w:hint="default"/>
                            <w:sz w:val="18"/>
                            <w:szCs w:val="18"/>
                          </w:rPr>
                          <w:t>具有紧凑型、数字化、建设灵活快速的特性，在农网建设与改造</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中具有较大市场前景。</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3"/>
                            <w:sz w:val="18"/>
                            <w:szCs w:val="18"/>
                          </w:rPr>
                          <w:t>推动公司产品向更高电压等级发展，开发更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加广阔的市场前景，扩大公司发展空间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电力</w:t>
                        </w:r>
                      </w:p>
                    </w:tc>
                  </w:tr>
                  <w:tr>
                    <w:trPr>
                      <w:trHeight w:val="1596"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3" w:right="3"/>
                          <w:jc w:val="left"/>
                          <w:rPr>
                            <w:rFonts w:ascii="宋体" w:hAnsi="宋体" w:cs="宋体" w:eastAsia="宋体" w:hint="default"/>
                            <w:sz w:val="18"/>
                            <w:szCs w:val="18"/>
                          </w:rPr>
                        </w:pPr>
                        <w:r>
                          <w:rPr>
                            <w:rFonts w:ascii="宋体" w:hAnsi="宋体" w:cs="宋体" w:eastAsia="宋体" w:hint="default"/>
                            <w:spacing w:val="6"/>
                            <w:sz w:val="18"/>
                            <w:szCs w:val="18"/>
                          </w:rPr>
                          <w:t>分布式配电自动化终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端（</w:t>
                        </w:r>
                        <w:r>
                          <w:rPr>
                            <w:rFonts w:ascii="Times New Roman" w:hAnsi="Times New Roman" w:cs="Times New Roman" w:eastAsia="Times New Roman" w:hint="default"/>
                            <w:sz w:val="18"/>
                            <w:szCs w:val="18"/>
                          </w:rPr>
                          <w:t>DTU</w:t>
                        </w:r>
                        <w:r>
                          <w:rPr>
                            <w:rFonts w:ascii="宋体" w:hAnsi="宋体" w:cs="宋体" w:eastAsia="宋体" w:hint="default"/>
                            <w:sz w:val="18"/>
                            <w:szCs w:val="18"/>
                          </w:rPr>
                          <w:t>）</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09" w:lineRule="auto"/>
                          <w:ind w:left="2" w:right="0"/>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6"/>
                            <w:sz w:val="18"/>
                            <w:szCs w:val="18"/>
                          </w:rPr>
                          <w:t> </w:t>
                        </w:r>
                        <w:r>
                          <w:rPr>
                            <w:rFonts w:ascii="宋体" w:hAnsi="宋体" w:cs="宋体" w:eastAsia="宋体" w:hint="default"/>
                            <w:sz w:val="18"/>
                            <w:szCs w:val="18"/>
                          </w:rPr>
                          <w:t>一</w:t>
                        </w:r>
                        <w:r>
                          <w:rPr>
                            <w:rFonts w:ascii="宋体" w:hAnsi="宋体" w:cs="宋体" w:eastAsia="宋体" w:hint="default"/>
                            <w:spacing w:val="-56"/>
                            <w:sz w:val="18"/>
                            <w:szCs w:val="18"/>
                          </w:rPr>
                          <w:t> </w:t>
                        </w:r>
                        <w:r>
                          <w:rPr>
                            <w:rFonts w:ascii="宋体" w:hAnsi="宋体" w:cs="宋体" w:eastAsia="宋体" w:hint="default"/>
                            <w:sz w:val="18"/>
                            <w:szCs w:val="18"/>
                          </w:rPr>
                          <w:t>款</w:t>
                        </w:r>
                        <w:r>
                          <w:rPr>
                            <w:rFonts w:ascii="宋体" w:hAnsi="宋体" w:cs="宋体" w:eastAsia="宋体" w:hint="default"/>
                            <w:spacing w:val="-56"/>
                            <w:sz w:val="18"/>
                            <w:szCs w:val="18"/>
                          </w:rPr>
                          <w:t> </w:t>
                        </w:r>
                        <w:r>
                          <w:rPr>
                            <w:rFonts w:ascii="宋体" w:hAnsi="宋体" w:cs="宋体" w:eastAsia="宋体" w:hint="default"/>
                            <w:sz w:val="18"/>
                            <w:szCs w:val="18"/>
                          </w:rPr>
                          <w:t>通</w:t>
                        </w:r>
                        <w:r>
                          <w:rPr>
                            <w:rFonts w:ascii="宋体" w:hAnsi="宋体" w:cs="宋体" w:eastAsia="宋体" w:hint="default"/>
                            <w:spacing w:val="-57"/>
                            <w:sz w:val="18"/>
                            <w:szCs w:val="18"/>
                          </w:rPr>
                          <w:t> </w:t>
                        </w:r>
                        <w:r>
                          <w:rPr>
                            <w:rFonts w:ascii="宋体" w:hAnsi="宋体" w:cs="宋体" w:eastAsia="宋体" w:hint="default"/>
                            <w:sz w:val="18"/>
                            <w:szCs w:val="18"/>
                          </w:rPr>
                          <w:t>过</w:t>
                        </w:r>
                        <w:r>
                          <w:rPr>
                            <w:rFonts w:ascii="宋体" w:hAnsi="宋体" w:cs="宋体" w:eastAsia="宋体" w:hint="default"/>
                            <w:spacing w:val="-57"/>
                            <w:sz w:val="18"/>
                            <w:szCs w:val="18"/>
                          </w:rPr>
                          <w:t> </w:t>
                        </w:r>
                        <w:r>
                          <w:rPr>
                            <w:rFonts w:ascii="宋体" w:hAnsi="宋体" w:cs="宋体" w:eastAsia="宋体" w:hint="default"/>
                            <w:sz w:val="18"/>
                            <w:szCs w:val="18"/>
                          </w:rPr>
                          <w:t>型</w:t>
                        </w:r>
                        <w:r>
                          <w:rPr>
                            <w:rFonts w:ascii="宋体" w:hAnsi="宋体" w:cs="宋体" w:eastAsia="宋体" w:hint="default"/>
                            <w:spacing w:val="-56"/>
                            <w:sz w:val="18"/>
                            <w:szCs w:val="18"/>
                          </w:rPr>
                          <w:t> </w:t>
                        </w:r>
                        <w:r>
                          <w:rPr>
                            <w:rFonts w:ascii="宋体" w:hAnsi="宋体" w:cs="宋体" w:eastAsia="宋体" w:hint="default"/>
                            <w:sz w:val="18"/>
                            <w:szCs w:val="18"/>
                          </w:rPr>
                          <w:t>式</w:t>
                        </w:r>
                        <w:r>
                          <w:rPr>
                            <w:rFonts w:ascii="宋体" w:hAnsi="宋体" w:cs="宋体" w:eastAsia="宋体" w:hint="default"/>
                            <w:spacing w:val="-56"/>
                            <w:sz w:val="18"/>
                            <w:szCs w:val="18"/>
                          </w:rPr>
                          <w:t> </w:t>
                        </w:r>
                        <w:r>
                          <w:rPr>
                            <w:rFonts w:ascii="宋体" w:hAnsi="宋体" w:cs="宋体" w:eastAsia="宋体" w:hint="default"/>
                            <w:sz w:val="18"/>
                            <w:szCs w:val="18"/>
                          </w:rPr>
                          <w:t>试</w:t>
                        </w:r>
                        <w:r>
                          <w:rPr>
                            <w:rFonts w:ascii="宋体" w:hAnsi="宋体" w:cs="宋体" w:eastAsia="宋体" w:hint="default"/>
                            <w:sz w:val="18"/>
                            <w:szCs w:val="18"/>
                          </w:rPr>
                          <w:t> </w:t>
                        </w:r>
                        <w:r>
                          <w:rPr>
                            <w:rFonts w:ascii="宋体" w:hAnsi="宋体" w:cs="宋体" w:eastAsia="宋体" w:hint="default"/>
                            <w:spacing w:val="-3"/>
                            <w:sz w:val="18"/>
                            <w:szCs w:val="18"/>
                          </w:rPr>
                          <w:t>验，第二款预计今年</w:t>
                        </w:r>
                        <w:r>
                          <w:rPr>
                            <w:rFonts w:ascii="Times New Roman" w:hAnsi="Times New Roman" w:cs="Times New Roman" w:eastAsia="Times New Roman" w:hint="default"/>
                            <w:spacing w:val="-3"/>
                            <w:sz w:val="18"/>
                            <w:szCs w:val="18"/>
                          </w:rPr>
                          <w:t>5</w:t>
                        </w:r>
                        <w:r>
                          <w:rPr>
                            <w:rFonts w:ascii="Times New Roman" w:hAnsi="Times New Roman" w:cs="Times New Roman" w:eastAsia="Times New Roman" w:hint="default"/>
                            <w:sz w:val="18"/>
                            <w:szCs w:val="18"/>
                          </w:rPr>
                          <w:t> </w:t>
                        </w:r>
                        <w:r>
                          <w:rPr>
                            <w:rFonts w:ascii="宋体" w:hAnsi="宋体" w:cs="宋体" w:eastAsia="宋体" w:hint="default"/>
                            <w:sz w:val="18"/>
                            <w:szCs w:val="18"/>
                          </w:rPr>
                          <w:t>月完成型式试验</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6"/>
                          <w:jc w:val="both"/>
                          <w:rPr>
                            <w:rFonts w:ascii="宋体" w:hAnsi="宋体" w:cs="宋体" w:eastAsia="宋体" w:hint="default"/>
                            <w:sz w:val="18"/>
                            <w:szCs w:val="18"/>
                          </w:rPr>
                        </w:pPr>
                        <w:r>
                          <w:rPr>
                            <w:rFonts w:ascii="宋体" w:hAnsi="宋体" w:cs="宋体" w:eastAsia="宋体" w:hint="default"/>
                            <w:sz w:val="18"/>
                            <w:szCs w:val="18"/>
                          </w:rPr>
                          <w:t>分布式配电自动化终端（</w:t>
                        </w:r>
                        <w:r>
                          <w:rPr>
                            <w:rFonts w:ascii="Times New Roman" w:hAnsi="Times New Roman" w:cs="Times New Roman" w:eastAsia="Times New Roman" w:hint="default"/>
                            <w:sz w:val="18"/>
                            <w:szCs w:val="18"/>
                          </w:rPr>
                          <w:t>DTU</w:t>
                        </w:r>
                        <w:r>
                          <w:rPr>
                            <w:rFonts w:ascii="宋体" w:hAnsi="宋体" w:cs="宋体" w:eastAsia="宋体" w:hint="default"/>
                            <w:sz w:val="18"/>
                            <w:szCs w:val="18"/>
                          </w:rPr>
                          <w:t>）结构上与一次设备的各单元相对</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应设计，各单元</w:t>
                        </w:r>
                        <w:r>
                          <w:rPr>
                            <w:rFonts w:ascii="Times New Roman" w:hAnsi="Times New Roman" w:cs="Times New Roman" w:eastAsia="Times New Roman" w:hint="default"/>
                            <w:sz w:val="18"/>
                            <w:szCs w:val="18"/>
                          </w:rPr>
                          <w:t>DTU</w:t>
                        </w:r>
                        <w:r>
                          <w:rPr>
                            <w:rFonts w:ascii="宋体" w:hAnsi="宋体" w:cs="宋体" w:eastAsia="宋体" w:hint="default"/>
                            <w:sz w:val="18"/>
                            <w:szCs w:val="18"/>
                          </w:rPr>
                          <w:t>模块采用总线进行数据交互，减少二次接线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量，提高产品应用的便利性和适应性。可以通过测控、保护一体</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化设计取代传统的保护和自动化终端。该产品未来具有一定市场</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优势。</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 w:right="3"/>
                          <w:jc w:val="left"/>
                          <w:rPr>
                            <w:rFonts w:ascii="宋体" w:hAnsi="宋体" w:cs="宋体" w:eastAsia="宋体" w:hint="default"/>
                            <w:sz w:val="18"/>
                            <w:szCs w:val="18"/>
                          </w:rPr>
                        </w:pPr>
                        <w:r>
                          <w:rPr>
                            <w:rFonts w:ascii="宋体" w:hAnsi="宋体" w:cs="宋体" w:eastAsia="宋体" w:hint="default"/>
                            <w:spacing w:val="-3"/>
                            <w:sz w:val="18"/>
                            <w:szCs w:val="18"/>
                          </w:rPr>
                          <w:t>具有明显的技术优势，提升公司环网柜的智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能化水平，为公司长期稳定发展提供保障</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电力</w:t>
                        </w:r>
                      </w:p>
                    </w:tc>
                  </w:tr>
                </w:tbl>
                <w:p>
                  <w:pPr/>
                </w:p>
              </w:txbxContent>
            </v:textbox>
            <w10:wrap type="none"/>
          </v:shape>
        </w:pict>
      </w:r>
      <w:r>
        <w:rPr/>
        <w:t>、</w:t>
      </w:r>
    </w:p>
    <w:p>
      <w:pPr>
        <w:spacing w:after="0" w:line="240" w:lineRule="auto"/>
        <w:jc w:val="right"/>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851"/>
        <w:gridCol w:w="1702"/>
        <w:gridCol w:w="1700"/>
        <w:gridCol w:w="5104"/>
        <w:gridCol w:w="3402"/>
        <w:gridCol w:w="1417"/>
      </w:tblGrid>
      <w:tr>
        <w:trPr>
          <w:trHeight w:val="1298" w:hRule="exact"/>
        </w:trPr>
        <w:tc>
          <w:tcPr>
            <w:tcW w:w="85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7</w:t>
            </w:r>
          </w:p>
        </w:tc>
        <w:tc>
          <w:tcPr>
            <w:tcW w:w="170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微电网接入开关设备</w:t>
            </w:r>
          </w:p>
        </w:tc>
        <w:tc>
          <w:tcPr>
            <w:tcW w:w="170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技术调研阶段</w:t>
            </w:r>
          </w:p>
        </w:tc>
        <w:tc>
          <w:tcPr>
            <w:tcW w:w="5104" w:type="dxa"/>
            <w:tcBorders>
              <w:top w:val="single" w:sz="17" w:space="0" w:color="000000"/>
              <w:left w:val="single" w:sz="6" w:space="0" w:color="000000"/>
              <w:bottom w:val="single" w:sz="6" w:space="0" w:color="000000"/>
              <w:right w:val="single" w:sz="6" w:space="0" w:color="000000"/>
            </w:tcBorders>
          </w:tcPr>
          <w:p>
            <w:pPr>
              <w:pStyle w:val="TableParagraph"/>
              <w:spacing w:line="319" w:lineRule="auto" w:before="21"/>
              <w:ind w:left="2" w:right="7"/>
              <w:jc w:val="left"/>
              <w:rPr>
                <w:rFonts w:ascii="宋体" w:hAnsi="宋体" w:cs="宋体" w:eastAsia="宋体" w:hint="default"/>
                <w:sz w:val="18"/>
                <w:szCs w:val="18"/>
              </w:rPr>
            </w:pPr>
            <w:r>
              <w:rPr>
                <w:rFonts w:ascii="宋体" w:hAnsi="宋体" w:cs="宋体" w:eastAsia="宋体" w:hint="default"/>
                <w:sz w:val="18"/>
                <w:szCs w:val="18"/>
              </w:rPr>
              <w:t>微电网接入开关设备是在智能环保开关设备的基础上。集成多项</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微网控制技术，实现孤岛检测，并网控制，保护测控，保护协调</w:t>
            </w:r>
            <w:r>
              <w:rPr>
                <w:rFonts w:ascii="宋体" w:hAnsi="宋体" w:cs="宋体" w:eastAsia="宋体" w:hint="default"/>
                <w:sz w:val="18"/>
                <w:szCs w:val="18"/>
              </w:rPr>
              <w:t> 能量管理等功能，它具有智能化，自动化，安全性高等优点，是</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分布式电源及微网技术发展的重要组成部分。</w:t>
            </w:r>
          </w:p>
        </w:tc>
        <w:tc>
          <w:tcPr>
            <w:tcW w:w="340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196" w:lineRule="exact"/>
              <w:ind w:left="2" w:right="0"/>
              <w:jc w:val="left"/>
              <w:rPr>
                <w:rFonts w:ascii="宋体" w:hAnsi="宋体" w:cs="宋体" w:eastAsia="宋体" w:hint="default"/>
                <w:sz w:val="18"/>
                <w:szCs w:val="18"/>
              </w:rPr>
            </w:pPr>
            <w:r>
              <w:rPr>
                <w:rFonts w:ascii="宋体" w:hAnsi="宋体" w:cs="宋体" w:eastAsia="宋体" w:hint="default"/>
                <w:spacing w:val="-3"/>
                <w:sz w:val="18"/>
                <w:szCs w:val="18"/>
              </w:rPr>
              <w:t>适应新能源发展的需要，满足微电网的技术</w:t>
            </w:r>
          </w:p>
          <w:p>
            <w:pPr>
              <w:pStyle w:val="TableParagraph"/>
              <w:spacing w:line="156" w:lineRule="exact"/>
              <w:ind w:left="-11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 w:right="0"/>
              <w:jc w:val="left"/>
              <w:rPr>
                <w:rFonts w:ascii="宋体" w:hAnsi="宋体" w:cs="宋体" w:eastAsia="宋体" w:hint="default"/>
                <w:sz w:val="18"/>
                <w:szCs w:val="18"/>
              </w:rPr>
            </w:pPr>
            <w:r>
              <w:rPr>
                <w:rFonts w:ascii="宋体" w:hAnsi="宋体" w:cs="宋体" w:eastAsia="宋体" w:hint="default"/>
                <w:spacing w:val="-3"/>
                <w:sz w:val="18"/>
                <w:szCs w:val="18"/>
              </w:rPr>
              <w:t>需求，扩展公司发展空间，保障公司长期稳</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定发展</w:t>
            </w:r>
          </w:p>
        </w:tc>
        <w:tc>
          <w:tcPr>
            <w:tcW w:w="141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电力</w:t>
            </w:r>
          </w:p>
        </w:tc>
      </w:tr>
      <w:tr>
        <w:trPr>
          <w:trHeight w:val="1284"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智能化开关元件</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技术调研阶段</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both"/>
              <w:rPr>
                <w:rFonts w:ascii="宋体" w:hAnsi="宋体" w:cs="宋体" w:eastAsia="宋体" w:hint="default"/>
                <w:sz w:val="18"/>
                <w:szCs w:val="18"/>
              </w:rPr>
            </w:pPr>
            <w:r>
              <w:rPr>
                <w:rFonts w:ascii="宋体" w:hAnsi="宋体" w:cs="宋体" w:eastAsia="宋体" w:hint="default"/>
                <w:sz w:val="18"/>
                <w:szCs w:val="18"/>
              </w:rPr>
              <w:t>智能化开关元件是实现开关设备智能化的重要基础技术之一，它</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将传感器、嵌入式微处理器等智能化组件融合到开关元件中，实</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现绝缘状态和运行寿命的诊断和评估，该产品是建设智能电网的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基础设备，未来的市场前景和社会效益巨大。</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2" w:right="-35"/>
              <w:jc w:val="both"/>
              <w:rPr>
                <w:rFonts w:ascii="宋体" w:hAnsi="宋体" w:cs="宋体" w:eastAsia="宋体" w:hint="default"/>
                <w:sz w:val="18"/>
                <w:szCs w:val="18"/>
              </w:rPr>
            </w:pPr>
            <w:r>
              <w:rPr>
                <w:rFonts w:ascii="宋体" w:hAnsi="宋体" w:cs="宋体" w:eastAsia="宋体" w:hint="default"/>
                <w:spacing w:val="-3"/>
                <w:sz w:val="18"/>
                <w:szCs w:val="18"/>
              </w:rPr>
              <w:t>适应智能化开关的技术需求，改善智能开关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的性能，保障公司开关智能化战略的实现， 保障公司长期稳定发展</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电力</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0"/>
        </w:sectPr>
      </w:pPr>
    </w:p>
    <w:p>
      <w:pPr>
        <w:spacing w:line="240" w:lineRule="auto" w:before="0"/>
        <w:rPr>
          <w:rFonts w:ascii="Times New Roman" w:hAnsi="Times New Roman" w:cs="Times New Roman" w:eastAsia="Times New Roman" w:hint="default"/>
          <w:sz w:val="25"/>
          <w:szCs w:val="25"/>
        </w:rPr>
      </w:pPr>
    </w:p>
    <w:p>
      <w:pPr>
        <w:pStyle w:val="BodyText"/>
        <w:spacing w:line="240" w:lineRule="auto" w:before="44"/>
        <w:ind w:right="821"/>
        <w:jc w:val="left"/>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3"/>
                <w:sz w:val="18"/>
              </w:rPr>
              <w:t>118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69,015,264.47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44,490,200.00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44,606,500.00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34,523,111.50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both"/>
      </w:pPr>
      <w:r>
        <w:rPr/>
        <w:t>研发投入总额占营业收入的比重较上年发生显著变化的原因</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338" w:lineRule="auto" w:before="40"/>
        <w:ind w:left="1424" w:right="821"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1"/>
        </w:rPr>
        <w:t>2015</w:t>
      </w:r>
      <w:r>
        <w:rPr>
          <w:spacing w:val="-1"/>
        </w:rPr>
        <w:t>年度公司存在资本化研发支出且金额较大，而</w:t>
      </w:r>
      <w:r>
        <w:rPr>
          <w:rFonts w:ascii="宋体" w:hAnsi="宋体" w:cs="宋体" w:eastAsia="宋体" w:hint="default"/>
          <w:spacing w:val="-1"/>
        </w:rPr>
        <w:t>2014</w:t>
      </w:r>
      <w:r>
        <w:rPr>
          <w:spacing w:val="-1"/>
        </w:rPr>
        <w:t>年、</w:t>
      </w:r>
      <w:r>
        <w:rPr>
          <w:rFonts w:ascii="宋体" w:hAnsi="宋体" w:cs="宋体" w:eastAsia="宋体" w:hint="default"/>
          <w:spacing w:val="-1"/>
        </w:rPr>
        <w:t>2013</w:t>
      </w:r>
      <w:r>
        <w:rPr>
          <w:spacing w:val="-1"/>
        </w:rPr>
        <w:t>年公司资本化支出为零。原因是</w:t>
      </w:r>
      <w:r>
        <w:rPr>
          <w:rFonts w:ascii="宋体" w:hAnsi="宋体" w:cs="宋体" w:eastAsia="宋体" w:hint="default"/>
          <w:spacing w:val="-1"/>
        </w:rPr>
        <w:t>2014</w:t>
      </w:r>
      <w:r>
        <w:rPr>
          <w:spacing w:val="-1"/>
        </w:rPr>
        <w:t>、</w:t>
      </w:r>
      <w:r>
        <w:rPr>
          <w:rFonts w:ascii="宋体" w:hAnsi="宋体" w:cs="宋体" w:eastAsia="宋体" w:hint="default"/>
          <w:spacing w:val="-1"/>
        </w:rPr>
        <w:t>2013</w:t>
      </w:r>
      <w:r>
        <w:rPr>
          <w:spacing w:val="-1"/>
        </w:rPr>
        <w:t>年公司研发</w:t>
      </w:r>
    </w:p>
    <w:p>
      <w:pPr>
        <w:pStyle w:val="BodyText"/>
        <w:spacing w:line="319" w:lineRule="auto" w:before="2"/>
        <w:ind w:left="1134" w:right="1130"/>
        <w:jc w:val="both"/>
      </w:pPr>
      <w:r>
        <w:rPr>
          <w:spacing w:val="-2"/>
        </w:rPr>
        <w:t>支出主要用于两个方面：一是改进原有产品的设计以及在原产品基础上扩充产品系列；二是研制行业内市场和技术都很成熟</w:t>
      </w:r>
      <w:r>
        <w:rPr>
          <w:spacing w:val="-64"/>
        </w:rPr>
        <w:t> </w:t>
      </w:r>
      <w:r>
        <w:rPr>
          <w:spacing w:val="-64"/>
        </w:rPr>
      </w:r>
      <w:r>
        <w:rPr>
          <w:spacing w:val="-2"/>
        </w:rPr>
        <w:t>的产品，上述项目研发周期短，且很快可以实现产业化并产生实际效益，故由此产生的研发投入，计入了费用类、成本类科</w:t>
      </w:r>
      <w:r>
        <w:rPr>
          <w:spacing w:val="-67"/>
        </w:rPr>
        <w:t> </w:t>
      </w:r>
      <w:r>
        <w:rPr>
          <w:spacing w:val="-67"/>
        </w:rPr>
      </w:r>
      <w:r>
        <w:rPr>
          <w:spacing w:val="-2"/>
        </w:rPr>
        <w:t>目；</w:t>
      </w:r>
      <w:r>
        <w:rPr>
          <w:rFonts w:ascii="宋体" w:hAnsi="宋体" w:cs="宋体" w:eastAsia="宋体" w:hint="default"/>
          <w:spacing w:val="-2"/>
        </w:rPr>
        <w:t>2015</w:t>
      </w:r>
      <w:r>
        <w:rPr>
          <w:spacing w:val="-2"/>
        </w:rPr>
        <w:t>年公司基于未来战略，研发支出大幅增加，且部分立项的项目投入，是为了迎接即将到来的行业技术升级而研制的</w:t>
      </w:r>
      <w:r>
        <w:rPr>
          <w:spacing w:val="-63"/>
        </w:rPr>
        <w:t> </w:t>
      </w:r>
      <w:r>
        <w:rPr>
          <w:spacing w:val="-63"/>
        </w:rPr>
      </w:r>
      <w:r>
        <w:rPr/>
        <w:t>新产品，在行业内还没有厂家形成批量销售，预计其产生效益的时间在未来的</w:t>
      </w:r>
      <w:r>
        <w:rPr>
          <w:rFonts w:ascii="宋体" w:hAnsi="宋体" w:cs="宋体" w:eastAsia="宋体" w:hint="default"/>
        </w:rPr>
        <w:t>3-5</w:t>
      </w:r>
      <w:r>
        <w:rPr/>
        <w:t>年内，根据企业会计准则及相关的制度， 把符合资本化条件的研发投入进行了资本化。</w:t>
      </w:r>
    </w:p>
    <w:p>
      <w:pPr>
        <w:spacing w:line="240" w:lineRule="auto" w:before="8"/>
        <w:rPr>
          <w:rFonts w:ascii="宋体" w:hAnsi="宋体" w:cs="宋体" w:eastAsia="宋体" w:hint="default"/>
          <w:sz w:val="20"/>
          <w:szCs w:val="20"/>
        </w:rPr>
      </w:pPr>
    </w:p>
    <w:p>
      <w:pPr>
        <w:pStyle w:val="Heading2"/>
        <w:spacing w:line="240" w:lineRule="auto"/>
        <w:ind w:left="1134" w:right="0"/>
        <w:jc w:val="both"/>
        <w:rPr>
          <w:b w:val="0"/>
          <w:bCs w:val="0"/>
        </w:rPr>
      </w:pPr>
      <w:bookmarkStart w:name="三、非主营业务情况" w:id="38"/>
      <w:bookmarkEnd w:id="38"/>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6,852,779.48</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6.91%</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主要原因是公司收到政府补 助及实现非流动资产处置利 得所致。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152,513.51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主要原因是公司实现非流动 资产处置损失所致。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821"/>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34"/>
        <w:gridCol w:w="2461"/>
        <w:gridCol w:w="2501"/>
        <w:gridCol w:w="850"/>
        <w:gridCol w:w="2612"/>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headerReference w:type="default" r:id="rId15"/>
          <w:footerReference w:type="default" r:id="rId16"/>
          <w:pgSz w:w="11910" w:h="16840"/>
          <w:pgMar w:header="877" w:footer="979" w:top="1100" w:bottom="1160" w:left="0" w:right="0"/>
          <w:pgNumType w:start="22"/>
        </w:sectPr>
      </w:pPr>
    </w:p>
    <w:p>
      <w:pPr>
        <w:spacing w:line="240" w:lineRule="auto" w:before="6"/>
        <w:rPr>
          <w:rFonts w:ascii="宋体" w:hAnsi="宋体" w:cs="宋体" w:eastAsia="宋体" w:hint="default"/>
          <w:sz w:val="24"/>
          <w:szCs w:val="24"/>
        </w:rPr>
      </w:pPr>
    </w:p>
    <w:tbl>
      <w:tblPr>
        <w:tblW w:w="0" w:type="auto"/>
        <w:jc w:val="left"/>
        <w:tblInd w:w="1140" w:type="dxa"/>
        <w:tblLayout w:type="fixed"/>
        <w:tblCellMar>
          <w:top w:w="0" w:type="dxa"/>
          <w:left w:w="0" w:type="dxa"/>
          <w:bottom w:w="0" w:type="dxa"/>
          <w:right w:w="0" w:type="dxa"/>
        </w:tblCellMar>
        <w:tblLook w:val="01E0"/>
      </w:tblPr>
      <w:tblGrid>
        <w:gridCol w:w="1112"/>
        <w:gridCol w:w="1409"/>
        <w:gridCol w:w="1063"/>
        <w:gridCol w:w="1509"/>
        <w:gridCol w:w="992"/>
        <w:gridCol w:w="850"/>
        <w:gridCol w:w="2624"/>
      </w:tblGrid>
      <w:tr>
        <w:trPr>
          <w:trHeight w:val="161" w:hRule="exact"/>
        </w:trPr>
        <w:tc>
          <w:tcPr>
            <w:tcW w:w="1112" w:type="dxa"/>
            <w:vMerge w:val="restart"/>
            <w:tcBorders>
              <w:top w:val="single" w:sz="4" w:space="0" w:color="000000"/>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5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2624"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112" w:type="dxa"/>
            <w:vMerge/>
            <w:tcBorders>
              <w:left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5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2624" w:type="dxa"/>
            <w:vMerge/>
            <w:tcBorders>
              <w:left w:val="single" w:sz="4" w:space="0" w:color="000000"/>
              <w:right w:val="single" w:sz="4" w:space="0" w:color="000000"/>
            </w:tcBorders>
            <w:shd w:val="clear" w:color="auto" w:fill="D2D2D2"/>
          </w:tcPr>
          <w:p>
            <w:pPr/>
          </w:p>
        </w:tc>
      </w:tr>
      <w:tr>
        <w:trPr>
          <w:trHeight w:val="161" w:hRule="exact"/>
        </w:trPr>
        <w:tc>
          <w:tcPr>
            <w:tcW w:w="1112"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5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262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370,582,166.10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23.69%</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280,149,746.82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546,854,490.71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34.96%</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371,833,763.34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167,601,932.33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10.71%</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179,982,695.67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76,863,220.74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4.91%</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68,253,213.43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9"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sz w:val="18"/>
              </w:rPr>
              <w:t>202,856,057.23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sz w:val="18"/>
              </w:rPr>
              <w:t>12.97%</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sz w:val="18"/>
              </w:rPr>
              <w:t>22,399,569.13</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0" w:right="0"/>
              <w:jc w:val="left"/>
              <w:rPr>
                <w:rFonts w:ascii="宋体" w:hAnsi="宋体" w:cs="宋体" w:eastAsia="宋体" w:hint="default"/>
                <w:sz w:val="18"/>
                <w:szCs w:val="18"/>
              </w:rPr>
            </w:pPr>
            <w:r>
              <w:rPr>
                <w:rFonts w:ascii="宋体"/>
                <w:sz w:val="18"/>
              </w:rPr>
              <w:t>2.25%</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sz w:val="18"/>
              </w:rPr>
              <w:t>10.72%</w:t>
            </w:r>
          </w:p>
        </w:tc>
        <w:tc>
          <w:tcPr>
            <w:tcW w:w="262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天津基地和密云云腾路建设增加 所致</w:t>
            </w:r>
          </w:p>
        </w:tc>
      </w:tr>
      <w:tr>
        <w:trPr>
          <w:trHeight w:val="392" w:hRule="exact"/>
        </w:trPr>
        <w:tc>
          <w:tcPr>
            <w:tcW w:w="11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09"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24" w:type="dxa"/>
            <w:vMerge/>
            <w:tcBorders>
              <w:left w:val="single" w:sz="4" w:space="0" w:color="000000"/>
              <w:right w:val="single" w:sz="4" w:space="0" w:color="000000"/>
            </w:tcBorders>
          </w:tcPr>
          <w:p>
            <w:pPr/>
          </w:p>
        </w:tc>
      </w:tr>
      <w:tr>
        <w:trPr>
          <w:trHeight w:val="161" w:hRule="exact"/>
        </w:trPr>
        <w:tc>
          <w:tcPr>
            <w:tcW w:w="11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9"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624" w:type="dxa"/>
            <w:vMerge/>
            <w:tcBorders>
              <w:left w:val="single" w:sz="4" w:space="0" w:color="000000"/>
              <w:bottom w:val="single" w:sz="4" w:space="0" w:color="000000"/>
              <w:right w:val="single" w:sz="4" w:space="0" w:color="000000"/>
            </w:tcBorders>
          </w:tcPr>
          <w:p>
            <w:pPr/>
          </w:p>
        </w:tc>
      </w:tr>
      <w:tr>
        <w:trPr>
          <w:trHeight w:val="402"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资金充裕归还部分借款</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21"/>
        <w:jc w:val="left"/>
        <w:rPr>
          <w:b w:val="0"/>
          <w:bCs w:val="0"/>
        </w:rPr>
      </w:pPr>
      <w:bookmarkStart w:name="五、投资状况分析" w:id="42"/>
      <w:bookmarkEnd w:id="42"/>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总体情况" w:id="43"/>
      <w:bookmarkEnd w:id="43"/>
      <w:r>
        <w:rPr>
          <w:b w:val="0"/>
          <w:bCs w:val="0"/>
        </w:rPr>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5" w:right="0"/>
              <w:jc w:val="left"/>
              <w:rPr>
                <w:rFonts w:ascii="宋体" w:hAnsi="宋体" w:cs="宋体" w:eastAsia="宋体" w:hint="default"/>
                <w:sz w:val="18"/>
                <w:szCs w:val="18"/>
              </w:rPr>
            </w:pPr>
            <w:r>
              <w:rPr>
                <w:rFonts w:ascii="宋体"/>
                <w:sz w:val="18"/>
              </w:rPr>
              <w:t>364,779,775.38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7" w:right="0"/>
              <w:jc w:val="left"/>
              <w:rPr>
                <w:rFonts w:ascii="宋体" w:hAnsi="宋体" w:cs="宋体" w:eastAsia="宋体" w:hint="default"/>
                <w:sz w:val="18"/>
                <w:szCs w:val="18"/>
              </w:rPr>
            </w:pPr>
            <w:r>
              <w:rPr>
                <w:rFonts w:ascii="宋体"/>
                <w:sz w:val="18"/>
              </w:rPr>
              <w:t>16,748,180.49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2078.03%</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2、报告期内获取的重大的股权投资情况" w:id="44"/>
      <w:bookmarkEnd w:id="44"/>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5"/>
          <w:szCs w:val="25"/>
        </w:rPr>
      </w:pPr>
    </w:p>
    <w:p>
      <w:pPr>
        <w:pStyle w:val="Heading3"/>
        <w:spacing w:line="240" w:lineRule="auto"/>
        <w:ind w:right="821"/>
        <w:jc w:val="left"/>
        <w:rPr>
          <w:b w:val="0"/>
          <w:bCs w:val="0"/>
        </w:rPr>
      </w:pPr>
      <w:bookmarkStart w:name="3、报告期内正在进行的重大的非股权投资情况" w:id="45"/>
      <w:bookmarkEnd w:id="45"/>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278" w:type="dxa"/>
        <w:tblLayout w:type="fixed"/>
        <w:tblCellMar>
          <w:top w:w="0" w:type="dxa"/>
          <w:left w:w="0" w:type="dxa"/>
          <w:bottom w:w="0" w:type="dxa"/>
          <w:right w:w="0" w:type="dxa"/>
        </w:tblCellMar>
        <w:tblLook w:val="01E0"/>
      </w:tblPr>
      <w:tblGrid>
        <w:gridCol w:w="566"/>
        <w:gridCol w:w="569"/>
        <w:gridCol w:w="425"/>
        <w:gridCol w:w="709"/>
        <w:gridCol w:w="1276"/>
        <w:gridCol w:w="1276"/>
        <w:gridCol w:w="566"/>
        <w:gridCol w:w="709"/>
        <w:gridCol w:w="566"/>
        <w:gridCol w:w="852"/>
        <w:gridCol w:w="992"/>
        <w:gridCol w:w="1559"/>
        <w:gridCol w:w="1134"/>
      </w:tblGrid>
      <w:tr>
        <w:trPr>
          <w:trHeight w:val="1650"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9" w:right="97"/>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27"/>
              <w:jc w:val="both"/>
              <w:rPr>
                <w:rFonts w:ascii="宋体" w:hAnsi="宋体" w:cs="宋体" w:eastAsia="宋体" w:hint="default"/>
                <w:sz w:val="18"/>
                <w:szCs w:val="18"/>
              </w:rPr>
            </w:pPr>
            <w:r>
              <w:rPr>
                <w:rFonts w:ascii="宋体" w:hAnsi="宋体" w:cs="宋体" w:eastAsia="宋体" w:hint="default"/>
                <w:sz w:val="18"/>
                <w:szCs w:val="18"/>
              </w:rPr>
              <w:t>是否 为固 定资 产投 资</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78"/>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52" w:right="91"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3"/>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59"/>
              <w:jc w:val="center"/>
              <w:rPr>
                <w:rFonts w:ascii="宋体" w:hAnsi="宋体" w:cs="宋体" w:eastAsia="宋体" w:hint="default"/>
                <w:sz w:val="18"/>
                <w:szCs w:val="18"/>
              </w:rPr>
            </w:pPr>
            <w:r>
              <w:rPr>
                <w:rFonts w:ascii="宋体" w:hAnsi="宋体" w:cs="宋体" w:eastAsia="宋体" w:hint="default"/>
                <w:sz w:val="18"/>
                <w:szCs w:val="18"/>
              </w:rPr>
              <w:t>截止报告 期末累计 实现的收 益</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0" w:right="39"/>
              <w:jc w:val="both"/>
              <w:rPr>
                <w:rFonts w:ascii="宋体" w:hAnsi="宋体" w:cs="宋体" w:eastAsia="宋体" w:hint="default"/>
                <w:sz w:val="18"/>
                <w:szCs w:val="18"/>
              </w:rPr>
            </w:pPr>
            <w:r>
              <w:rPr>
                <w:rFonts w:ascii="宋体" w:hAnsi="宋体" w:cs="宋体" w:eastAsia="宋体" w:hint="default"/>
                <w:sz w:val="18"/>
                <w:szCs w:val="18"/>
              </w:rPr>
              <w:t>未达到计划 进度和预计 收益的原因</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披露日期（如有）</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82" w:right="21" w:hanging="359"/>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1338"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both"/>
              <w:rPr>
                <w:rFonts w:ascii="宋体" w:hAnsi="宋体" w:cs="宋体" w:eastAsia="宋体" w:hint="default"/>
                <w:sz w:val="18"/>
                <w:szCs w:val="18"/>
              </w:rPr>
            </w:pPr>
            <w:r>
              <w:rPr>
                <w:rFonts w:ascii="宋体" w:hAnsi="宋体" w:cs="宋体" w:eastAsia="宋体" w:hint="default"/>
                <w:sz w:val="18"/>
                <w:szCs w:val="18"/>
              </w:rPr>
              <w:t>天津 基地 建设 项目</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自建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3"/>
              <w:jc w:val="center"/>
              <w:rPr>
                <w:rFonts w:ascii="宋体" w:hAnsi="宋体" w:cs="宋体" w:eastAsia="宋体" w:hint="default"/>
                <w:sz w:val="18"/>
                <w:szCs w:val="18"/>
              </w:rPr>
            </w:pPr>
            <w:r>
              <w:rPr>
                <w:rFonts w:ascii="宋体" w:hAnsi="宋体" w:cs="宋体" w:eastAsia="宋体" w:hint="default"/>
                <w:sz w:val="18"/>
                <w:szCs w:val="18"/>
              </w:rPr>
              <w:t>输配电</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156,079,575.38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156,079,575.38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7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45.61%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both"/>
              <w:rPr>
                <w:rFonts w:ascii="宋体" w:hAnsi="宋体" w:cs="宋体" w:eastAsia="宋体" w:hint="default"/>
                <w:sz w:val="18"/>
                <w:szCs w:val="18"/>
              </w:rPr>
            </w:pPr>
            <w:r>
              <w:rPr>
                <w:rFonts w:ascii="宋体" w:hAnsi="宋体" w:cs="宋体" w:eastAsia="宋体" w:hint="default"/>
                <w:sz w:val="18"/>
                <w:szCs w:val="18"/>
              </w:rPr>
              <w:t>项目正处于 建设期，尚 未投产，故 无收益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48"/>
              <w:jc w:val="both"/>
              <w:rPr>
                <w:rFonts w:ascii="宋体" w:hAnsi="宋体" w:cs="宋体" w:eastAsia="宋体" w:hint="default"/>
                <w:sz w:val="18"/>
                <w:szCs w:val="18"/>
              </w:rPr>
            </w:pPr>
            <w:r>
              <w:rPr>
                <w:rFonts w:ascii="宋体" w:hAnsi="宋体" w:cs="宋体" w:eastAsia="宋体" w:hint="default"/>
                <w:sz w:val="18"/>
                <w:szCs w:val="18"/>
              </w:rPr>
              <w:t>全国中小企 业股份转让 系统</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 讯网</w:t>
            </w:r>
          </w:p>
        </w:tc>
      </w:tr>
      <w:tr>
        <w:trPr>
          <w:trHeight w:val="402"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7"/>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156,079,575.38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156,079,575.38</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821"/>
        <w:jc w:val="left"/>
        <w:rPr>
          <w:b w:val="0"/>
          <w:bCs w:val="0"/>
        </w:rPr>
      </w:pPr>
      <w:bookmarkStart w:name="4、以公允价值计量的金融资产" w:id="46"/>
      <w:bookmarkEnd w:id="46"/>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21"/>
        <w:jc w:val="left"/>
        <w:rPr>
          <w:b w:val="0"/>
          <w:bCs w:val="0"/>
        </w:rPr>
      </w:pPr>
      <w:bookmarkStart w:name="5、募集资金使用情况" w:id="47"/>
      <w:bookmarkEnd w:id="47"/>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21"/>
        <w:jc w:val="left"/>
        <w:rPr>
          <w:b w:val="0"/>
          <w:bCs w:val="0"/>
        </w:rPr>
      </w:pPr>
      <w:bookmarkStart w:name="（1）募集资金总体使用情况" w:id="48"/>
      <w:bookmarkEnd w:id="48"/>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p>
      <w:pPr>
        <w:spacing w:line="871" w:lineRule="exact"/>
        <w:ind w:left="9835"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3pt;height:43.6pt;mso-position-horizontal-relative:char;mso-position-vertical-relative:line" coordorigin="0,0" coordsize="860,872">
            <v:group style="position:absolute;left:0;top:0;width:860;height:468" coordorigin="0,0" coordsize="860,468">
              <v:shape style="position:absolute;left:0;top:0;width:860;height:468" coordorigin="0,0" coordsize="860,468" path="m0,468l859,468,859,0,0,0,0,468xe" filled="true" fillcolor="#ffffff" stroked="false">
                <v:path arrowok="t"/>
                <v:fill type="solid"/>
              </v:shape>
            </v:group>
            <v:group style="position:absolute;left:11;top:468;width:2;height:393" coordorigin="11,468" coordsize="2,393">
              <v:shape style="position:absolute;left:11;top:468;width:2;height:393" coordorigin="11,468" coordsize="0,393" path="m11,468l11,860e" filled="false" stroked="true" strokeweight="1.140pt" strokecolor="#ffffff">
                <v:path arrowok="t"/>
              </v:shape>
            </v:group>
            <v:group style="position:absolute;left:23;top:468;width:814;height:393" coordorigin="23,468" coordsize="814,393">
              <v:shape style="position:absolute;left:23;top:468;width:814;height:393" coordorigin="23,468" coordsize="814,393" path="m23,860l836,860,836,468,23,468,23,860xe" filled="true" fillcolor="#ffffff" stroked="false">
                <v:path arrowok="t"/>
                <v:fill type="solid"/>
              </v:shape>
            </v:group>
          </v:group>
        </w:pict>
      </w:r>
      <w:r>
        <w:rPr>
          <w:rFonts w:ascii="宋体" w:hAnsi="宋体" w:cs="宋体" w:eastAsia="宋体" w:hint="default"/>
          <w:position w:val="-1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before="44"/>
        <w:ind w:left="0" w:right="1144"/>
        <w:jc w:val="right"/>
      </w:pPr>
      <w:r>
        <w:rPr/>
        <w:pict>
          <v:shape style="position:absolute;margin-left:56.459999pt;margin-top:-174.868271pt;width:479pt;height:337.0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5"/>
                          <w:jc w:val="center"/>
                          <w:rPr>
                            <w:rFonts w:ascii="宋体" w:hAnsi="宋体" w:cs="宋体" w:eastAsia="宋体" w:hint="default"/>
                            <w:sz w:val="18"/>
                            <w:szCs w:val="18"/>
                          </w:rPr>
                        </w:pPr>
                        <w:r>
                          <w:rPr>
                            <w:rFonts w:ascii="宋体" w:hAnsi="宋体" w:cs="宋体" w:eastAsia="宋体" w:hint="default"/>
                            <w:sz w:val="18"/>
                            <w:szCs w:val="18"/>
                          </w:rPr>
                          <w:t>上市首发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24,415.05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20,870.02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20,870.02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3,545.03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继续用于 幕投项目 募集资金 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16" w:lineRule="exact" w:before="128"/>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24,415.05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20,870.02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20,870.02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3,545.03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51"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3"/>
                            <w:sz w:val="18"/>
                            <w:szCs w:val="18"/>
                          </w:rPr>
                          <w:t>公司经中国证券监督管理委员会《关于核准北京合纵科技股份有限公司首次公开发行股票的批复》（证监许可【</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z w:val="18"/>
                            <w:szCs w:val="18"/>
                          </w:rPr>
                          <w:t> 959</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号文）的核准，并经深圳证券交易所同意，公司首次公开发行人民币普通股新股（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2,600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万股，发行价格为每股</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公</w:t>
                        </w:r>
                        <w:r>
                          <w:rPr>
                            <w:rFonts w:ascii="宋体" w:hAnsi="宋体" w:cs="宋体" w:eastAsia="宋体" w:hint="default"/>
                            <w:spacing w:val="-2"/>
                            <w:sz w:val="18"/>
                            <w:szCs w:val="18"/>
                          </w:rPr>
                          <w:t>司</w:t>
                        </w:r>
                        <w:r>
                          <w:rPr>
                            <w:rFonts w:ascii="宋体" w:hAnsi="宋体" w:cs="宋体" w:eastAsia="宋体" w:hint="default"/>
                            <w:sz w:val="18"/>
                            <w:szCs w:val="18"/>
                          </w:rPr>
                          <w:t>募集资金总额</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27,586.00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扣除发行费用总额</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3,170.950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52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万元后的募集资金净额为人民币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24,415.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49648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上述资金到位情况已经信永中和会计师事务</w:t>
                        </w:r>
                        <w:r>
                          <w:rPr>
                            <w:rFonts w:ascii="宋体" w:hAnsi="宋体" w:cs="宋体" w:eastAsia="宋体" w:hint="default"/>
                            <w:spacing w:val="-90"/>
                            <w:sz w:val="18"/>
                            <w:szCs w:val="18"/>
                          </w:rPr>
                          <w:t>所</w:t>
                        </w:r>
                        <w:r>
                          <w:rPr>
                            <w:rFonts w:ascii="宋体" w:hAnsi="宋体" w:cs="宋体" w:eastAsia="宋体" w:hint="default"/>
                            <w:sz w:val="18"/>
                            <w:szCs w:val="18"/>
                          </w:rPr>
                          <w:t>（特殊普通合伙</w:t>
                        </w:r>
                        <w:r>
                          <w:rPr>
                            <w:rFonts w:ascii="宋体" w:hAnsi="宋体" w:cs="宋体" w:eastAsia="宋体" w:hint="default"/>
                            <w:spacing w:val="-90"/>
                            <w:sz w:val="18"/>
                            <w:szCs w:val="18"/>
                          </w:rPr>
                          <w:t>）</w:t>
                        </w:r>
                        <w:r>
                          <w:rPr>
                            <w:rFonts w:ascii="宋体" w:hAnsi="宋体" w:cs="宋体" w:eastAsia="宋体" w:hint="default"/>
                            <w:sz w:val="18"/>
                            <w:szCs w:val="18"/>
                          </w:rPr>
                          <w:t>验证</w:t>
                        </w:r>
                        <w:r>
                          <w:rPr>
                            <w:rFonts w:ascii="宋体" w:hAnsi="宋体" w:cs="宋体" w:eastAsia="宋体" w:hint="default"/>
                            <w:spacing w:val="-90"/>
                            <w:sz w:val="18"/>
                            <w:szCs w:val="18"/>
                          </w:rPr>
                          <w:t>，</w:t>
                        </w:r>
                        <w:r>
                          <w:rPr>
                            <w:rFonts w:ascii="宋体" w:hAnsi="宋体" w:cs="宋体" w:eastAsia="宋体" w:hint="default"/>
                            <w:sz w:val="18"/>
                            <w:szCs w:val="18"/>
                          </w:rPr>
                          <w:t>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出</w:t>
                        </w:r>
                        <w:r>
                          <w:rPr>
                            <w:rFonts w:ascii="宋体" w:hAnsi="宋体" w:cs="宋体" w:eastAsia="宋体" w:hint="default"/>
                            <w:sz w:val="18"/>
                            <w:szCs w:val="18"/>
                          </w:rPr>
                          <w:t>具</w:t>
                        </w:r>
                        <w:r>
                          <w:rPr>
                            <w:rFonts w:ascii="宋体" w:hAnsi="宋体" w:cs="宋体" w:eastAsia="宋体" w:hint="default"/>
                            <w:spacing w:val="-46"/>
                            <w:sz w:val="18"/>
                            <w:szCs w:val="18"/>
                          </w:rPr>
                          <w:t> </w:t>
                        </w:r>
                        <w:r>
                          <w:rPr>
                            <w:rFonts w:ascii="Times New Roman" w:hAnsi="Times New Roman" w:cs="Times New Roman" w:eastAsia="Times New Roman" w:hint="default"/>
                            <w:w w:val="99"/>
                            <w:sz w:val="18"/>
                            <w:szCs w:val="18"/>
                          </w:rPr>
                          <w:t>X</w:t>
                        </w:r>
                        <w:r>
                          <w:rPr>
                            <w:rFonts w:ascii="Times New Roman" w:hAnsi="Times New Roman" w:cs="Times New Roman" w:eastAsia="Times New Roman" w:hint="default"/>
                            <w:w w:val="99"/>
                            <w:sz w:val="18"/>
                            <w:szCs w:val="18"/>
                          </w:rPr>
                          <w:t>YZH/2014A102</w:t>
                        </w:r>
                        <w:r>
                          <w:rPr>
                            <w:rFonts w:ascii="Times New Roman" w:hAnsi="Times New Roman" w:cs="Times New Roman" w:eastAsia="Times New Roman" w:hint="default"/>
                            <w:spacing w:val="-1"/>
                            <w:w w:val="99"/>
                            <w:sz w:val="18"/>
                            <w:szCs w:val="18"/>
                          </w:rPr>
                          <w:t>7</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8"/>
                            <w:w w:val="99"/>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验资报告。</w:t>
                        </w:r>
                      </w:p>
                      <w:p>
                        <w:pPr>
                          <w:pStyle w:val="TableParagraph"/>
                          <w:spacing w:line="240" w:lineRule="auto" w:before="115"/>
                          <w:ind w:left="38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日止，本公司已累计使用募集资金人民币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208,700,198.88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元，其中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年度使用募集资金人民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208,700,198.88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元（包括本公司以募集资金置换的以自筹资金预先投入募集资金投资项目的款项共计人民币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98,661,78</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.92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pacing w:val="-26"/>
                            <w:sz w:val="18"/>
                            <w:szCs w:val="18"/>
                          </w:rPr>
                          <w:t>，</w:t>
                        </w:r>
                        <w:r>
                          <w:rPr>
                            <w:rFonts w:ascii="宋体" w:hAnsi="宋体" w:cs="宋体" w:eastAsia="宋体" w:hint="default"/>
                            <w:sz w:val="18"/>
                            <w:szCs w:val="18"/>
                          </w:rPr>
                          <w:t>尚未使用的募集资金余额人民币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35,450,297.60 </w:t>
                        </w:r>
                        <w:r>
                          <w:rPr>
                            <w:rFonts w:ascii="宋体" w:hAnsi="宋体" w:cs="宋体" w:eastAsia="宋体" w:hint="default"/>
                            <w:sz w:val="18"/>
                            <w:szCs w:val="18"/>
                          </w:rPr>
                          <w:t>元</w:t>
                        </w:r>
                        <w:r>
                          <w:rPr>
                            <w:rFonts w:ascii="宋体" w:hAnsi="宋体" w:cs="宋体" w:eastAsia="宋体" w:hint="default"/>
                            <w:spacing w:val="-26"/>
                            <w:sz w:val="18"/>
                            <w:szCs w:val="18"/>
                          </w:rPr>
                          <w:t>。</w:t>
                        </w:r>
                        <w:r>
                          <w:rPr>
                            <w:rFonts w:ascii="宋体" w:hAnsi="宋体" w:cs="宋体" w:eastAsia="宋体" w:hint="default"/>
                            <w:spacing w:val="-2"/>
                            <w:sz w:val="18"/>
                            <w:szCs w:val="18"/>
                          </w:rPr>
                          <w:t>截</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r>
                          <w:rPr>
                            <w:rFonts w:ascii="宋体" w:hAnsi="宋体" w:cs="宋体" w:eastAsia="宋体" w:hint="default"/>
                            <w:spacing w:val="-26"/>
                            <w:sz w:val="18"/>
                            <w:szCs w:val="18"/>
                          </w:rPr>
                          <w:t>，</w:t>
                        </w:r>
                        <w:r>
                          <w:rPr>
                            <w:rFonts w:ascii="宋体" w:hAnsi="宋体" w:cs="宋体" w:eastAsia="宋体" w:hint="default"/>
                            <w:spacing w:val="1"/>
                            <w:sz w:val="18"/>
                            <w:szCs w:val="18"/>
                          </w:rPr>
                          <w:t>本</w:t>
                        </w:r>
                        <w:r>
                          <w:rPr>
                            <w:rFonts w:ascii="宋体" w:hAnsi="宋体" w:cs="宋体" w:eastAsia="宋体" w:hint="default"/>
                            <w:sz w:val="18"/>
                            <w:szCs w:val="18"/>
                          </w:rPr>
                          <w:t>公司募集资金账户余</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35,873,434.90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元，与尚未使用的募集资金余额差异主要是募集资金账户累计取得利息收入人民币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423,137.30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p>
              </w:txbxContent>
            </v:textbox>
            <w10:wrap type="none"/>
          </v:shape>
        </w:pict>
      </w:r>
      <w:r>
        <w:rPr/>
        <w:t>】</w:t>
      </w:r>
    </w:p>
    <w:p>
      <w:pPr>
        <w:spacing w:after="0" w:line="240" w:lineRule="auto"/>
        <w:jc w:val="right"/>
        <w:sectPr>
          <w:pgSz w:w="11910" w:h="16840"/>
          <w:pgMar w:header="877" w:footer="979" w:top="1100" w:bottom="1160" w:left="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3138"/>
        <w:jc w:val="left"/>
        <w:rPr>
          <w:b w:val="0"/>
          <w:bCs w:val="0"/>
        </w:rPr>
      </w:pPr>
      <w:bookmarkStart w:name="（2）募集资金承诺项目情况" w:id="49"/>
      <w:bookmarkEnd w:id="49"/>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3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35"/>
        <w:jc w:val="right"/>
      </w:pPr>
      <w:r>
        <w:rPr/>
        <w:t>单位：万元</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650"/>
        <w:gridCol w:w="902"/>
        <w:gridCol w:w="850"/>
        <w:gridCol w:w="851"/>
        <w:gridCol w:w="851"/>
        <w:gridCol w:w="851"/>
        <w:gridCol w:w="283"/>
        <w:gridCol w:w="1134"/>
        <w:gridCol w:w="1560"/>
        <w:gridCol w:w="1274"/>
        <w:gridCol w:w="1276"/>
        <w:gridCol w:w="1419"/>
        <w:gridCol w:w="992"/>
      </w:tblGrid>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55" w:right="55"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1"/>
              <w:ind w:left="111"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95" w:right="96"/>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3" w:right="54" w:hanging="270"/>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2" w:right="90" w:hanging="270"/>
              <w:jc w:val="left"/>
              <w:rPr>
                <w:rFonts w:ascii="宋体" w:hAnsi="宋体" w:cs="宋体" w:eastAsia="宋体" w:hint="default"/>
                <w:sz w:val="18"/>
                <w:szCs w:val="18"/>
              </w:rPr>
            </w:pPr>
            <w:r>
              <w:rPr>
                <w:rFonts w:ascii="宋体" w:hAnsi="宋体" w:cs="宋体" w:eastAsia="宋体" w:hint="default"/>
                <w:sz w:val="18"/>
                <w:szCs w:val="18"/>
              </w:rPr>
              <w:t>本报告期实现 的效益</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截止报告期末 累计实现的效 益</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4" w:right="72" w:hanging="540"/>
              <w:jc w:val="left"/>
              <w:rPr>
                <w:rFonts w:ascii="宋体" w:hAnsi="宋体" w:cs="宋体" w:eastAsia="宋体" w:hint="default"/>
                <w:sz w:val="18"/>
                <w:szCs w:val="18"/>
              </w:rPr>
            </w:pPr>
            <w:r>
              <w:rPr>
                <w:rFonts w:ascii="宋体" w:hAnsi="宋体" w:cs="宋体" w:eastAsia="宋体" w:hint="default"/>
                <w:sz w:val="18"/>
                <w:szCs w:val="18"/>
              </w:rPr>
              <w:t>是否达到预计效 益</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2" w:hRule="exact"/>
        </w:trPr>
        <w:tc>
          <w:tcPr>
            <w:tcW w:w="1389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智能化户外环网开 关设备生产线改扩 建项目</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13,559.28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13,559.28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12,443.3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12,443.3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91.77%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3,557.57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户外柱上开关建设 项目</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center"/>
              <w:rPr>
                <w:rFonts w:ascii="Times New Roman" w:hAnsi="Times New Roman" w:cs="Times New Roman" w:eastAsia="Times New Roman" w:hint="default"/>
                <w:sz w:val="18"/>
                <w:szCs w:val="18"/>
              </w:rPr>
            </w:pPr>
            <w:r>
              <w:rPr>
                <w:rFonts w:ascii="Times New Roman"/>
                <w:sz w:val="18"/>
              </w:rPr>
              <w:t>5,238.62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5,238.62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3,818.8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0" w:right="0"/>
              <w:jc w:val="left"/>
              <w:rPr>
                <w:rFonts w:ascii="Times New Roman" w:hAnsi="Times New Roman" w:cs="Times New Roman" w:eastAsia="Times New Roman" w:hint="default"/>
                <w:sz w:val="18"/>
                <w:szCs w:val="18"/>
              </w:rPr>
            </w:pPr>
            <w:r>
              <w:rPr>
                <w:rFonts w:ascii="Times New Roman"/>
                <w:sz w:val="18"/>
              </w:rPr>
              <w:t>3,818.8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72.90%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1,168.42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1,168.42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小型化户外箱式变 电站生产线建设项 目</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5" w:right="0"/>
              <w:jc w:val="center"/>
              <w:rPr>
                <w:rFonts w:ascii="Times New Roman" w:hAnsi="Times New Roman" w:cs="Times New Roman" w:eastAsia="Times New Roman" w:hint="default"/>
                <w:sz w:val="18"/>
                <w:szCs w:val="18"/>
              </w:rPr>
            </w:pPr>
            <w:r>
              <w:rPr>
                <w:rFonts w:ascii="Times New Roman"/>
                <w:sz w:val="18"/>
              </w:rPr>
              <w:t>3,157.26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3,157.26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3,154.87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3,154.87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99.92%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308.33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智能化、小型化配电</w:t>
            </w:r>
            <w:r>
              <w:rPr>
                <w:rFonts w:ascii="宋体" w:hAnsi="宋体" w:cs="宋体" w:eastAsia="宋体" w:hint="default"/>
                <w:sz w:val="18"/>
                <w:szCs w:val="18"/>
              </w:rPr>
              <w:t> 设备研发中心建设 项目</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5" w:right="0"/>
              <w:jc w:val="center"/>
              <w:rPr>
                <w:rFonts w:ascii="Times New Roman" w:hAnsi="Times New Roman" w:cs="Times New Roman" w:eastAsia="Times New Roman" w:hint="default"/>
                <w:sz w:val="18"/>
                <w:szCs w:val="18"/>
              </w:rPr>
            </w:pPr>
            <w:r>
              <w:rPr>
                <w:rFonts w:ascii="Times New Roman"/>
                <w:sz w:val="18"/>
              </w:rPr>
              <w:t>2,476.23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2,476.23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1,453.05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1,453.05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58.68%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85"/>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24,431.39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24,431.39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20,870.02</w:t>
            </w:r>
          </w:p>
        </w:tc>
        <w:tc>
          <w:tcPr>
            <w:tcW w:w="1134" w:type="dxa"/>
            <w:gridSpan w:val="2"/>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20,870.02</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5,034.32</w:t>
            </w:r>
          </w:p>
        </w:tc>
        <w:tc>
          <w:tcPr>
            <w:tcW w:w="127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6,853</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42"/>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31"/>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1389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85"/>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24,431.39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24,431.39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20,870.02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20,870.02</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5,034.32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6,853</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42"/>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31"/>
              <w:jc w:val="right"/>
              <w:rPr>
                <w:rFonts w:ascii="Times New Roman" w:hAnsi="Times New Roman" w:cs="Times New Roman" w:eastAsia="Times New Roman" w:hint="default"/>
                <w:sz w:val="18"/>
                <w:szCs w:val="18"/>
              </w:rPr>
            </w:pPr>
            <w:r>
              <w:rPr>
                <w:rFonts w:ascii="Times New Roman"/>
                <w:sz w:val="18"/>
              </w:rPr>
              <w:t>--</w:t>
            </w:r>
          </w:p>
        </w:tc>
      </w:tr>
      <w:tr>
        <w:trPr>
          <w:trHeight w:val="140"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43" w:type="dxa"/>
            <w:gridSpan w:val="12"/>
            <w:vMerge w:val="restart"/>
            <w:tcBorders>
              <w:top w:val="single" w:sz="4" w:space="0" w:color="000000"/>
              <w:left w:val="single" w:sz="13" w:space="0" w:color="D2D2D2"/>
              <w:right w:val="single" w:sz="4" w:space="0" w:color="000000"/>
            </w:tcBorders>
          </w:tcPr>
          <w:p>
            <w:pPr>
              <w:pStyle w:val="TableParagraph"/>
              <w:spacing w:line="304" w:lineRule="auto" w:before="51"/>
              <w:ind w:left="11" w:right="21"/>
              <w:jc w:val="left"/>
              <w:rPr>
                <w:rFonts w:ascii="宋体" w:hAnsi="宋体" w:cs="宋体" w:eastAsia="宋体" w:hint="default"/>
                <w:sz w:val="18"/>
                <w:szCs w:val="18"/>
              </w:rPr>
            </w:pPr>
            <w:r>
              <w:rPr>
                <w:rFonts w:ascii="宋体" w:hAnsi="宋体" w:cs="宋体" w:eastAsia="宋体" w:hint="default"/>
                <w:spacing w:val="-1"/>
                <w:sz w:val="18"/>
                <w:szCs w:val="18"/>
              </w:rPr>
              <w:t>预计效益是依据公司首发《招股说明书》披露的预计项目建设进度及预计产能释放情况，按照各个募投项目实际开工时间推演计算得出，具体计算过程可参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日公告的</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公司及申万宏源证券承销保荐有限责任公司关于公司创业板非公开发行股票申请文件反馈意见的补充回复</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二、募集资 金使用效果的说明</w:t>
            </w:r>
            <w:r>
              <w:rPr>
                <w:rFonts w:ascii="Times New Roman" w:hAnsi="Times New Roman" w:cs="Times New Roman" w:eastAsia="Times New Roman" w:hint="default"/>
                <w:sz w:val="18"/>
                <w:szCs w:val="18"/>
              </w:rPr>
              <w:t>”</w:t>
            </w:r>
            <w:r>
              <w:rPr>
                <w:rFonts w:ascii="宋体" w:hAnsi="宋体" w:cs="宋体" w:eastAsia="宋体" w:hint="default"/>
                <w:sz w:val="18"/>
                <w:szCs w:val="18"/>
              </w:rPr>
              <w:t>的相关内容。该预计效益的测算方法，是假定募集资金已经全部到位的情况下，按照正常建设进度应该到达的效益情况。实际上，由于 </w:t>
            </w:r>
            <w:r>
              <w:rPr>
                <w:rFonts w:ascii="宋体" w:hAnsi="宋体" w:cs="宋体" w:eastAsia="宋体" w:hint="default"/>
                <w:spacing w:val="-1"/>
                <w:sz w:val="18"/>
                <w:szCs w:val="18"/>
              </w:rPr>
              <w:t>公司开建此项目时，募集资金没有到位，仅靠自筹资金进行建设，实施进度无法与推演的进度相比，智能化户外环网柜项目实际预定到达可使用状态的时间</w:t>
            </w:r>
          </w:p>
        </w:tc>
      </w:tr>
      <w:tr>
        <w:trPr>
          <w:trHeight w:val="1016"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12243" w:type="dxa"/>
            <w:gridSpan w:val="12"/>
            <w:vMerge/>
            <w:tcBorders>
              <w:left w:val="single" w:sz="13" w:space="0" w:color="D2D2D2"/>
              <w:right w:val="single" w:sz="4" w:space="0" w:color="000000"/>
            </w:tcBorders>
          </w:tcPr>
          <w:p>
            <w:pPr/>
          </w:p>
        </w:tc>
      </w:tr>
      <w:tr>
        <w:trPr>
          <w:trHeight w:val="142"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43" w:type="dxa"/>
            <w:gridSpan w:val="12"/>
            <w:vMerge/>
            <w:tcBorders>
              <w:left w:val="single" w:sz="13" w:space="0" w:color="D2D2D2"/>
              <w:bottom w:val="single" w:sz="4" w:space="0" w:color="000000"/>
              <w:right w:val="single" w:sz="4" w:space="0" w:color="000000"/>
            </w:tcBorders>
          </w:tcPr>
          <w:p>
            <w:pPr/>
          </w:p>
        </w:tc>
      </w:tr>
    </w:tbl>
    <w:p>
      <w:pPr>
        <w:spacing w:after="0"/>
        <w:sectPr>
          <w:headerReference w:type="default" r:id="rId17"/>
          <w:footerReference w:type="default" r:id="rId18"/>
          <w:pgSz w:w="16840" w:h="11910" w:orient="landscape"/>
          <w:pgMar w:header="867" w:footer="979" w:top="1060" w:bottom="1160" w:left="1300" w:right="0"/>
          <w:pgNumType w:start="25"/>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650"/>
        <w:gridCol w:w="12243"/>
      </w:tblGrid>
      <w:tr>
        <w:trPr>
          <w:trHeight w:val="689" w:hRule="exact"/>
        </w:trPr>
        <w:tc>
          <w:tcPr>
            <w:tcW w:w="165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2243" w:type="dxa"/>
            <w:tcBorders>
              <w:top w:val="single" w:sz="15" w:space="0" w:color="000000"/>
              <w:left w:val="single" w:sz="4" w:space="0" w:color="000000"/>
              <w:bottom w:val="single" w:sz="4" w:space="0" w:color="000000"/>
              <w:right w:val="single" w:sz="4" w:space="0" w:color="000000"/>
            </w:tcBorders>
          </w:tcPr>
          <w:p>
            <w:pPr>
              <w:pStyle w:val="TableParagraph"/>
              <w:spacing w:line="302"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日。因此，采用实际项目运营产生的效益对比推演的预计效益的结果，显示该项目处于未能到达预计效益的状态。小型箱式变电站项目的 实际效益未能到达预计效益，除上述因素外，还因为近年来市场竞争激烈，该产品的毛利率逐年降低，已经低于预计效益测算时估计的毛利率。</w:t>
            </w:r>
          </w:p>
        </w:tc>
      </w:tr>
      <w:tr>
        <w:trPr>
          <w:trHeight w:val="714" w:hRule="exact"/>
        </w:trPr>
        <w:tc>
          <w:tcPr>
            <w:tcW w:w="165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1224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804" w:hRule="exact"/>
        </w:trPr>
        <w:tc>
          <w:tcPr>
            <w:tcW w:w="165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1224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0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1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0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1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1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1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公司以自筹资金预先投入募投项目累计金额为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98,661,782.92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元，信永中和会计师事务所（特殊普通合伙）对公司以自筹资金先期投入募集资金投资项目的</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事项进行了专项鉴证，并于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出具了</w:t>
            </w:r>
            <w:r>
              <w:rPr>
                <w:rFonts w:ascii="宋体" w:hAnsi="宋体" w:cs="宋体" w:eastAsia="宋体" w:hint="default"/>
                <w:spacing w:val="-46"/>
                <w:sz w:val="18"/>
                <w:szCs w:val="18"/>
              </w:rPr>
              <w:t> </w:t>
            </w:r>
            <w:r>
              <w:rPr>
                <w:rFonts w:ascii="Times New Roman" w:hAnsi="Times New Roman" w:cs="Times New Roman" w:eastAsia="Times New Roman" w:hint="default"/>
                <w:w w:val="99"/>
                <w:sz w:val="18"/>
                <w:szCs w:val="18"/>
              </w:rPr>
              <w:t>X</w:t>
            </w:r>
            <w:r>
              <w:rPr>
                <w:rFonts w:ascii="Times New Roman" w:hAnsi="Times New Roman" w:cs="Times New Roman" w:eastAsia="Times New Roman" w:hint="default"/>
                <w:spacing w:val="-1"/>
                <w:w w:val="99"/>
                <w:sz w:val="18"/>
                <w:szCs w:val="18"/>
              </w:rPr>
              <w:t>Y</w:t>
            </w:r>
            <w:r>
              <w:rPr>
                <w:rFonts w:ascii="Times New Roman" w:hAnsi="Times New Roman" w:cs="Times New Roman" w:eastAsia="Times New Roman" w:hint="default"/>
                <w:w w:val="99"/>
                <w:sz w:val="18"/>
                <w:szCs w:val="18"/>
              </w:rPr>
              <w:t>ZH/</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w w:val="99"/>
                <w:sz w:val="18"/>
                <w:szCs w:val="18"/>
              </w:rPr>
              <w:t>014A1027-12</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1"/>
                <w:w w:val="99"/>
                <w:sz w:val="18"/>
                <w:szCs w:val="18"/>
              </w:rPr>
              <w:t>号</w:t>
            </w:r>
            <w:r>
              <w:rPr>
                <w:rFonts w:ascii="宋体" w:hAnsi="宋体" w:cs="宋体" w:eastAsia="宋体" w:hint="default"/>
                <w:w w:val="99"/>
                <w:sz w:val="18"/>
                <w:szCs w:val="18"/>
              </w:rPr>
              <w:t>《北京合纵科技股份有限公司募集资金置换专项鉴证报告</w:t>
            </w:r>
            <w:r>
              <w:rPr>
                <w:rFonts w:ascii="宋体" w:hAnsi="宋体" w:cs="宋体" w:eastAsia="宋体" w:hint="default"/>
                <w:spacing w:val="-90"/>
                <w:w w:val="99"/>
                <w:sz w:val="18"/>
                <w:szCs w:val="18"/>
              </w:rPr>
              <w:t>》</w:t>
            </w:r>
            <w:r>
              <w:rPr>
                <w:rFonts w:ascii="宋体" w:hAnsi="宋体" w:cs="宋体" w:eastAsia="宋体" w:hint="default"/>
                <w:w w:val="99"/>
                <w:sz w:val="18"/>
                <w:szCs w:val="18"/>
              </w:rPr>
              <w:t>，经公司第三届</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26</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次董事会批准，公司于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日置换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39,513,002.01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日置换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59,148,780.91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1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1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1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继续用于募投项目，存入于募集资金专户。</w:t>
            </w:r>
          </w:p>
        </w:tc>
      </w:tr>
      <w:tr>
        <w:trPr>
          <w:trHeight w:val="67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募集资金使用及披 露中存在的问题或</w:t>
            </w:r>
          </w:p>
        </w:tc>
        <w:tc>
          <w:tcPr>
            <w:tcW w:w="1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p>
      <w:pPr>
        <w:spacing w:line="405" w:lineRule="exact"/>
        <w:ind w:left="1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701.7pt;height:20.3pt;mso-position-horizontal-relative:char;mso-position-vertical-relative:line" coordorigin="0,0" coordsize="14034,406">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style="position:absolute;left:53;top:38;width:2;height:353" coordorigin="53,38" coordsize="2,353">
              <v:shape style="position:absolute;left:53;top:38;width:2;height:353" coordorigin="53,38" coordsize="0,353" path="m53,38l53,391e" filled="false" stroked="true" strokeweight="1.140pt" strokecolor="#d2d2d2">
                <v:path arrowok="t"/>
              </v:shape>
            </v:group>
            <v:group style="position:absolute;left:1671;top:38;width:2;height:353" coordorigin="1671,38" coordsize="2,353">
              <v:shape style="position:absolute;left:1671;top:38;width:2;height:353" coordorigin="1671,38" coordsize="0,353" path="m1671,38l1671,391e" filled="false" stroked="true" strokeweight="1.140pt" strokecolor="#d2d2d2">
                <v:path arrowok="t"/>
              </v:shape>
            </v:group>
            <v:group style="position:absolute;left:65;top:38;width:1596;height:353" coordorigin="65,38" coordsize="1596,353">
              <v:shape style="position:absolute;left:65;top:38;width:1596;height:353" coordorigin="65,38" coordsize="1596,353" path="m65,391l1660,391,1660,38,65,38,65,391xe" filled="true" fillcolor="#d2d2d2" stroked="false">
                <v:path arrowok="t"/>
                <v:fill type="solid"/>
              </v:shape>
            </v:group>
            <v:group style="position:absolute;left:42;top:34;width:1641;height:2" coordorigin="42,34" coordsize="1641,2">
              <v:shape style="position:absolute;left:42;top:34;width:1641;height:2" coordorigin="42,34" coordsize="1641,0" path="m42,34l1683,34e" filled="false" stroked="true" strokeweight=".48pt" strokecolor="#000000">
                <v:path arrowok="t"/>
              </v:shape>
            </v:group>
            <v:group style="position:absolute;left:1692;top:34;width:12234;height:2" coordorigin="1692,34" coordsize="12234,2">
              <v:shape style="position:absolute;left:1692;top:34;width:12234;height:2" coordorigin="1692,34" coordsize="12234,0" path="m1692,34l13926,34e" filled="false" stroked="true" strokeweight=".48pt" strokecolor="#000000">
                <v:path arrowok="t"/>
              </v:shape>
            </v:group>
            <v:group style="position:absolute;left:37;top:29;width:2;height:372" coordorigin="37,29" coordsize="2,372">
              <v:shape style="position:absolute;left:37;top:29;width:2;height:372" coordorigin="37,29" coordsize="0,372" path="m37,29l37,401e" filled="false" stroked="true" strokeweight=".48pt" strokecolor="#000000">
                <v:path arrowok="t"/>
              </v:shape>
            </v:group>
            <v:group style="position:absolute;left:42;top:396;width:1641;height:2" coordorigin="42,396" coordsize="1641,2">
              <v:shape style="position:absolute;left:42;top:396;width:1641;height:2" coordorigin="42,396" coordsize="1641,0" path="m42,396l1683,396e" filled="false" stroked="true" strokeweight=".48pt" strokecolor="#000000">
                <v:path arrowok="t"/>
              </v:shape>
            </v:group>
            <v:group style="position:absolute;left:1688;top:29;width:2;height:372" coordorigin="1688,29" coordsize="2,372">
              <v:shape style="position:absolute;left:1688;top:29;width:2;height:372" coordorigin="1688,29" coordsize="0,372" path="m1688,29l1688,401e" filled="false" stroked="true" strokeweight=".48pt" strokecolor="#000000">
                <v:path arrowok="t"/>
              </v:shape>
            </v:group>
            <v:group style="position:absolute;left:1692;top:396;width:12234;height:2" coordorigin="1692,396" coordsize="12234,2">
              <v:shape style="position:absolute;left:1692;top:396;width:12234;height:2" coordorigin="1692,396" coordsize="12234,0" path="m1692,396l13926,396e" filled="false" stroked="true" strokeweight=".48pt" strokecolor="#000000">
                <v:path arrowok="t"/>
              </v:shape>
            </v:group>
            <v:group style="position:absolute;left:13931;top:29;width:2;height:372" coordorigin="13931,29" coordsize="2,372">
              <v:shape style="position:absolute;left:13931;top:29;width:2;height:372" coordorigin="13931,29" coordsize="0,372" path="m13931,29l13931,401e" filled="false" stroked="true" strokeweight=".48pt" strokecolor="#000000">
                <v:path arrowok="t"/>
              </v:shape>
              <v:shape style="position:absolute;left:37;top:19;width:1651;height:377" type="#_x0000_t202" filled="false" stroked="false">
                <v:textbox inset="0,0,0,0">
                  <w:txbxContent>
                    <w:p>
                      <w:pPr>
                        <w:spacing w:before="31"/>
                        <w:ind w:left="27" w:right="0" w:firstLine="0"/>
                        <w:jc w:val="left"/>
                        <w:rPr>
                          <w:rFonts w:ascii="宋体" w:hAnsi="宋体" w:cs="宋体" w:eastAsia="宋体" w:hint="default"/>
                          <w:sz w:val="18"/>
                          <w:szCs w:val="18"/>
                        </w:rPr>
                      </w:pPr>
                      <w:r>
                        <w:rPr>
                          <w:rFonts w:ascii="宋体" w:hAnsi="宋体" w:cs="宋体" w:eastAsia="宋体" w:hint="default"/>
                          <w:sz w:val="18"/>
                          <w:szCs w:val="18"/>
                        </w:rPr>
                        <w:t>其他情况</w:t>
                      </w:r>
                    </w:p>
                  </w:txbxContent>
                </v:textbox>
                <w10:wrap type="none"/>
              </v:shape>
            </v:group>
          </v:group>
        </w:pict>
      </w:r>
      <w:r>
        <w:rPr>
          <w:rFonts w:ascii="Times New Roman" w:hAnsi="Times New Roman" w:cs="Times New Roman" w:eastAsia="Times New Roman" w:hint="default"/>
          <w:position w:val="-7"/>
          <w:sz w:val="20"/>
          <w:szCs w:val="20"/>
        </w:rPr>
      </w:r>
    </w:p>
    <w:p>
      <w:pPr>
        <w:spacing w:after="0" w:line="405" w:lineRule="exact"/>
        <w:rPr>
          <w:rFonts w:ascii="Times New Roman" w:hAnsi="Times New Roman" w:cs="Times New Roman" w:eastAsia="Times New Roman" w:hint="default"/>
          <w:sz w:val="20"/>
          <w:szCs w:val="20"/>
        </w:rPr>
        <w:sectPr>
          <w:pgSz w:w="16840" w:h="11910" w:orient="landscape"/>
          <w:pgMar w:header="867" w:footer="979" w:top="1060" w:bottom="1160" w:left="130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821"/>
        <w:jc w:val="left"/>
        <w:rPr>
          <w:b w:val="0"/>
          <w:bCs w:val="0"/>
        </w:rPr>
      </w:pPr>
      <w:bookmarkStart w:name="（3）募集资金变更项目情况" w:id="50"/>
      <w:bookmarkEnd w:id="50"/>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821"/>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821"/>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21"/>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9"/>
          <w:footerReference w:type="default" r:id="rId20"/>
          <w:pgSz w:w="11910" w:h="16840"/>
          <w:pgMar w:header="877" w:footer="979" w:top="1100" w:bottom="1160" w:left="0" w:right="0"/>
          <w:pgNumType w:start="28"/>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844" w:type="dxa"/>
        <w:tblLayout w:type="fixed"/>
        <w:tblCellMar>
          <w:top w:w="0" w:type="dxa"/>
          <w:left w:w="0" w:type="dxa"/>
          <w:bottom w:w="0" w:type="dxa"/>
          <w:right w:w="0" w:type="dxa"/>
        </w:tblCellMar>
        <w:tblLook w:val="01E0"/>
      </w:tblPr>
      <w:tblGrid>
        <w:gridCol w:w="1338"/>
        <w:gridCol w:w="790"/>
        <w:gridCol w:w="1134"/>
        <w:gridCol w:w="1134"/>
        <w:gridCol w:w="1134"/>
        <w:gridCol w:w="1186"/>
        <w:gridCol w:w="1224"/>
        <w:gridCol w:w="1134"/>
        <w:gridCol w:w="1134"/>
      </w:tblGrid>
      <w:tr>
        <w:trPr>
          <w:trHeight w:val="402" w:hRule="exact"/>
        </w:trPr>
        <w:tc>
          <w:tcPr>
            <w:tcW w:w="1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2"/>
              <w:jc w:val="left"/>
              <w:rPr>
                <w:rFonts w:ascii="宋体" w:hAnsi="宋体" w:cs="宋体" w:eastAsia="宋体" w:hint="default"/>
                <w:sz w:val="18"/>
                <w:szCs w:val="18"/>
              </w:rPr>
            </w:pPr>
            <w:r>
              <w:rPr>
                <w:rFonts w:ascii="宋体" w:hAnsi="宋体" w:cs="宋体" w:eastAsia="宋体" w:hint="default"/>
                <w:sz w:val="18"/>
                <w:szCs w:val="18"/>
              </w:rPr>
              <w:t>北京合纵实科电 力科技有限公司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电力设备生 产销售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5"/>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33,771,607.87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383,610,927.27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903,974,940.41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33,561,641.45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32,436,918.16</w:t>
            </w:r>
          </w:p>
        </w:tc>
      </w:tr>
    </w:tbl>
    <w:p>
      <w:pPr>
        <w:pStyle w:val="BodyText"/>
        <w:spacing w:line="240" w:lineRule="auto" w:before="51"/>
        <w:ind w:left="1134" w:right="821"/>
        <w:jc w:val="left"/>
      </w:pPr>
      <w:r>
        <w:rPr/>
        <w:t>报告期内取得和处置子公司的情况</w:t>
      </w:r>
    </w:p>
    <w:p>
      <w:pPr>
        <w:pStyle w:val="BodyText"/>
        <w:spacing w:line="240" w:lineRule="auto" w:before="117"/>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404"/>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5"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天津合纵电力设备有限公司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归属于母公司股东的净利润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3,049,705.72</w:t>
            </w:r>
          </w:p>
        </w:tc>
      </w:tr>
    </w:tbl>
    <w:p>
      <w:pPr>
        <w:spacing w:line="240" w:lineRule="auto" w:before="2"/>
        <w:rPr>
          <w:rFonts w:ascii="宋体" w:hAnsi="宋体" w:cs="宋体" w:eastAsia="宋体" w:hint="default"/>
          <w:sz w:val="18"/>
          <w:szCs w:val="18"/>
        </w:rPr>
      </w:pPr>
    </w:p>
    <w:p>
      <w:pPr>
        <w:pStyle w:val="Heading2"/>
        <w:spacing w:line="240" w:lineRule="auto" w:before="26"/>
        <w:ind w:left="1134" w:right="821"/>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21"/>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3" w:right="821"/>
        <w:jc w:val="left"/>
      </w:pPr>
      <w:r>
        <w:rPr/>
        <w:t>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月就公司未来</w:t>
      </w:r>
      <w:r>
        <w:rPr>
          <w:rFonts w:ascii="Times New Roman" w:hAnsi="Times New Roman" w:cs="Times New Roman" w:eastAsia="Times New Roman" w:hint="default"/>
        </w:rPr>
        <w:t>3-5</w:t>
      </w:r>
      <w:r>
        <w:rPr/>
        <w:t>年的发展战略进行了内部研讨和规划，基本策略如下： </w:t>
      </w:r>
      <w:r>
        <w:rPr>
          <w:spacing w:val="-2"/>
        </w:rPr>
        <w:t>公司将继续以配电领域为核心，做大做强。基于国家在电网的宏观投资政策、公司将抓住这一良好机遇，继续保持快速</w:t>
      </w:r>
    </w:p>
    <w:p>
      <w:pPr>
        <w:pStyle w:val="BodyText"/>
        <w:spacing w:line="300" w:lineRule="auto" w:before="31"/>
        <w:ind w:right="821"/>
        <w:jc w:val="left"/>
      </w:pPr>
      <w:r>
        <w:rPr/>
        <w:t>增长；基于国内电力设备类企业小而分散的特点，公司将利用好上市平台进行产业整合。未来</w:t>
      </w:r>
      <w:r>
        <w:rPr>
          <w:rFonts w:ascii="Times New Roman" w:hAnsi="Times New Roman" w:cs="Times New Roman" w:eastAsia="Times New Roman" w:hint="default"/>
        </w:rPr>
        <w:t>3-5</w:t>
      </w:r>
      <w:r>
        <w:rPr/>
        <w:t>年时间内在</w:t>
      </w:r>
      <w:r>
        <w:rPr>
          <w:rFonts w:ascii="Times New Roman" w:hAnsi="Times New Roman" w:cs="Times New Roman" w:eastAsia="Times New Roman" w:hint="default"/>
        </w:rPr>
        <w:t>15</w:t>
      </w:r>
      <w:r>
        <w:rPr/>
        <w:t>年基础上实</w:t>
      </w:r>
      <w:r>
        <w:rPr>
          <w:spacing w:val="-53"/>
        </w:rPr>
        <w:t> </w:t>
      </w:r>
      <w:r>
        <w:rPr>
          <w:spacing w:val="-53"/>
        </w:rPr>
      </w:r>
      <w:r>
        <w:rPr/>
        <w:t>现营收翻四倍的目标。</w:t>
      </w:r>
    </w:p>
    <w:p>
      <w:pPr>
        <w:pStyle w:val="BodyText"/>
        <w:spacing w:line="316" w:lineRule="auto" w:before="31"/>
        <w:ind w:right="821" w:firstLine="360"/>
        <w:jc w:val="left"/>
      </w:pPr>
      <w:r>
        <w:rPr>
          <w:spacing w:val="-2"/>
        </w:rPr>
        <w:t>从细分市场的角度，公司将大规模进入两大电网公司外的用户市场以及海外市场，未来这两部分市场将占公司业务收入</w:t>
      </w:r>
      <w:r>
        <w:rPr/>
        <w:t> 的</w:t>
      </w:r>
      <w:r>
        <w:rPr>
          <w:rFonts w:ascii="Times New Roman" w:hAnsi="Times New Roman" w:cs="Times New Roman" w:eastAsia="Times New Roman" w:hint="default"/>
        </w:rPr>
        <w:t>40%</w:t>
      </w:r>
      <w:r>
        <w:rPr/>
        <w:t>左右，以解决目前公司对电网市场的高度依赖。</w:t>
      </w:r>
    </w:p>
    <w:p>
      <w:pPr>
        <w:pStyle w:val="BodyText"/>
        <w:spacing w:line="316" w:lineRule="auto"/>
        <w:ind w:left="1134" w:right="821" w:firstLine="360"/>
        <w:jc w:val="left"/>
      </w:pPr>
      <w:r>
        <w:rPr>
          <w:spacing w:val="-2"/>
        </w:rPr>
        <w:t>从产品角度，公司将继续扩大现有产品线的市场份额，同时加强在二次产品方面的投入，为一二次融合做好准备。高压</w:t>
      </w:r>
      <w:r>
        <w:rPr/>
        <w:t> 开关柜作为公司</w:t>
      </w:r>
      <w:r>
        <w:rPr>
          <w:rFonts w:ascii="Times New Roman" w:hAnsi="Times New Roman" w:cs="Times New Roman" w:eastAsia="Times New Roman" w:hint="default"/>
        </w:rPr>
        <w:t>2016</w:t>
      </w:r>
      <w:r>
        <w:rPr/>
        <w:t>年的重点产品，将大力发展。</w:t>
      </w:r>
    </w:p>
    <w:p>
      <w:pPr>
        <w:spacing w:after="0" w:line="316" w:lineRule="auto"/>
        <w:jc w:val="left"/>
        <w:sectPr>
          <w:type w:val="continuous"/>
          <w:pgSz w:w="11910" w:h="16840"/>
          <w:pgMar w:top="1060" w:bottom="1160" w:left="0" w:right="0"/>
        </w:sectPr>
      </w:pPr>
    </w:p>
    <w:p>
      <w:pPr>
        <w:spacing w:line="240" w:lineRule="auto" w:before="12"/>
        <w:rPr>
          <w:rFonts w:ascii="宋体" w:hAnsi="宋体" w:cs="宋体" w:eastAsia="宋体" w:hint="default"/>
          <w:sz w:val="21"/>
          <w:szCs w:val="21"/>
        </w:rPr>
      </w:pPr>
    </w:p>
    <w:p>
      <w:pPr>
        <w:pStyle w:val="BodyText"/>
        <w:spacing w:line="300" w:lineRule="auto" w:before="44"/>
        <w:ind w:left="1134" w:right="1129" w:firstLine="360"/>
        <w:jc w:val="both"/>
      </w:pPr>
      <w:r>
        <w:rPr>
          <w:spacing w:val="-1"/>
        </w:rPr>
        <w:t>公司此期间将同时布局探索新的业务模式，打造产业生态链，暨设计咨询</w:t>
      </w:r>
      <w:r>
        <w:rPr>
          <w:rFonts w:ascii="Times New Roman" w:hAnsi="Times New Roman" w:cs="Times New Roman" w:eastAsia="Times New Roman" w:hint="default"/>
          <w:spacing w:val="-1"/>
        </w:rPr>
        <w:t>+</w:t>
      </w:r>
      <w:r>
        <w:rPr>
          <w:spacing w:val="-1"/>
        </w:rPr>
        <w:t>工程总包</w:t>
      </w:r>
      <w:r>
        <w:rPr>
          <w:rFonts w:ascii="Times New Roman" w:hAnsi="Times New Roman" w:cs="Times New Roman" w:eastAsia="Times New Roman" w:hint="default"/>
          <w:spacing w:val="-1"/>
        </w:rPr>
        <w:t>+</w:t>
      </w:r>
      <w:r>
        <w:rPr>
          <w:spacing w:val="-1"/>
        </w:rPr>
        <w:t>设备制造</w:t>
      </w:r>
      <w:r>
        <w:rPr>
          <w:rFonts w:ascii="Times New Roman" w:hAnsi="Times New Roman" w:cs="Times New Roman" w:eastAsia="Times New Roman" w:hint="default"/>
          <w:spacing w:val="-1"/>
        </w:rPr>
        <w:t>+</w:t>
      </w:r>
      <w:r>
        <w:rPr>
          <w:spacing w:val="-1"/>
        </w:rPr>
        <w:t>运维服务，形成公司下</w:t>
      </w:r>
      <w:r>
        <w:rPr/>
        <w:t> 一个阶段新的综合竞争优势。</w:t>
      </w:r>
    </w:p>
    <w:p>
      <w:pPr>
        <w:pStyle w:val="BodyText"/>
        <w:spacing w:line="319" w:lineRule="auto" w:before="31"/>
        <w:ind w:left="1134" w:right="1131" w:firstLine="360"/>
        <w:jc w:val="both"/>
      </w:pPr>
      <w:r>
        <w:rPr>
          <w:spacing w:val="-2"/>
        </w:rPr>
        <w:t>公司将不断深化内部管理。通过内部信息化、机械化、自动化等科技手段，有效降低公司的各项期间费用并提升人均效</w:t>
      </w:r>
      <w:r>
        <w:rPr/>
        <w:t> </w:t>
      </w:r>
      <w:r>
        <w:rPr>
          <w:spacing w:val="-2"/>
        </w:rPr>
        <w:t>率；利用天津产业基地投产的有利条件，延伸公司制造产业链条、改善供应链管理，提升产品的毛利润空间，改变公司产品</w:t>
      </w:r>
      <w:r>
        <w:rPr>
          <w:spacing w:val="-66"/>
        </w:rPr>
        <w:t> </w:t>
      </w:r>
      <w:r>
        <w:rPr>
          <w:spacing w:val="-66"/>
        </w:rPr>
      </w:r>
      <w:r>
        <w:rPr/>
        <w:t>毛利率下降的趋势，使公司的利润能够同销售收入一起，保持持续稳定的增长。</w:t>
      </w:r>
    </w:p>
    <w:p>
      <w:pPr>
        <w:spacing w:line="240" w:lineRule="auto" w:before="8"/>
        <w:rPr>
          <w:rFonts w:ascii="宋体" w:hAnsi="宋体" w:cs="宋体" w:eastAsia="宋体" w:hint="default"/>
          <w:sz w:val="20"/>
          <w:szCs w:val="20"/>
        </w:rPr>
      </w:pPr>
    </w:p>
    <w:p>
      <w:pPr>
        <w:pStyle w:val="Heading2"/>
        <w:spacing w:line="240" w:lineRule="auto"/>
        <w:ind w:left="1134" w:right="821"/>
        <w:jc w:val="left"/>
        <w:rPr>
          <w:b w:val="0"/>
          <w:bCs w:val="0"/>
        </w:rPr>
      </w:pPr>
      <w:bookmarkStart w:name="十、接待调研、沟通、采访等活动情况" w:id="57"/>
      <w:bookmarkEnd w:id="57"/>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821"/>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2" w:lineRule="auto" w:before="61"/>
              <w:ind w:left="23"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 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日投资者关系活动记 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日投资者关系活动记 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2" w:lineRule="auto" w:before="61"/>
              <w:ind w:left="23" w:right="8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2" w:lineRule="auto" w:before="62"/>
              <w:ind w:left="23" w:right="8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67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362"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2" w:lineRule="auto" w:before="61"/>
              <w:ind w:left="23"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bl>
    <w:p>
      <w:pPr>
        <w:spacing w:after="0" w:line="302"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right="1114"/>
        <w:jc w:val="center"/>
        <w:rPr>
          <w:b w:val="0"/>
          <w:bCs w:val="0"/>
        </w:rPr>
      </w:pPr>
      <w:bookmarkStart w:name="第五节 重要事项" w:id="59"/>
      <w:bookmarkEnd w:id="59"/>
      <w:r>
        <w:rPr>
          <w:b w:val="0"/>
          <w:bCs w:val="0"/>
        </w:rPr>
      </w:r>
      <w:bookmarkStart w:name="_bookmark3"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821"/>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21"/>
        <w:jc w:val="left"/>
      </w:pPr>
      <w:r>
        <w:rPr/>
        <w:t>报告期内普通股利润分配政策，特别是现金分红政策的制定、执行或调整情况</w:t>
      </w:r>
    </w:p>
    <w:p>
      <w:pPr>
        <w:pStyle w:val="BodyText"/>
        <w:spacing w:line="240" w:lineRule="auto" w:before="117"/>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4" w:lineRule="auto" w:before="101"/>
        <w:ind w:right="1033"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日第三届董事会第十九次会议审议通过了《北京合纵科技股份有限公司</w:t>
      </w:r>
      <w:r>
        <w:rPr>
          <w:rFonts w:ascii="Times New Roman" w:hAnsi="Times New Roman" w:cs="Times New Roman" w:eastAsia="Times New Roman" w:hint="default"/>
        </w:rPr>
        <w:t>2014</w:t>
      </w:r>
      <w:r>
        <w:rPr/>
        <w:t>年度利润分配预案》，在符合 利润分配原则、保证公司正常经营和长远发展的前提下，根据《公司法》及《公司章程》的相关规定，拟定如下分配预案： 以</w:t>
      </w:r>
      <w:r>
        <w:rPr>
          <w:spacing w:val="-4"/>
        </w:rPr>
        <w:t> </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日的总股本</w:t>
      </w:r>
      <w:r>
        <w:rPr>
          <w:rFonts w:ascii="Times New Roman" w:hAnsi="Times New Roman" w:cs="Times New Roman" w:eastAsia="Times New Roman" w:hint="default"/>
          <w:spacing w:val="5"/>
        </w:rPr>
        <w:t>82,180,000</w:t>
      </w:r>
      <w:r>
        <w:rPr>
          <w:spacing w:val="5"/>
        </w:rPr>
        <w:t>股为基数，向全体股东按每</w:t>
      </w:r>
      <w:r>
        <w:rPr>
          <w:rFonts w:ascii="Times New Roman" w:hAnsi="Times New Roman" w:cs="Times New Roman" w:eastAsia="Times New Roman" w:hint="default"/>
          <w:spacing w:val="5"/>
        </w:rPr>
        <w:t>10</w:t>
      </w:r>
      <w:r>
        <w:rPr>
          <w:spacing w:val="5"/>
        </w:rPr>
        <w:t>股分配现金股利</w:t>
      </w:r>
      <w:r>
        <w:rPr>
          <w:rFonts w:ascii="Times New Roman" w:hAnsi="Times New Roman" w:cs="Times New Roman" w:eastAsia="Times New Roman" w:hint="default"/>
          <w:spacing w:val="5"/>
        </w:rPr>
        <w:t>2.00</w:t>
      </w:r>
      <w:r>
        <w:rPr>
          <w:spacing w:val="5"/>
        </w:rPr>
        <w:t>元（含税），共派发现金股利</w:t>
      </w:r>
      <w:r>
        <w:rPr/>
        <w:t> </w:t>
      </w:r>
      <w:r>
        <w:rPr>
          <w:rFonts w:ascii="Times New Roman" w:hAnsi="Times New Roman" w:cs="Times New Roman" w:eastAsia="Times New Roman" w:hint="default"/>
        </w:rPr>
        <w:t>16,436,000.00</w:t>
      </w:r>
      <w:r>
        <w:rPr/>
        <w:t>元，剩余未分配利润结转至以后年度。</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w:t>
      </w:r>
      <w:r>
        <w:rPr>
          <w:rFonts w:ascii="Times New Roman" w:hAnsi="Times New Roman" w:cs="Times New Roman" w:eastAsia="Times New Roman" w:hint="default"/>
        </w:rPr>
        <w:t>2014</w:t>
      </w:r>
      <w:r>
        <w:rPr/>
        <w:t>年度股东大会审议通过了上述《北京合纵科</w:t>
      </w:r>
      <w:r>
        <w:rPr>
          <w:spacing w:val="-44"/>
        </w:rPr>
        <w:t> </w:t>
      </w:r>
      <w:r>
        <w:rPr/>
        <w:t>技股份有限公司</w:t>
      </w:r>
      <w:r>
        <w:rPr>
          <w:rFonts w:ascii="Times New Roman" w:hAnsi="Times New Roman" w:cs="Times New Roman" w:eastAsia="Times New Roman" w:hint="default"/>
        </w:rPr>
        <w:t>2014</w:t>
      </w:r>
      <w:r>
        <w:rPr/>
        <w:t>年度利润分配预案》。</w:t>
      </w:r>
      <w:r>
        <w:rPr>
          <w:rFonts w:ascii="Times New Roman" w:hAnsi="Times New Roman" w:cs="Times New Roman" w:eastAsia="Times New Roman" w:hint="default"/>
        </w:rPr>
        <w:t>2014</w:t>
      </w:r>
      <w:r>
        <w:rPr/>
        <w:t>年度权益分派股权登记日为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821"/>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108,180,000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43,272,000.00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353,455,620.74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日总股本为基数，每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元人民币（含税），同时进行资本公积金转增股本，向全</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right="821"/>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2" w:lineRule="auto" w:before="101"/>
        <w:ind w:right="821" w:firstLine="290"/>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2013</w:t>
      </w:r>
      <w:r>
        <w:rPr>
          <w:spacing w:val="-1"/>
        </w:rPr>
        <w:t>年度利润分配方案：以总股本</w:t>
      </w:r>
      <w:r>
        <w:rPr>
          <w:rFonts w:ascii="Times New Roman" w:hAnsi="Times New Roman" w:cs="Times New Roman" w:eastAsia="Times New Roman" w:hint="default"/>
          <w:spacing w:val="-1"/>
        </w:rPr>
        <w:t>82,180,000.00</w:t>
      </w:r>
      <w:r>
        <w:rPr>
          <w:spacing w:val="-1"/>
        </w:rPr>
        <w:t>股为基数，向全体股东每</w:t>
      </w:r>
      <w:r>
        <w:rPr>
          <w:rFonts w:ascii="Times New Roman" w:hAnsi="Times New Roman" w:cs="Times New Roman" w:eastAsia="Times New Roman" w:hint="default"/>
          <w:spacing w:val="-1"/>
        </w:rPr>
        <w:t>10</w:t>
      </w:r>
      <w:r>
        <w:rPr>
          <w:spacing w:val="-1"/>
        </w:rPr>
        <w:t>股派发</w:t>
      </w:r>
      <w:r>
        <w:rPr>
          <w:rFonts w:ascii="Times New Roman" w:hAnsi="Times New Roman" w:cs="Times New Roman" w:eastAsia="Times New Roman" w:hint="default"/>
          <w:spacing w:val="-1"/>
        </w:rPr>
        <w:t>2.00</w:t>
      </w:r>
      <w:r>
        <w:rPr>
          <w:spacing w:val="-1"/>
        </w:rPr>
        <w:t>元人民币现金（含税），共派</w:t>
      </w:r>
      <w:r>
        <w:rPr/>
        <w:t> 发现金股利</w:t>
      </w:r>
      <w:r>
        <w:rPr>
          <w:rFonts w:ascii="Times New Roman" w:hAnsi="Times New Roman" w:cs="Times New Roman" w:eastAsia="Times New Roman" w:hint="default"/>
        </w:rPr>
        <w:t>16,436,000.00</w:t>
      </w:r>
      <w:r>
        <w:rPr/>
        <w:t>元。</w:t>
      </w:r>
    </w:p>
    <w:p>
      <w:pPr>
        <w:pStyle w:val="BodyText"/>
        <w:spacing w:line="302" w:lineRule="auto" w:before="50"/>
        <w:ind w:right="821" w:firstLine="290"/>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2014</w:t>
      </w:r>
      <w:r>
        <w:rPr>
          <w:spacing w:val="-1"/>
        </w:rPr>
        <w:t>年度利润分配方案：以总股本</w:t>
      </w:r>
      <w:r>
        <w:rPr>
          <w:rFonts w:ascii="Times New Roman" w:hAnsi="Times New Roman" w:cs="Times New Roman" w:eastAsia="Times New Roman" w:hint="default"/>
          <w:spacing w:val="-1"/>
        </w:rPr>
        <w:t>82,180,000.00</w:t>
      </w:r>
      <w:r>
        <w:rPr>
          <w:spacing w:val="-1"/>
        </w:rPr>
        <w:t>股为基数，向全体股东每</w:t>
      </w:r>
      <w:r>
        <w:rPr>
          <w:rFonts w:ascii="Times New Roman" w:hAnsi="Times New Roman" w:cs="Times New Roman" w:eastAsia="Times New Roman" w:hint="default"/>
          <w:spacing w:val="-1"/>
        </w:rPr>
        <w:t>10</w:t>
      </w:r>
      <w:r>
        <w:rPr>
          <w:spacing w:val="-1"/>
        </w:rPr>
        <w:t>股派发</w:t>
      </w:r>
      <w:r>
        <w:rPr>
          <w:rFonts w:ascii="Times New Roman" w:hAnsi="Times New Roman" w:cs="Times New Roman" w:eastAsia="Times New Roman" w:hint="default"/>
          <w:spacing w:val="-1"/>
        </w:rPr>
        <w:t>2.00</w:t>
      </w:r>
      <w:r>
        <w:rPr>
          <w:spacing w:val="-1"/>
        </w:rPr>
        <w:t>元人民币现金（含税），共派</w:t>
      </w:r>
      <w:r>
        <w:rPr/>
        <w:t> 发现金股利</w:t>
      </w:r>
      <w:r>
        <w:rPr>
          <w:rFonts w:ascii="Times New Roman" w:hAnsi="Times New Roman" w:cs="Times New Roman" w:eastAsia="Times New Roman" w:hint="default"/>
        </w:rPr>
        <w:t>16,436,000.00</w:t>
      </w:r>
      <w:r>
        <w:rPr/>
        <w:t>元。</w:t>
      </w:r>
    </w:p>
    <w:p>
      <w:pPr>
        <w:pStyle w:val="BodyText"/>
        <w:spacing w:line="302" w:lineRule="auto" w:before="49"/>
        <w:ind w:left="1134" w:right="1192" w:firstLine="29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年度利润分配预案：以公司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日总股本为基数，每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4</w:t>
      </w:r>
      <w:r>
        <w:rPr/>
        <w:t>元人民币（含税），同时进行 资本公积金转增股本，向全体股东每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w:t>
      </w:r>
    </w:p>
    <w:p>
      <w:pPr>
        <w:pStyle w:val="BodyText"/>
        <w:spacing w:line="240" w:lineRule="auto" w:before="50"/>
        <w:ind w:left="1134" w:right="821"/>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43,272,000.00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87,495,468.10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16,436,000.00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75,285,176.63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16,436,000.00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76,570,100.39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821"/>
        <w:jc w:val="left"/>
      </w:pPr>
      <w:r>
        <w:rPr/>
        <w:t>公司报告期内盈利且母公司可供普通股股东分配利润为正但未提出普通股现金红利分配预案</w:t>
      </w:r>
    </w:p>
    <w:p>
      <w:pPr>
        <w:pStyle w:val="BodyText"/>
        <w:spacing w:line="240" w:lineRule="auto" w:before="117"/>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21"/>
        <w:jc w:val="left"/>
        <w:rPr>
          <w:b w:val="0"/>
          <w:bCs w:val="0"/>
        </w:rPr>
      </w:pPr>
      <w:bookmarkStart w:name="二、承诺事项履行情况" w:id="62"/>
      <w:bookmarkEnd w:id="62"/>
      <w:r>
        <w:rPr>
          <w:b w:val="0"/>
          <w:bCs w:val="0"/>
        </w:rPr>
      </w:r>
      <w:r>
        <w:rPr/>
        <w:t>二、承诺事项履行情况</w:t>
      </w:r>
      <w:r>
        <w:rPr>
          <w:b w:val="0"/>
          <w:bCs w:val="0"/>
        </w:rPr>
      </w:r>
    </w:p>
    <w:p>
      <w:pPr>
        <w:spacing w:line="240" w:lineRule="auto" w:before="10"/>
        <w:rPr>
          <w:rFonts w:ascii="宋体" w:hAnsi="宋体" w:cs="宋体" w:eastAsia="宋体" w:hint="default"/>
          <w:b/>
          <w:bCs/>
          <w:sz w:val="24"/>
          <w:szCs w:val="24"/>
        </w:rPr>
      </w:pPr>
    </w:p>
    <w:p>
      <w:pPr>
        <w:pStyle w:val="Heading3"/>
        <w:spacing w:line="259" w:lineRule="auto"/>
        <w:ind w:right="821"/>
        <w:jc w:val="left"/>
        <w:rPr>
          <w:b w:val="0"/>
          <w:bCs w:val="0"/>
        </w:rPr>
      </w:pPr>
      <w:bookmarkStart w:name="1、公司、股东、实际控制人、收购人、董事、监事、高级管理人员或其他关联方在报告期" w:id="63"/>
      <w:bookmarkEnd w:id="63"/>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702"/>
        <w:gridCol w:w="851"/>
        <w:gridCol w:w="991"/>
        <w:gridCol w:w="3546"/>
        <w:gridCol w:w="850"/>
        <w:gridCol w:w="851"/>
        <w:gridCol w:w="779"/>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354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354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544"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16" w:right="96"/>
              <w:jc w:val="both"/>
              <w:rPr>
                <w:rFonts w:ascii="宋体" w:hAnsi="宋体" w:cs="宋体" w:eastAsia="宋体" w:hint="default"/>
                <w:sz w:val="18"/>
                <w:szCs w:val="18"/>
              </w:rPr>
            </w:pPr>
            <w:r>
              <w:rPr>
                <w:rFonts w:ascii="宋体" w:hAnsi="宋体" w:cs="宋体" w:eastAsia="宋体" w:hint="default"/>
                <w:sz w:val="18"/>
                <w:szCs w:val="18"/>
              </w:rPr>
              <w:t>控股股东 刘泽刚及 一致行动 人韦强、 张仁增、 何昀、高 星</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2" w:right="56"/>
              <w:jc w:val="left"/>
              <w:rPr>
                <w:rFonts w:ascii="宋体" w:hAnsi="宋体" w:cs="宋体" w:eastAsia="宋体" w:hint="default"/>
                <w:sz w:val="18"/>
                <w:szCs w:val="18"/>
              </w:rPr>
            </w:pPr>
            <w:r>
              <w:rPr>
                <w:rFonts w:ascii="宋体" w:hAnsi="宋体" w:cs="宋体" w:eastAsia="宋体" w:hint="default"/>
                <w:sz w:val="18"/>
                <w:szCs w:val="18"/>
              </w:rPr>
              <w:t>自愿锁定股 份的承诺</w:t>
            </w:r>
          </w:p>
        </w:tc>
        <w:tc>
          <w:tcPr>
            <w:tcW w:w="3546" w:type="dxa"/>
            <w:vMerge w:val="restart"/>
            <w:tcBorders>
              <w:top w:val="single" w:sz="4" w:space="0" w:color="000000"/>
              <w:left w:val="single" w:sz="4" w:space="0" w:color="000000"/>
              <w:right w:val="single" w:sz="4" w:space="0" w:color="000000"/>
            </w:tcBorders>
          </w:tcPr>
          <w:p>
            <w:pPr>
              <w:pStyle w:val="TableParagraph"/>
              <w:spacing w:line="314" w:lineRule="auto" w:before="51"/>
              <w:ind w:left="24"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、自公司股票上市之日起三十六个月内，不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转让或者委托他人管理其直接和间接持有的 公司股份，也不由公司回购该部分股份。</w:t>
            </w:r>
            <w:r>
              <w:rPr>
                <w:rFonts w:ascii="Times New Roman" w:hAnsi="Times New Roman" w:cs="Times New Roman" w:eastAsia="Times New Roman" w:hint="default"/>
                <w:sz w:val="18"/>
                <w:szCs w:val="18"/>
              </w:rPr>
              <w:t>2</w:t>
            </w:r>
            <w:r>
              <w:rPr>
                <w:rFonts w:ascii="宋体" w:hAnsi="宋体" w:cs="宋体" w:eastAsia="宋体" w:hint="default"/>
                <w:sz w:val="18"/>
                <w:szCs w:val="18"/>
              </w:rPr>
              <w:t>、 前述限售期满后，在任职期间每年转让的股 份不超过其直接和间接持有公司股份总数的 百分之二十五；在首次公开发行股票上市之 日起六个月内申报离职的，自申报离职之日 起十八个月内不转让其直接持有的本公司股 份；在首次公开发行股票上市之日起第七个 月至第十二个月之间申报离职的，自申报离 职之日起十二个月内不转让其直接持有的本 公司股份。</w:t>
            </w:r>
            <w:r>
              <w:rPr>
                <w:rFonts w:ascii="Times New Roman" w:hAnsi="Times New Roman" w:cs="Times New Roman" w:eastAsia="Times New Roman" w:hint="default"/>
                <w:sz w:val="18"/>
                <w:szCs w:val="18"/>
              </w:rPr>
              <w:t>3</w:t>
            </w:r>
            <w:r>
              <w:rPr>
                <w:rFonts w:ascii="宋体" w:hAnsi="宋体" w:cs="宋体" w:eastAsia="宋体" w:hint="default"/>
                <w:sz w:val="18"/>
                <w:szCs w:val="18"/>
              </w:rPr>
              <w:t>、在限售期满后两年内减持的，</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22" w:right="24"/>
              <w:jc w:val="both"/>
              <w:rPr>
                <w:rFonts w:ascii="宋体" w:hAnsi="宋体" w:cs="宋体" w:eastAsia="宋体" w:hint="default"/>
                <w:sz w:val="18"/>
                <w:szCs w:val="18"/>
              </w:rPr>
            </w:pPr>
            <w:r>
              <w:rPr>
                <w:rFonts w:ascii="宋体" w:hAnsi="宋体" w:cs="宋体" w:eastAsia="宋体" w:hint="default"/>
                <w:sz w:val="18"/>
                <w:szCs w:val="18"/>
              </w:rPr>
              <w:t>严格遵守 所做的承 诺，未发 生违反承 诺的情形</w:t>
            </w:r>
          </w:p>
        </w:tc>
      </w:tr>
      <w:tr>
        <w:trPr>
          <w:trHeight w:val="704"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851" w:type="dxa"/>
            <w:vMerge/>
            <w:tcBorders>
              <w:left w:val="single" w:sz="9" w:space="0" w:color="D2D2D2"/>
              <w:right w:val="single" w:sz="4" w:space="0" w:color="000000"/>
            </w:tcBorders>
          </w:tcPr>
          <w:p>
            <w:pPr/>
          </w:p>
        </w:tc>
        <w:tc>
          <w:tcPr>
            <w:tcW w:w="991" w:type="dxa"/>
            <w:vMerge/>
            <w:tcBorders>
              <w:left w:val="single" w:sz="4" w:space="0" w:color="000000"/>
              <w:right w:val="single" w:sz="4" w:space="0" w:color="000000"/>
            </w:tcBorders>
          </w:tcPr>
          <w:p>
            <w:pPr/>
          </w:p>
        </w:tc>
        <w:tc>
          <w:tcPr>
            <w:tcW w:w="354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1545"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9"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54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412.559998pt;margin-top:645.639954pt;width:39.75pt;height:17.6pt;mso-position-horizontal-relative:page;mso-position-vertical-relative:page;z-index:-780760" coordorigin="8251,12913" coordsize="795,352">
            <v:shape style="position:absolute;left:8251;top:12913;width:795;height:352" coordorigin="8251,12913" coordsize="795,352" path="m8251,13264l9046,13264,9046,12913,8251,12913,8251,13264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1701"/>
        <w:gridCol w:w="851"/>
        <w:gridCol w:w="991"/>
        <w:gridCol w:w="3546"/>
        <w:gridCol w:w="850"/>
        <w:gridCol w:w="851"/>
        <w:gridCol w:w="779"/>
      </w:tblGrid>
      <w:tr>
        <w:trPr>
          <w:trHeight w:val="317"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5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减持价格不低于发行价（若股份公司上市后</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发生派发现金股利、送红股、转增股本、增</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发新股或配股等除息、除权行为的，则发行</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价格按照上述情形出现的先后顺序进行累积</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调整，下同</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、股份公司上市后六个月内</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如公司股票连续二十个交易日的收盘价均低</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于发行价，或者上市后六个月期末（</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日）收盘价低于发行价，本人持有公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司股票的限售期限自动延长六个月。</w:t>
            </w:r>
            <w:r>
              <w:rPr>
                <w:rFonts w:ascii="Times New Roman" w:hAnsi="Times New Roman" w:cs="Times New Roman" w:eastAsia="Times New Roman" w:hint="default"/>
                <w:sz w:val="18"/>
                <w:szCs w:val="18"/>
              </w:rPr>
              <w:t>5</w:t>
            </w:r>
            <w:r>
              <w:rPr>
                <w:rFonts w:ascii="宋体" w:hAnsi="宋体" w:cs="宋体" w:eastAsia="宋体" w:hint="default"/>
                <w:sz w:val="18"/>
                <w:szCs w:val="18"/>
              </w:rPr>
              <w:t>、本人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若发生职务变更、离职的情况，仍将遵守上</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述承诺。除此之外，本人还将严格遵守有关</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1701"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法律法规和规范性文件中关于股份流通的限</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5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制性规定。</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5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股份公司首次公开发行股票并在创业板上市</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1"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的《招股说明书》及相关申请材料真实、准</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1701"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控股股东 刘泽刚及 一致行动 人韦强、 张仁增、 何昀、高 星</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2" w:right="56"/>
              <w:jc w:val="both"/>
              <w:rPr>
                <w:rFonts w:ascii="宋体" w:hAnsi="宋体" w:cs="宋体" w:eastAsia="宋体" w:hint="default"/>
                <w:sz w:val="18"/>
                <w:szCs w:val="18"/>
              </w:rPr>
            </w:pPr>
            <w:r>
              <w:rPr>
                <w:rFonts w:ascii="宋体" w:hAnsi="宋体" w:cs="宋体" w:eastAsia="宋体" w:hint="default"/>
                <w:sz w:val="18"/>
                <w:szCs w:val="18"/>
              </w:rPr>
              <w:t>关于《招股 说明书》的 承诺</w:t>
            </w: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89"/>
              <w:jc w:val="both"/>
              <w:rPr>
                <w:rFonts w:ascii="宋体" w:hAnsi="宋体" w:cs="宋体" w:eastAsia="宋体" w:hint="default"/>
                <w:sz w:val="18"/>
                <w:szCs w:val="18"/>
              </w:rPr>
            </w:pPr>
            <w:r>
              <w:rPr>
                <w:rFonts w:ascii="宋体" w:hAnsi="宋体" w:cs="宋体" w:eastAsia="宋体" w:hint="default"/>
                <w:sz w:val="18"/>
                <w:szCs w:val="18"/>
              </w:rPr>
              <w:t>确、完整、及时，不存在虚假记载、误导性 陈述或重大遗漏；如《招股说明书》及相关 申请材料出现虚假记载、误导性陈述或重大 遗漏，对判断本公司是否符合法律规定的发 行条件构成重大、实质影响的，本人将按公 司股票的二级市场价格购回已转让的原限售 股份；如《招股说明书》及相关申请材料出 现虚假记载、误导性陈述或重大遗漏，致使</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严格遵守 所做的承 诺，未发 生违反承 诺的情形</w:t>
            </w:r>
          </w:p>
        </w:tc>
      </w:tr>
      <w:tr>
        <w:trPr>
          <w:trHeight w:val="313" w:hRule="exact"/>
        </w:trPr>
        <w:tc>
          <w:tcPr>
            <w:tcW w:w="1701"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投资者在证券交易中遭受损失的，本人将依</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5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法赔偿投资者损失。</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1962" w:hRule="exact"/>
        </w:trPr>
        <w:tc>
          <w:tcPr>
            <w:tcW w:w="1701"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以上股东 刘泽刚、 韦强、张 仁增、何 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6"/>
              <w:jc w:val="both"/>
              <w:rPr>
                <w:rFonts w:ascii="宋体" w:hAnsi="宋体" w:cs="宋体" w:eastAsia="宋体" w:hint="default"/>
                <w:sz w:val="18"/>
                <w:szCs w:val="18"/>
              </w:rPr>
            </w:pPr>
            <w:r>
              <w:rPr>
                <w:rFonts w:ascii="宋体" w:hAnsi="宋体" w:cs="宋体" w:eastAsia="宋体" w:hint="default"/>
                <w:sz w:val="18"/>
                <w:szCs w:val="18"/>
              </w:rPr>
              <w:t>对持股意向 和减持意向 承诺</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1"/>
              <w:jc w:val="left"/>
              <w:rPr>
                <w:rFonts w:ascii="宋体" w:hAnsi="宋体" w:cs="宋体" w:eastAsia="宋体" w:hint="default"/>
                <w:sz w:val="18"/>
                <w:szCs w:val="18"/>
              </w:rPr>
            </w:pPr>
            <w:r>
              <w:rPr>
                <w:rFonts w:ascii="宋体" w:hAnsi="宋体" w:cs="宋体" w:eastAsia="宋体" w:hint="default"/>
                <w:sz w:val="18"/>
                <w:szCs w:val="18"/>
              </w:rPr>
              <w:t>公司上市后，刘泽刚、韦强、张仁增、何昀 所持发行人股份在限售期满后两年内，可能 根据个人资金需求，以不低于发行价的价格 依法减持不超过届时所持发行人股份的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严格遵守 所做的承 诺，未发 生违反承 诺的情形</w:t>
            </w:r>
          </w:p>
        </w:tc>
      </w:tr>
      <w:tr>
        <w:trPr>
          <w:trHeight w:val="362" w:hRule="exact"/>
        </w:trPr>
        <w:tc>
          <w:tcPr>
            <w:tcW w:w="1701"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5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、本人将不在中国境内外直接或间接从事或</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701"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参与任何在商业上对股份公司构成竞争的业</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501" w:hRule="exact"/>
        </w:trPr>
        <w:tc>
          <w:tcPr>
            <w:tcW w:w="1701"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发行人控 股股东刘 泽刚及一 致行动人 韦强、张 仁增、何 昀、高星</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2" w:right="56"/>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3546" w:type="dxa"/>
            <w:tcBorders>
              <w:top w:val="nil" w:sz="6" w:space="0" w:color="auto"/>
              <w:left w:val="single" w:sz="4" w:space="0" w:color="000000"/>
              <w:bottom w:val="nil" w:sz="6" w:space="0" w:color="auto"/>
              <w:right w:val="single" w:sz="13" w:space="0" w:color="FFFFFF"/>
            </w:tcBorders>
          </w:tcPr>
          <w:p>
            <w:pPr>
              <w:pStyle w:val="TableParagraph"/>
              <w:spacing w:line="314" w:lineRule="auto" w:before="10"/>
              <w:ind w:left="24" w:right="-44"/>
              <w:jc w:val="left"/>
              <w:rPr>
                <w:rFonts w:ascii="宋体" w:hAnsi="宋体" w:cs="宋体" w:eastAsia="宋体" w:hint="default"/>
                <w:sz w:val="18"/>
                <w:szCs w:val="18"/>
              </w:rPr>
            </w:pPr>
            <w:r>
              <w:rPr>
                <w:rFonts w:ascii="宋体" w:hAnsi="宋体" w:cs="宋体" w:eastAsia="宋体" w:hint="default"/>
                <w:sz w:val="18"/>
                <w:szCs w:val="18"/>
              </w:rPr>
              <w:t>务及活动；或拥有与股份公司存在竞争关系 的任何经济实体、机构、经济组织的权益； 或以其他任何形式取得该经济实体、机构、 </w:t>
            </w:r>
            <w:r>
              <w:rPr>
                <w:rFonts w:ascii="宋体" w:hAnsi="宋体" w:cs="宋体" w:eastAsia="宋体" w:hint="default"/>
                <w:spacing w:val="-3"/>
                <w:sz w:val="18"/>
                <w:szCs w:val="18"/>
              </w:rPr>
              <w:t>经济组织的控制权；或在该经济实体、机构、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经济组织中担任高级管理人员或核心技术人</w:t>
            </w:r>
            <w:r>
              <w:rPr>
                <w:rFonts w:ascii="宋体" w:hAnsi="宋体" w:cs="宋体" w:eastAsia="宋体" w:hint="default"/>
                <w:sz w:val="18"/>
                <w:szCs w:val="18"/>
              </w:rPr>
              <w:t> 员。</w:t>
            </w:r>
            <w:r>
              <w:rPr>
                <w:rFonts w:ascii="Times New Roman" w:hAnsi="Times New Roman" w:cs="Times New Roman" w:eastAsia="Times New Roman" w:hint="default"/>
                <w:sz w:val="18"/>
                <w:szCs w:val="18"/>
              </w:rPr>
              <w:t>2</w:t>
            </w:r>
            <w:r>
              <w:rPr>
                <w:rFonts w:ascii="宋体" w:hAnsi="宋体" w:cs="宋体" w:eastAsia="宋体" w:hint="default"/>
                <w:sz w:val="18"/>
                <w:szCs w:val="18"/>
              </w:rPr>
              <w:t>、在担任股份公司董事、高级管理人员 期间及不再担任董事、高级管理人员职务之 日起六个月内，本承诺持续有效。</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、本人愿</w:t>
            </w:r>
          </w:p>
        </w:tc>
        <w:tc>
          <w:tcPr>
            <w:tcW w:w="850"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严格遵守 所做的承 诺，未发 生违反承 诺的情形</w:t>
            </w:r>
          </w:p>
        </w:tc>
      </w:tr>
      <w:tr>
        <w:trPr>
          <w:trHeight w:val="308" w:hRule="exact"/>
        </w:trPr>
        <w:tc>
          <w:tcPr>
            <w:tcW w:w="1701"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5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意承担因违反上述承诺而给股份公司造成的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5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全部经济损失。</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315.260010pt;margin-top:346.699982pt;width:138.2pt;height:78.05pt;mso-position-horizontal-relative:page;mso-position-vertical-relative:page;z-index:-78071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firstLine="1440"/>
                    <w:jc w:val="left"/>
                  </w:pPr>
                  <w:r>
                    <w:rPr/>
                    <w:t>准确、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0" w:right="0"/>
                    <w:jc w:val="left"/>
                  </w:pPr>
                  <w:r>
                    <w:rPr/>
                    <w:t>误导性陈述或重大遗漏，</w:t>
                  </w:r>
                </w:p>
              </w:txbxContent>
            </v:textbox>
            <w10:wrap type="none"/>
          </v:shape>
        </w:pict>
      </w:r>
    </w:p>
    <w:tbl>
      <w:tblPr>
        <w:tblW w:w="0" w:type="auto"/>
        <w:jc w:val="left"/>
        <w:tblInd w:w="1129" w:type="dxa"/>
        <w:tblLayout w:type="fixed"/>
        <w:tblCellMar>
          <w:top w:w="0" w:type="dxa"/>
          <w:left w:w="0" w:type="dxa"/>
          <w:bottom w:w="0" w:type="dxa"/>
          <w:right w:w="0" w:type="dxa"/>
        </w:tblCellMar>
        <w:tblLook w:val="01E0"/>
      </w:tblPr>
      <w:tblGrid>
        <w:gridCol w:w="1701"/>
        <w:gridCol w:w="851"/>
        <w:gridCol w:w="991"/>
        <w:gridCol w:w="3546"/>
        <w:gridCol w:w="850"/>
        <w:gridCol w:w="851"/>
        <w:gridCol w:w="779"/>
      </w:tblGrid>
      <w:tr>
        <w:trPr>
          <w:trHeight w:val="3210"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96"/>
              <w:jc w:val="both"/>
              <w:rPr>
                <w:rFonts w:ascii="宋体" w:hAnsi="宋体" w:cs="宋体" w:eastAsia="宋体" w:hint="default"/>
                <w:sz w:val="18"/>
                <w:szCs w:val="18"/>
              </w:rPr>
            </w:pPr>
            <w:r>
              <w:rPr>
                <w:rFonts w:ascii="宋体" w:hAnsi="宋体" w:cs="宋体" w:eastAsia="宋体" w:hint="default"/>
                <w:sz w:val="18"/>
                <w:szCs w:val="18"/>
              </w:rPr>
              <w:t>发行人控 股股东刘 泽刚及一 致行动人 韦强、张 仁增、何 昀、高星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56"/>
              <w:jc w:val="both"/>
              <w:rPr>
                <w:rFonts w:ascii="宋体" w:hAnsi="宋体" w:cs="宋体" w:eastAsia="宋体" w:hint="default"/>
                <w:sz w:val="18"/>
                <w:szCs w:val="18"/>
              </w:rPr>
            </w:pPr>
            <w:r>
              <w:rPr>
                <w:rFonts w:ascii="宋体" w:hAnsi="宋体" w:cs="宋体" w:eastAsia="宋体" w:hint="default"/>
                <w:sz w:val="18"/>
                <w:szCs w:val="18"/>
              </w:rPr>
              <w:t>关于规范关 联交易的承 诺</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、本人及本人控制的子公司将尽量避免与股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份公司和其控股或控制的子公司之间发生关 </w:t>
            </w:r>
            <w:r>
              <w:rPr>
                <w:rFonts w:ascii="宋体" w:hAnsi="宋体" w:cs="宋体" w:eastAsia="宋体" w:hint="default"/>
                <w:spacing w:val="-2"/>
                <w:sz w:val="18"/>
                <w:szCs w:val="18"/>
              </w:rPr>
              <w:t>联交易。</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、如果关联交易难以避免，交易双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方将严格按照正常商业行为准则进行。关联 交易的定价政策遵循市场公平、公正、公开 的原则，交易价格依据与市场独立第三方交 易价格确定。无市场价格可资比较或定价受 到限制的重大关联交易，按照交易的商品或 劳务的成本基础上加合理利润的标准予以确 定交易价格，以保证交易价格的公允性。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24"/>
              <w:jc w:val="both"/>
              <w:rPr>
                <w:rFonts w:ascii="宋体" w:hAnsi="宋体" w:cs="宋体" w:eastAsia="宋体" w:hint="default"/>
                <w:sz w:val="18"/>
                <w:szCs w:val="18"/>
              </w:rPr>
            </w:pPr>
            <w:r>
              <w:rPr>
                <w:rFonts w:ascii="宋体" w:hAnsi="宋体" w:cs="宋体" w:eastAsia="宋体" w:hint="default"/>
                <w:sz w:val="18"/>
                <w:szCs w:val="18"/>
              </w:rPr>
              <w:t>严格遵守 所做的承 诺，未发 生违反承 诺的情形</w:t>
            </w:r>
          </w:p>
        </w:tc>
      </w:tr>
      <w:tr>
        <w:trPr>
          <w:trHeight w:val="2274" w:hRule="exact"/>
        </w:trPr>
        <w:tc>
          <w:tcPr>
            <w:tcW w:w="1701"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96"/>
              <w:jc w:val="both"/>
              <w:rPr>
                <w:rFonts w:ascii="宋体" w:hAnsi="宋体" w:cs="宋体" w:eastAsia="宋体" w:hint="default"/>
                <w:sz w:val="18"/>
                <w:szCs w:val="18"/>
              </w:rPr>
            </w:pPr>
            <w:r>
              <w:rPr>
                <w:rFonts w:ascii="宋体" w:hAnsi="宋体" w:cs="宋体" w:eastAsia="宋体" w:hint="default"/>
                <w:sz w:val="18"/>
                <w:szCs w:val="18"/>
              </w:rPr>
              <w:t>实际控制 人及全体 董事、高 级管理人 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6"/>
              <w:jc w:val="both"/>
              <w:rPr>
                <w:rFonts w:ascii="宋体" w:hAnsi="宋体" w:cs="宋体" w:eastAsia="宋体" w:hint="default"/>
                <w:sz w:val="18"/>
                <w:szCs w:val="18"/>
              </w:rPr>
            </w:pPr>
            <w:r>
              <w:rPr>
                <w:rFonts w:ascii="宋体" w:hAnsi="宋体" w:cs="宋体" w:eastAsia="宋体" w:hint="default"/>
                <w:sz w:val="18"/>
                <w:szCs w:val="18"/>
              </w:rPr>
              <w:t>关于上市后 三年内公司 股价低于每 股净资产时 稳定公司股 价的承诺</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股份公司首次公开发行股票并在创业板上市 之后三年内，若出现连续二十个交易日公司 股票每日收盘价均低于公司最近一期经审计 的每股净资产的情况，本人自愿履行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 年度股东大会审议通过的《关于上市后三年 内公司股价低于每股净资产时稳定公司股价 </w:t>
            </w:r>
            <w:r>
              <w:rPr>
                <w:rFonts w:ascii="宋体" w:hAnsi="宋体" w:cs="宋体" w:eastAsia="宋体" w:hint="default"/>
                <w:spacing w:val="-18"/>
                <w:sz w:val="18"/>
                <w:szCs w:val="18"/>
              </w:rPr>
              <w:t>的预案》。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7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4"/>
              <w:jc w:val="both"/>
              <w:rPr>
                <w:rFonts w:ascii="宋体" w:hAnsi="宋体" w:cs="宋体" w:eastAsia="宋体" w:hint="default"/>
                <w:sz w:val="18"/>
                <w:szCs w:val="18"/>
              </w:rPr>
            </w:pPr>
            <w:r>
              <w:rPr>
                <w:rFonts w:ascii="宋体" w:hAnsi="宋体" w:cs="宋体" w:eastAsia="宋体" w:hint="default"/>
                <w:sz w:val="18"/>
                <w:szCs w:val="18"/>
              </w:rPr>
              <w:t>严格遵守 所做的承 诺，未发 生违反承 诺的情形</w:t>
            </w:r>
          </w:p>
        </w:tc>
      </w:tr>
      <w:tr>
        <w:trPr>
          <w:trHeight w:val="3834"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2" w:right="56"/>
              <w:jc w:val="both"/>
              <w:rPr>
                <w:rFonts w:ascii="宋体" w:hAnsi="宋体" w:cs="宋体" w:eastAsia="宋体" w:hint="default"/>
                <w:sz w:val="18"/>
                <w:szCs w:val="18"/>
              </w:rPr>
            </w:pPr>
            <w:r>
              <w:rPr>
                <w:rFonts w:ascii="宋体" w:hAnsi="宋体" w:cs="宋体" w:eastAsia="宋体" w:hint="default"/>
                <w:sz w:val="18"/>
                <w:szCs w:val="18"/>
              </w:rPr>
              <w:t>关于《招股 说明书》的 承诺</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公司首次公开发行股票并在创业板上市的</w:t>
            </w:r>
          </w:p>
          <w:p>
            <w:pPr>
              <w:pStyle w:val="TableParagraph"/>
              <w:spacing w:line="319" w:lineRule="auto" w:before="76"/>
              <w:ind w:left="24" w:right="91"/>
              <w:jc w:val="left"/>
              <w:rPr>
                <w:rFonts w:ascii="宋体" w:hAnsi="宋体" w:cs="宋体" w:eastAsia="宋体" w:hint="default"/>
                <w:sz w:val="18"/>
                <w:szCs w:val="18"/>
              </w:rPr>
            </w:pPr>
            <w:r>
              <w:rPr>
                <w:rFonts w:ascii="宋体" w:hAnsi="宋体" w:cs="宋体" w:eastAsia="宋体" w:hint="default"/>
                <w:sz w:val="18"/>
                <w:szCs w:val="18"/>
              </w:rPr>
              <w:t>《招股说明书》及相关申请材料真实、 完整、及时，不存在虚假记载、误导性陈述 或重大遗漏；如《招股说明书》及相关申请 材料出现虚假记载、 对判断本公司是否符合法律规定的发行条件 构成重大、实质影响的，本公司将按公司股 票的二级市场价格回购首次公开发行的全部 新股；如《招股说明书》及相关申请材料出 现虚假记载、误导性陈述或重大遗漏，致使 投资者在证券交易中遭受损失的，本公司将 依法赔偿投资者损失。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2pt;height:78.05pt;mso-position-horizontal-relative:char;mso-position-vertical-relative:line" coordorigin="0,0" coordsize="840,1561">
                  <v:group style="position:absolute;left:0;top:0;width:840;height:1561" coordorigin="0,0" coordsize="840,1561">
                    <v:shape style="position:absolute;left:0;top:0;width:840;height:1561" coordorigin="0,0" coordsize="840,1561" path="m0,1560l840,1560,840,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7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24"/>
              <w:jc w:val="both"/>
              <w:rPr>
                <w:rFonts w:ascii="宋体" w:hAnsi="宋体" w:cs="宋体" w:eastAsia="宋体" w:hint="default"/>
                <w:sz w:val="18"/>
                <w:szCs w:val="18"/>
              </w:rPr>
            </w:pPr>
            <w:r>
              <w:rPr>
                <w:rFonts w:ascii="宋体" w:hAnsi="宋体" w:cs="宋体" w:eastAsia="宋体" w:hint="default"/>
                <w:sz w:val="18"/>
                <w:szCs w:val="18"/>
              </w:rPr>
              <w:t>严格遵守 所做的承 诺，未发 生违反承 诺的情形</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354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354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8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19" w:lineRule="auto" w:before="51"/>
        <w:ind w:right="821" w:firstLine="360"/>
        <w:jc w:val="left"/>
      </w:pPr>
      <w:r>
        <w:rPr/>
        <w:t>报告期内，公司开展了员工持股计划，</w:t>
      </w:r>
      <w:r>
        <w:rPr>
          <w:rFonts w:ascii="宋体" w:hAnsi="宋体" w:cs="宋体" w:eastAsia="宋体" w:hint="default"/>
        </w:rPr>
        <w:t>2016</w:t>
      </w:r>
      <w:r>
        <w:rPr>
          <w:rFonts w:ascii="宋体" w:hAnsi="宋体" w:cs="宋体" w:eastAsia="宋体" w:hint="default"/>
          <w:spacing w:val="-46"/>
        </w:rPr>
        <w:t> </w:t>
      </w:r>
      <w:r>
        <w:rPr/>
        <w:t>年截止本报告披露日，对于员工持股计划，公司、实际控制人、董事、监 事、高级管理人员作出了相应的承诺，此相关事项已在巨潮资讯网（</w:t>
      </w:r>
      <w:hyperlink r:id="rId12">
        <w:r>
          <w:rPr>
            <w:rFonts w:ascii="宋体" w:hAnsi="宋体" w:cs="宋体" w:eastAsia="宋体" w:hint="default"/>
          </w:rPr>
          <w:t>http://www.cninfo.com.cn</w:t>
        </w:r>
      </w:hyperlink>
      <w:r>
        <w:rPr/>
        <w:t>）进行了相应的公告。</w:t>
      </w:r>
    </w:p>
    <w:p>
      <w:pPr>
        <w:spacing w:line="240" w:lineRule="auto" w:before="3"/>
        <w:rPr>
          <w:rFonts w:ascii="宋体" w:hAnsi="宋体" w:cs="宋体" w:eastAsia="宋体" w:hint="default"/>
          <w:sz w:val="22"/>
          <w:szCs w:val="22"/>
        </w:rPr>
      </w:pPr>
    </w:p>
    <w:p>
      <w:pPr>
        <w:pStyle w:val="Heading3"/>
        <w:spacing w:line="259" w:lineRule="auto"/>
        <w:ind w:right="821"/>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right="821"/>
        <w:jc w:val="left"/>
        <w:rPr>
          <w:b w:val="0"/>
          <w:bCs w:val="0"/>
        </w:rPr>
      </w:pPr>
      <w:bookmarkStart w:name="三、控股股东及其关联方对上市公司的非经营性占用资金情况" w:id="65"/>
      <w:bookmarkEnd w:id="65"/>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821"/>
        <w:jc w:val="left"/>
        <w:rPr>
          <w:b w:val="0"/>
          <w:bCs w:val="0"/>
        </w:rPr>
      </w:pPr>
      <w:bookmarkStart w:name="四、董事会对最近一期“非标准审计报告”相关情况的说明" w:id="66"/>
      <w:bookmarkEnd w:id="66"/>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21"/>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21"/>
        <w:jc w:val="left"/>
        <w:rPr>
          <w:b w:val="0"/>
          <w:bCs w:val="0"/>
        </w:rPr>
      </w:pPr>
      <w:bookmarkStart w:name="六、董事会关于报告期会计政策、会计估计变更或重大会计差错更正的说明" w:id="68"/>
      <w:bookmarkEnd w:id="68"/>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21"/>
        <w:jc w:val="left"/>
        <w:rPr>
          <w:b w:val="0"/>
          <w:bCs w:val="0"/>
        </w:rPr>
      </w:pPr>
      <w:bookmarkStart w:name="七、与上年度财务报告相比，合并报表范围发生变化的情况说明" w:id="69"/>
      <w:bookmarkEnd w:id="69"/>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042"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日，本公司第三届董事会第十七次会议审议通过《关于公司对外设立全资子公司并购买土地建设生产基地 </w:t>
      </w:r>
      <w:r>
        <w:rPr>
          <w:spacing w:val="-1"/>
        </w:rPr>
        <w:t>的议案》，本公司投资人民币</w:t>
      </w:r>
      <w:r>
        <w:rPr>
          <w:rFonts w:ascii="Times New Roman" w:hAnsi="Times New Roman" w:cs="Times New Roman" w:eastAsia="Times New Roman" w:hint="default"/>
          <w:spacing w:val="-1"/>
        </w:rPr>
        <w:t>8,000</w:t>
      </w:r>
      <w:r>
        <w:rPr>
          <w:spacing w:val="-1"/>
        </w:rPr>
        <w:t>万元设立天津合纵电力设备有限公司。天津合纵电力设备有限公司成立于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9</w:t>
      </w:r>
      <w:r>
        <w:rPr>
          <w:spacing w:val="-1"/>
        </w:rPr>
        <w:t>日，</w:t>
      </w:r>
      <w:r>
        <w:rPr>
          <w:spacing w:val="-73"/>
        </w:rPr>
        <w:t> </w:t>
      </w:r>
      <w:r>
        <w:rPr/>
        <w:t>注册资本</w:t>
      </w:r>
      <w:r>
        <w:rPr>
          <w:rFonts w:ascii="Times New Roman" w:hAnsi="Times New Roman" w:cs="Times New Roman" w:eastAsia="Times New Roman" w:hint="default"/>
        </w:rPr>
        <w:t>8,000.00</w:t>
      </w:r>
      <w:r>
        <w:rPr/>
        <w:t>万元，注册资本出资已经北京中靖诚会计师事务所以中靖诚验字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E-1981</w:t>
      </w:r>
      <w:r>
        <w:rPr/>
        <w:t>号验资报告审验。</w:t>
      </w:r>
    </w:p>
    <w:p>
      <w:pPr>
        <w:spacing w:line="240" w:lineRule="auto" w:before="13"/>
        <w:rPr>
          <w:rFonts w:ascii="宋体" w:hAnsi="宋体" w:cs="宋体" w:eastAsia="宋体" w:hint="default"/>
          <w:sz w:val="19"/>
          <w:szCs w:val="19"/>
        </w:rPr>
      </w:pPr>
    </w:p>
    <w:p>
      <w:pPr>
        <w:pStyle w:val="Heading2"/>
        <w:spacing w:line="240" w:lineRule="auto"/>
        <w:ind w:left="1134" w:right="821"/>
        <w:jc w:val="left"/>
        <w:rPr>
          <w:b w:val="0"/>
          <w:bCs w:val="0"/>
        </w:rPr>
      </w:pPr>
      <w:bookmarkStart w:name="八、聘任、解聘会计师事务所情况" w:id="70"/>
      <w:bookmarkEnd w:id="70"/>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821"/>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信用中和会计师事务所（特殊普通合伙）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66.50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唐炫、唐静</w:t>
            </w:r>
          </w:p>
        </w:tc>
      </w:tr>
    </w:tbl>
    <w:p>
      <w:pPr>
        <w:pStyle w:val="BodyText"/>
        <w:spacing w:line="240" w:lineRule="auto" w:before="51"/>
        <w:ind w:left="1134" w:right="821"/>
        <w:jc w:val="left"/>
      </w:pPr>
      <w:r>
        <w:rPr/>
        <w:t>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21"/>
        <w:jc w:val="left"/>
        <w:rPr>
          <w:b w:val="0"/>
          <w:bCs w:val="0"/>
        </w:rPr>
      </w:pPr>
      <w:bookmarkStart w:name="九、年度报告披露后面临暂停上市和终止上市情况" w:id="71"/>
      <w:bookmarkEnd w:id="71"/>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21"/>
        <w:jc w:val="left"/>
        <w:rPr>
          <w:b w:val="0"/>
          <w:bCs w:val="0"/>
        </w:rPr>
      </w:pPr>
      <w:bookmarkStart w:name="十、破产重整相关事项" w:id="72"/>
      <w:bookmarkEnd w:id="72"/>
      <w:r>
        <w:rPr>
          <w:b w:val="0"/>
          <w:bCs w:val="0"/>
        </w:rPr>
      </w:r>
      <w:r>
        <w:rPr/>
        <w:t>十、破产重整相关事项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right="821"/>
        <w:jc w:val="left"/>
      </w:pPr>
      <w:r>
        <w:rPr/>
        <w:t>公司报告期未发生破产重整相关事项。</w:t>
      </w:r>
    </w:p>
    <w:p>
      <w:pPr>
        <w:spacing w:line="240" w:lineRule="auto" w:before="13"/>
        <w:rPr>
          <w:rFonts w:ascii="宋体" w:hAnsi="宋体" w:cs="宋体" w:eastAsia="宋体" w:hint="default"/>
          <w:sz w:val="24"/>
          <w:szCs w:val="24"/>
        </w:rPr>
      </w:pPr>
    </w:p>
    <w:p>
      <w:pPr>
        <w:pStyle w:val="Heading2"/>
        <w:spacing w:line="240" w:lineRule="auto"/>
        <w:ind w:right="821"/>
        <w:jc w:val="left"/>
        <w:rPr>
          <w:b w:val="0"/>
          <w:bCs w:val="0"/>
        </w:rPr>
      </w:pPr>
      <w:bookmarkStart w:name="十一、重大诉讼、仲裁事项" w:id="73"/>
      <w:bookmarkEnd w:id="73"/>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821"/>
        <w:jc w:val="left"/>
        <w:rPr>
          <w:b w:val="0"/>
          <w:bCs w:val="0"/>
        </w:rPr>
      </w:pPr>
      <w:bookmarkStart w:name="十二、处罚及整改情况" w:id="74"/>
      <w:bookmarkEnd w:id="74"/>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821"/>
        <w:jc w:val="left"/>
        <w:rPr>
          <w:b w:val="0"/>
          <w:bCs w:val="0"/>
        </w:rPr>
      </w:pPr>
      <w:bookmarkStart w:name="十三、公司及其控股股东、实际控制人的诚信状况" w:id="75"/>
      <w:bookmarkEnd w:id="75"/>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424" w:right="1642"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报告期内公司及其控股股东、实际控制人不存在未履行法院生效判决、所负数额较大的债务到期未偿清等情况。</w:t>
      </w:r>
    </w:p>
    <w:p>
      <w:pPr>
        <w:spacing w:line="240" w:lineRule="auto" w:before="7"/>
        <w:rPr>
          <w:rFonts w:ascii="宋体" w:hAnsi="宋体" w:cs="宋体" w:eastAsia="宋体" w:hint="default"/>
          <w:sz w:val="19"/>
          <w:szCs w:val="19"/>
        </w:rPr>
      </w:pPr>
    </w:p>
    <w:p>
      <w:pPr>
        <w:pStyle w:val="Heading2"/>
        <w:spacing w:line="240" w:lineRule="auto"/>
        <w:ind w:right="821"/>
        <w:jc w:val="left"/>
        <w:rPr>
          <w:b w:val="0"/>
          <w:bCs w:val="0"/>
        </w:rPr>
      </w:pPr>
      <w:bookmarkStart w:name="十四、公司股权激励计划、员工持股计划或其他员工激励措施的实施情况" w:id="76"/>
      <w:bookmarkEnd w:id="76"/>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493" w:right="821"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为进一步完善公司的法人治理结构，促进公司建立、健全激励约束机制，充分调动公司员工的积极性，有效地将股东利</w:t>
      </w:r>
    </w:p>
    <w:p>
      <w:pPr>
        <w:pStyle w:val="BodyText"/>
        <w:spacing w:line="309" w:lineRule="auto" w:before="2"/>
        <w:ind w:right="1130"/>
        <w:jc w:val="both"/>
      </w:pPr>
      <w:r>
        <w:rPr>
          <w:spacing w:val="-2"/>
        </w:rPr>
        <w:t>益、公司利益和经营者个人利益结合在一起，使各方共同关注公司的长远发展，公司董事会根据相关法律法规的规定，拟定</w:t>
      </w:r>
      <w:r>
        <w:rPr>
          <w:spacing w:val="-65"/>
        </w:rPr>
        <w:t> </w:t>
      </w:r>
      <w:r>
        <w:rPr>
          <w:spacing w:val="-65"/>
        </w:rPr>
      </w:r>
      <w:r>
        <w:rPr/>
        <w:t>了《北京合纵科技股份有限公司第一期员工持股计划（草案）（非公开发行方式认购）》，相关事宜已经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日召</w:t>
      </w:r>
      <w:r>
        <w:rPr>
          <w:spacing w:val="-85"/>
        </w:rPr>
        <w:t> </w:t>
      </w:r>
      <w:r>
        <w:rPr/>
        <w:t>开的公司第三届董事会第二十五次会议和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日召开的公司</w:t>
      </w:r>
      <w:r>
        <w:rPr>
          <w:rFonts w:ascii="Times New Roman" w:hAnsi="Times New Roman" w:cs="Times New Roman" w:eastAsia="Times New Roman" w:hint="default"/>
        </w:rPr>
        <w:t>2015</w:t>
      </w:r>
      <w:r>
        <w:rPr/>
        <w:t>年第五次临时股东大会审议通过。</w:t>
      </w:r>
    </w:p>
    <w:p>
      <w:pPr>
        <w:pStyle w:val="BodyText"/>
        <w:spacing w:line="300" w:lineRule="auto" w:before="43"/>
        <w:ind w:right="113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月，综合考虑公司实际情况和股票市场异常波动，为确保本次非公开发行的顺利进行，公司对发行价格进行调 整（由</w:t>
      </w:r>
      <w:r>
        <w:rPr>
          <w:rFonts w:ascii="Times New Roman" w:hAnsi="Times New Roman" w:cs="Times New Roman" w:eastAsia="Times New Roman" w:hint="default"/>
        </w:rPr>
        <w:t>34.66</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28.68</w:t>
      </w:r>
      <w:r>
        <w:rPr/>
        <w:t>元</w:t>
      </w:r>
      <w:r>
        <w:rPr>
          <w:rFonts w:ascii="Times New Roman" w:hAnsi="Times New Roman" w:cs="Times New Roman" w:eastAsia="Times New Roman" w:hint="default"/>
        </w:rPr>
        <w:t>/</w:t>
      </w:r>
      <w:r>
        <w:rPr/>
        <w:t>股），相关事宜已经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日召开的第三届董事会第二十七次会议和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 召开的公司</w:t>
      </w:r>
      <w:r>
        <w:rPr>
          <w:rFonts w:ascii="Times New Roman" w:hAnsi="Times New Roman" w:cs="Times New Roman" w:eastAsia="Times New Roman" w:hint="default"/>
        </w:rPr>
        <w:t>2015</w:t>
      </w:r>
      <w:r>
        <w:rPr/>
        <w:t>年第六次临时股东大会审议通过。</w:t>
      </w:r>
    </w:p>
    <w:p>
      <w:pPr>
        <w:pStyle w:val="BodyText"/>
        <w:spacing w:line="240" w:lineRule="auto" w:before="51"/>
        <w:ind w:left="1494" w:right="821"/>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月，公司根据有关规定就该员工持股计划涉及的非公开发行股份事宜向中国证监会申请核准，并于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p>
    <w:p>
      <w:pPr>
        <w:pStyle w:val="BodyText"/>
        <w:spacing w:line="240" w:lineRule="auto" w:before="64"/>
        <w:ind w:right="821"/>
        <w:jc w:val="left"/>
      </w:pPr>
      <w:r>
        <w:rPr/>
        <w:t>月</w:t>
      </w:r>
      <w:r>
        <w:rPr>
          <w:rFonts w:ascii="Times New Roman" w:hAnsi="Times New Roman" w:cs="Times New Roman" w:eastAsia="Times New Roman" w:hint="default"/>
        </w:rPr>
        <w:t>30</w:t>
      </w:r>
      <w:r>
        <w:rPr/>
        <w:t>日收到中国证监会出具的《中国证监会行政许可申请受理通知书》（</w:t>
      </w:r>
      <w:r>
        <w:rPr>
          <w:rFonts w:ascii="Times New Roman" w:hAnsi="Times New Roman" w:cs="Times New Roman" w:eastAsia="Times New Roman" w:hint="default"/>
        </w:rPr>
        <w:t>153368</w:t>
      </w:r>
      <w:r>
        <w:rPr/>
        <w:t>号）。</w:t>
      </w:r>
    </w:p>
    <w:p>
      <w:pPr>
        <w:pStyle w:val="BodyText"/>
        <w:spacing w:line="302" w:lineRule="auto" w:before="102"/>
        <w:ind w:right="1129"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日，公司收到中国证监会下发的《中国证监会行政许可项目审查反馈意见通知书》（</w:t>
      </w:r>
      <w:r>
        <w:rPr>
          <w:rFonts w:ascii="Times New Roman" w:hAnsi="Times New Roman" w:cs="Times New Roman" w:eastAsia="Times New Roman" w:hint="default"/>
          <w:spacing w:val="-2"/>
        </w:rPr>
        <w:t>153368</w:t>
      </w:r>
      <w:r>
        <w:rPr>
          <w:spacing w:val="-2"/>
        </w:rPr>
        <w:t>号）（以下简</w:t>
      </w:r>
      <w:r>
        <w:rPr/>
        <w:t> 称</w:t>
      </w:r>
      <w:r>
        <w:rPr>
          <w:rFonts w:ascii="Times New Roman" w:hAnsi="Times New Roman" w:cs="Times New Roman" w:eastAsia="Times New Roman" w:hint="default"/>
        </w:rPr>
        <w:t>“</w:t>
      </w:r>
      <w:r>
        <w:rPr/>
        <w:t>反馈意见</w:t>
      </w:r>
      <w:r>
        <w:rPr>
          <w:rFonts w:ascii="Times New Roman" w:hAnsi="Times New Roman" w:cs="Times New Roman" w:eastAsia="Times New Roman" w:hint="default"/>
        </w:rPr>
        <w:t>”</w:t>
      </w:r>
      <w:r>
        <w:rPr/>
        <w:t>），公司及相关中介机构对反馈意见所提出的问题进行了逐项落实。</w:t>
      </w:r>
    </w:p>
    <w:p>
      <w:pPr>
        <w:pStyle w:val="BodyText"/>
        <w:spacing w:line="302" w:lineRule="auto" w:before="49"/>
        <w:ind w:left="1134" w:right="1131"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日，中国证监会发行审核委员会对公司非公开发行股票的申请进行了审核。根据审核结果，公司本次非公 开发行股票的申请获得审核通过。截止</w:t>
      </w:r>
      <w:r>
        <w:rPr>
          <w:rFonts w:ascii="Times New Roman" w:hAnsi="Times New Roman" w:cs="Times New Roman" w:eastAsia="Times New Roman" w:hint="default"/>
        </w:rPr>
        <w:t>2015</w:t>
      </w:r>
      <w:r>
        <w:rPr/>
        <w:t>年年度报告披露日，公司尚未收到中国证监会的书面核准文件。</w:t>
      </w:r>
    </w:p>
    <w:p>
      <w:pPr>
        <w:pStyle w:val="BodyText"/>
        <w:spacing w:line="240" w:lineRule="auto" w:before="50"/>
        <w:ind w:left="1493" w:right="821"/>
        <w:jc w:val="left"/>
      </w:pPr>
      <w:r>
        <w:rPr/>
        <w:t>此次员工持股的相关事项公司已在巨潮资讯网（</w:t>
      </w:r>
      <w:hyperlink r:id="rId12">
        <w:r>
          <w:rPr>
            <w:rFonts w:ascii="Times New Roman" w:hAnsi="Times New Roman" w:cs="Times New Roman" w:eastAsia="Times New Roman" w:hint="default"/>
          </w:rPr>
          <w:t>http://www.cninfo.com.cn</w:t>
        </w:r>
      </w:hyperlink>
      <w:r>
        <w:rPr/>
        <w:t>）进行了相应的公告。</w:t>
      </w:r>
    </w:p>
    <w:p>
      <w:pPr>
        <w:spacing w:line="240" w:lineRule="auto" w:before="0"/>
        <w:rPr>
          <w:rFonts w:ascii="宋体" w:hAnsi="宋体" w:cs="宋体" w:eastAsia="宋体" w:hint="default"/>
          <w:sz w:val="24"/>
          <w:szCs w:val="24"/>
        </w:rPr>
      </w:pPr>
    </w:p>
    <w:p>
      <w:pPr>
        <w:pStyle w:val="Heading2"/>
        <w:spacing w:line="240" w:lineRule="auto"/>
        <w:ind w:right="821"/>
        <w:jc w:val="left"/>
        <w:rPr>
          <w:b w:val="0"/>
          <w:bCs w:val="0"/>
        </w:rPr>
      </w:pPr>
      <w:bookmarkStart w:name="十五、重大关联交易" w:id="77"/>
      <w:bookmarkEnd w:id="77"/>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after="0" w:line="3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821"/>
        <w:jc w:val="left"/>
        <w:rPr>
          <w:b w:val="0"/>
          <w:bCs w:val="0"/>
        </w:rPr>
      </w:pP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left="1134" w:right="821"/>
        <w:jc w:val="left"/>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821"/>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821"/>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821"/>
        <w:jc w:val="left"/>
        <w:rPr>
          <w:b w:val="0"/>
          <w:bCs w:val="0"/>
        </w:rPr>
      </w:pPr>
      <w:bookmarkStart w:name="十六、重大合同及其履行情况" w:id="83"/>
      <w:bookmarkEnd w:id="83"/>
      <w:r>
        <w:rPr>
          <w:b w:val="0"/>
          <w:bCs w:val="0"/>
        </w:rPr>
      </w:r>
      <w:r>
        <w:rPr/>
        <w:t>十六、重大合同及其履行情况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21"/>
        <w:jc w:val="left"/>
        <w:rPr>
          <w:b w:val="0"/>
          <w:bCs w:val="0"/>
        </w:rPr>
      </w:pPr>
      <w:bookmarkStart w:name="1、托管、承包、租赁事项情况" w:id="84"/>
      <w:bookmarkEnd w:id="8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托管情况" w:id="85"/>
      <w:bookmarkEnd w:id="8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821"/>
        <w:jc w:val="left"/>
        <w:rPr>
          <w:b w:val="0"/>
          <w:bCs w:val="0"/>
        </w:rPr>
      </w:pPr>
      <w:bookmarkStart w:name="（2）承包情况" w:id="86"/>
      <w:bookmarkEnd w:id="8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right="821"/>
        <w:jc w:val="left"/>
        <w:rPr>
          <w:b w:val="0"/>
          <w:bCs w:val="0"/>
        </w:rPr>
      </w:pPr>
      <w:bookmarkStart w:name="（3）租赁情况" w:id="87"/>
      <w:bookmarkEnd w:id="8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spacing w:line="240" w:lineRule="auto" w:before="2"/>
        <w:rPr>
          <w:rFonts w:ascii="宋体" w:hAnsi="宋体" w:cs="宋体" w:eastAsia="宋体" w:hint="default"/>
          <w:sz w:val="26"/>
          <w:szCs w:val="26"/>
        </w:rPr>
      </w:pPr>
    </w:p>
    <w:tbl>
      <w:tblPr>
        <w:tblW w:w="0" w:type="auto"/>
        <w:jc w:val="left"/>
        <w:tblInd w:w="1126" w:type="dxa"/>
        <w:tblLayout w:type="fixed"/>
        <w:tblCellMar>
          <w:top w:w="0" w:type="dxa"/>
          <w:left w:w="0" w:type="dxa"/>
          <w:bottom w:w="0" w:type="dxa"/>
          <w:right w:w="0" w:type="dxa"/>
        </w:tblCellMar>
        <w:tblLook w:val="01E0"/>
      </w:tblPr>
      <w:tblGrid>
        <w:gridCol w:w="622"/>
        <w:gridCol w:w="1080"/>
        <w:gridCol w:w="1134"/>
        <w:gridCol w:w="2268"/>
        <w:gridCol w:w="1196"/>
        <w:gridCol w:w="1599"/>
        <w:gridCol w:w="1462"/>
      </w:tblGrid>
      <w:tr>
        <w:trPr>
          <w:trHeight w:val="660"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租赁方名称</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房屋坐落位置</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89"/>
              <w:jc w:val="center"/>
              <w:rPr>
                <w:rFonts w:ascii="Times New Roman" w:hAnsi="Times New Roman" w:cs="Times New Roman" w:eastAsia="Times New Roman" w:hint="default"/>
                <w:sz w:val="12"/>
                <w:szCs w:val="12"/>
              </w:rPr>
            </w:pPr>
            <w:r>
              <w:rPr>
                <w:rFonts w:ascii="宋体" w:hAnsi="宋体" w:cs="宋体" w:eastAsia="宋体" w:hint="default"/>
                <w:spacing w:val="-3"/>
                <w:sz w:val="18"/>
                <w:szCs w:val="18"/>
              </w:rPr>
              <w:t>租赁面积（</w:t>
            </w:r>
            <w:r>
              <w:rPr>
                <w:rFonts w:ascii="Times New Roman" w:hAnsi="Times New Roman" w:cs="Times New Roman" w:eastAsia="Times New Roman" w:hint="default"/>
                <w:spacing w:val="-3"/>
                <w:sz w:val="18"/>
                <w:szCs w:val="18"/>
              </w:rPr>
              <w:t>m</w:t>
            </w:r>
            <w:r>
              <w:rPr>
                <w:rFonts w:ascii="Times New Roman" w:hAnsi="Times New Roman" w:cs="Times New Roman" w:eastAsia="Times New Roman" w:hint="default"/>
                <w:spacing w:val="-3"/>
                <w:position w:val="8"/>
                <w:sz w:val="12"/>
                <w:szCs w:val="12"/>
              </w:rPr>
              <w:t>2</w:t>
            </w:r>
            <w:r>
              <w:rPr>
                <w:rFonts w:ascii="Times New Roman" w:hAnsi="Times New Roman" w:cs="Times New Roman" w:eastAsia="Times New Roman" w:hint="default"/>
                <w:spacing w:val="-3"/>
                <w:sz w:val="12"/>
                <w:szCs w:val="12"/>
              </w:rPr>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21"/>
              <w:ind w:right="0"/>
              <w:jc w:val="center"/>
              <w:rPr>
                <w:rFonts w:ascii="宋体" w:hAnsi="宋体" w:cs="宋体" w:eastAsia="宋体" w:hint="default"/>
                <w:sz w:val="18"/>
                <w:szCs w:val="18"/>
              </w:rPr>
            </w:pPr>
            <w:r>
              <w:rPr>
                <w:rFonts w:ascii="宋体" w:hAnsi="宋体" w:cs="宋体" w:eastAsia="宋体" w:hint="default"/>
                <w:sz w:val="18"/>
                <w:szCs w:val="18"/>
              </w:rPr>
              <w:t>租赁合同签订时间</w:t>
            </w:r>
          </w:p>
          <w:p>
            <w:pPr>
              <w:pStyle w:val="TableParagraph"/>
              <w:spacing w:line="156" w:lineRule="exact"/>
              <w:ind w:left="-10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及租期</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租金</w:t>
            </w:r>
          </w:p>
        </w:tc>
      </w:tr>
      <w:tr>
        <w:trPr>
          <w:trHeight w:val="659"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覃静</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合纵科技</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40" w:right="90" w:hanging="250"/>
              <w:jc w:val="left"/>
              <w:rPr>
                <w:rFonts w:ascii="宋体" w:hAnsi="宋体" w:cs="宋体" w:eastAsia="宋体" w:hint="default"/>
                <w:sz w:val="18"/>
                <w:szCs w:val="18"/>
              </w:rPr>
            </w:pPr>
            <w:r>
              <w:rPr>
                <w:rFonts w:ascii="宋体" w:hAnsi="宋体" w:cs="宋体" w:eastAsia="宋体" w:hint="default"/>
                <w:sz w:val="18"/>
                <w:szCs w:val="18"/>
              </w:rPr>
              <w:t>北京市海淀区上地三街</w:t>
            </w:r>
            <w:r>
              <w:rPr>
                <w:rFonts w:ascii="Times New Roman" w:hAnsi="Times New Roman" w:cs="Times New Roman" w:eastAsia="Times New Roman" w:hint="default"/>
                <w:sz w:val="18"/>
                <w:szCs w:val="18"/>
              </w:rPr>
              <w:t>9</w:t>
            </w:r>
            <w:r>
              <w:rPr>
                <w:rFonts w:ascii="宋体" w:hAnsi="宋体" w:cs="宋体" w:eastAsia="宋体" w:hint="default"/>
                <w:sz w:val="18"/>
                <w:szCs w:val="18"/>
              </w:rPr>
              <w:t>号 嘉华大厦</w:t>
            </w:r>
            <w:r>
              <w:rPr>
                <w:rFonts w:ascii="Times New Roman" w:hAnsi="Times New Roman" w:cs="Times New Roman" w:eastAsia="Times New Roman" w:hint="default"/>
                <w:sz w:val="18"/>
                <w:szCs w:val="18"/>
              </w:rPr>
              <w:t>D</w:t>
            </w:r>
            <w:r>
              <w:rPr>
                <w:rFonts w:ascii="宋体" w:hAnsi="宋体" w:cs="宋体" w:eastAsia="宋体" w:hint="default"/>
                <w:sz w:val="18"/>
                <w:szCs w:val="18"/>
              </w:rPr>
              <w:t>座</w:t>
            </w:r>
            <w:r>
              <w:rPr>
                <w:rFonts w:ascii="Times New Roman" w:hAnsi="Times New Roman" w:cs="Times New Roman" w:eastAsia="Times New Roman" w:hint="default"/>
                <w:sz w:val="18"/>
                <w:szCs w:val="18"/>
              </w:rPr>
              <w:t>1210</w:t>
            </w:r>
            <w:r>
              <w:rPr>
                <w:rFonts w:ascii="宋体" w:hAnsi="宋体" w:cs="宋体" w:eastAsia="宋体" w:hint="default"/>
                <w:sz w:val="18"/>
                <w:szCs w:val="18"/>
              </w:rPr>
              <w:t>室</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135</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2015-04-10</w:t>
            </w:r>
            <w:r>
              <w:rPr>
                <w:rFonts w:ascii="宋体" w:hAnsi="宋体" w:cs="宋体" w:eastAsia="宋体" w:hint="default"/>
                <w:sz w:val="18"/>
                <w:szCs w:val="18"/>
              </w:rPr>
              <w:t>至</w:t>
            </w:r>
          </w:p>
          <w:p>
            <w:pPr>
              <w:pStyle w:val="TableParagraph"/>
              <w:spacing w:line="240" w:lineRule="auto" w:before="102"/>
              <w:ind w:left="370" w:right="0"/>
              <w:jc w:val="left"/>
              <w:rPr>
                <w:rFonts w:ascii="Times New Roman" w:hAnsi="Times New Roman" w:cs="Times New Roman" w:eastAsia="Times New Roman" w:hint="default"/>
                <w:sz w:val="18"/>
                <w:szCs w:val="18"/>
              </w:rPr>
            </w:pPr>
            <w:r>
              <w:rPr>
                <w:rFonts w:ascii="Times New Roman"/>
                <w:sz w:val="18"/>
              </w:rPr>
              <w:t>2017-04-09</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285,795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6" w:type="dxa"/>
        <w:tblLayout w:type="fixed"/>
        <w:tblCellMar>
          <w:top w:w="0" w:type="dxa"/>
          <w:left w:w="0" w:type="dxa"/>
          <w:bottom w:w="0" w:type="dxa"/>
          <w:right w:w="0" w:type="dxa"/>
        </w:tblCellMar>
        <w:tblLook w:val="01E0"/>
      </w:tblPr>
      <w:tblGrid>
        <w:gridCol w:w="622"/>
        <w:gridCol w:w="1080"/>
        <w:gridCol w:w="1134"/>
        <w:gridCol w:w="2268"/>
        <w:gridCol w:w="1196"/>
        <w:gridCol w:w="1599"/>
        <w:gridCol w:w="1462"/>
      </w:tblGrid>
      <w:tr>
        <w:trPr>
          <w:trHeight w:val="971"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2" w:right="-35"/>
              <w:jc w:val="left"/>
              <w:rPr>
                <w:rFonts w:ascii="宋体" w:hAnsi="宋体" w:cs="宋体" w:eastAsia="宋体" w:hint="default"/>
                <w:sz w:val="18"/>
                <w:szCs w:val="18"/>
              </w:rPr>
            </w:pPr>
            <w:r>
              <w:rPr>
                <w:rFonts w:ascii="宋体" w:hAnsi="宋体" w:cs="宋体" w:eastAsia="宋体" w:hint="default"/>
                <w:spacing w:val="31"/>
                <w:sz w:val="18"/>
                <w:szCs w:val="18"/>
              </w:rPr>
              <w:t>北京九松投</w:t>
            </w:r>
            <w:r>
              <w:rPr>
                <w:rFonts w:ascii="宋体" w:hAnsi="宋体" w:cs="宋体" w:eastAsia="宋体" w:hint="default"/>
                <w:spacing w:val="-51"/>
                <w:sz w:val="18"/>
                <w:szCs w:val="18"/>
              </w:rPr>
              <w:t> </w:t>
            </w:r>
            <w:r>
              <w:rPr>
                <w:rFonts w:ascii="宋体" w:hAnsi="宋体" w:cs="宋体" w:eastAsia="宋体" w:hint="default"/>
                <w:sz w:val="18"/>
                <w:szCs w:val="18"/>
              </w:rPr>
              <w:t>资实业公司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合纵实科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71" w:right="46" w:hanging="526"/>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北京密云县经济开发区兴盛 南路</w:t>
            </w:r>
            <w:r>
              <w:rPr>
                <w:rFonts w:ascii="Times New Roman" w:hAnsi="Times New Roman" w:cs="Times New Roman" w:eastAsia="Times New Roman" w:hint="default"/>
                <w:sz w:val="18"/>
                <w:szCs w:val="18"/>
              </w:rPr>
              <w:t>8</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6,405.10</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2014-02-13</w:t>
            </w:r>
            <w:r>
              <w:rPr>
                <w:rFonts w:ascii="宋体" w:hAnsi="宋体" w:cs="宋体" w:eastAsia="宋体" w:hint="default"/>
                <w:sz w:val="18"/>
                <w:szCs w:val="18"/>
              </w:rPr>
              <w:t>至</w:t>
            </w:r>
          </w:p>
          <w:p>
            <w:pPr>
              <w:pStyle w:val="TableParagraph"/>
              <w:spacing w:line="240" w:lineRule="auto" w:before="102"/>
              <w:ind w:left="370" w:right="0"/>
              <w:jc w:val="left"/>
              <w:rPr>
                <w:rFonts w:ascii="Times New Roman" w:hAnsi="Times New Roman" w:cs="Times New Roman" w:eastAsia="Times New Roman" w:hint="default"/>
                <w:sz w:val="18"/>
                <w:szCs w:val="18"/>
              </w:rPr>
            </w:pPr>
            <w:r>
              <w:rPr>
                <w:rFonts w:ascii="Times New Roman"/>
                <w:sz w:val="18"/>
              </w:rPr>
              <w:t>2016-02-12</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1,537,224</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1283"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57"/>
              <w:jc w:val="right"/>
              <w:rPr>
                <w:rFonts w:ascii="Times New Roman" w:hAnsi="Times New Roman" w:cs="Times New Roman" w:eastAsia="Times New Roman" w:hint="default"/>
                <w:sz w:val="18"/>
                <w:szCs w:val="18"/>
              </w:rPr>
            </w:pPr>
            <w:r>
              <w:rPr>
                <w:rFonts w:ascii="Times New Roman"/>
                <w:sz w:val="18"/>
              </w:rPr>
              <w:t>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2" w:right="-35"/>
              <w:jc w:val="left"/>
              <w:rPr>
                <w:rFonts w:ascii="宋体" w:hAnsi="宋体" w:cs="宋体" w:eastAsia="宋体" w:hint="default"/>
                <w:sz w:val="18"/>
                <w:szCs w:val="18"/>
              </w:rPr>
            </w:pPr>
            <w:r>
              <w:rPr>
                <w:rFonts w:ascii="宋体" w:hAnsi="宋体" w:cs="宋体" w:eastAsia="宋体" w:hint="default"/>
                <w:spacing w:val="31"/>
                <w:sz w:val="18"/>
                <w:szCs w:val="18"/>
              </w:rPr>
              <w:t>北京九松投</w:t>
            </w:r>
            <w:r>
              <w:rPr>
                <w:rFonts w:ascii="宋体" w:hAnsi="宋体" w:cs="宋体" w:eastAsia="宋体" w:hint="default"/>
                <w:spacing w:val="-51"/>
                <w:sz w:val="18"/>
                <w:szCs w:val="18"/>
              </w:rPr>
              <w:t> </w:t>
            </w:r>
            <w:r>
              <w:rPr>
                <w:rFonts w:ascii="宋体" w:hAnsi="宋体" w:cs="宋体" w:eastAsia="宋体" w:hint="default"/>
                <w:sz w:val="18"/>
                <w:szCs w:val="18"/>
              </w:rPr>
              <w:t>资实业公司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合纵实科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631" w:right="46" w:hanging="586"/>
              <w:jc w:val="left"/>
              <w:rPr>
                <w:rFonts w:ascii="宋体" w:hAnsi="宋体" w:cs="宋体" w:eastAsia="宋体" w:hint="default"/>
                <w:sz w:val="18"/>
                <w:szCs w:val="18"/>
              </w:rPr>
            </w:pPr>
            <w:r>
              <w:rPr>
                <w:rFonts w:ascii="宋体" w:hAnsi="宋体" w:cs="宋体" w:eastAsia="宋体" w:hint="default"/>
                <w:sz w:val="18"/>
                <w:szCs w:val="18"/>
              </w:rPr>
              <w:t>密云经济开发区一期太阳公 寓</w:t>
            </w:r>
            <w:r>
              <w:rPr>
                <w:rFonts w:ascii="Times New Roman" w:hAnsi="Times New Roman" w:cs="Times New Roman" w:eastAsia="Times New Roman" w:hint="default"/>
                <w:sz w:val="18"/>
                <w:szCs w:val="18"/>
              </w:rPr>
              <w:t>3</w:t>
            </w:r>
            <w:r>
              <w:rPr>
                <w:rFonts w:ascii="宋体" w:hAnsi="宋体" w:cs="宋体" w:eastAsia="宋体" w:hint="default"/>
                <w:sz w:val="18"/>
                <w:szCs w:val="18"/>
              </w:rPr>
              <w:t>号楼</w:t>
            </w:r>
            <w:r>
              <w:rPr>
                <w:rFonts w:ascii="Times New Roman" w:hAnsi="Times New Roman" w:cs="Times New Roman" w:eastAsia="Times New Roman" w:hint="default"/>
                <w:sz w:val="18"/>
                <w:szCs w:val="18"/>
              </w:rPr>
              <w:t>57</w:t>
            </w:r>
            <w:r>
              <w:rPr>
                <w:rFonts w:ascii="宋体" w:hAnsi="宋体" w:cs="宋体" w:eastAsia="宋体" w:hint="default"/>
                <w:sz w:val="18"/>
                <w:szCs w:val="18"/>
              </w:rPr>
              <w:t>间</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2,055.72</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2014-08-09</w:t>
            </w:r>
            <w:r>
              <w:rPr>
                <w:rFonts w:ascii="宋体" w:hAnsi="宋体" w:cs="宋体" w:eastAsia="宋体" w:hint="default"/>
                <w:sz w:val="18"/>
                <w:szCs w:val="18"/>
              </w:rPr>
              <w:t>至</w:t>
            </w:r>
          </w:p>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2015-08-08</w:t>
            </w:r>
          </w:p>
          <w:p>
            <w:pPr>
              <w:pStyle w:val="TableParagraph"/>
              <w:spacing w:line="300" w:lineRule="auto" w:before="65"/>
              <w:ind w:left="225" w:right="22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-0</w:t>
            </w:r>
            <w:r>
              <w:rPr>
                <w:rFonts w:ascii="Times New Roman" w:hAnsi="Times New Roman" w:cs="Times New Roman" w:eastAsia="Times New Roman" w:hint="default"/>
                <w:sz w:val="18"/>
                <w:szCs w:val="18"/>
              </w:rPr>
              <w:t>8</w:t>
            </w:r>
            <w:r>
              <w:rPr>
                <w:rFonts w:ascii="宋体" w:hAnsi="宋体" w:cs="宋体" w:eastAsia="宋体" w:hint="default"/>
                <w:sz w:val="18"/>
                <w:szCs w:val="18"/>
              </w:rPr>
              <w:t>-0</w:t>
            </w:r>
            <w:r>
              <w:rPr>
                <w:rFonts w:ascii="Times New Roman" w:hAnsi="Times New Roman" w:cs="Times New Roman" w:eastAsia="Times New Roman" w:hint="default"/>
                <w:sz w:val="18"/>
                <w:szCs w:val="18"/>
              </w:rPr>
              <w:t>8</w:t>
            </w:r>
            <w:r>
              <w:rPr>
                <w:rFonts w:ascii="宋体" w:hAnsi="宋体" w:cs="宋体" w:eastAsia="宋体" w:hint="default"/>
                <w:sz w:val="18"/>
                <w:szCs w:val="18"/>
              </w:rPr>
              <w:t>至 </w:t>
            </w:r>
            <w:r>
              <w:rPr>
                <w:rFonts w:ascii="Times New Roman" w:hAnsi="Times New Roman" w:cs="Times New Roman" w:eastAsia="Times New Roman" w:hint="default"/>
                <w:sz w:val="18"/>
                <w:szCs w:val="18"/>
              </w:rPr>
              <w:t>2016</w:t>
            </w:r>
            <w:r>
              <w:rPr>
                <w:rFonts w:ascii="宋体" w:hAnsi="宋体" w:cs="宋体" w:eastAsia="宋体" w:hint="default"/>
                <w:sz w:val="18"/>
                <w:szCs w:val="18"/>
              </w:rPr>
              <w:t>-0</w:t>
            </w:r>
            <w:r>
              <w:rPr>
                <w:rFonts w:ascii="Times New Roman" w:hAnsi="Times New Roman" w:cs="Times New Roman" w:eastAsia="Times New Roman" w:hint="default"/>
                <w:sz w:val="18"/>
                <w:szCs w:val="18"/>
              </w:rPr>
              <w:t>1</w:t>
            </w:r>
            <w:r>
              <w:rPr>
                <w:rFonts w:ascii="宋体" w:hAnsi="宋体" w:cs="宋体" w:eastAsia="宋体" w:hint="default"/>
                <w:sz w:val="18"/>
                <w:szCs w:val="18"/>
              </w:rPr>
              <w:t>-0</w:t>
            </w:r>
            <w:r>
              <w:rPr>
                <w:rFonts w:ascii="Times New Roman" w:hAnsi="Times New Roman" w:cs="Times New Roman" w:eastAsia="Times New Roman" w:hint="default"/>
                <w:sz w:val="18"/>
                <w:szCs w:val="18"/>
              </w:rPr>
              <w:t>8</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394,200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1283"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57"/>
              <w:jc w:val="right"/>
              <w:rPr>
                <w:rFonts w:ascii="Times New Roman" w:hAnsi="Times New Roman" w:cs="Times New Roman" w:eastAsia="Times New Roman" w:hint="default"/>
                <w:sz w:val="18"/>
                <w:szCs w:val="18"/>
              </w:rPr>
            </w:pPr>
            <w:r>
              <w:rPr>
                <w:rFonts w:ascii="Times New Roman"/>
                <w:sz w:val="18"/>
              </w:rPr>
              <w:t>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2" w:right="-35"/>
              <w:jc w:val="both"/>
              <w:rPr>
                <w:rFonts w:ascii="宋体" w:hAnsi="宋体" w:cs="宋体" w:eastAsia="宋体" w:hint="default"/>
                <w:sz w:val="18"/>
                <w:szCs w:val="18"/>
              </w:rPr>
            </w:pPr>
            <w:r>
              <w:rPr>
                <w:rFonts w:ascii="宋体" w:hAnsi="宋体" w:cs="宋体" w:eastAsia="宋体" w:hint="default"/>
                <w:spacing w:val="31"/>
                <w:sz w:val="18"/>
                <w:szCs w:val="18"/>
              </w:rPr>
              <w:t>北京世纪万</w:t>
            </w:r>
            <w:r>
              <w:rPr>
                <w:rFonts w:ascii="宋体" w:hAnsi="宋体" w:cs="宋体" w:eastAsia="宋体" w:hint="default"/>
                <w:spacing w:val="-51"/>
                <w:sz w:val="18"/>
                <w:szCs w:val="18"/>
              </w:rPr>
              <w:t> </w:t>
            </w:r>
            <w:r>
              <w:rPr>
                <w:rFonts w:ascii="宋体" w:hAnsi="宋体" w:cs="宋体" w:eastAsia="宋体" w:hint="default"/>
                <w:spacing w:val="31"/>
                <w:sz w:val="18"/>
                <w:szCs w:val="18"/>
              </w:rPr>
              <w:t>通科技投资</w:t>
            </w:r>
            <w:r>
              <w:rPr>
                <w:rFonts w:ascii="宋体" w:hAnsi="宋体" w:cs="宋体" w:eastAsia="宋体" w:hint="default"/>
                <w:spacing w:val="-51"/>
                <w:sz w:val="18"/>
                <w:szCs w:val="18"/>
              </w:rPr>
              <w:t> </w:t>
            </w:r>
            <w:r>
              <w:rPr>
                <w:rFonts w:ascii="宋体" w:hAnsi="宋体" w:cs="宋体" w:eastAsia="宋体" w:hint="default"/>
                <w:sz w:val="18"/>
                <w:szCs w:val="18"/>
              </w:rPr>
              <w:t>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合纵畅达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00" w:lineRule="auto"/>
              <w:ind w:left="91" w:right="90"/>
              <w:jc w:val="center"/>
              <w:rPr>
                <w:rFonts w:ascii="宋体" w:hAnsi="宋体" w:cs="宋体" w:eastAsia="宋体" w:hint="default"/>
                <w:sz w:val="18"/>
                <w:szCs w:val="18"/>
              </w:rPr>
            </w:pPr>
            <w:r>
              <w:rPr>
                <w:rFonts w:ascii="宋体" w:hAnsi="宋体" w:cs="宋体" w:eastAsia="宋体" w:hint="default"/>
                <w:sz w:val="18"/>
                <w:szCs w:val="18"/>
              </w:rPr>
              <w:t>密云县工业开发区清源路</w:t>
            </w:r>
            <w:r>
              <w:rPr>
                <w:rFonts w:ascii="Times New Roman" w:hAnsi="Times New Roman" w:cs="Times New Roman" w:eastAsia="Times New Roman" w:hint="default"/>
                <w:sz w:val="18"/>
                <w:szCs w:val="18"/>
              </w:rPr>
              <w:t>2 </w:t>
            </w:r>
            <w:r>
              <w:rPr>
                <w:rFonts w:ascii="宋体" w:hAnsi="宋体" w:cs="宋体" w:eastAsia="宋体" w:hint="default"/>
                <w:sz w:val="18"/>
                <w:szCs w:val="18"/>
              </w:rPr>
              <w:t>号院内</w:t>
            </w:r>
            <w:r>
              <w:rPr>
                <w:rFonts w:ascii="Times New Roman" w:hAnsi="Times New Roman" w:cs="Times New Roman" w:eastAsia="Times New Roman" w:hint="default"/>
                <w:sz w:val="18"/>
                <w:szCs w:val="18"/>
              </w:rPr>
              <w:t>1</w:t>
            </w:r>
            <w:r>
              <w:rPr>
                <w:rFonts w:ascii="宋体" w:hAnsi="宋体" w:cs="宋体" w:eastAsia="宋体" w:hint="default"/>
                <w:sz w:val="18"/>
                <w:szCs w:val="18"/>
              </w:rPr>
              <w:t>号厂房及宿舍楼内 </w:t>
            </w:r>
            <w:r>
              <w:rPr>
                <w:rFonts w:ascii="Times New Roman" w:hAnsi="Times New Roman" w:cs="Times New Roman" w:eastAsia="Times New Roman" w:hint="default"/>
                <w:sz w:val="18"/>
                <w:szCs w:val="18"/>
              </w:rPr>
              <w:t>A1</w:t>
            </w:r>
            <w:r>
              <w:rPr>
                <w:rFonts w:ascii="宋体" w:hAnsi="宋体" w:cs="宋体" w:eastAsia="宋体" w:hint="default"/>
                <w:sz w:val="18"/>
                <w:szCs w:val="18"/>
              </w:rPr>
              <w:t>左房间</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4,776</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2012-03-15</w:t>
            </w:r>
            <w:r>
              <w:rPr>
                <w:rFonts w:ascii="宋体" w:hAnsi="宋体" w:cs="宋体" w:eastAsia="宋体" w:hint="default"/>
                <w:sz w:val="18"/>
                <w:szCs w:val="18"/>
              </w:rPr>
              <w:t>至</w:t>
            </w:r>
          </w:p>
          <w:p>
            <w:pPr>
              <w:pStyle w:val="TableParagraph"/>
              <w:spacing w:line="240" w:lineRule="auto" w:before="102"/>
              <w:ind w:left="370" w:right="0"/>
              <w:jc w:val="left"/>
              <w:rPr>
                <w:rFonts w:ascii="Times New Roman" w:hAnsi="Times New Roman" w:cs="Times New Roman" w:eastAsia="Times New Roman" w:hint="default"/>
                <w:sz w:val="18"/>
                <w:szCs w:val="18"/>
              </w:rPr>
            </w:pPr>
            <w:r>
              <w:rPr>
                <w:rFonts w:ascii="Times New Roman"/>
                <w:sz w:val="18"/>
              </w:rPr>
              <w:t>2017-03-14</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号厂房：</w:t>
            </w:r>
            <w:r>
              <w:rPr>
                <w:rFonts w:ascii="Times New Roman" w:hAnsi="Times New Roman" w:cs="Times New Roman" w:eastAsia="Times New Roman" w:hint="default"/>
                <w:spacing w:val="7"/>
                <w:sz w:val="18"/>
                <w:szCs w:val="18"/>
              </w:rPr>
              <w:t>0.46</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18"/>
                <w:sz w:val="18"/>
                <w:szCs w:val="18"/>
              </w:rPr>
              <w:t>宿舍楼内</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24"/>
                <w:sz w:val="18"/>
                <w:szCs w:val="18"/>
              </w:rPr>
              <w:t> </w:t>
            </w:r>
            <w:r>
              <w:rPr>
                <w:rFonts w:ascii="宋体" w:hAnsi="宋体" w:cs="宋体" w:eastAsia="宋体" w:hint="default"/>
                <w:spacing w:val="12"/>
                <w:sz w:val="18"/>
                <w:szCs w:val="18"/>
              </w:rPr>
              <w:t>左房</w:t>
            </w:r>
            <w:r>
              <w:rPr>
                <w:rFonts w:ascii="宋体" w:hAnsi="宋体" w:cs="宋体" w:eastAsia="宋体" w:hint="default"/>
                <w:spacing w:val="-67"/>
                <w:sz w:val="18"/>
                <w:szCs w:val="18"/>
              </w:rPr>
              <w:t> </w:t>
            </w:r>
            <w:r>
              <w:rPr>
                <w:rFonts w:ascii="宋体" w:hAnsi="宋体" w:cs="宋体" w:eastAsia="宋体" w:hint="default"/>
                <w:sz w:val="18"/>
                <w:szCs w:val="18"/>
              </w:rPr>
              <w:t>间：免费</w:t>
            </w:r>
          </w:p>
        </w:tc>
      </w:tr>
      <w:tr>
        <w:trPr>
          <w:trHeight w:val="972"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5"/>
              <w:jc w:val="both"/>
              <w:rPr>
                <w:rFonts w:ascii="宋体" w:hAnsi="宋体" w:cs="宋体" w:eastAsia="宋体" w:hint="default"/>
                <w:sz w:val="18"/>
                <w:szCs w:val="18"/>
              </w:rPr>
            </w:pPr>
            <w:r>
              <w:rPr>
                <w:rFonts w:ascii="宋体" w:hAnsi="宋体" w:cs="宋体" w:eastAsia="宋体" w:hint="default"/>
                <w:spacing w:val="31"/>
                <w:sz w:val="18"/>
                <w:szCs w:val="18"/>
              </w:rPr>
              <w:t>北京北控宏</w:t>
            </w:r>
            <w:r>
              <w:rPr>
                <w:rFonts w:ascii="宋体" w:hAnsi="宋体" w:cs="宋体" w:eastAsia="宋体" w:hint="default"/>
                <w:spacing w:val="-51"/>
                <w:sz w:val="18"/>
                <w:szCs w:val="18"/>
              </w:rPr>
              <w:t> </w:t>
            </w:r>
            <w:r>
              <w:rPr>
                <w:rFonts w:ascii="宋体" w:hAnsi="宋体" w:cs="宋体" w:eastAsia="宋体" w:hint="default"/>
                <w:spacing w:val="31"/>
                <w:sz w:val="18"/>
                <w:szCs w:val="18"/>
              </w:rPr>
              <w:t>创科技有限</w:t>
            </w:r>
            <w:r>
              <w:rPr>
                <w:rFonts w:ascii="宋体" w:hAnsi="宋体" w:cs="宋体" w:eastAsia="宋体" w:hint="default"/>
                <w:spacing w:val="-51"/>
                <w:sz w:val="18"/>
                <w:szCs w:val="18"/>
              </w:rPr>
              <w:t> </w:t>
            </w:r>
            <w:r>
              <w:rPr>
                <w:rFonts w:ascii="宋体" w:hAnsi="宋体" w:cs="宋体" w:eastAsia="宋体" w:hint="default"/>
                <w:sz w:val="18"/>
                <w:szCs w:val="18"/>
              </w:rPr>
              <w:t>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合纵科技</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495" w:right="46" w:hanging="450"/>
              <w:jc w:val="left"/>
              <w:rPr>
                <w:rFonts w:ascii="宋体" w:hAnsi="宋体" w:cs="宋体" w:eastAsia="宋体" w:hint="default"/>
                <w:sz w:val="18"/>
                <w:szCs w:val="18"/>
              </w:rPr>
            </w:pPr>
            <w:r>
              <w:rPr>
                <w:rFonts w:ascii="宋体" w:hAnsi="宋体" w:cs="宋体" w:eastAsia="宋体" w:hint="default"/>
                <w:sz w:val="18"/>
                <w:szCs w:val="18"/>
              </w:rPr>
              <w:t>北京市昌平科技园区超前路 甲</w:t>
            </w:r>
            <w:r>
              <w:rPr>
                <w:rFonts w:ascii="Times New Roman" w:hAnsi="Times New Roman" w:cs="Times New Roman" w:eastAsia="Times New Roman" w:hint="default"/>
                <w:sz w:val="18"/>
                <w:szCs w:val="18"/>
              </w:rPr>
              <w:t>1</w:t>
            </w:r>
            <w:r>
              <w:rPr>
                <w:rFonts w:ascii="宋体" w:hAnsi="宋体" w:cs="宋体" w:eastAsia="宋体" w:hint="default"/>
                <w:sz w:val="18"/>
                <w:szCs w:val="18"/>
              </w:rPr>
              <w:t>号</w:t>
            </w:r>
            <w:r>
              <w:rPr>
                <w:rFonts w:ascii="Times New Roman" w:hAnsi="Times New Roman" w:cs="Times New Roman" w:eastAsia="Times New Roman" w:hint="default"/>
                <w:sz w:val="18"/>
                <w:szCs w:val="18"/>
              </w:rPr>
              <w:t>17</w:t>
            </w:r>
            <w:r>
              <w:rPr>
                <w:rFonts w:ascii="宋体" w:hAnsi="宋体" w:cs="宋体" w:eastAsia="宋体" w:hint="default"/>
                <w:sz w:val="18"/>
                <w:szCs w:val="18"/>
              </w:rPr>
              <w:t>号楼</w:t>
            </w:r>
            <w:r>
              <w:rPr>
                <w:rFonts w:ascii="Times New Roman" w:hAnsi="Times New Roman" w:cs="Times New Roman" w:eastAsia="Times New Roman" w:hint="default"/>
                <w:sz w:val="18"/>
                <w:szCs w:val="18"/>
              </w:rPr>
              <w:t>3</w:t>
            </w:r>
            <w:r>
              <w:rPr>
                <w:rFonts w:ascii="宋体" w:hAnsi="宋体" w:cs="宋体" w:eastAsia="宋体" w:hint="default"/>
                <w:sz w:val="18"/>
                <w:szCs w:val="18"/>
              </w:rPr>
              <w:t>层</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870</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2012-10-01</w:t>
            </w:r>
            <w:r>
              <w:rPr>
                <w:rFonts w:ascii="宋体" w:hAnsi="宋体" w:cs="宋体" w:eastAsia="宋体" w:hint="default"/>
                <w:sz w:val="18"/>
                <w:szCs w:val="18"/>
              </w:rPr>
              <w:t>至</w:t>
            </w:r>
          </w:p>
          <w:p>
            <w:pPr>
              <w:pStyle w:val="TableParagraph"/>
              <w:spacing w:line="240" w:lineRule="auto" w:before="102"/>
              <w:ind w:left="370" w:right="0"/>
              <w:jc w:val="left"/>
              <w:rPr>
                <w:rFonts w:ascii="Times New Roman" w:hAnsi="Times New Roman" w:cs="Times New Roman" w:eastAsia="Times New Roman" w:hint="default"/>
                <w:sz w:val="18"/>
                <w:szCs w:val="18"/>
              </w:rPr>
            </w:pPr>
            <w:r>
              <w:rPr>
                <w:rFonts w:ascii="Times New Roman"/>
                <w:sz w:val="18"/>
              </w:rPr>
              <w:t>2015-09-30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59"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钱瑞</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合纵科技</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宋体" w:hAnsi="宋体" w:cs="宋体" w:eastAsia="宋体" w:hint="default"/>
                <w:sz w:val="18"/>
                <w:szCs w:val="18"/>
              </w:rPr>
            </w:pPr>
            <w:r>
              <w:rPr>
                <w:rFonts w:ascii="宋体" w:hAnsi="宋体" w:cs="宋体" w:eastAsia="宋体" w:hint="default"/>
                <w:spacing w:val="13"/>
                <w:sz w:val="18"/>
                <w:szCs w:val="18"/>
              </w:rPr>
              <w:t>北京市海淀区上地三街</w:t>
            </w:r>
            <w:r>
              <w:rPr>
                <w:rFonts w:ascii="宋体" w:hAnsi="宋体" w:cs="宋体" w:eastAsia="宋体" w:hint="default"/>
                <w:spacing w:val="-69"/>
                <w:sz w:val="18"/>
                <w:szCs w:val="18"/>
              </w:rPr>
              <w:t> </w:t>
            </w: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号</w:t>
            </w:r>
            <w:r>
              <w:rPr>
                <w:rFonts w:ascii="宋体" w:hAnsi="宋体" w:cs="宋体" w:eastAsia="宋体" w:hint="default"/>
                <w:spacing w:val="-85"/>
                <w:sz w:val="18"/>
                <w:szCs w:val="18"/>
              </w:rPr>
              <w:t> </w:t>
            </w:r>
            <w:r>
              <w:rPr>
                <w:rFonts w:ascii="宋体" w:hAnsi="宋体" w:cs="宋体" w:eastAsia="宋体" w:hint="default"/>
                <w:sz w:val="18"/>
                <w:szCs w:val="18"/>
              </w:rPr>
              <w:t>嘉华大厦</w:t>
            </w:r>
            <w:r>
              <w:rPr>
                <w:rFonts w:ascii="Times New Roman" w:hAnsi="Times New Roman" w:cs="Times New Roman" w:eastAsia="Times New Roman" w:hint="default"/>
                <w:sz w:val="18"/>
                <w:szCs w:val="18"/>
              </w:rPr>
              <w:t>D</w:t>
            </w:r>
            <w:r>
              <w:rPr>
                <w:rFonts w:ascii="宋体" w:hAnsi="宋体" w:cs="宋体" w:eastAsia="宋体" w:hint="default"/>
                <w:sz w:val="18"/>
                <w:szCs w:val="18"/>
              </w:rPr>
              <w:t>座</w:t>
            </w:r>
            <w:r>
              <w:rPr>
                <w:rFonts w:ascii="Times New Roman" w:hAnsi="Times New Roman" w:cs="Times New Roman" w:eastAsia="Times New Roman" w:hint="default"/>
                <w:sz w:val="18"/>
                <w:szCs w:val="18"/>
              </w:rPr>
              <w:t>1206</w:t>
            </w:r>
            <w:r>
              <w:rPr>
                <w:rFonts w:ascii="宋体" w:hAnsi="宋体" w:cs="宋体" w:eastAsia="宋体" w:hint="default"/>
                <w:sz w:val="18"/>
                <w:szCs w:val="18"/>
              </w:rPr>
              <w:t>室</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134.82</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2015-05-10</w:t>
            </w:r>
            <w:r>
              <w:rPr>
                <w:rFonts w:ascii="宋体" w:hAnsi="宋体" w:cs="宋体" w:eastAsia="宋体" w:hint="default"/>
                <w:sz w:val="18"/>
                <w:szCs w:val="18"/>
              </w:rPr>
              <w:t>至</w:t>
            </w:r>
          </w:p>
          <w:p>
            <w:pPr>
              <w:pStyle w:val="TableParagraph"/>
              <w:spacing w:line="240" w:lineRule="auto" w:before="102"/>
              <w:ind w:left="370" w:right="0"/>
              <w:jc w:val="left"/>
              <w:rPr>
                <w:rFonts w:ascii="Times New Roman" w:hAnsi="Times New Roman" w:cs="Times New Roman" w:eastAsia="Times New Roman" w:hint="default"/>
                <w:sz w:val="18"/>
                <w:szCs w:val="18"/>
              </w:rPr>
            </w:pPr>
            <w:r>
              <w:rPr>
                <w:rFonts w:ascii="Times New Roman"/>
                <w:sz w:val="18"/>
              </w:rPr>
              <w:t>2016-05-09</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21,324.03</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r>
      <w:tr>
        <w:trPr>
          <w:trHeight w:val="1595"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1" w:right="83"/>
              <w:jc w:val="center"/>
              <w:rPr>
                <w:rFonts w:ascii="宋体" w:hAnsi="宋体" w:cs="宋体" w:eastAsia="宋体" w:hint="default"/>
                <w:sz w:val="18"/>
                <w:szCs w:val="18"/>
              </w:rPr>
            </w:pPr>
            <w:r>
              <w:rPr>
                <w:rFonts w:ascii="宋体" w:hAnsi="宋体" w:cs="宋体" w:eastAsia="宋体" w:hint="default"/>
                <w:sz w:val="18"/>
                <w:szCs w:val="18"/>
              </w:rPr>
              <w:t>北京金隅物 业管理有限 责任公司金 隅嘉华分公 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合纵科技</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00" w:lineRule="auto"/>
              <w:ind w:left="2" w:right="-11"/>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北京海淀区上地三街</w:t>
            </w:r>
            <w:r>
              <w:rPr>
                <w:rFonts w:ascii="宋体" w:hAnsi="宋体" w:cs="宋体" w:eastAsia="宋体" w:hint="default"/>
                <w:spacing w:val="-70"/>
                <w:sz w:val="18"/>
                <w:szCs w:val="18"/>
              </w:rPr>
              <w:t> </w:t>
            </w:r>
            <w:r>
              <w:rPr>
                <w:rFonts w:ascii="Times New Roman" w:hAnsi="Times New Roman" w:cs="Times New Roman" w:eastAsia="Times New Roman" w:hint="default"/>
                <w:spacing w:val="15"/>
                <w:sz w:val="18"/>
                <w:szCs w:val="18"/>
              </w:rPr>
              <w:t>9</w:t>
            </w:r>
            <w:r>
              <w:rPr>
                <w:rFonts w:ascii="宋体" w:hAnsi="宋体" w:cs="宋体" w:eastAsia="宋体" w:hint="default"/>
                <w:spacing w:val="15"/>
                <w:sz w:val="18"/>
                <w:szCs w:val="18"/>
              </w:rPr>
              <w:t>号嘉</w:t>
            </w:r>
            <w:r>
              <w:rPr>
                <w:rFonts w:ascii="宋体" w:hAnsi="宋体" w:cs="宋体" w:eastAsia="宋体" w:hint="default"/>
                <w:spacing w:val="-87"/>
                <w:sz w:val="18"/>
                <w:szCs w:val="18"/>
              </w:rPr>
              <w:t> </w:t>
            </w:r>
            <w:r>
              <w:rPr>
                <w:rFonts w:ascii="宋体" w:hAnsi="宋体" w:cs="宋体" w:eastAsia="宋体" w:hint="default"/>
                <w:sz w:val="18"/>
                <w:szCs w:val="18"/>
              </w:rPr>
              <w:t>华大厦</w:t>
            </w:r>
            <w:r>
              <w:rPr>
                <w:rFonts w:ascii="Times New Roman" w:hAnsi="Times New Roman" w:cs="Times New Roman" w:eastAsia="Times New Roman" w:hint="default"/>
                <w:sz w:val="18"/>
                <w:szCs w:val="18"/>
              </w:rPr>
              <w:t>D</w:t>
            </w:r>
            <w:r>
              <w:rPr>
                <w:rFonts w:ascii="宋体" w:hAnsi="宋体" w:cs="宋体" w:eastAsia="宋体" w:hint="default"/>
                <w:sz w:val="18"/>
                <w:szCs w:val="18"/>
              </w:rPr>
              <w:t>座</w:t>
            </w:r>
            <w:r>
              <w:rPr>
                <w:rFonts w:ascii="Times New Roman" w:hAnsi="Times New Roman" w:cs="Times New Roman" w:eastAsia="Times New Roman" w:hint="default"/>
                <w:sz w:val="18"/>
                <w:szCs w:val="18"/>
              </w:rPr>
              <w:t>B1-23</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65</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2015-04-01</w:t>
            </w:r>
            <w:r>
              <w:rPr>
                <w:rFonts w:ascii="宋体" w:hAnsi="宋体" w:cs="宋体" w:eastAsia="宋体" w:hint="default"/>
                <w:sz w:val="18"/>
                <w:szCs w:val="18"/>
              </w:rPr>
              <w:t>至</w:t>
            </w:r>
          </w:p>
          <w:p>
            <w:pPr>
              <w:pStyle w:val="TableParagraph"/>
              <w:spacing w:line="240" w:lineRule="auto" w:before="102"/>
              <w:ind w:left="370" w:right="0"/>
              <w:jc w:val="left"/>
              <w:rPr>
                <w:rFonts w:ascii="Times New Roman" w:hAnsi="Times New Roman" w:cs="Times New Roman" w:eastAsia="Times New Roman" w:hint="default"/>
                <w:sz w:val="18"/>
                <w:szCs w:val="18"/>
              </w:rPr>
            </w:pPr>
            <w:r>
              <w:rPr>
                <w:rFonts w:ascii="Times New Roman"/>
                <w:sz w:val="18"/>
              </w:rPr>
              <w:t>2016-03-31</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4,349.58</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r>
      <w:tr>
        <w:trPr>
          <w:trHeight w:val="971"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1" w:right="83"/>
              <w:jc w:val="center"/>
              <w:rPr>
                <w:rFonts w:ascii="宋体" w:hAnsi="宋体" w:cs="宋体" w:eastAsia="宋体" w:hint="default"/>
                <w:sz w:val="18"/>
                <w:szCs w:val="18"/>
              </w:rPr>
            </w:pPr>
            <w:r>
              <w:rPr>
                <w:rFonts w:ascii="宋体" w:hAnsi="宋体" w:cs="宋体" w:eastAsia="宋体" w:hint="default"/>
                <w:sz w:val="18"/>
                <w:szCs w:val="18"/>
              </w:rPr>
              <w:t>北京密云经 济开发区总 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合纵实科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2" w:right="2"/>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北京密云县经济开发区内祥</w:t>
            </w:r>
            <w:r>
              <w:rPr>
                <w:rFonts w:ascii="宋体" w:hAnsi="宋体" w:cs="宋体" w:eastAsia="宋体" w:hint="default"/>
                <w:sz w:val="18"/>
                <w:szCs w:val="18"/>
              </w:rPr>
              <w:t> 云街</w:t>
            </w:r>
            <w:r>
              <w:rPr>
                <w:rFonts w:ascii="Times New Roman" w:hAnsi="Times New Roman" w:cs="Times New Roman" w:eastAsia="Times New Roman" w:hint="default"/>
                <w:sz w:val="18"/>
                <w:szCs w:val="18"/>
              </w:rPr>
              <w:t>3</w:t>
            </w:r>
            <w:r>
              <w:rPr>
                <w:rFonts w:ascii="宋体" w:hAnsi="宋体" w:cs="宋体" w:eastAsia="宋体" w:hint="default"/>
                <w:sz w:val="18"/>
                <w:szCs w:val="18"/>
              </w:rPr>
              <w:t>号院</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3,875.2</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2015-03-10</w:t>
            </w:r>
            <w:r>
              <w:rPr>
                <w:rFonts w:ascii="宋体" w:hAnsi="宋体" w:cs="宋体" w:eastAsia="宋体" w:hint="default"/>
                <w:sz w:val="18"/>
                <w:szCs w:val="18"/>
              </w:rPr>
              <w:t>至</w:t>
            </w:r>
          </w:p>
          <w:p>
            <w:pPr>
              <w:pStyle w:val="TableParagraph"/>
              <w:spacing w:line="240" w:lineRule="auto" w:before="102"/>
              <w:ind w:left="370" w:right="0"/>
              <w:jc w:val="left"/>
              <w:rPr>
                <w:rFonts w:ascii="Times New Roman" w:hAnsi="Times New Roman" w:cs="Times New Roman" w:eastAsia="Times New Roman" w:hint="default"/>
                <w:sz w:val="18"/>
                <w:szCs w:val="18"/>
              </w:rPr>
            </w:pPr>
            <w:r>
              <w:rPr>
                <w:rFonts w:ascii="Times New Roman"/>
                <w:sz w:val="18"/>
              </w:rPr>
              <w:t>2016-03-09</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930,048</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1283"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57"/>
              <w:jc w:val="right"/>
              <w:rPr>
                <w:rFonts w:ascii="Times New Roman" w:hAnsi="Times New Roman" w:cs="Times New Roman" w:eastAsia="Times New Roman" w:hint="default"/>
                <w:sz w:val="18"/>
                <w:szCs w:val="18"/>
              </w:rPr>
            </w:pPr>
            <w:r>
              <w:rPr>
                <w:rFonts w:ascii="Times New Roman"/>
                <w:sz w:val="18"/>
              </w:rPr>
              <w:t>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81" w:right="83"/>
              <w:jc w:val="left"/>
              <w:rPr>
                <w:rFonts w:ascii="宋体" w:hAnsi="宋体" w:cs="宋体" w:eastAsia="宋体" w:hint="default"/>
                <w:sz w:val="18"/>
                <w:szCs w:val="18"/>
              </w:rPr>
            </w:pPr>
            <w:r>
              <w:rPr>
                <w:rFonts w:ascii="宋体" w:hAnsi="宋体" w:cs="宋体" w:eastAsia="宋体" w:hint="default"/>
                <w:sz w:val="18"/>
                <w:szCs w:val="18"/>
              </w:rPr>
              <w:t>北京九松投 资实业公司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合纵实科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09" w:lineRule="auto"/>
              <w:ind w:left="2" w:right="0"/>
              <w:jc w:val="both"/>
              <w:rPr>
                <w:rFonts w:ascii="宋体" w:hAnsi="宋体" w:cs="宋体" w:eastAsia="宋体" w:hint="default"/>
                <w:sz w:val="18"/>
                <w:szCs w:val="18"/>
              </w:rPr>
            </w:pPr>
            <w:r>
              <w:rPr>
                <w:rFonts w:ascii="宋体" w:hAnsi="宋体" w:cs="宋体" w:eastAsia="宋体" w:hint="default"/>
                <w:spacing w:val="7"/>
                <w:sz w:val="18"/>
                <w:szCs w:val="18"/>
              </w:rPr>
              <w:t>租赁北京密云县经济开发区</w:t>
            </w:r>
            <w:r>
              <w:rPr>
                <w:rFonts w:ascii="宋体" w:hAnsi="宋体" w:cs="宋体" w:eastAsia="宋体" w:hint="default"/>
                <w:sz w:val="18"/>
                <w:szCs w:val="18"/>
              </w:rPr>
              <w:t> </w:t>
            </w:r>
            <w:r>
              <w:rPr>
                <w:rFonts w:ascii="宋体" w:hAnsi="宋体" w:cs="宋体" w:eastAsia="宋体" w:hint="default"/>
                <w:spacing w:val="6"/>
                <w:sz w:val="18"/>
                <w:szCs w:val="18"/>
              </w:rPr>
              <w:t>内科技路</w:t>
            </w:r>
            <w:r>
              <w:rPr>
                <w:rFonts w:ascii="Times New Roman" w:hAnsi="Times New Roman" w:cs="Times New Roman" w:eastAsia="Times New Roman" w:hint="default"/>
                <w:spacing w:val="6"/>
                <w:sz w:val="18"/>
                <w:szCs w:val="18"/>
              </w:rPr>
              <w:t>16</w:t>
            </w:r>
            <w:r>
              <w:rPr>
                <w:rFonts w:ascii="宋体" w:hAnsi="宋体" w:cs="宋体" w:eastAsia="宋体" w:hint="default"/>
                <w:spacing w:val="6"/>
                <w:sz w:val="18"/>
                <w:szCs w:val="18"/>
              </w:rPr>
              <w:t>号原太子奶厂区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空闲硬地</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4,000</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2014-12-15</w:t>
            </w:r>
            <w:r>
              <w:rPr>
                <w:rFonts w:ascii="宋体" w:hAnsi="宋体" w:cs="宋体" w:eastAsia="宋体" w:hint="default"/>
                <w:sz w:val="18"/>
                <w:szCs w:val="18"/>
              </w:rPr>
              <w:t>至</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2015-12-14</w:t>
            </w:r>
          </w:p>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至</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2016</w:t>
            </w:r>
            <w:r>
              <w:rPr>
                <w:rFonts w:ascii="宋体"/>
                <w:sz w:val="18"/>
              </w:rPr>
              <w:t>-</w:t>
            </w:r>
            <w:r>
              <w:rPr>
                <w:rFonts w:ascii="Times New Roman"/>
                <w:sz w:val="18"/>
              </w:rPr>
              <w:t>12</w:t>
            </w:r>
            <w:r>
              <w:rPr>
                <w:rFonts w:ascii="宋体"/>
                <w:sz w:val="18"/>
              </w:rPr>
              <w:t>-</w:t>
            </w:r>
            <w:r>
              <w:rPr>
                <w:rFonts w:ascii="Times New Roman"/>
                <w:sz w:val="18"/>
              </w:rPr>
              <w:t>14</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r>
      <w:tr>
        <w:trPr>
          <w:trHeight w:val="659"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13"/>
              <w:jc w:val="right"/>
              <w:rPr>
                <w:rFonts w:ascii="Times New Roman" w:hAnsi="Times New Roman" w:cs="Times New Roman" w:eastAsia="Times New Roman" w:hint="default"/>
                <w:sz w:val="18"/>
                <w:szCs w:val="18"/>
              </w:rPr>
            </w:pPr>
            <w:r>
              <w:rPr>
                <w:rFonts w:ascii="Times New Roman"/>
                <w:sz w:val="18"/>
              </w:rPr>
              <w:t>10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71" w:right="83" w:hanging="90"/>
              <w:jc w:val="left"/>
              <w:rPr>
                <w:rFonts w:ascii="宋体" w:hAnsi="宋体" w:cs="宋体" w:eastAsia="宋体" w:hint="default"/>
                <w:sz w:val="18"/>
                <w:szCs w:val="18"/>
              </w:rPr>
            </w:pPr>
            <w:r>
              <w:rPr>
                <w:rFonts w:ascii="宋体" w:hAnsi="宋体" w:cs="宋体" w:eastAsia="宋体" w:hint="default"/>
                <w:sz w:val="18"/>
                <w:szCs w:val="18"/>
              </w:rPr>
              <w:t>密云县小博 士幼儿园</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合纵实科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25" w:right="71" w:hanging="155"/>
              <w:jc w:val="left"/>
              <w:rPr>
                <w:rFonts w:ascii="宋体" w:hAnsi="宋体" w:cs="宋体" w:eastAsia="宋体" w:hint="default"/>
                <w:sz w:val="18"/>
                <w:szCs w:val="18"/>
              </w:rPr>
            </w:pPr>
            <w:r>
              <w:rPr>
                <w:rFonts w:ascii="宋体" w:hAnsi="宋体" w:cs="宋体" w:eastAsia="宋体" w:hint="default"/>
                <w:sz w:val="18"/>
                <w:szCs w:val="18"/>
              </w:rPr>
              <w:t>北京密云开发区一期</w:t>
            </w:r>
            <w:r>
              <w:rPr>
                <w:rFonts w:ascii="Times New Roman" w:hAnsi="Times New Roman" w:cs="Times New Roman" w:eastAsia="Times New Roman" w:hint="default"/>
                <w:sz w:val="18"/>
                <w:szCs w:val="18"/>
              </w:rPr>
              <w:t>M07-4 </w:t>
            </w:r>
            <w:r>
              <w:rPr>
                <w:rFonts w:ascii="宋体" w:hAnsi="宋体" w:cs="宋体" w:eastAsia="宋体" w:hint="default"/>
                <w:sz w:val="18"/>
                <w:szCs w:val="18"/>
              </w:rPr>
              <w:t>号地块上地上房屋</w:t>
            </w:r>
            <w:r>
              <w:rPr>
                <w:rFonts w:ascii="Times New Roman" w:hAnsi="Times New Roman" w:cs="Times New Roman" w:eastAsia="Times New Roman" w:hint="default"/>
                <w:sz w:val="18"/>
                <w:szCs w:val="18"/>
              </w:rPr>
              <w:t>60</w:t>
            </w:r>
            <w:r>
              <w:rPr>
                <w:rFonts w:ascii="宋体" w:hAnsi="宋体" w:cs="宋体" w:eastAsia="宋体" w:hint="default"/>
                <w:sz w:val="18"/>
                <w:szCs w:val="18"/>
              </w:rPr>
              <w:t>间</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1,591</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2013-07-01</w:t>
            </w:r>
            <w:r>
              <w:rPr>
                <w:rFonts w:ascii="宋体" w:hAnsi="宋体" w:cs="宋体" w:eastAsia="宋体" w:hint="default"/>
                <w:sz w:val="18"/>
                <w:szCs w:val="18"/>
              </w:rPr>
              <w:t>至</w:t>
            </w:r>
          </w:p>
          <w:p>
            <w:pPr>
              <w:pStyle w:val="TableParagraph"/>
              <w:spacing w:line="240" w:lineRule="auto" w:before="102"/>
              <w:ind w:left="370" w:right="0"/>
              <w:jc w:val="left"/>
              <w:rPr>
                <w:rFonts w:ascii="Times New Roman" w:hAnsi="Times New Roman" w:cs="Times New Roman" w:eastAsia="Times New Roman" w:hint="default"/>
                <w:sz w:val="18"/>
                <w:szCs w:val="18"/>
              </w:rPr>
            </w:pPr>
            <w:r>
              <w:rPr>
                <w:rFonts w:ascii="Times New Roman"/>
                <w:sz w:val="18"/>
              </w:rPr>
              <w:t>2018-06-30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1284"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13"/>
              <w:jc w:val="right"/>
              <w:rPr>
                <w:rFonts w:ascii="Times New Roman" w:hAnsi="Times New Roman" w:cs="Times New Roman" w:eastAsia="Times New Roman" w:hint="default"/>
                <w:sz w:val="18"/>
                <w:szCs w:val="18"/>
              </w:rPr>
            </w:pPr>
            <w:r>
              <w:rPr>
                <w:rFonts w:ascii="Times New Roman"/>
                <w:sz w:val="18"/>
              </w:rPr>
              <w:t>11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81" w:right="83"/>
              <w:jc w:val="left"/>
              <w:rPr>
                <w:rFonts w:ascii="宋体" w:hAnsi="宋体" w:cs="宋体" w:eastAsia="宋体" w:hint="default"/>
                <w:sz w:val="18"/>
                <w:szCs w:val="18"/>
              </w:rPr>
            </w:pPr>
            <w:r>
              <w:rPr>
                <w:rFonts w:ascii="宋体" w:hAnsi="宋体" w:cs="宋体" w:eastAsia="宋体" w:hint="default"/>
                <w:sz w:val="18"/>
                <w:szCs w:val="18"/>
              </w:rPr>
              <w:t>北京九松投 资实业公司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合纵实科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315" w:right="46" w:hanging="270"/>
              <w:jc w:val="left"/>
              <w:rPr>
                <w:rFonts w:ascii="宋体" w:hAnsi="宋体" w:cs="宋体" w:eastAsia="宋体" w:hint="default"/>
                <w:sz w:val="18"/>
                <w:szCs w:val="18"/>
              </w:rPr>
            </w:pPr>
            <w:r>
              <w:rPr>
                <w:rFonts w:ascii="宋体" w:hAnsi="宋体" w:cs="宋体" w:eastAsia="宋体" w:hint="default"/>
                <w:sz w:val="18"/>
                <w:szCs w:val="18"/>
              </w:rPr>
              <w:t>密云经济开发区一期太阳公 寓综合楼西侧大食堂</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1,200</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2014-07-12</w:t>
            </w:r>
            <w:r>
              <w:rPr>
                <w:rFonts w:ascii="宋体" w:hAnsi="宋体" w:cs="宋体" w:eastAsia="宋体" w:hint="default"/>
                <w:sz w:val="18"/>
                <w:szCs w:val="18"/>
              </w:rPr>
              <w:t>至</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2015-07-11</w:t>
            </w:r>
          </w:p>
          <w:p>
            <w:pPr>
              <w:pStyle w:val="TableParagraph"/>
              <w:spacing w:line="300" w:lineRule="auto" w:before="65"/>
              <w:ind w:left="206" w:right="205"/>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-0</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至 </w:t>
            </w:r>
            <w:r>
              <w:rPr>
                <w:rFonts w:ascii="宋体" w:hAnsi="宋体" w:cs="宋体" w:eastAsia="宋体" w:hint="default"/>
                <w:sz w:val="18"/>
                <w:szCs w:val="18"/>
              </w:rPr>
              <w:t>2015-</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09" w:lineRule="auto"/>
              <w:ind w:left="183" w:right="181" w:firstLine="42"/>
              <w:jc w:val="both"/>
              <w:rPr>
                <w:rFonts w:ascii="宋体" w:hAnsi="宋体" w:cs="宋体" w:eastAsia="宋体" w:hint="default"/>
                <w:sz w:val="18"/>
                <w:szCs w:val="18"/>
              </w:rPr>
            </w:pPr>
            <w:r>
              <w:rPr>
                <w:rFonts w:ascii="Times New Roman" w:hAnsi="Times New Roman" w:cs="Times New Roman" w:eastAsia="Times New Roman" w:hint="default"/>
                <w:sz w:val="18"/>
                <w:szCs w:val="18"/>
              </w:rPr>
              <w:t>172,800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 续签租金为： </w:t>
            </w:r>
            <w:r>
              <w:rPr>
                <w:rFonts w:ascii="Times New Roman" w:hAnsi="Times New Roman" w:cs="Times New Roman" w:eastAsia="Times New Roman" w:hint="default"/>
                <w:sz w:val="18"/>
                <w:szCs w:val="18"/>
              </w:rPr>
              <w:t>14,400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r>
      <w:tr>
        <w:trPr>
          <w:trHeight w:val="659"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3"/>
              <w:jc w:val="right"/>
              <w:rPr>
                <w:rFonts w:ascii="Times New Roman" w:hAnsi="Times New Roman" w:cs="Times New Roman" w:eastAsia="Times New Roman" w:hint="default"/>
                <w:sz w:val="18"/>
                <w:szCs w:val="18"/>
              </w:rPr>
            </w:pPr>
            <w:r>
              <w:rPr>
                <w:rFonts w:ascii="Times New Roman"/>
                <w:sz w:val="18"/>
              </w:rPr>
              <w:t>12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4"/>
                <w:sz w:val="18"/>
                <w:szCs w:val="18"/>
              </w:rPr>
              <w:t>海南中和（集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团）有限公司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合纵实科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945" w:right="47" w:hanging="901"/>
              <w:jc w:val="left"/>
              <w:rPr>
                <w:rFonts w:ascii="宋体" w:hAnsi="宋体" w:cs="宋体" w:eastAsia="宋体" w:hint="default"/>
                <w:sz w:val="18"/>
                <w:szCs w:val="18"/>
              </w:rPr>
            </w:pPr>
            <w:r>
              <w:rPr>
                <w:rFonts w:ascii="宋体" w:hAnsi="宋体" w:cs="宋体" w:eastAsia="宋体" w:hint="default"/>
                <w:sz w:val="18"/>
                <w:szCs w:val="18"/>
              </w:rPr>
              <w:t>密云工业开发区水源路</w:t>
            </w:r>
            <w:r>
              <w:rPr>
                <w:rFonts w:ascii="Times New Roman" w:hAnsi="Times New Roman" w:cs="Times New Roman" w:eastAsia="Times New Roman" w:hint="default"/>
                <w:sz w:val="18"/>
                <w:szCs w:val="18"/>
              </w:rPr>
              <w:t>22</w:t>
            </w:r>
            <w:r>
              <w:rPr>
                <w:rFonts w:ascii="宋体" w:hAnsi="宋体" w:cs="宋体" w:eastAsia="宋体" w:hint="default"/>
                <w:sz w:val="18"/>
                <w:szCs w:val="18"/>
              </w:rPr>
              <w:t>号 院内</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5,735</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2015-07-01</w:t>
            </w:r>
            <w:r>
              <w:rPr>
                <w:rFonts w:ascii="宋体" w:hAnsi="宋体" w:cs="宋体" w:eastAsia="宋体" w:hint="default"/>
                <w:sz w:val="18"/>
                <w:szCs w:val="18"/>
              </w:rPr>
              <w:t>至</w:t>
            </w:r>
          </w:p>
          <w:p>
            <w:pPr>
              <w:pStyle w:val="TableParagraph"/>
              <w:spacing w:line="240" w:lineRule="auto" w:before="102"/>
              <w:ind w:left="370" w:right="0"/>
              <w:jc w:val="left"/>
              <w:rPr>
                <w:rFonts w:ascii="Times New Roman" w:hAnsi="Times New Roman" w:cs="Times New Roman" w:eastAsia="Times New Roman" w:hint="default"/>
                <w:sz w:val="18"/>
                <w:szCs w:val="18"/>
              </w:rPr>
            </w:pPr>
            <w:r>
              <w:rPr>
                <w:rFonts w:ascii="Times New Roman"/>
                <w:sz w:val="18"/>
              </w:rPr>
              <w:t>2015-12-31</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131,905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r>
      <w:tr>
        <w:trPr>
          <w:trHeight w:val="1283"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13"/>
              <w:jc w:val="right"/>
              <w:rPr>
                <w:rFonts w:ascii="Times New Roman" w:hAnsi="Times New Roman" w:cs="Times New Roman" w:eastAsia="Times New Roman" w:hint="default"/>
                <w:sz w:val="18"/>
                <w:szCs w:val="18"/>
              </w:rPr>
            </w:pPr>
            <w:r>
              <w:rPr>
                <w:rFonts w:ascii="Times New Roman"/>
                <w:sz w:val="18"/>
              </w:rPr>
              <w:t>13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2" w:right="-35"/>
              <w:jc w:val="left"/>
              <w:rPr>
                <w:rFonts w:ascii="宋体" w:hAnsi="宋体" w:cs="宋体" w:eastAsia="宋体" w:hint="default"/>
                <w:sz w:val="18"/>
                <w:szCs w:val="18"/>
              </w:rPr>
            </w:pPr>
            <w:r>
              <w:rPr>
                <w:rFonts w:ascii="宋体" w:hAnsi="宋体" w:cs="宋体" w:eastAsia="宋体" w:hint="default"/>
                <w:spacing w:val="31"/>
                <w:sz w:val="18"/>
                <w:szCs w:val="18"/>
              </w:rPr>
              <w:t>北京九松投</w:t>
            </w:r>
            <w:r>
              <w:rPr>
                <w:rFonts w:ascii="宋体" w:hAnsi="宋体" w:cs="宋体" w:eastAsia="宋体" w:hint="default"/>
                <w:spacing w:val="-51"/>
                <w:sz w:val="18"/>
                <w:szCs w:val="18"/>
              </w:rPr>
              <w:t> </w:t>
            </w:r>
            <w:r>
              <w:rPr>
                <w:rFonts w:ascii="宋体" w:hAnsi="宋体" w:cs="宋体" w:eastAsia="宋体" w:hint="default"/>
                <w:sz w:val="18"/>
                <w:szCs w:val="18"/>
              </w:rPr>
              <w:t>资实业公司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合纵实科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675" w:right="46" w:hanging="630"/>
              <w:jc w:val="left"/>
              <w:rPr>
                <w:rFonts w:ascii="宋体" w:hAnsi="宋体" w:cs="宋体" w:eastAsia="宋体" w:hint="default"/>
                <w:sz w:val="18"/>
                <w:szCs w:val="18"/>
              </w:rPr>
            </w:pPr>
            <w:r>
              <w:rPr>
                <w:rFonts w:ascii="宋体" w:hAnsi="宋体" w:cs="宋体" w:eastAsia="宋体" w:hint="default"/>
                <w:sz w:val="18"/>
                <w:szCs w:val="18"/>
              </w:rPr>
              <w:t>密云经济开发区一期太阳公 寓</w:t>
            </w:r>
            <w:r>
              <w:rPr>
                <w:rFonts w:ascii="Times New Roman" w:hAnsi="Times New Roman" w:cs="Times New Roman" w:eastAsia="Times New Roman" w:hint="default"/>
                <w:sz w:val="18"/>
                <w:szCs w:val="18"/>
              </w:rPr>
              <w:t>3</w:t>
            </w:r>
            <w:r>
              <w:rPr>
                <w:rFonts w:ascii="宋体" w:hAnsi="宋体" w:cs="宋体" w:eastAsia="宋体" w:hint="default"/>
                <w:sz w:val="18"/>
                <w:szCs w:val="18"/>
              </w:rPr>
              <w:t>号楼</w:t>
            </w:r>
            <w:r>
              <w:rPr>
                <w:rFonts w:ascii="Times New Roman" w:hAnsi="Times New Roman" w:cs="Times New Roman" w:eastAsia="Times New Roman" w:hint="default"/>
                <w:sz w:val="18"/>
                <w:szCs w:val="18"/>
              </w:rPr>
              <w:t>5</w:t>
            </w:r>
            <w:r>
              <w:rPr>
                <w:rFonts w:ascii="宋体" w:hAnsi="宋体" w:cs="宋体" w:eastAsia="宋体" w:hint="default"/>
                <w:sz w:val="18"/>
                <w:szCs w:val="18"/>
              </w:rPr>
              <w:t>间</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162.3</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2014-05-09</w:t>
            </w:r>
            <w:r>
              <w:rPr>
                <w:rFonts w:ascii="宋体" w:hAnsi="宋体" w:cs="宋体" w:eastAsia="宋体" w:hint="default"/>
                <w:sz w:val="18"/>
                <w:szCs w:val="18"/>
              </w:rPr>
              <w:t>至</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2015-08-08</w:t>
            </w:r>
          </w:p>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-0</w:t>
            </w:r>
            <w:r>
              <w:rPr>
                <w:rFonts w:ascii="Times New Roman" w:hAnsi="Times New Roman" w:cs="Times New Roman" w:eastAsia="Times New Roman" w:hint="default"/>
                <w:sz w:val="18"/>
                <w:szCs w:val="18"/>
              </w:rPr>
              <w:t>8</w:t>
            </w:r>
            <w:r>
              <w:rPr>
                <w:rFonts w:ascii="宋体" w:hAnsi="宋体" w:cs="宋体" w:eastAsia="宋体" w:hint="default"/>
                <w:sz w:val="18"/>
                <w:szCs w:val="18"/>
              </w:rPr>
              <w:t>-0</w:t>
            </w:r>
            <w:r>
              <w:rPr>
                <w:rFonts w:ascii="Times New Roman" w:hAnsi="Times New Roman" w:cs="Times New Roman" w:eastAsia="Times New Roman" w:hint="default"/>
                <w:sz w:val="18"/>
                <w:szCs w:val="18"/>
              </w:rPr>
              <w:t>8</w:t>
            </w:r>
            <w:r>
              <w:rPr>
                <w:rFonts w:ascii="宋体" w:hAnsi="宋体" w:cs="宋体" w:eastAsia="宋体" w:hint="default"/>
                <w:sz w:val="18"/>
                <w:szCs w:val="18"/>
              </w:rPr>
              <w:t>至</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2016</w:t>
            </w:r>
            <w:r>
              <w:rPr>
                <w:rFonts w:ascii="宋体"/>
                <w:sz w:val="18"/>
              </w:rPr>
              <w:t>-0</w:t>
            </w:r>
            <w:r>
              <w:rPr>
                <w:rFonts w:ascii="Times New Roman"/>
                <w:sz w:val="18"/>
              </w:rPr>
              <w:t>1</w:t>
            </w:r>
            <w:r>
              <w:rPr>
                <w:rFonts w:ascii="宋体"/>
                <w:sz w:val="18"/>
              </w:rPr>
              <w:t>-0</w:t>
            </w:r>
            <w:r>
              <w:rPr>
                <w:rFonts w:ascii="Times New Roman"/>
                <w:sz w:val="18"/>
              </w:rPr>
              <w:t>8</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2,750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r>
      <w:tr>
        <w:trPr>
          <w:trHeight w:val="972"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Times New Roman" w:hAnsi="Times New Roman" w:cs="Times New Roman" w:eastAsia="Times New Roman" w:hint="default"/>
                <w:sz w:val="18"/>
                <w:szCs w:val="18"/>
              </w:rPr>
            </w:pPr>
            <w:r>
              <w:rPr>
                <w:rFonts w:ascii="Times New Roman"/>
                <w:sz w:val="18"/>
              </w:rPr>
              <w:t>14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2" w:right="-35"/>
              <w:jc w:val="left"/>
              <w:rPr>
                <w:rFonts w:ascii="宋体" w:hAnsi="宋体" w:cs="宋体" w:eastAsia="宋体" w:hint="default"/>
                <w:sz w:val="18"/>
                <w:szCs w:val="18"/>
              </w:rPr>
            </w:pPr>
            <w:r>
              <w:rPr>
                <w:rFonts w:ascii="宋体" w:hAnsi="宋体" w:cs="宋体" w:eastAsia="宋体" w:hint="default"/>
                <w:spacing w:val="31"/>
                <w:sz w:val="18"/>
                <w:szCs w:val="18"/>
              </w:rPr>
              <w:t>北京九松投</w:t>
            </w:r>
            <w:r>
              <w:rPr>
                <w:rFonts w:ascii="宋体" w:hAnsi="宋体" w:cs="宋体" w:eastAsia="宋体" w:hint="default"/>
                <w:spacing w:val="-51"/>
                <w:sz w:val="18"/>
                <w:szCs w:val="18"/>
              </w:rPr>
              <w:t> </w:t>
            </w:r>
            <w:r>
              <w:rPr>
                <w:rFonts w:ascii="宋体" w:hAnsi="宋体" w:cs="宋体" w:eastAsia="宋体" w:hint="default"/>
                <w:sz w:val="18"/>
                <w:szCs w:val="18"/>
              </w:rPr>
              <w:t>资实业公司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合纵实科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675" w:right="46" w:hanging="630"/>
              <w:jc w:val="left"/>
              <w:rPr>
                <w:rFonts w:ascii="宋体" w:hAnsi="宋体" w:cs="宋体" w:eastAsia="宋体" w:hint="default"/>
                <w:sz w:val="18"/>
                <w:szCs w:val="18"/>
              </w:rPr>
            </w:pPr>
            <w:r>
              <w:rPr>
                <w:rFonts w:ascii="宋体" w:hAnsi="宋体" w:cs="宋体" w:eastAsia="宋体" w:hint="default"/>
                <w:sz w:val="18"/>
                <w:szCs w:val="18"/>
              </w:rPr>
              <w:t>密云经济开发区一期太阳公 寓</w:t>
            </w:r>
            <w:r>
              <w:rPr>
                <w:rFonts w:ascii="Times New Roman" w:hAnsi="Times New Roman" w:cs="Times New Roman" w:eastAsia="Times New Roman" w:hint="default"/>
                <w:sz w:val="18"/>
                <w:szCs w:val="18"/>
              </w:rPr>
              <w:t>3</w:t>
            </w:r>
            <w:r>
              <w:rPr>
                <w:rFonts w:ascii="宋体" w:hAnsi="宋体" w:cs="宋体" w:eastAsia="宋体" w:hint="default"/>
                <w:sz w:val="18"/>
                <w:szCs w:val="18"/>
              </w:rPr>
              <w:t>号楼</w:t>
            </w:r>
            <w:r>
              <w:rPr>
                <w:rFonts w:ascii="Times New Roman" w:hAnsi="Times New Roman" w:cs="Times New Roman" w:eastAsia="Times New Roman" w:hint="default"/>
                <w:sz w:val="18"/>
                <w:szCs w:val="18"/>
              </w:rPr>
              <w:t>6</w:t>
            </w:r>
            <w:r>
              <w:rPr>
                <w:rFonts w:ascii="宋体" w:hAnsi="宋体" w:cs="宋体" w:eastAsia="宋体" w:hint="default"/>
                <w:sz w:val="18"/>
                <w:szCs w:val="18"/>
              </w:rPr>
              <w:t>间</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201.61</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2014-07-18</w:t>
            </w:r>
            <w:r>
              <w:rPr>
                <w:rFonts w:ascii="宋体" w:hAnsi="宋体" w:cs="宋体" w:eastAsia="宋体" w:hint="default"/>
                <w:sz w:val="18"/>
                <w:szCs w:val="18"/>
              </w:rPr>
              <w:t>至</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2015-07-17</w:t>
            </w:r>
          </w:p>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-0</w:t>
            </w:r>
            <w:r>
              <w:rPr>
                <w:rFonts w:ascii="Times New Roman" w:hAnsi="Times New Roman" w:cs="Times New Roman" w:eastAsia="Times New Roman" w:hint="default"/>
                <w:sz w:val="18"/>
                <w:szCs w:val="18"/>
              </w:rPr>
              <w:t>7</w:t>
            </w:r>
            <w:r>
              <w:rPr>
                <w:rFonts w:ascii="宋体" w:hAnsi="宋体" w:cs="宋体" w:eastAsia="宋体" w:hint="default"/>
                <w:sz w:val="18"/>
                <w:szCs w:val="18"/>
              </w:rPr>
              <w:t>-0</w:t>
            </w:r>
            <w:r>
              <w:rPr>
                <w:rFonts w:ascii="Times New Roman" w:hAnsi="Times New Roman" w:cs="Times New Roman" w:eastAsia="Times New Roman" w:hint="default"/>
                <w:sz w:val="18"/>
                <w:szCs w:val="18"/>
              </w:rPr>
              <w:t>7</w:t>
            </w:r>
            <w:r>
              <w:rPr>
                <w:rFonts w:ascii="宋体" w:hAnsi="宋体" w:cs="宋体" w:eastAsia="宋体" w:hint="default"/>
                <w:sz w:val="18"/>
                <w:szCs w:val="18"/>
              </w:rPr>
              <w:t>至</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182"/>
              <w:jc w:val="left"/>
              <w:rPr>
                <w:rFonts w:ascii="宋体" w:hAnsi="宋体" w:cs="宋体" w:eastAsia="宋体" w:hint="default"/>
                <w:sz w:val="18"/>
                <w:szCs w:val="18"/>
              </w:rPr>
            </w:pPr>
            <w:r>
              <w:rPr>
                <w:rFonts w:ascii="Times New Roman" w:hAnsi="Times New Roman" w:cs="Times New Roman" w:eastAsia="Times New Roman" w:hint="default"/>
                <w:sz w:val="18"/>
                <w:szCs w:val="18"/>
              </w:rPr>
              <w:t>40,200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 续签租金总额： </w:t>
            </w:r>
            <w:r>
              <w:rPr>
                <w:rFonts w:ascii="Times New Roman" w:hAnsi="Times New Roman" w:cs="Times New Roman" w:eastAsia="Times New Roman" w:hint="default"/>
                <w:sz w:val="18"/>
                <w:szCs w:val="18"/>
              </w:rPr>
              <w:t>20,100</w:t>
            </w:r>
            <w:r>
              <w:rPr>
                <w:rFonts w:ascii="宋体" w:hAnsi="宋体" w:cs="宋体" w:eastAsia="宋体" w:hint="default"/>
                <w:sz w:val="18"/>
                <w:szCs w:val="18"/>
              </w:rPr>
              <w:t>元</w:t>
            </w:r>
          </w:p>
        </w:tc>
      </w:tr>
    </w:tbl>
    <w:p>
      <w:pPr>
        <w:spacing w:after="0" w:line="30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6" w:type="dxa"/>
        <w:tblLayout w:type="fixed"/>
        <w:tblCellMar>
          <w:top w:w="0" w:type="dxa"/>
          <w:left w:w="0" w:type="dxa"/>
          <w:bottom w:w="0" w:type="dxa"/>
          <w:right w:w="0" w:type="dxa"/>
        </w:tblCellMar>
        <w:tblLook w:val="01E0"/>
      </w:tblPr>
      <w:tblGrid>
        <w:gridCol w:w="622"/>
        <w:gridCol w:w="1080"/>
        <w:gridCol w:w="1134"/>
        <w:gridCol w:w="2268"/>
        <w:gridCol w:w="1196"/>
        <w:gridCol w:w="1599"/>
        <w:gridCol w:w="1462"/>
      </w:tblGrid>
      <w:tr>
        <w:trPr>
          <w:trHeight w:val="347" w:hRule="exact"/>
        </w:trPr>
        <w:tc>
          <w:tcPr>
            <w:tcW w:w="622"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0" w:right="0"/>
              <w:jc w:val="left"/>
              <w:rPr>
                <w:rFonts w:ascii="Times New Roman" w:hAnsi="Times New Roman" w:cs="Times New Roman" w:eastAsia="Times New Roman" w:hint="default"/>
                <w:sz w:val="18"/>
                <w:szCs w:val="18"/>
              </w:rPr>
            </w:pPr>
            <w:r>
              <w:rPr>
                <w:rFonts w:ascii="Times New Roman"/>
                <w:sz w:val="18"/>
              </w:rPr>
              <w:t>2016</w:t>
            </w:r>
            <w:r>
              <w:rPr>
                <w:rFonts w:ascii="宋体"/>
                <w:sz w:val="18"/>
              </w:rPr>
              <w:t>-0</w:t>
            </w:r>
            <w:r>
              <w:rPr>
                <w:rFonts w:ascii="Times New Roman"/>
                <w:sz w:val="18"/>
              </w:rPr>
              <w:t>1</w:t>
            </w:r>
            <w:r>
              <w:rPr>
                <w:rFonts w:ascii="宋体"/>
                <w:sz w:val="18"/>
              </w:rPr>
              <w:t>-0</w:t>
            </w:r>
            <w:r>
              <w:rPr>
                <w:rFonts w:ascii="Times New Roman"/>
                <w:sz w:val="18"/>
              </w:rPr>
              <w:t>8</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1283"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15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9" w:lineRule="auto"/>
              <w:ind w:left="2" w:right="1"/>
              <w:jc w:val="both"/>
              <w:rPr>
                <w:rFonts w:ascii="宋体" w:hAnsi="宋体" w:cs="宋体" w:eastAsia="宋体" w:hint="default"/>
                <w:sz w:val="18"/>
                <w:szCs w:val="18"/>
              </w:rPr>
            </w:pPr>
            <w:r>
              <w:rPr>
                <w:rFonts w:ascii="宋体" w:hAnsi="宋体" w:cs="宋体" w:eastAsia="宋体" w:hint="default"/>
                <w:spacing w:val="-4"/>
                <w:sz w:val="18"/>
                <w:szCs w:val="18"/>
              </w:rPr>
              <w:t>海南中和（集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团）有限公司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北分公司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合纵实科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09" w:lineRule="auto"/>
              <w:ind w:left="45" w:right="47"/>
              <w:jc w:val="center"/>
              <w:rPr>
                <w:rFonts w:ascii="宋体" w:hAnsi="宋体" w:cs="宋体" w:eastAsia="宋体" w:hint="default"/>
                <w:sz w:val="18"/>
                <w:szCs w:val="18"/>
              </w:rPr>
            </w:pPr>
            <w:r>
              <w:rPr>
                <w:rFonts w:ascii="宋体" w:hAnsi="宋体" w:cs="宋体" w:eastAsia="宋体" w:hint="default"/>
                <w:sz w:val="18"/>
                <w:szCs w:val="18"/>
              </w:rPr>
              <w:t>密云区水源路</w:t>
            </w:r>
            <w:r>
              <w:rPr>
                <w:rFonts w:ascii="Times New Roman" w:hAnsi="Times New Roman" w:cs="Times New Roman" w:eastAsia="Times New Roman" w:hint="default"/>
                <w:sz w:val="18"/>
                <w:szCs w:val="18"/>
              </w:rPr>
              <w:t>22</w:t>
            </w:r>
            <w:r>
              <w:rPr>
                <w:rFonts w:ascii="宋体" w:hAnsi="宋体" w:cs="宋体" w:eastAsia="宋体" w:hint="default"/>
                <w:sz w:val="18"/>
                <w:szCs w:val="18"/>
              </w:rPr>
              <w:t>号中和集团 密云基地内空置硬化路面土 地</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5,457.46</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2014-12-01</w:t>
            </w:r>
            <w:r>
              <w:rPr>
                <w:rFonts w:ascii="宋体" w:hAnsi="宋体" w:cs="宋体" w:eastAsia="宋体" w:hint="default"/>
                <w:sz w:val="18"/>
                <w:szCs w:val="18"/>
              </w:rPr>
              <w:t>至</w:t>
            </w:r>
          </w:p>
          <w:p>
            <w:pPr>
              <w:pStyle w:val="TableParagraph"/>
              <w:spacing w:line="240" w:lineRule="auto" w:before="102"/>
              <w:ind w:left="370" w:right="0"/>
              <w:jc w:val="left"/>
              <w:rPr>
                <w:rFonts w:ascii="Times New Roman" w:hAnsi="Times New Roman" w:cs="Times New Roman" w:eastAsia="Times New Roman" w:hint="default"/>
                <w:sz w:val="18"/>
                <w:szCs w:val="18"/>
              </w:rPr>
            </w:pPr>
            <w:r>
              <w:rPr>
                <w:rFonts w:ascii="Times New Roman"/>
                <w:sz w:val="18"/>
              </w:rPr>
              <w:t>2015-05-31</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/2015-06-01</w:t>
            </w:r>
          </w:p>
          <w:p>
            <w:pPr>
              <w:pStyle w:val="TableParagraph"/>
              <w:spacing w:line="240" w:lineRule="auto" w:before="65"/>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Times New Roman" w:hAnsi="Times New Roman" w:cs="Times New Roman" w:eastAsia="Times New Roman" w:hint="default"/>
                <w:sz w:val="18"/>
                <w:szCs w:val="18"/>
              </w:rPr>
              <w:t>2015-12-31</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r>
      <w:tr>
        <w:trPr>
          <w:trHeight w:val="971"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1" w:right="83"/>
              <w:jc w:val="center"/>
              <w:rPr>
                <w:rFonts w:ascii="宋体" w:hAnsi="宋体" w:cs="宋体" w:eastAsia="宋体" w:hint="default"/>
                <w:sz w:val="18"/>
                <w:szCs w:val="18"/>
              </w:rPr>
            </w:pPr>
            <w:r>
              <w:rPr>
                <w:rFonts w:ascii="宋体" w:hAnsi="宋体" w:cs="宋体" w:eastAsia="宋体" w:hint="default"/>
                <w:sz w:val="18"/>
                <w:szCs w:val="18"/>
              </w:rPr>
              <w:t>北京密云经 济开发区总 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合纵实科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56" w:right="55" w:hanging="1"/>
              <w:jc w:val="center"/>
              <w:rPr>
                <w:rFonts w:ascii="宋体" w:hAnsi="宋体" w:cs="宋体" w:eastAsia="宋体" w:hint="default"/>
                <w:sz w:val="18"/>
                <w:szCs w:val="18"/>
              </w:rPr>
            </w:pPr>
            <w:r>
              <w:rPr>
                <w:rFonts w:ascii="宋体" w:hAnsi="宋体" w:cs="宋体" w:eastAsia="宋体" w:hint="default"/>
                <w:sz w:val="18"/>
                <w:szCs w:val="18"/>
              </w:rPr>
              <w:t>北京密云县经济开发区内</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区</w:t>
            </w:r>
            <w:r>
              <w:rPr>
                <w:rFonts w:ascii="Times New Roman" w:hAnsi="Times New Roman" w:cs="Times New Roman" w:eastAsia="Times New Roman" w:hint="default"/>
                <w:sz w:val="18"/>
                <w:szCs w:val="18"/>
              </w:rPr>
              <w:t>A5-2-2</w:t>
            </w:r>
            <w:r>
              <w:rPr>
                <w:rFonts w:ascii="宋体" w:hAnsi="宋体" w:cs="宋体" w:eastAsia="宋体" w:hint="default"/>
                <w:sz w:val="18"/>
                <w:szCs w:val="18"/>
              </w:rPr>
              <w:t>号地块上</w:t>
            </w:r>
            <w:r>
              <w:rPr>
                <w:rFonts w:ascii="Times New Roman" w:hAnsi="Times New Roman" w:cs="Times New Roman" w:eastAsia="Times New Roman" w:hint="default"/>
                <w:sz w:val="18"/>
                <w:szCs w:val="18"/>
              </w:rPr>
              <w:t>3#</w:t>
            </w:r>
            <w:r>
              <w:rPr>
                <w:rFonts w:ascii="宋体" w:hAnsi="宋体" w:cs="宋体" w:eastAsia="宋体" w:hint="default"/>
                <w:sz w:val="18"/>
                <w:szCs w:val="18"/>
              </w:rPr>
              <w:t>钢结构</w:t>
            </w:r>
            <w:r>
              <w:rPr>
                <w:rFonts w:ascii="宋体" w:hAnsi="宋体" w:cs="宋体" w:eastAsia="宋体" w:hint="default"/>
                <w:w w:val="99"/>
                <w:sz w:val="18"/>
                <w:szCs w:val="18"/>
              </w:rPr>
              <w:t> </w:t>
            </w:r>
            <w:r>
              <w:rPr>
                <w:rFonts w:ascii="宋体" w:hAnsi="宋体" w:cs="宋体" w:eastAsia="宋体" w:hint="default"/>
                <w:sz w:val="18"/>
                <w:szCs w:val="18"/>
              </w:rPr>
              <w:t>房屋内部分用房</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4,900</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2014-08-10</w:t>
            </w:r>
            <w:r>
              <w:rPr>
                <w:rFonts w:ascii="宋体" w:hAnsi="宋体" w:cs="宋体" w:eastAsia="宋体" w:hint="default"/>
                <w:sz w:val="18"/>
                <w:szCs w:val="18"/>
              </w:rPr>
              <w:t>至</w:t>
            </w:r>
          </w:p>
          <w:p>
            <w:pPr>
              <w:pStyle w:val="TableParagraph"/>
              <w:spacing w:line="240" w:lineRule="auto" w:before="102"/>
              <w:ind w:left="370" w:right="0"/>
              <w:jc w:val="left"/>
              <w:rPr>
                <w:rFonts w:ascii="Times New Roman" w:hAnsi="Times New Roman" w:cs="Times New Roman" w:eastAsia="Times New Roman" w:hint="default"/>
                <w:sz w:val="18"/>
                <w:szCs w:val="18"/>
              </w:rPr>
            </w:pPr>
            <w:r>
              <w:rPr>
                <w:rFonts w:ascii="Times New Roman"/>
                <w:sz w:val="18"/>
              </w:rPr>
              <w:t>2016-08-09</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1,176,000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972"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1" w:right="83"/>
              <w:jc w:val="center"/>
              <w:rPr>
                <w:rFonts w:ascii="宋体" w:hAnsi="宋体" w:cs="宋体" w:eastAsia="宋体" w:hint="default"/>
                <w:sz w:val="18"/>
                <w:szCs w:val="18"/>
              </w:rPr>
            </w:pPr>
            <w:r>
              <w:rPr>
                <w:rFonts w:ascii="宋体" w:hAnsi="宋体" w:cs="宋体" w:eastAsia="宋体" w:hint="default"/>
                <w:sz w:val="18"/>
                <w:szCs w:val="18"/>
              </w:rPr>
              <w:t>滨海高新区 开发建设有 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天津合纵</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181" w:right="46" w:hanging="136"/>
              <w:jc w:val="left"/>
              <w:rPr>
                <w:rFonts w:ascii="宋体" w:hAnsi="宋体" w:cs="宋体" w:eastAsia="宋体" w:hint="default"/>
                <w:sz w:val="18"/>
                <w:szCs w:val="18"/>
              </w:rPr>
            </w:pPr>
            <w:r>
              <w:rPr>
                <w:rFonts w:ascii="宋体" w:hAnsi="宋体" w:cs="宋体" w:eastAsia="宋体" w:hint="default"/>
                <w:sz w:val="18"/>
                <w:szCs w:val="18"/>
              </w:rPr>
              <w:t>天津滨海高新区滨海科技园 日新道</w:t>
            </w:r>
            <w:r>
              <w:rPr>
                <w:rFonts w:ascii="Times New Roman" w:hAnsi="Times New Roman" w:cs="Times New Roman" w:eastAsia="Times New Roman" w:hint="default"/>
                <w:sz w:val="18"/>
                <w:szCs w:val="18"/>
              </w:rPr>
              <w:t>188</w:t>
            </w:r>
            <w:r>
              <w:rPr>
                <w:rFonts w:ascii="宋体" w:hAnsi="宋体" w:cs="宋体" w:eastAsia="宋体" w:hint="default"/>
                <w:sz w:val="18"/>
                <w:szCs w:val="18"/>
              </w:rPr>
              <w:t>号</w:t>
            </w:r>
            <w:r>
              <w:rPr>
                <w:rFonts w:ascii="Times New Roman" w:hAnsi="Times New Roman" w:cs="Times New Roman" w:eastAsia="Times New Roman" w:hint="default"/>
                <w:sz w:val="18"/>
                <w:szCs w:val="18"/>
              </w:rPr>
              <w:t>5</w:t>
            </w:r>
            <w:r>
              <w:rPr>
                <w:rFonts w:ascii="宋体" w:hAnsi="宋体" w:cs="宋体" w:eastAsia="宋体" w:hint="default"/>
                <w:sz w:val="18"/>
                <w:szCs w:val="18"/>
              </w:rPr>
              <w:t>号楼</w:t>
            </w:r>
            <w:r>
              <w:rPr>
                <w:rFonts w:ascii="Times New Roman" w:hAnsi="Times New Roman" w:cs="Times New Roman" w:eastAsia="Times New Roman" w:hint="default"/>
                <w:sz w:val="18"/>
                <w:szCs w:val="18"/>
              </w:rPr>
              <w:t>213</w:t>
            </w:r>
            <w:r>
              <w:rPr>
                <w:rFonts w:ascii="宋体" w:hAnsi="宋体" w:cs="宋体" w:eastAsia="宋体" w:hint="default"/>
                <w:sz w:val="18"/>
                <w:szCs w:val="18"/>
              </w:rPr>
              <w:t>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125</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2015-03-09</w:t>
            </w:r>
            <w:r>
              <w:rPr>
                <w:rFonts w:ascii="宋体" w:hAnsi="宋体" w:cs="宋体" w:eastAsia="宋体" w:hint="default"/>
                <w:sz w:val="18"/>
                <w:szCs w:val="18"/>
              </w:rPr>
              <w:t>至</w:t>
            </w:r>
          </w:p>
          <w:p>
            <w:pPr>
              <w:pStyle w:val="TableParagraph"/>
              <w:spacing w:line="240" w:lineRule="auto" w:before="102"/>
              <w:ind w:left="370" w:right="0"/>
              <w:jc w:val="left"/>
              <w:rPr>
                <w:rFonts w:ascii="Times New Roman" w:hAnsi="Times New Roman" w:cs="Times New Roman" w:eastAsia="Times New Roman" w:hint="default"/>
                <w:sz w:val="18"/>
                <w:szCs w:val="18"/>
              </w:rPr>
            </w:pPr>
            <w:r>
              <w:rPr>
                <w:rFonts w:ascii="Times New Roman"/>
                <w:sz w:val="18"/>
              </w:rPr>
              <w:t>2016-03-08</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r>
      <w:tr>
        <w:trPr>
          <w:trHeight w:val="1283"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18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81" w:right="83"/>
              <w:jc w:val="left"/>
              <w:rPr>
                <w:rFonts w:ascii="宋体" w:hAnsi="宋体" w:cs="宋体" w:eastAsia="宋体" w:hint="default"/>
                <w:sz w:val="18"/>
                <w:szCs w:val="18"/>
              </w:rPr>
            </w:pPr>
            <w:r>
              <w:rPr>
                <w:rFonts w:ascii="宋体" w:hAnsi="宋体" w:cs="宋体" w:eastAsia="宋体" w:hint="default"/>
                <w:sz w:val="18"/>
                <w:szCs w:val="18"/>
              </w:rPr>
              <w:t>北京九松投 资实业公司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合纵实科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675" w:right="46" w:hanging="630"/>
              <w:jc w:val="left"/>
              <w:rPr>
                <w:rFonts w:ascii="宋体" w:hAnsi="宋体" w:cs="宋体" w:eastAsia="宋体" w:hint="default"/>
                <w:sz w:val="18"/>
                <w:szCs w:val="18"/>
              </w:rPr>
            </w:pPr>
            <w:r>
              <w:rPr>
                <w:rFonts w:ascii="宋体" w:hAnsi="宋体" w:cs="宋体" w:eastAsia="宋体" w:hint="default"/>
                <w:sz w:val="18"/>
                <w:szCs w:val="18"/>
              </w:rPr>
              <w:t>密云经济开发区一期太阳公 寓</w:t>
            </w:r>
            <w:r>
              <w:rPr>
                <w:rFonts w:ascii="Times New Roman" w:hAnsi="Times New Roman" w:cs="Times New Roman" w:eastAsia="Times New Roman" w:hint="default"/>
                <w:sz w:val="18"/>
                <w:szCs w:val="18"/>
              </w:rPr>
              <w:t>3</w:t>
            </w:r>
            <w:r>
              <w:rPr>
                <w:rFonts w:ascii="宋体" w:hAnsi="宋体" w:cs="宋体" w:eastAsia="宋体" w:hint="default"/>
                <w:sz w:val="18"/>
                <w:szCs w:val="18"/>
              </w:rPr>
              <w:t>号楼</w:t>
            </w:r>
            <w:r>
              <w:rPr>
                <w:rFonts w:ascii="Times New Roman" w:hAnsi="Times New Roman" w:cs="Times New Roman" w:eastAsia="Times New Roman" w:hint="default"/>
                <w:sz w:val="18"/>
                <w:szCs w:val="18"/>
              </w:rPr>
              <w:t>6</w:t>
            </w:r>
            <w:r>
              <w:rPr>
                <w:rFonts w:ascii="宋体" w:hAnsi="宋体" w:cs="宋体" w:eastAsia="宋体" w:hint="default"/>
                <w:sz w:val="18"/>
                <w:szCs w:val="18"/>
              </w:rPr>
              <w:t>间</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208.46</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2015-03-17</w:t>
            </w:r>
            <w:r>
              <w:rPr>
                <w:rFonts w:ascii="宋体" w:hAnsi="宋体" w:cs="宋体" w:eastAsia="宋体" w:hint="default"/>
                <w:sz w:val="18"/>
                <w:szCs w:val="18"/>
              </w:rPr>
              <w:t>至</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2015-08-08</w:t>
            </w:r>
          </w:p>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-0</w:t>
            </w:r>
            <w:r>
              <w:rPr>
                <w:rFonts w:ascii="Times New Roman" w:hAnsi="Times New Roman" w:cs="Times New Roman" w:eastAsia="Times New Roman" w:hint="default"/>
                <w:sz w:val="18"/>
                <w:szCs w:val="18"/>
              </w:rPr>
              <w:t>8</w:t>
            </w:r>
            <w:r>
              <w:rPr>
                <w:rFonts w:ascii="宋体" w:hAnsi="宋体" w:cs="宋体" w:eastAsia="宋体" w:hint="default"/>
                <w:sz w:val="18"/>
                <w:szCs w:val="18"/>
              </w:rPr>
              <w:t>-0</w:t>
            </w:r>
            <w:r>
              <w:rPr>
                <w:rFonts w:ascii="Times New Roman" w:hAnsi="Times New Roman" w:cs="Times New Roman" w:eastAsia="Times New Roman" w:hint="default"/>
                <w:sz w:val="18"/>
                <w:szCs w:val="18"/>
              </w:rPr>
              <w:t>8</w:t>
            </w:r>
            <w:r>
              <w:rPr>
                <w:rFonts w:ascii="宋体" w:hAnsi="宋体" w:cs="宋体" w:eastAsia="宋体" w:hint="default"/>
                <w:sz w:val="18"/>
                <w:szCs w:val="18"/>
              </w:rPr>
              <w:t>至</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2016</w:t>
            </w:r>
            <w:r>
              <w:rPr>
                <w:rFonts w:ascii="宋体"/>
                <w:sz w:val="18"/>
              </w:rPr>
              <w:t>-0</w:t>
            </w:r>
            <w:r>
              <w:rPr>
                <w:rFonts w:ascii="Times New Roman"/>
                <w:sz w:val="18"/>
              </w:rPr>
              <w:t>1</w:t>
            </w:r>
            <w:r>
              <w:rPr>
                <w:rFonts w:ascii="宋体"/>
                <w:sz w:val="18"/>
              </w:rPr>
              <w:t>-0</w:t>
            </w:r>
            <w:r>
              <w:rPr>
                <w:rFonts w:ascii="Times New Roman"/>
                <w:sz w:val="18"/>
              </w:rPr>
              <w:t>8</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r>
    </w:tbl>
    <w:p>
      <w:pPr>
        <w:spacing w:line="240" w:lineRule="auto" w:before="8"/>
        <w:rPr>
          <w:rFonts w:ascii="Times New Roman" w:hAnsi="Times New Roman" w:cs="Times New Roman" w:eastAsia="Times New Roman" w:hint="default"/>
          <w:sz w:val="27"/>
          <w:szCs w:val="27"/>
        </w:rPr>
      </w:pPr>
    </w:p>
    <w:p>
      <w:pPr>
        <w:pStyle w:val="BodyText"/>
        <w:spacing w:line="240" w:lineRule="auto" w:before="44"/>
        <w:ind w:left="1134" w:right="821"/>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821"/>
        <w:jc w:val="left"/>
      </w:pPr>
      <w:r>
        <w:rPr/>
        <w:t>公司报告期不存在为公司带来的损益达到公司报告期利润总额</w:t>
      </w:r>
      <w:r>
        <w:rPr>
          <w:spacing w:val="-46"/>
        </w:rPr>
        <w:t> </w:t>
      </w:r>
      <w:r>
        <w:rPr>
          <w:rFonts w:ascii="Times New Roman" w:hAnsi="Times New Roman" w:cs="Times New Roman" w:eastAsia="Times New Roman" w:hint="default"/>
        </w:rPr>
        <w:t>10%</w:t>
      </w:r>
      <w:r>
        <w:rPr/>
        <w:t>以上的租赁项目。</w:t>
      </w:r>
    </w:p>
    <w:p>
      <w:pPr>
        <w:spacing w:line="240" w:lineRule="auto" w:before="10"/>
        <w:rPr>
          <w:rFonts w:ascii="宋体" w:hAnsi="宋体" w:cs="宋体" w:eastAsia="宋体" w:hint="default"/>
          <w:sz w:val="25"/>
          <w:szCs w:val="25"/>
        </w:rPr>
      </w:pPr>
    </w:p>
    <w:p>
      <w:pPr>
        <w:pStyle w:val="Heading3"/>
        <w:spacing w:line="240" w:lineRule="auto"/>
        <w:ind w:right="821"/>
        <w:jc w:val="left"/>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right="821"/>
        <w:jc w:val="left"/>
        <w:rPr>
          <w:b w:val="0"/>
          <w:bCs w:val="0"/>
        </w:rPr>
      </w:pPr>
      <w:bookmarkStart w:name="3、委托他人进行现金资产管理情况" w:id="89"/>
      <w:bookmarkEnd w:id="89"/>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21"/>
        <w:jc w:val="left"/>
        <w:rPr>
          <w:b w:val="0"/>
          <w:bCs w:val="0"/>
        </w:rPr>
      </w:pPr>
      <w:bookmarkStart w:name="（1）委托理财情况" w:id="90"/>
      <w:bookmarkEnd w:id="9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right="821"/>
        <w:jc w:val="left"/>
        <w:rPr>
          <w:b w:val="0"/>
          <w:bCs w:val="0"/>
        </w:rPr>
      </w:pPr>
      <w:bookmarkStart w:name="（2）委托贷款情况" w:id="91"/>
      <w:bookmarkEnd w:id="91"/>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right="821"/>
        <w:jc w:val="left"/>
        <w:rPr>
          <w:b w:val="0"/>
          <w:bCs w:val="0"/>
        </w:rPr>
      </w:pPr>
      <w:bookmarkStart w:name="4、其他重大合同" w:id="92"/>
      <w:bookmarkEnd w:id="9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after="0" w:line="338" w:lineRule="auto"/>
        <w:jc w:val="left"/>
        <w:sectPr>
          <w:pgSz w:w="11910" w:h="16840"/>
          <w:pgMar w:header="877"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right="821"/>
        <w:jc w:val="left"/>
        <w:rPr>
          <w:b w:val="0"/>
          <w:bCs w:val="0"/>
        </w:rPr>
      </w:pPr>
      <w:bookmarkStart w:name="十七、其他重大事项的说明" w:id="93"/>
      <w:bookmarkEnd w:id="93"/>
      <w:r>
        <w:rPr>
          <w:b w:val="0"/>
          <w:bCs w:val="0"/>
        </w:rPr>
      </w:r>
      <w:r>
        <w:rPr/>
        <w:t>十七、其他重大事项的说明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4" w:firstLine="357"/>
        <w:jc w:val="both"/>
      </w:pPr>
      <w:r>
        <w:rPr/>
        <w:t>报告期内，公司开展了员工持股计划，内容详见本报告</w:t>
      </w:r>
      <w:r>
        <w:rPr>
          <w:rFonts w:ascii="Times New Roman" w:hAnsi="Times New Roman" w:cs="Times New Roman" w:eastAsia="Times New Roman" w:hint="default"/>
        </w:rPr>
        <w:t>“</w:t>
      </w:r>
      <w:r>
        <w:rPr/>
        <w:t>第五节</w:t>
      </w:r>
      <w:r>
        <w:rPr>
          <w:spacing w:val="25"/>
        </w:rPr>
        <w:t> </w:t>
      </w:r>
      <w:r>
        <w:rPr/>
        <w:t>重要事项</w:t>
      </w:r>
      <w:r>
        <w:rPr>
          <w:rFonts w:ascii="Times New Roman" w:hAnsi="Times New Roman" w:cs="Times New Roman" w:eastAsia="Times New Roman" w:hint="default"/>
        </w:rPr>
        <w:t>”</w:t>
      </w:r>
      <w:r>
        <w:rPr/>
        <w:t>中</w:t>
      </w:r>
      <w:r>
        <w:rPr>
          <w:rFonts w:ascii="Times New Roman" w:hAnsi="Times New Roman" w:cs="Times New Roman" w:eastAsia="Times New Roman" w:hint="default"/>
        </w:rPr>
        <w:t>“</w:t>
      </w:r>
      <w:r>
        <w:rPr/>
        <w:t>十四、公司股权激励计划、员工持股计 划或其他员工激励措施的实施情况</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2"/>
        <w:spacing w:line="240" w:lineRule="auto"/>
        <w:ind w:left="1134" w:right="821"/>
        <w:jc w:val="left"/>
        <w:rPr>
          <w:b w:val="0"/>
          <w:bCs w:val="0"/>
        </w:rPr>
      </w:pPr>
      <w:bookmarkStart w:name="十八、公司子公司重大事项" w:id="94"/>
      <w:bookmarkEnd w:id="94"/>
      <w:r>
        <w:rPr>
          <w:b w:val="0"/>
          <w:bCs w:val="0"/>
        </w:rPr>
      </w:r>
      <w:r>
        <w:rPr/>
        <w:t>十八、公司子公司重大事项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31" w:firstLine="357"/>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日，公司第三届董事会第十七次会议审议通过《关于公司对外设立全资子公司并购买土地建设生产基地的 </w:t>
      </w:r>
      <w:r>
        <w:rPr>
          <w:spacing w:val="-2"/>
        </w:rPr>
        <w:t>议案》，并于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3</w:t>
      </w:r>
      <w:r>
        <w:rPr>
          <w:spacing w:val="-2"/>
        </w:rPr>
        <w:t>日经公司</w:t>
      </w:r>
      <w:r>
        <w:rPr>
          <w:rFonts w:ascii="Times New Roman" w:hAnsi="Times New Roman" w:cs="Times New Roman" w:eastAsia="Times New Roman" w:hint="default"/>
          <w:spacing w:val="-2"/>
        </w:rPr>
        <w:t>2015</w:t>
      </w:r>
      <w:r>
        <w:rPr>
          <w:spacing w:val="-2"/>
        </w:rPr>
        <w:t>年第一次临时股东大会审议通过。</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9</w:t>
      </w:r>
      <w:r>
        <w:rPr>
          <w:spacing w:val="-2"/>
        </w:rPr>
        <w:t>日，本公司在天津设立全资子公司天津</w:t>
      </w:r>
      <w:r>
        <w:rPr>
          <w:spacing w:val="-49"/>
        </w:rPr>
        <w:t> </w:t>
      </w:r>
      <w:r>
        <w:rPr>
          <w:spacing w:val="-49"/>
        </w:rPr>
      </w:r>
      <w:r>
        <w:rPr/>
        <w:t>合纵并完成了工商注册登记手续，注册资本</w:t>
      </w:r>
      <w:r>
        <w:rPr>
          <w:rFonts w:ascii="Times New Roman" w:hAnsi="Times New Roman" w:cs="Times New Roman" w:eastAsia="Times New Roman" w:hint="default"/>
        </w:rPr>
        <w:t>8,000</w:t>
      </w:r>
      <w:r>
        <w:rPr/>
        <w:t>万元。天津全资子公司通过自有资金加债务融资的方式在天津买地建设新</w:t>
      </w:r>
      <w:r>
        <w:rPr>
          <w:spacing w:val="-45"/>
        </w:rPr>
        <w:t> </w:t>
      </w:r>
      <w:r>
        <w:rPr>
          <w:spacing w:val="-45"/>
        </w:rPr>
      </w:r>
      <w:r>
        <w:rPr/>
        <w:t>的生产基地，主要从事电力节能环保型高低压设备生产、研发、销售及相关服务，投资总额不超过</w:t>
      </w:r>
      <w:r>
        <w:rPr>
          <w:rFonts w:ascii="Times New Roman" w:hAnsi="Times New Roman" w:cs="Times New Roman" w:eastAsia="Times New Roman" w:hint="default"/>
        </w:rPr>
        <w:t>6</w:t>
      </w:r>
      <w:r>
        <w:rPr/>
        <w:t>亿元。</w:t>
      </w:r>
    </w:p>
    <w:p>
      <w:pPr>
        <w:pStyle w:val="BodyText"/>
        <w:spacing w:line="302" w:lineRule="auto" w:before="13"/>
        <w:ind w:right="1129" w:firstLine="357"/>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日，天津合纵取得了天津市滨海新区规划和国土资源管理局、天津市滨海新区土地发展中心出具的《挂牌 地块成交确认书》。</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日，天津合纵取得《天津滨海高新技术产业开发区管理委员会关于同意天津合纵电力设备</w:t>
      </w:r>
      <w:r>
        <w:rPr>
          <w:spacing w:val="-83"/>
        </w:rPr>
        <w:t> </w:t>
      </w:r>
      <w:r>
        <w:rPr>
          <w:spacing w:val="-83"/>
        </w:rPr>
      </w:r>
      <w:r>
        <w:rPr/>
        <w:t>有限公司合纵科技（天津）生产基地项目备案的通知》（津高新区发改审【</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122</w:t>
      </w:r>
      <w:r>
        <w:rPr/>
        <w:t>号）。</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日，天津合纵与天</w:t>
      </w:r>
      <w:r>
        <w:rPr>
          <w:spacing w:val="-82"/>
        </w:rPr>
        <w:t> </w:t>
      </w:r>
      <w:r>
        <w:rPr>
          <w:spacing w:val="-82"/>
        </w:rPr>
      </w:r>
      <w:r>
        <w:rPr>
          <w:spacing w:val="-2"/>
        </w:rPr>
        <w:t>津滨海高新技术产业开发区国土资源和房屋管理局签署了《天津市国有建设用地使用权出让合同》，约定将坐落于滨海高新</w:t>
      </w:r>
      <w:r>
        <w:rPr>
          <w:spacing w:val="-66"/>
        </w:rPr>
        <w:t> </w:t>
      </w:r>
      <w:r>
        <w:rPr>
          <w:spacing w:val="-66"/>
        </w:rPr>
      </w:r>
      <w:r>
        <w:rPr/>
        <w:t>区滨海科技园、宗地编号为津滨高（挂）</w:t>
      </w:r>
      <w:r>
        <w:rPr>
          <w:rFonts w:ascii="Times New Roman" w:hAnsi="Times New Roman" w:cs="Times New Roman" w:eastAsia="Times New Roman" w:hint="default"/>
        </w:rPr>
        <w:t>G2015-08</w:t>
      </w:r>
      <w:r>
        <w:rPr/>
        <w:t>号的土地出让给天津合纵，出让宗地面积为</w:t>
      </w:r>
      <w:r>
        <w:rPr>
          <w:rFonts w:ascii="Times New Roman" w:hAnsi="Times New Roman" w:cs="Times New Roman" w:eastAsia="Times New Roman" w:hint="default"/>
        </w:rPr>
        <w:t>133,334.10</w:t>
      </w:r>
      <w:r>
        <w:rPr/>
        <w:t>平方米，土地出让 </w:t>
      </w:r>
      <w:r>
        <w:rPr>
          <w:spacing w:val="-1"/>
        </w:rPr>
        <w:t>金为</w:t>
      </w:r>
      <w:r>
        <w:rPr>
          <w:rFonts w:ascii="Times New Roman" w:hAnsi="Times New Roman" w:cs="Times New Roman" w:eastAsia="Times New Roman" w:hint="default"/>
          <w:spacing w:val="-1"/>
        </w:rPr>
        <w:t>6,410</w:t>
      </w:r>
      <w:r>
        <w:rPr>
          <w:spacing w:val="-1"/>
        </w:rPr>
        <w:t>万元，土地性质为工业用地，使用权年期为</w:t>
      </w:r>
      <w:r>
        <w:rPr>
          <w:rFonts w:ascii="Times New Roman" w:hAnsi="Times New Roman" w:cs="Times New Roman" w:eastAsia="Times New Roman" w:hint="default"/>
          <w:spacing w:val="-1"/>
        </w:rPr>
        <w:t>50</w:t>
      </w:r>
      <w:r>
        <w:rPr>
          <w:spacing w:val="-1"/>
        </w:rPr>
        <w:t>年。</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25</w:t>
      </w:r>
      <w:r>
        <w:rPr>
          <w:spacing w:val="-1"/>
        </w:rPr>
        <w:t>日，天津合纵向天津滨海高新技术产业开发区国土</w:t>
      </w:r>
      <w:r>
        <w:rPr>
          <w:spacing w:val="-70"/>
        </w:rPr>
        <w:t> </w:t>
      </w:r>
      <w:r>
        <w:rPr>
          <w:spacing w:val="-70"/>
        </w:rPr>
      </w:r>
      <w:r>
        <w:rPr/>
        <w:t>资源和房屋管理局支付了全部土地出让金</w:t>
      </w:r>
      <w:r>
        <w:rPr>
          <w:rFonts w:ascii="Times New Roman" w:hAnsi="Times New Roman" w:cs="Times New Roman" w:eastAsia="Times New Roman" w:hint="default"/>
        </w:rPr>
        <w:t>6,410</w:t>
      </w:r>
      <w:r>
        <w:rPr/>
        <w:t>万元。截止本报告披露日，天津合纵已取得上述地块的土地使用权证书。</w:t>
      </w:r>
    </w:p>
    <w:p>
      <w:pPr>
        <w:pStyle w:val="BodyText"/>
        <w:spacing w:line="300" w:lineRule="auto" w:before="11"/>
        <w:ind w:right="113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日公司召开的第三届董事会第二十八次会议审议通过了《关于同意全资子公司签署</w:t>
      </w:r>
      <w:r>
        <w:rPr>
          <w:rFonts w:ascii="Times New Roman" w:hAnsi="Times New Roman" w:cs="Times New Roman" w:eastAsia="Times New Roman" w:hint="default"/>
        </w:rPr>
        <w:t>&lt;</w:t>
      </w:r>
      <w:r>
        <w:rPr/>
        <w:t>建设工程施工总承包 合同</w:t>
      </w:r>
      <w:r>
        <w:rPr>
          <w:rFonts w:ascii="Times New Roman" w:hAnsi="Times New Roman" w:cs="Times New Roman" w:eastAsia="Times New Roman" w:hint="default"/>
        </w:rPr>
        <w:t>&gt;</w:t>
      </w:r>
      <w:r>
        <w:rPr/>
        <w:t>事宜的议案》。天津合纵已将合纵科技（天津）生产基地项目施工总承包工程项目发包给中铁十九局集团第二工程有 限公司，并与之签署《建设工程施工总承包合同》。截止本报告披露日，天津生产基地项目仍处于建设施工中。</w:t>
      </w:r>
    </w:p>
    <w:p>
      <w:pPr>
        <w:pStyle w:val="BodyText"/>
        <w:spacing w:line="240" w:lineRule="auto" w:before="31"/>
        <w:ind w:left="1424" w:right="821"/>
        <w:jc w:val="left"/>
      </w:pPr>
      <w:r>
        <w:rPr/>
        <w:t>此相关事项已在巨潮资讯网（</w:t>
      </w:r>
      <w:hyperlink r:id="rId12">
        <w:r>
          <w:rPr>
            <w:rFonts w:ascii="Times New Roman" w:hAnsi="Times New Roman" w:cs="Times New Roman" w:eastAsia="Times New Roman" w:hint="default"/>
          </w:rPr>
          <w:t>http://www.cninfo.com.cn</w:t>
        </w:r>
      </w:hyperlink>
      <w:r>
        <w:rPr/>
        <w:t>）进行了相应的公告。</w:t>
      </w:r>
    </w:p>
    <w:p>
      <w:pPr>
        <w:spacing w:line="240" w:lineRule="auto" w:before="1"/>
        <w:rPr>
          <w:rFonts w:ascii="宋体" w:hAnsi="宋体" w:cs="宋体" w:eastAsia="宋体" w:hint="default"/>
          <w:sz w:val="24"/>
          <w:szCs w:val="24"/>
        </w:rPr>
      </w:pPr>
    </w:p>
    <w:p>
      <w:pPr>
        <w:pStyle w:val="Heading2"/>
        <w:spacing w:line="240" w:lineRule="auto"/>
        <w:ind w:right="821"/>
        <w:jc w:val="left"/>
        <w:rPr>
          <w:b w:val="0"/>
          <w:bCs w:val="0"/>
        </w:rPr>
      </w:pPr>
      <w:bookmarkStart w:name="十九、社会责任情况" w:id="95"/>
      <w:bookmarkEnd w:id="95"/>
      <w:r>
        <w:rPr>
          <w:b w:val="0"/>
          <w:bCs w:val="0"/>
        </w:rPr>
      </w:r>
      <w:r>
        <w:rPr/>
        <w:t>十九、社会责任情况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21"/>
        <w:jc w:val="left"/>
        <w:rPr>
          <w:b w:val="0"/>
          <w:bCs w:val="0"/>
        </w:rPr>
      </w:pPr>
      <w:bookmarkStart w:name="二十、公司债券相关情况" w:id="96"/>
      <w:bookmarkEnd w:id="96"/>
      <w:r>
        <w:rPr>
          <w:b w:val="0"/>
          <w:bCs w:val="0"/>
        </w:rPr>
      </w:r>
      <w:r>
        <w:rPr/>
        <w:t>二十、公司债券相关情况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945" w:right="821"/>
        <w:jc w:val="left"/>
        <w:rPr>
          <w:b w:val="0"/>
          <w:bCs w:val="0"/>
        </w:rPr>
      </w:pPr>
      <w:bookmarkStart w:name="第六节 股份变动及股东情况" w:id="97"/>
      <w:bookmarkEnd w:id="97"/>
      <w:r>
        <w:rPr>
          <w:b w:val="0"/>
          <w:bCs w:val="0"/>
        </w:rPr>
      </w:r>
      <w:bookmarkStart w:name="_bookmark4" w:id="98"/>
      <w:bookmarkEnd w:id="98"/>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21"/>
        <w:jc w:val="left"/>
        <w:rPr>
          <w:b w:val="0"/>
          <w:bCs w:val="0"/>
        </w:rPr>
      </w:pPr>
      <w:bookmarkStart w:name="一、股份变动情况" w:id="99"/>
      <w:bookmarkEnd w:id="99"/>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股份变动情况" w:id="100"/>
      <w:bookmarkEnd w:id="10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926" w:type="dxa"/>
        <w:tblLayout w:type="fixed"/>
        <w:tblCellMar>
          <w:top w:w="0" w:type="dxa"/>
          <w:left w:w="0" w:type="dxa"/>
          <w:bottom w:w="0" w:type="dxa"/>
          <w:right w:w="0" w:type="dxa"/>
        </w:tblCellMar>
        <w:tblLook w:val="01E0"/>
      </w:tblPr>
      <w:tblGrid>
        <w:gridCol w:w="1962"/>
        <w:gridCol w:w="1004"/>
        <w:gridCol w:w="851"/>
        <w:gridCol w:w="992"/>
        <w:gridCol w:w="709"/>
        <w:gridCol w:w="1096"/>
        <w:gridCol w:w="748"/>
        <w:gridCol w:w="896"/>
        <w:gridCol w:w="1087"/>
        <w:gridCol w:w="709"/>
      </w:tblGrid>
      <w:tr>
        <w:trPr>
          <w:trHeight w:val="205"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4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2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4441" w:type="dxa"/>
            <w:gridSpan w:val="5"/>
            <w:vMerge/>
            <w:tcBorders>
              <w:left w:val="single" w:sz="4" w:space="0" w:color="000000"/>
              <w:bottom w:val="single" w:sz="4" w:space="0" w:color="000000"/>
              <w:right w:val="single" w:sz="4" w:space="0" w:color="000000"/>
            </w:tcBorders>
            <w:shd w:val="clear" w:color="auto" w:fill="D2D2D2"/>
          </w:tcPr>
          <w:p>
            <w:pPr/>
          </w:p>
        </w:tc>
        <w:tc>
          <w:tcPr>
            <w:tcW w:w="179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096" w:type="dxa"/>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82,180,000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82,180,000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82,180,000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82,180,000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10.32%</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607,699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607,699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9,087,699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89.68%</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-607,699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-607,699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73,092,301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10"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26,000,000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24.03%</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10"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26,000,000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24.03%</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82,180,000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26,000,000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108,180,000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821"/>
        <w:jc w:val="left"/>
      </w:pPr>
      <w:r>
        <w:rPr/>
        <w:t>股份变动的原因</w:t>
      </w:r>
    </w:p>
    <w:p>
      <w:pPr>
        <w:pStyle w:val="BodyText"/>
        <w:spacing w:line="338" w:lineRule="auto" w:before="117"/>
        <w:ind w:left="1493" w:right="821"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10</w:t>
      </w:r>
      <w:r>
        <w:rPr>
          <w:spacing w:val="-1"/>
        </w:rPr>
        <w:t>日首次公开发行股票并在深圳交易所创业板上市，本次公开发行的股票数量为</w:t>
      </w:r>
      <w:r>
        <w:rPr>
          <w:rFonts w:ascii="Times New Roman" w:hAnsi="Times New Roman" w:cs="Times New Roman" w:eastAsia="Times New Roman" w:hint="default"/>
          <w:spacing w:val="-1"/>
        </w:rPr>
        <w:t>2</w:t>
      </w:r>
      <w:r>
        <w:rPr>
          <w:rFonts w:ascii="宋体" w:hAnsi="宋体" w:cs="宋体" w:eastAsia="宋体" w:hint="default"/>
          <w:spacing w:val="-1"/>
        </w:rPr>
        <w:t>,</w:t>
      </w:r>
      <w:r>
        <w:rPr>
          <w:rFonts w:ascii="Times New Roman" w:hAnsi="Times New Roman" w:cs="Times New Roman" w:eastAsia="Times New Roman" w:hint="default"/>
          <w:spacing w:val="-1"/>
        </w:rPr>
        <w:t>704.5</w:t>
      </w:r>
      <w:r>
        <w:rPr>
          <w:spacing w:val="-1"/>
        </w:rPr>
        <w:t>万股，其中新</w:t>
      </w:r>
    </w:p>
    <w:p>
      <w:pPr>
        <w:pStyle w:val="BodyText"/>
        <w:spacing w:line="231" w:lineRule="exact"/>
        <w:ind w:right="821"/>
        <w:jc w:val="left"/>
      </w:pPr>
      <w:r>
        <w:rPr/>
        <w:t>股发行</w:t>
      </w:r>
      <w:r>
        <w:rPr>
          <w:rFonts w:ascii="Times New Roman" w:hAnsi="Times New Roman" w:cs="Times New Roman" w:eastAsia="Times New Roman" w:hint="default"/>
        </w:rPr>
        <w:t>2,600</w:t>
      </w:r>
      <w:r>
        <w:rPr/>
        <w:t>万股，老股转让</w:t>
      </w:r>
      <w:r>
        <w:rPr>
          <w:rFonts w:ascii="Times New Roman" w:hAnsi="Times New Roman" w:cs="Times New Roman" w:eastAsia="Times New Roman" w:hint="default"/>
        </w:rPr>
        <w:t>104.50</w:t>
      </w:r>
      <w:r>
        <w:rPr/>
        <w:t>万股，公司股份总数由</w:t>
      </w:r>
      <w:r>
        <w:rPr>
          <w:rFonts w:ascii="Times New Roman" w:hAnsi="Times New Roman" w:cs="Times New Roman" w:eastAsia="Times New Roman" w:hint="default"/>
        </w:rPr>
        <w:t>82,180,000</w:t>
      </w:r>
      <w:r>
        <w:rPr/>
        <w:t>股增至</w:t>
      </w:r>
      <w:r>
        <w:rPr>
          <w:rFonts w:ascii="Times New Roman" w:hAnsi="Times New Roman" w:cs="Times New Roman" w:eastAsia="Times New Roman" w:hint="default"/>
        </w:rPr>
        <w:t>108,180,000</w:t>
      </w:r>
      <w:r>
        <w:rPr/>
        <w:t>股。</w:t>
      </w:r>
    </w:p>
    <w:p>
      <w:pPr>
        <w:pStyle w:val="BodyText"/>
        <w:spacing w:line="240" w:lineRule="auto" w:before="102"/>
        <w:ind w:right="821"/>
        <w:jc w:val="left"/>
      </w:pPr>
      <w:r>
        <w:rPr/>
        <w:t>股份变动的批准情况</w:t>
      </w:r>
    </w:p>
    <w:p>
      <w:pPr>
        <w:pStyle w:val="BodyText"/>
        <w:spacing w:line="240" w:lineRule="auto" w:before="117"/>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821" w:firstLine="29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21</w:t>
      </w:r>
      <w:r>
        <w:rPr>
          <w:spacing w:val="-1"/>
        </w:rPr>
        <w:t>日中国证券监督管理委员会颁发核准文件（证监许可【</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959</w:t>
      </w:r>
      <w:r>
        <w:rPr>
          <w:spacing w:val="-1"/>
        </w:rPr>
        <w:t>号），公司首次公开发行股票并在创业板</w:t>
      </w:r>
      <w:r>
        <w:rPr/>
        <w:t> 上市申请获通过。</w:t>
      </w:r>
    </w:p>
    <w:p>
      <w:pPr>
        <w:pStyle w:val="BodyText"/>
        <w:spacing w:line="240" w:lineRule="auto" w:before="72"/>
        <w:ind w:right="821"/>
        <w:jc w:val="left"/>
      </w:pPr>
      <w:r>
        <w:rPr/>
        <w:t>股份变动的过户情况</w:t>
      </w:r>
    </w:p>
    <w:p>
      <w:pPr>
        <w:pStyle w:val="BodyText"/>
        <w:spacing w:line="240" w:lineRule="auto" w:before="117"/>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821" w:firstLine="360"/>
        <w:jc w:val="left"/>
      </w:pPr>
      <w:r>
        <w:rPr/>
        <w:t>信永中和会计师事务所（特殊普通合伙）于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日出具了报告号为：</w:t>
      </w:r>
      <w:r>
        <w:rPr>
          <w:rFonts w:ascii="Times New Roman" w:hAnsi="Times New Roman" w:cs="Times New Roman" w:eastAsia="Times New Roman" w:hint="default"/>
        </w:rPr>
        <w:t>XYZH/2014A1027-11</w:t>
      </w:r>
      <w:r>
        <w:rPr/>
        <w:t>《验资报告》，经其</w:t>
      </w:r>
      <w:r>
        <w:rPr>
          <w:w w:val="99"/>
        </w:rPr>
        <w:t> </w:t>
      </w:r>
      <w:r>
        <w:rPr>
          <w:spacing w:val="-2"/>
        </w:rPr>
        <w:t>审验认为：截至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日，公司实际发行了人民币普通股股票（</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2,704.5</w:t>
      </w:r>
      <w:r>
        <w:rPr>
          <w:spacing w:val="-2"/>
        </w:rPr>
        <w:t>万股，其中发行新股</w:t>
      </w:r>
      <w:r>
        <w:rPr>
          <w:rFonts w:ascii="Times New Roman" w:hAnsi="Times New Roman" w:cs="Times New Roman" w:eastAsia="Times New Roman" w:hint="default"/>
          <w:spacing w:val="-2"/>
        </w:rPr>
        <w:t>2,600</w:t>
      </w:r>
      <w:r>
        <w:rPr>
          <w:spacing w:val="-2"/>
        </w:rPr>
        <w:t>万股，股东公开</w:t>
      </w:r>
      <w:r>
        <w:rPr>
          <w:spacing w:val="-50"/>
        </w:rPr>
        <w:t> </w:t>
      </w:r>
      <w:r>
        <w:rPr>
          <w:spacing w:val="-50"/>
        </w:rPr>
      </w:r>
      <w:r>
        <w:rPr>
          <w:spacing w:val="-2"/>
        </w:rPr>
        <w:t>发售其所持股份（老股转让）</w:t>
      </w:r>
      <w:r>
        <w:rPr>
          <w:rFonts w:ascii="Times New Roman" w:hAnsi="Times New Roman" w:cs="Times New Roman" w:eastAsia="Times New Roman" w:hint="default"/>
          <w:spacing w:val="-2"/>
        </w:rPr>
        <w:t>104.5</w:t>
      </w:r>
      <w:r>
        <w:rPr>
          <w:spacing w:val="-2"/>
        </w:rPr>
        <w:t>万股。公司发行新股增加注册资本（股本）人民币</w:t>
      </w:r>
      <w:r>
        <w:rPr>
          <w:rFonts w:ascii="Times New Roman" w:hAnsi="Times New Roman" w:cs="Times New Roman" w:eastAsia="Times New Roman" w:hint="default"/>
          <w:spacing w:val="-2"/>
        </w:rPr>
        <w:t>2,600</w:t>
      </w:r>
      <w:r>
        <w:rPr>
          <w:spacing w:val="-2"/>
        </w:rPr>
        <w:t>万股，变更后的注册资本（股本）</w:t>
      </w:r>
      <w:r>
        <w:rPr>
          <w:spacing w:val="-60"/>
        </w:rPr>
        <w:t> </w:t>
      </w:r>
      <w:r>
        <w:rPr>
          <w:spacing w:val="-60"/>
        </w:rPr>
      </w:r>
      <w:r>
        <w:rPr/>
        <w:t>为人民币</w:t>
      </w:r>
      <w:r>
        <w:rPr>
          <w:rFonts w:ascii="Times New Roman" w:hAnsi="Times New Roman" w:cs="Times New Roman" w:eastAsia="Times New Roman" w:hint="default"/>
        </w:rPr>
        <w:t>10,818</w:t>
      </w:r>
      <w:r>
        <w:rPr/>
        <w:t>万股。</w:t>
      </w:r>
    </w:p>
    <w:p>
      <w:pPr>
        <w:pStyle w:val="BodyText"/>
        <w:spacing w:line="240" w:lineRule="auto" w:before="52"/>
        <w:ind w:left="1134" w:right="821"/>
        <w:jc w:val="left"/>
      </w:pPr>
      <w:r>
        <w:rPr/>
        <w:t>股份变动对最近一年和最近一期基本每股收益和稀释每股收益、归属于公司普通股股东的每股净资产等财务指标的影响</w:t>
      </w:r>
    </w:p>
    <w:p>
      <w:pPr>
        <w:pStyle w:val="BodyText"/>
        <w:spacing w:line="319" w:lineRule="auto" w:before="117"/>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因上市首发导致股份总数增加，且导致每股收益和每股净资产稀释，</w:t>
      </w:r>
      <w:r>
        <w:rPr>
          <w:rFonts w:ascii="Times New Roman" w:hAnsi="Times New Roman" w:cs="Times New Roman" w:eastAsia="Times New Roman" w:hint="default"/>
          <w:spacing w:val="-2"/>
        </w:rPr>
        <w:t>2015</w:t>
      </w:r>
      <w:r>
        <w:rPr>
          <w:spacing w:val="-2"/>
        </w:rPr>
        <w:t>年新股发行前基本每股收益和稀释每股收益股收益</w:t>
      </w:r>
      <w:r>
        <w:rPr>
          <w:spacing w:val="-59"/>
        </w:rPr>
        <w:t> </w:t>
      </w:r>
      <w:r>
        <w:rPr/>
        <w:t>均为</w:t>
      </w:r>
      <w:r>
        <w:rPr>
          <w:rFonts w:ascii="Times New Roman" w:hAnsi="Times New Roman" w:cs="Times New Roman" w:eastAsia="Times New Roman" w:hint="default"/>
        </w:rPr>
        <w:t>1.06</w:t>
      </w:r>
      <w:r>
        <w:rPr/>
        <w:t>元；归属于公司普通股股东的每股净资产为</w:t>
      </w:r>
      <w:r>
        <w:rPr>
          <w:rFonts w:ascii="Times New Roman" w:hAnsi="Times New Roman" w:cs="Times New Roman" w:eastAsia="Times New Roman" w:hint="default"/>
        </w:rPr>
        <w:t>8.92</w:t>
      </w:r>
      <w:r>
        <w:rPr/>
        <w:t>元。新股发行后基本每股收益和稀释每股收益均为</w:t>
      </w:r>
      <w:r>
        <w:rPr>
          <w:rFonts w:ascii="Times New Roman" w:hAnsi="Times New Roman" w:cs="Times New Roman" w:eastAsia="Times New Roman" w:hint="default"/>
        </w:rPr>
        <w:t>0.92</w:t>
      </w:r>
      <w:r>
        <w:rPr/>
        <w:t>元；归属于</w:t>
      </w:r>
    </w:p>
    <w:p>
      <w:pPr>
        <w:pStyle w:val="BodyText"/>
        <w:spacing w:line="340" w:lineRule="auto"/>
        <w:ind w:left="1134" w:right="6792"/>
        <w:jc w:val="left"/>
      </w:pPr>
      <w:r>
        <w:rPr/>
        <w:t>公司普通股股东的每股净资产为</w:t>
      </w:r>
      <w:r>
        <w:rPr>
          <w:rFonts w:ascii="Times New Roman" w:hAnsi="Times New Roman" w:cs="Times New Roman" w:eastAsia="Times New Roman" w:hint="default"/>
        </w:rPr>
        <w:t>6.77</w:t>
      </w:r>
      <w:r>
        <w:rPr/>
        <w:t>元。 公司认为必要或证券监管机构要求披露的其他内容</w:t>
      </w:r>
    </w:p>
    <w:p>
      <w:pPr>
        <w:pStyle w:val="BodyText"/>
        <w:spacing w:line="240" w:lineRule="auto" w:before="41"/>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821"/>
        <w:jc w:val="left"/>
        <w:rPr>
          <w:b w:val="0"/>
          <w:bCs w:val="0"/>
        </w:rPr>
      </w:pPr>
      <w:bookmarkStart w:name="2、限售股份变动情况" w:id="101"/>
      <w:bookmarkEnd w:id="10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206"/>
        <w:gridCol w:w="1489"/>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28,240,586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378,949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27,861,637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14,924,186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200,259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14,723,927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6,958,680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93,374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6,865,306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5,747,994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77,129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5,670,865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中国风险投资有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40,255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2,959,745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2,915,882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39,126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2,876,756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上海天一投资咨 询发展有限公司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25,898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1,904,102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1,840,047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24,690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1,815,357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高维</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1,725,798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23,157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1,702,641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琚存旭</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1,621,597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21,759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1,599,838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68,904,770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924,596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67,980,174</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821"/>
        <w:jc w:val="left"/>
        <w:rPr>
          <w:b w:val="0"/>
          <w:bCs w:val="0"/>
        </w:rPr>
      </w:pPr>
      <w:bookmarkStart w:name="二、证券发行与上市情况" w:id="102"/>
      <w:bookmarkEnd w:id="102"/>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报告期内证券发行（不含优先股）情况" w:id="103"/>
      <w:bookmarkEnd w:id="10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987" w:type="dxa"/>
        <w:tblLayout w:type="fixed"/>
        <w:tblCellMar>
          <w:top w:w="0" w:type="dxa"/>
          <w:left w:w="0" w:type="dxa"/>
          <w:bottom w:w="0" w:type="dxa"/>
          <w:right w:w="0" w:type="dxa"/>
        </w:tblCellMar>
        <w:tblLook w:val="01E0"/>
      </w:tblPr>
      <w:tblGrid>
        <w:gridCol w:w="1554"/>
        <w:gridCol w:w="1565"/>
        <w:gridCol w:w="1276"/>
        <w:gridCol w:w="1043"/>
        <w:gridCol w:w="1650"/>
        <w:gridCol w:w="1134"/>
        <w:gridCol w:w="1489"/>
      </w:tblGrid>
      <w:tr>
        <w:trPr>
          <w:trHeight w:val="714" w:hRule="exact"/>
        </w:trPr>
        <w:tc>
          <w:tcPr>
            <w:tcW w:w="1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股票及其衍生证券 名称</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2" w:right="21" w:hanging="430"/>
              <w:jc w:val="left"/>
              <w:rPr>
                <w:rFonts w:ascii="宋体" w:hAnsi="宋体" w:cs="宋体" w:eastAsia="宋体" w:hint="default"/>
                <w:sz w:val="18"/>
                <w:szCs w:val="18"/>
              </w:rPr>
            </w:pPr>
            <w:r>
              <w:rPr>
                <w:rFonts w:ascii="宋体" w:hAnsi="宋体" w:cs="宋体" w:eastAsia="宋体" w:hint="default"/>
                <w:spacing w:val="-6"/>
                <w:sz w:val="18"/>
                <w:szCs w:val="18"/>
              </w:rPr>
              <w:t>发行价格（或利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率）</w:t>
            </w:r>
          </w:p>
        </w:tc>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3" w:right="109"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71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10.61</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 w:right="0"/>
              <w:jc w:val="left"/>
              <w:rPr>
                <w:rFonts w:ascii="Times New Roman" w:hAnsi="Times New Roman" w:cs="Times New Roman" w:eastAsia="Times New Roman" w:hint="default"/>
                <w:sz w:val="18"/>
                <w:szCs w:val="18"/>
              </w:rPr>
            </w:pPr>
            <w:r>
              <w:rPr>
                <w:rFonts w:ascii="Times New Roman"/>
                <w:sz w:val="18"/>
              </w:rPr>
              <w:t>27,045,000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27,045,000</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71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71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1"/>
        <w:ind w:left="1494" w:right="1122" w:hanging="360"/>
        <w:jc w:val="left"/>
      </w:pPr>
      <w:r>
        <w:rPr/>
        <w:t>报告期内证券发行（不含优先股）情况的说明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日首次公开发行股票并在深圳交易所创业板上市，本次公开发行的股票数量为</w:t>
      </w:r>
      <w:r>
        <w:rPr>
          <w:rFonts w:ascii="Times New Roman" w:hAnsi="Times New Roman" w:cs="Times New Roman" w:eastAsia="Times New Roman" w:hint="default"/>
        </w:rPr>
        <w:t>2,704.5</w:t>
      </w:r>
      <w:r>
        <w:rPr/>
        <w:t>万股，其中新</w:t>
      </w:r>
    </w:p>
    <w:p>
      <w:pPr>
        <w:pStyle w:val="BodyText"/>
        <w:spacing w:line="216" w:lineRule="exact"/>
        <w:ind w:right="821"/>
        <w:jc w:val="left"/>
      </w:pPr>
      <w:r>
        <w:rPr/>
        <w:t>股发行</w:t>
      </w:r>
      <w:r>
        <w:rPr>
          <w:rFonts w:ascii="Times New Roman" w:hAnsi="Times New Roman" w:cs="Times New Roman" w:eastAsia="Times New Roman" w:hint="default"/>
        </w:rPr>
        <w:t>2,600</w:t>
      </w:r>
      <w:r>
        <w:rPr/>
        <w:t>万股，老股转让</w:t>
      </w:r>
      <w:r>
        <w:rPr>
          <w:rFonts w:ascii="Times New Roman" w:hAnsi="Times New Roman" w:cs="Times New Roman" w:eastAsia="Times New Roman" w:hint="default"/>
        </w:rPr>
        <w:t>104.50</w:t>
      </w:r>
      <w:r>
        <w:rPr/>
        <w:t>万股，公司股份总数由</w:t>
      </w:r>
      <w:r>
        <w:rPr>
          <w:rFonts w:ascii="Times New Roman" w:hAnsi="Times New Roman" w:cs="Times New Roman" w:eastAsia="Times New Roman" w:hint="default"/>
        </w:rPr>
        <w:t>82,180,000</w:t>
      </w:r>
      <w:r>
        <w:rPr/>
        <w:t>股增至</w:t>
      </w:r>
      <w:r>
        <w:rPr>
          <w:rFonts w:ascii="Times New Roman" w:hAnsi="Times New Roman" w:cs="Times New Roman" w:eastAsia="Times New Roman" w:hint="default"/>
        </w:rPr>
        <w:t>108,180,000</w:t>
      </w:r>
      <w:r>
        <w:rPr/>
        <w:t>股。</w:t>
      </w:r>
    </w:p>
    <w:p>
      <w:pPr>
        <w:spacing w:line="240" w:lineRule="auto" w:before="9"/>
        <w:rPr>
          <w:rFonts w:ascii="宋体" w:hAnsi="宋体" w:cs="宋体" w:eastAsia="宋体" w:hint="default"/>
          <w:sz w:val="25"/>
          <w:szCs w:val="25"/>
        </w:rPr>
      </w:pPr>
    </w:p>
    <w:p>
      <w:pPr>
        <w:pStyle w:val="Heading3"/>
        <w:spacing w:line="240" w:lineRule="auto"/>
        <w:ind w:right="821"/>
        <w:jc w:val="left"/>
        <w:rPr>
          <w:b w:val="0"/>
          <w:bCs w:val="0"/>
        </w:rPr>
      </w:pPr>
      <w:bookmarkStart w:name="2、公司股份总数及股东结构的变动、公司资产和负债结构的变动情况说明" w:id="104"/>
      <w:bookmarkEnd w:id="10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49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依据中国证券监督管理委员会颁发核准文件（证监许可【</w:t>
      </w:r>
      <w:r>
        <w:rPr>
          <w:rFonts w:ascii="宋体" w:hAnsi="宋体" w:cs="宋体" w:eastAsia="宋体" w:hint="default"/>
        </w:rPr>
        <w:t>2015</w:t>
      </w:r>
      <w:r>
        <w:rPr/>
        <w:t>】</w:t>
      </w:r>
      <w:r>
        <w:rPr>
          <w:rFonts w:ascii="宋体" w:hAnsi="宋体" w:cs="宋体" w:eastAsia="宋体" w:hint="default"/>
        </w:rPr>
        <w:t>959</w:t>
      </w:r>
      <w:r>
        <w:rPr/>
        <w:t>号）核准，并经深圳证券交易所同意，公司向社会</w:t>
      </w:r>
    </w:p>
    <w:p>
      <w:pPr>
        <w:spacing w:after="0" w:line="338"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02" w:lineRule="auto" w:before="44"/>
        <w:ind w:left="1134" w:right="1127"/>
        <w:jc w:val="left"/>
      </w:pPr>
      <w:r>
        <w:rPr/>
        <w:t>公开发行人民币普通股（</w:t>
      </w:r>
      <w:r>
        <w:rPr>
          <w:rFonts w:ascii="Times New Roman" w:hAnsi="Times New Roman" w:cs="Times New Roman" w:eastAsia="Times New Roman" w:hint="default"/>
        </w:rPr>
        <w:t>A</w:t>
      </w:r>
      <w:r>
        <w:rPr/>
        <w:t>股）新股</w:t>
      </w:r>
      <w:r>
        <w:rPr>
          <w:rFonts w:ascii="Times New Roman" w:hAnsi="Times New Roman" w:cs="Times New Roman" w:eastAsia="Times New Roman" w:hint="default"/>
        </w:rPr>
        <w:t>2,600</w:t>
      </w:r>
      <w:r>
        <w:rPr/>
        <w:t>万股，于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日在深圳证券交易所挂牌上市。本次股票公开发行后，公司</w:t>
      </w:r>
      <w:r>
        <w:rPr>
          <w:spacing w:val="-83"/>
        </w:rPr>
        <w:t> </w:t>
      </w:r>
      <w:r>
        <w:rPr>
          <w:spacing w:val="-83"/>
        </w:rPr>
      </w:r>
      <w:r>
        <w:rPr/>
        <w:t>的总股本由</w:t>
      </w:r>
      <w:r>
        <w:rPr>
          <w:rFonts w:ascii="Times New Roman" w:hAnsi="Times New Roman" w:cs="Times New Roman" w:eastAsia="Times New Roman" w:hint="default"/>
        </w:rPr>
        <w:t>8,218</w:t>
      </w:r>
      <w:r>
        <w:rPr/>
        <w:t>万股增加至</w:t>
      </w:r>
      <w:r>
        <w:rPr>
          <w:rFonts w:ascii="Times New Roman" w:hAnsi="Times New Roman" w:cs="Times New Roman" w:eastAsia="Times New Roman" w:hint="default"/>
        </w:rPr>
        <w:t>10,818</w:t>
      </w:r>
      <w:r>
        <w:rPr/>
        <w:t>万股。</w:t>
      </w:r>
    </w:p>
    <w:p>
      <w:pPr>
        <w:spacing w:line="240" w:lineRule="auto" w:before="10"/>
        <w:rPr>
          <w:rFonts w:ascii="宋体" w:hAnsi="宋体" w:cs="宋体" w:eastAsia="宋体" w:hint="default"/>
          <w:sz w:val="21"/>
          <w:szCs w:val="21"/>
        </w:rPr>
      </w:pPr>
    </w:p>
    <w:p>
      <w:pPr>
        <w:pStyle w:val="Heading3"/>
        <w:spacing w:line="240" w:lineRule="auto"/>
        <w:ind w:right="821"/>
        <w:jc w:val="left"/>
        <w:rPr>
          <w:b w:val="0"/>
          <w:bCs w:val="0"/>
        </w:rPr>
      </w:pPr>
      <w:bookmarkStart w:name="3、现存的内部职工股情况" w:id="105"/>
      <w:bookmarkEnd w:id="10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21"/>
        <w:jc w:val="left"/>
        <w:rPr>
          <w:b w:val="0"/>
          <w:bCs w:val="0"/>
        </w:rPr>
      </w:pPr>
      <w:bookmarkStart w:name="三、股东和实际控制人情况" w:id="106"/>
      <w:bookmarkEnd w:id="106"/>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21"/>
        <w:jc w:val="left"/>
        <w:rPr>
          <w:b w:val="0"/>
          <w:bCs w:val="0"/>
        </w:rPr>
      </w:pPr>
      <w:bookmarkStart w:name="1、公司股东数量及持股情况" w:id="107"/>
      <w:bookmarkEnd w:id="10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8.351738pt;width:85.6pt;height:31.2pt;mso-position-horizontal-relative:page;mso-position-vertical-relative:paragraph;z-index:-780688"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399994pt;margin-top:68.351738pt;width:52.45pt;height:31.2pt;mso-position-horizontal-relative:page;mso-position-vertical-relative:paragraph;z-index:-780664" coordorigin="9648,1367" coordsize="1049,624">
            <v:shape style="position:absolute;left:9648;top:1367;width:1049;height:624" coordorigin="9648,1367" coordsize="1049,624" path="m9648,1991l10697,1991,10697,1367,9648,1367,9648,1991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29"/>
        <w:gridCol w:w="1013"/>
        <w:gridCol w:w="411"/>
        <w:gridCol w:w="850"/>
        <w:gridCol w:w="178"/>
        <w:gridCol w:w="956"/>
        <w:gridCol w:w="262"/>
        <w:gridCol w:w="731"/>
        <w:gridCol w:w="575"/>
        <w:gridCol w:w="559"/>
        <w:gridCol w:w="528"/>
        <w:gridCol w:w="607"/>
        <w:gridCol w:w="699"/>
        <w:gridCol w:w="292"/>
        <w:gridCol w:w="779"/>
      </w:tblGrid>
      <w:tr>
        <w:trPr>
          <w:trHeight w:val="161" w:hRule="exact"/>
        </w:trPr>
        <w:tc>
          <w:tcPr>
            <w:tcW w:w="1129" w:type="dxa"/>
            <w:vMerge w:val="restart"/>
            <w:tcBorders>
              <w:top w:val="single" w:sz="4" w:space="0" w:color="000000"/>
              <w:left w:val="single" w:sz="4" w:space="0" w:color="000000"/>
              <w:right w:val="single" w:sz="4" w:space="0" w:color="000000"/>
            </w:tcBorders>
            <w:shd w:val="clear" w:color="auto" w:fill="D2D2D2"/>
          </w:tcPr>
          <w:p>
            <w:pPr/>
          </w:p>
        </w:tc>
        <w:tc>
          <w:tcPr>
            <w:tcW w:w="1013"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67" w:right="0"/>
              <w:jc w:val="left"/>
              <w:rPr>
                <w:rFonts w:ascii="Times New Roman" w:hAnsi="Times New Roman" w:cs="Times New Roman" w:eastAsia="Times New Roman" w:hint="default"/>
                <w:sz w:val="18"/>
                <w:szCs w:val="18"/>
              </w:rPr>
            </w:pPr>
            <w:r>
              <w:rPr>
                <w:rFonts w:ascii="Times New Roman"/>
                <w:sz w:val="18"/>
              </w:rPr>
              <w:t>12,469</w:t>
            </w:r>
          </w:p>
        </w:tc>
        <w:tc>
          <w:tcPr>
            <w:tcW w:w="1439"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3" w:right="0"/>
              <w:jc w:val="left"/>
              <w:rPr>
                <w:rFonts w:ascii="Times New Roman" w:hAnsi="Times New Roman" w:cs="Times New Roman" w:eastAsia="Times New Roman" w:hint="default"/>
                <w:sz w:val="18"/>
                <w:szCs w:val="18"/>
              </w:rPr>
            </w:pPr>
            <w:r>
              <w:rPr>
                <w:rFonts w:ascii="Times New Roman"/>
                <w:sz w:val="18"/>
              </w:rPr>
              <w:t>12,386</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292" w:type="dxa"/>
            <w:tcBorders>
              <w:top w:val="single" w:sz="4" w:space="0" w:color="000000"/>
              <w:left w:val="single" w:sz="13" w:space="0" w:color="D2D2D2"/>
              <w:bottom w:val="nil" w:sz="6" w:space="0" w:color="auto"/>
              <w:right w:val="nil" w:sz="6" w:space="0" w:color="auto"/>
            </w:tcBorders>
          </w:tcPr>
          <w:p>
            <w:pPr/>
          </w:p>
        </w:tc>
        <w:tc>
          <w:tcPr>
            <w:tcW w:w="779"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129" w:type="dxa"/>
            <w:vMerge/>
            <w:tcBorders>
              <w:left w:val="single" w:sz="4" w:space="0" w:color="000000"/>
              <w:bottom w:val="nil" w:sz="6" w:space="0" w:color="auto"/>
              <w:right w:val="single" w:sz="4" w:space="0" w:color="000000"/>
            </w:tcBorders>
            <w:shd w:val="clear" w:color="auto" w:fill="D2D2D2"/>
          </w:tcPr>
          <w:p>
            <w:pPr/>
          </w:p>
        </w:tc>
        <w:tc>
          <w:tcPr>
            <w:tcW w:w="1013" w:type="dxa"/>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292" w:type="dxa"/>
            <w:vMerge w:val="restart"/>
            <w:tcBorders>
              <w:top w:val="nil" w:sz="6" w:space="0" w:color="auto"/>
              <w:left w:val="single" w:sz="13" w:space="0" w:color="D2D2D2"/>
              <w:right w:val="nil" w:sz="6" w:space="0" w:color="auto"/>
            </w:tcBorders>
          </w:tcPr>
          <w:p>
            <w:pPr/>
          </w:p>
        </w:tc>
        <w:tc>
          <w:tcPr>
            <w:tcW w:w="779" w:type="dxa"/>
            <w:tcBorders>
              <w:top w:val="nil" w:sz="6" w:space="0" w:color="auto"/>
              <w:left w:val="nil" w:sz="6" w:space="0" w:color="auto"/>
              <w:bottom w:val="nil" w:sz="6" w:space="0" w:color="auto"/>
              <w:right w:val="single" w:sz="4" w:space="0" w:color="000000"/>
            </w:tcBorders>
          </w:tcPr>
          <w:p>
            <w:pPr/>
          </w:p>
        </w:tc>
      </w:tr>
      <w:tr>
        <w:trPr>
          <w:trHeight w:val="1016" w:hRule="exact"/>
        </w:trPr>
        <w:tc>
          <w:tcPr>
            <w:tcW w:w="11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94"/>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013" w:type="dxa"/>
            <w:vMerge/>
            <w:tcBorders>
              <w:left w:val="single" w:sz="9" w:space="0" w:color="D2D2D2"/>
              <w:right w:val="single" w:sz="9" w:space="0" w:color="D2D2D2"/>
            </w:tcBorders>
          </w:tcPr>
          <w:p>
            <w:pPr/>
          </w:p>
        </w:tc>
        <w:tc>
          <w:tcPr>
            <w:tcW w:w="1439"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5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292" w:type="dxa"/>
            <w:vMerge/>
            <w:tcBorders>
              <w:left w:val="single" w:sz="13" w:space="0" w:color="D2D2D2"/>
              <w:right w:val="nil" w:sz="6" w:space="0" w:color="auto"/>
            </w:tcBorders>
          </w:tcPr>
          <w:p>
            <w:pPr/>
          </w:p>
        </w:tc>
        <w:tc>
          <w:tcPr>
            <w:tcW w:w="779"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29" w:type="dxa"/>
            <w:vMerge w:val="restart"/>
            <w:tcBorders>
              <w:top w:val="nil" w:sz="6" w:space="0" w:color="auto"/>
              <w:left w:val="single" w:sz="4" w:space="0" w:color="000000"/>
              <w:right w:val="single" w:sz="4" w:space="0" w:color="000000"/>
            </w:tcBorders>
            <w:shd w:val="clear" w:color="auto" w:fill="D2D2D2"/>
          </w:tcPr>
          <w:p>
            <w:pPr/>
          </w:p>
        </w:tc>
        <w:tc>
          <w:tcPr>
            <w:tcW w:w="1013" w:type="dxa"/>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292" w:type="dxa"/>
            <w:vMerge/>
            <w:tcBorders>
              <w:left w:val="single" w:sz="13" w:space="0" w:color="D2D2D2"/>
              <w:right w:val="nil" w:sz="6" w:space="0" w:color="auto"/>
            </w:tcBorders>
          </w:tcPr>
          <w:p>
            <w:pPr/>
          </w:p>
        </w:tc>
        <w:tc>
          <w:tcPr>
            <w:tcW w:w="779"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12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9" w:space="0" w:color="D2D2D2"/>
              <w:bottom w:val="single" w:sz="4" w:space="0" w:color="000000"/>
              <w:right w:val="single" w:sz="9" w:space="0" w:color="D2D2D2"/>
            </w:tcBorders>
          </w:tcPr>
          <w:p>
            <w:pPr/>
          </w:p>
        </w:tc>
        <w:tc>
          <w:tcPr>
            <w:tcW w:w="1439"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292" w:type="dxa"/>
            <w:vMerge/>
            <w:tcBorders>
              <w:left w:val="single" w:sz="13" w:space="0" w:color="D2D2D2"/>
              <w:bottom w:val="single" w:sz="4" w:space="0" w:color="000000"/>
              <w:right w:val="nil" w:sz="6" w:space="0" w:color="auto"/>
            </w:tcBorders>
          </w:tcPr>
          <w:p>
            <w:pPr/>
          </w:p>
        </w:tc>
        <w:tc>
          <w:tcPr>
            <w:tcW w:w="779"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129" w:type="dxa"/>
            <w:vMerge w:val="restart"/>
            <w:tcBorders>
              <w:top w:val="single" w:sz="4" w:space="0" w:color="000000"/>
              <w:left w:val="single" w:sz="4" w:space="0" w:color="000000"/>
              <w:right w:val="single" w:sz="4" w:space="0" w:color="000000"/>
            </w:tcBorders>
            <w:shd w:val="clear" w:color="auto" w:fill="D2D2D2"/>
          </w:tcPr>
          <w:p>
            <w:pPr/>
          </w:p>
        </w:tc>
        <w:tc>
          <w:tcPr>
            <w:tcW w:w="1424" w:type="dxa"/>
            <w:gridSpan w:val="2"/>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11"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11"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7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129" w:type="dxa"/>
            <w:vMerge/>
            <w:tcBorders>
              <w:left w:val="single" w:sz="4" w:space="0" w:color="000000"/>
              <w:bottom w:val="nil" w:sz="6" w:space="0" w:color="auto"/>
              <w:right w:val="single" w:sz="4" w:space="0" w:color="000000"/>
            </w:tcBorders>
            <w:shd w:val="clear" w:color="auto" w:fill="D2D2D2"/>
          </w:tcPr>
          <w:p>
            <w:pPr/>
          </w:p>
        </w:tc>
        <w:tc>
          <w:tcPr>
            <w:tcW w:w="1424"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91" w:right="11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770" w:type="dxa"/>
            <w:gridSpan w:val="3"/>
            <w:vMerge/>
            <w:tcBorders>
              <w:left w:val="single" w:sz="4" w:space="0" w:color="000000"/>
              <w:right w:val="single" w:sz="4" w:space="0" w:color="000000"/>
            </w:tcBorders>
            <w:shd w:val="clear" w:color="auto" w:fill="D2D2D2"/>
          </w:tcPr>
          <w:p>
            <w:pPr/>
          </w:p>
        </w:tc>
      </w:tr>
      <w:tr>
        <w:trPr>
          <w:trHeight w:val="140" w:hRule="exact"/>
        </w:trPr>
        <w:tc>
          <w:tcPr>
            <w:tcW w:w="11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2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770"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129" w:type="dxa"/>
            <w:vMerge/>
            <w:tcBorders>
              <w:left w:val="single" w:sz="4" w:space="0" w:color="000000"/>
              <w:bottom w:val="nil" w:sz="6" w:space="0" w:color="auto"/>
              <w:right w:val="single" w:sz="4" w:space="0" w:color="000000"/>
            </w:tcBorders>
            <w:shd w:val="clear" w:color="auto" w:fill="D2D2D2"/>
          </w:tcPr>
          <w:p>
            <w:pPr/>
          </w:p>
        </w:tc>
        <w:tc>
          <w:tcPr>
            <w:tcW w:w="1424"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13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0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129" w:type="dxa"/>
            <w:vMerge w:val="restart"/>
            <w:tcBorders>
              <w:top w:val="nil" w:sz="6" w:space="0" w:color="auto"/>
              <w:left w:val="single" w:sz="4" w:space="0" w:color="000000"/>
              <w:right w:val="single" w:sz="4" w:space="0" w:color="000000"/>
            </w:tcBorders>
            <w:shd w:val="clear" w:color="auto" w:fill="D2D2D2"/>
          </w:tcPr>
          <w:p>
            <w:pPr/>
          </w:p>
        </w:tc>
        <w:tc>
          <w:tcPr>
            <w:tcW w:w="1424" w:type="dxa"/>
            <w:gridSpan w:val="2"/>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779" w:type="dxa"/>
            <w:vMerge/>
            <w:tcBorders>
              <w:left w:val="single" w:sz="4" w:space="0" w:color="000000"/>
              <w:right w:val="single" w:sz="4" w:space="0" w:color="000000"/>
            </w:tcBorders>
            <w:shd w:val="clear" w:color="auto" w:fill="D2D2D2"/>
          </w:tcPr>
          <w:p>
            <w:pPr/>
          </w:p>
        </w:tc>
      </w:tr>
      <w:tr>
        <w:trPr>
          <w:trHeight w:val="161" w:hRule="exact"/>
        </w:trPr>
        <w:tc>
          <w:tcPr>
            <w:tcW w:w="1129" w:type="dxa"/>
            <w:vMerge/>
            <w:tcBorders>
              <w:left w:val="single" w:sz="4" w:space="0" w:color="000000"/>
              <w:bottom w:val="single" w:sz="4" w:space="0" w:color="000000"/>
              <w:right w:val="single" w:sz="4" w:space="0" w:color="000000"/>
            </w:tcBorders>
            <w:shd w:val="clear" w:color="auto" w:fill="D2D2D2"/>
          </w:tcPr>
          <w:p>
            <w:pPr/>
          </w:p>
        </w:tc>
        <w:tc>
          <w:tcPr>
            <w:tcW w:w="1424"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77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27,861,637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-378,949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27,861,637</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5" w:space="0" w:color="D2D2D2"/>
              <w:left w:val="single" w:sz="4" w:space="0" w:color="000000"/>
              <w:bottom w:val="single" w:sz="4" w:space="0" w:color="000000"/>
              <w:right w:val="single" w:sz="4" w:space="0" w:color="000000"/>
            </w:tcBorders>
          </w:tcPr>
          <w:p>
            <w:pPr/>
          </w:p>
        </w:tc>
        <w:tc>
          <w:tcPr>
            <w:tcW w:w="779" w:type="dxa"/>
            <w:tcBorders>
              <w:top w:val="single" w:sz="45" w:space="0" w:color="D2D2D2"/>
              <w:left w:val="single" w:sz="4" w:space="0" w:color="000000"/>
              <w:bottom w:val="single" w:sz="4" w:space="0" w:color="000000"/>
              <w:right w:val="single" w:sz="4" w:space="0" w:color="000000"/>
            </w:tcBorders>
          </w:tcPr>
          <w:p>
            <w:pPr/>
          </w:p>
        </w:tc>
      </w:tr>
      <w:tr>
        <w:trPr>
          <w:trHeight w:val="402"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14,723,927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-200,259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14,723,927</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6,865,306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-93,374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6,865,306</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5,670,865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-77,129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5,670,865</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中国风险投 资有限公司</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2,959,745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-40,255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2,959,745</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2,876,756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-39,126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2,876,756</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4"/>
              <w:jc w:val="both"/>
              <w:rPr>
                <w:rFonts w:ascii="宋体" w:hAnsi="宋体" w:cs="宋体" w:eastAsia="宋体" w:hint="default"/>
                <w:sz w:val="18"/>
                <w:szCs w:val="18"/>
              </w:rPr>
            </w:pPr>
            <w:r>
              <w:rPr>
                <w:rFonts w:ascii="宋体" w:hAnsi="宋体" w:cs="宋体" w:eastAsia="宋体" w:hint="default"/>
                <w:sz w:val="18"/>
                <w:szCs w:val="18"/>
              </w:rPr>
              <w:t>上海天一投 资咨询发展 有限公司</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1,904,102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-25,898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1,904,102</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1,900,000</w:t>
            </w:r>
          </w:p>
        </w:tc>
      </w:tr>
      <w:tr>
        <w:trPr>
          <w:trHeight w:val="402"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1,815,357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-24,690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1,815,357</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高维</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1,781,741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55,943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1,702,641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6" w:right="0"/>
              <w:jc w:val="left"/>
              <w:rPr>
                <w:rFonts w:ascii="Times New Roman" w:hAnsi="Times New Roman" w:cs="Times New Roman" w:eastAsia="Times New Roman" w:hint="default"/>
                <w:sz w:val="18"/>
                <w:szCs w:val="18"/>
              </w:rPr>
            </w:pPr>
            <w:r>
              <w:rPr>
                <w:rFonts w:ascii="Times New Roman"/>
                <w:sz w:val="18"/>
              </w:rPr>
              <w:t>79,100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琚存旭</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1,620,838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1,599,838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6" w:right="0"/>
              <w:jc w:val="left"/>
              <w:rPr>
                <w:rFonts w:ascii="Times New Roman" w:hAnsi="Times New Roman" w:cs="Times New Roman" w:eastAsia="Times New Roman" w:hint="default"/>
                <w:sz w:val="18"/>
                <w:szCs w:val="18"/>
              </w:rPr>
            </w:pPr>
            <w:r>
              <w:rPr>
                <w:rFonts w:ascii="Times New Roman"/>
                <w:sz w:val="18"/>
              </w:rPr>
              <w:t>21,000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1,599,800</w:t>
            </w:r>
          </w:p>
        </w:tc>
      </w:tr>
      <w:tr>
        <w:trPr>
          <w:trHeight w:val="1026" w:hRule="exact"/>
        </w:trPr>
        <w:tc>
          <w:tcPr>
            <w:tcW w:w="25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16" w:type="dxa"/>
            <w:gridSpan w:val="12"/>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5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6" w:type="dxa"/>
            <w:gridSpan w:val="12"/>
            <w:tcBorders>
              <w:top w:val="single" w:sz="4" w:space="0" w:color="000000"/>
              <w:left w:val="single" w:sz="10" w:space="0" w:color="D2D2D2"/>
              <w:bottom w:val="single" w:sz="4" w:space="0" w:color="000000"/>
              <w:right w:val="single" w:sz="4" w:space="0" w:color="000000"/>
            </w:tcBorders>
          </w:tcPr>
          <w:p>
            <w:pPr>
              <w:pStyle w:val="TableParagraph"/>
              <w:spacing w:line="300" w:lineRule="auto" w:before="51"/>
              <w:ind w:left="15" w:right="23"/>
              <w:jc w:val="left"/>
              <w:rPr>
                <w:rFonts w:ascii="宋体" w:hAnsi="宋体" w:cs="宋体" w:eastAsia="宋体" w:hint="default"/>
                <w:sz w:val="18"/>
                <w:szCs w:val="18"/>
              </w:rPr>
            </w:pPr>
            <w:r>
              <w:rPr>
                <w:rFonts w:ascii="宋体" w:hAnsi="宋体" w:cs="宋体" w:eastAsia="宋体" w:hint="default"/>
                <w:sz w:val="18"/>
                <w:szCs w:val="18"/>
              </w:rPr>
              <w:t>上述股东中，控股股东刘泽刚与韦强、张仁增、何昀、高星于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日签订《共</w:t>
            </w:r>
            <w:r>
              <w:rPr>
                <w:rFonts w:ascii="宋体" w:hAnsi="宋体" w:cs="宋体" w:eastAsia="宋体" w:hint="default"/>
                <w:sz w:val="18"/>
                <w:szCs w:val="18"/>
              </w:rPr>
              <w:t> </w:t>
            </w:r>
            <w:r>
              <w:rPr>
                <w:rFonts w:ascii="宋体" w:hAnsi="宋体" w:cs="宋体" w:eastAsia="宋体" w:hint="default"/>
                <w:spacing w:val="-5"/>
                <w:sz w:val="18"/>
                <w:szCs w:val="18"/>
              </w:rPr>
              <w:t>同控制及一致行动协议》，属一致行动人。</w:t>
            </w:r>
          </w:p>
        </w:tc>
      </w:tr>
      <w:tr>
        <w:trPr>
          <w:trHeight w:val="40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880"/>
        <w:gridCol w:w="3989"/>
        <w:gridCol w:w="1349"/>
        <w:gridCol w:w="1350"/>
      </w:tblGrid>
      <w:tr>
        <w:trPr>
          <w:trHeight w:val="402" w:hRule="exact"/>
        </w:trPr>
        <w:tc>
          <w:tcPr>
            <w:tcW w:w="28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vMerge/>
            <w:tcBorders>
              <w:left w:val="single" w:sz="4" w:space="0" w:color="000000"/>
              <w:bottom w:val="single" w:sz="4" w:space="0" w:color="000000"/>
              <w:right w:val="single" w:sz="4" w:space="0" w:color="000000"/>
            </w:tcBorders>
            <w:shd w:val="clear" w:color="auto" w:fill="D2D2D2"/>
          </w:tcPr>
          <w:p>
            <w:pPr/>
          </w:p>
        </w:tc>
        <w:tc>
          <w:tcPr>
            <w:tcW w:w="3989"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王文霞</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817,000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中国光大银行股份有限公司－招商 安本增利债券型证券投资基金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500,974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500,974</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上银基金－上海银行－上银基金瑞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周泰</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355,585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355,585</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范侃</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孙国俊</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210,500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宋留女</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168,400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彭珍嫦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145,000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招商证券－海通证券－招商汇智之 恒健远志集合资产管理计划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142,100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王东芳</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134,047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134,047</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6" w:right="23"/>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、公司前十大股东中控股股东刘泽刚与韦强、张仁增、何昀和高星为一致行动人。</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公司无法确定前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名无限售流通股股东是否存在关联关系，公司仅能证明前十大股 东中刘泽刚、韦强、张仁增、何昀、高星、王维平与其他股东均不存在关联关系。</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134" w:right="821"/>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8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821"/>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821"/>
        <w:jc w:val="left"/>
        <w:rPr>
          <w:b w:val="0"/>
          <w:bCs w:val="0"/>
        </w:rPr>
      </w:pPr>
      <w:bookmarkStart w:name="2、公司控股股东情况" w:id="108"/>
      <w:bookmarkEnd w:id="10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pacing w:val="-1"/>
                <w:sz w:val="18"/>
                <w:szCs w:val="18"/>
              </w:rPr>
              <w:t>刘泽刚先生为公司创始人，自公司设立以来，刘泽刚一直担任本公司董事长兼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总经理。</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134" w:right="821"/>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38"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821"/>
        <w:jc w:val="left"/>
        <w:rPr>
          <w:b w:val="0"/>
          <w:bCs w:val="0"/>
        </w:rPr>
      </w:pPr>
      <w:bookmarkStart w:name="3、公司实际控制人情况" w:id="109"/>
      <w:bookmarkEnd w:id="109"/>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44"/>
        <w:ind w:left="0" w:right="1139"/>
        <w:jc w:val="right"/>
      </w:pPr>
      <w:r>
        <w:rPr/>
        <w:pict>
          <v:shape style="position:absolute;margin-left:56.459999pt;margin-top:-219.02829pt;width:479.2pt;height:340.9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7"/>
                    <w:gridCol w:w="2121"/>
                    <w:gridCol w:w="4120"/>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9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41" w:firstLine="360"/>
                          <w:jc w:val="both"/>
                          <w:rPr>
                            <w:rFonts w:ascii="宋体" w:hAnsi="宋体" w:cs="宋体" w:eastAsia="宋体" w:hint="default"/>
                            <w:sz w:val="18"/>
                            <w:szCs w:val="18"/>
                          </w:rPr>
                        </w:pPr>
                        <w:r>
                          <w:rPr>
                            <w:rFonts w:ascii="宋体" w:hAnsi="宋体" w:cs="宋体" w:eastAsia="宋体" w:hint="default"/>
                            <w:sz w:val="18"/>
                            <w:szCs w:val="18"/>
                          </w:rPr>
                          <w:t>刘泽刚先生为公司创始人之一，自公司设立以来一直担任本公司董事长兼 总经理，</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月至今，担任北京中关天使投资管理有限公司监事职务，目 前还担任中国民主建国会北京市海淀区区委副主委、北京民营科技实业家协会 副会长、中关村高新技术企业协会副会长；</w:t>
                        </w:r>
                      </w:p>
                      <w:p>
                        <w:pPr>
                          <w:pStyle w:val="TableParagraph"/>
                          <w:spacing w:line="319" w:lineRule="auto" w:before="62"/>
                          <w:ind w:left="23" w:right="87" w:firstLine="360"/>
                          <w:jc w:val="both"/>
                          <w:rPr>
                            <w:rFonts w:ascii="宋体" w:hAnsi="宋体" w:cs="宋体" w:eastAsia="宋体" w:hint="default"/>
                            <w:sz w:val="18"/>
                            <w:szCs w:val="18"/>
                          </w:rPr>
                        </w:pPr>
                        <w:r>
                          <w:rPr>
                            <w:rFonts w:ascii="宋体" w:hAnsi="宋体" w:cs="宋体" w:eastAsia="宋体" w:hint="default"/>
                            <w:sz w:val="18"/>
                            <w:szCs w:val="18"/>
                          </w:rPr>
                          <w:t>韦强先生为公司创始人之一，现任公司董事、副总经理，同时还担任北京 海淀法院人民陪审员、中共金隅嘉华大厦党委书记；</w:t>
                        </w:r>
                      </w:p>
                      <w:p>
                        <w:pPr>
                          <w:pStyle w:val="TableParagraph"/>
                          <w:spacing w:line="302" w:lineRule="auto" w:before="55"/>
                          <w:ind w:left="23" w:right="111" w:firstLine="360"/>
                          <w:jc w:val="both"/>
                          <w:rPr>
                            <w:rFonts w:ascii="宋体" w:hAnsi="宋体" w:cs="宋体" w:eastAsia="宋体" w:hint="default"/>
                            <w:sz w:val="18"/>
                            <w:szCs w:val="18"/>
                          </w:rPr>
                        </w:pPr>
                        <w:r>
                          <w:rPr>
                            <w:rFonts w:ascii="宋体" w:hAnsi="宋体" w:cs="宋体" w:eastAsia="宋体" w:hint="default"/>
                            <w:sz w:val="18"/>
                            <w:szCs w:val="18"/>
                          </w:rPr>
                          <w:t>张仁增先生</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月至今担任公司董事，历任项目经理、总裁办主任 现任行政后勤中心总监；</w:t>
                        </w:r>
                      </w:p>
                      <w:p>
                        <w:pPr>
                          <w:pStyle w:val="TableParagraph"/>
                          <w:spacing w:line="302" w:lineRule="auto" w:before="68"/>
                          <w:ind w:left="23" w:right="21" w:firstLine="360"/>
                          <w:jc w:val="both"/>
                          <w:rPr>
                            <w:rFonts w:ascii="宋体" w:hAnsi="宋体" w:cs="宋体" w:eastAsia="宋体" w:hint="default"/>
                            <w:sz w:val="18"/>
                            <w:szCs w:val="18"/>
                          </w:rPr>
                        </w:pPr>
                        <w:r>
                          <w:rPr>
                            <w:rFonts w:ascii="宋体" w:hAnsi="宋体" w:cs="宋体" w:eastAsia="宋体" w:hint="default"/>
                            <w:sz w:val="18"/>
                            <w:szCs w:val="18"/>
                          </w:rPr>
                          <w:t>何昀先生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月，何昀先生在本公司担任华北大区销 售经理；</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月至今，担任本公司董事、营销总部副总监；</w:t>
                        </w:r>
                      </w:p>
                      <w:p>
                        <w:pPr>
                          <w:pStyle w:val="TableParagraph"/>
                          <w:spacing w:line="240" w:lineRule="auto" w:before="51"/>
                          <w:ind w:left="383" w:right="-2"/>
                          <w:jc w:val="left"/>
                          <w:rPr>
                            <w:rFonts w:ascii="宋体" w:hAnsi="宋体" w:cs="宋体" w:eastAsia="宋体" w:hint="default"/>
                            <w:sz w:val="18"/>
                            <w:szCs w:val="18"/>
                          </w:rPr>
                        </w:pPr>
                        <w:r>
                          <w:rPr>
                            <w:rFonts w:ascii="宋体" w:hAnsi="宋体" w:cs="宋体" w:eastAsia="宋体" w:hint="default"/>
                            <w:sz w:val="18"/>
                            <w:szCs w:val="18"/>
                          </w:rPr>
                          <w:t>高星女士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月，高星女士任本公司销售中心经理；</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月至今，担任公司董事，历任人力资源部经理，现任总经理助理。</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44"/>
        <w:ind w:left="1134" w:right="821"/>
        <w:jc w:val="left"/>
      </w:pPr>
      <w:r>
        <w:rPr/>
        <w:t>实际控制人报告期内变更</w:t>
      </w:r>
    </w:p>
    <w:p>
      <w:pPr>
        <w:pStyle w:val="BodyText"/>
        <w:spacing w:line="240" w:lineRule="auto" w:before="117"/>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刘泽刚、韦强、张仁增、何昀、高星</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821"/>
        <w:jc w:val="left"/>
      </w:pPr>
      <w:r>
        <w:rPr/>
        <w:t>公司与实际控制人之间的产权及控制关系的方框图</w:t>
      </w:r>
    </w:p>
    <w:p>
      <w:pPr>
        <w:spacing w:line="240" w:lineRule="auto" w:before="2"/>
        <w:rPr>
          <w:rFonts w:ascii="宋体" w:hAnsi="宋体" w:cs="宋体" w:eastAsia="宋体" w:hint="default"/>
          <w:sz w:val="24"/>
          <w:szCs w:val="24"/>
        </w:rPr>
      </w:pPr>
    </w:p>
    <w:p>
      <w:pPr>
        <w:spacing w:line="2700" w:lineRule="exact"/>
        <w:ind w:left="1859"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5194243" cy="1714500"/>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21" cstate="print"/>
                    <a:stretch>
                      <a:fillRect/>
                    </a:stretch>
                  </pic:blipFill>
                  <pic:spPr>
                    <a:xfrm>
                      <a:off x="0" y="0"/>
                      <a:ext cx="5194243" cy="1714500"/>
                    </a:xfrm>
                    <a:prstGeom prst="rect">
                      <a:avLst/>
                    </a:prstGeom>
                  </pic:spPr>
                </pic:pic>
              </a:graphicData>
            </a:graphic>
          </wp:inline>
        </w:drawing>
      </w:r>
      <w:r>
        <w:rPr>
          <w:rFonts w:ascii="宋体" w:hAnsi="宋体" w:cs="宋体" w:eastAsia="宋体" w:hint="default"/>
          <w:position w:val="-53"/>
          <w:sz w:val="20"/>
          <w:szCs w:val="20"/>
        </w:rPr>
      </w:r>
    </w:p>
    <w:p>
      <w:pPr>
        <w:spacing w:after="0" w:line="2700" w:lineRule="exact"/>
        <w:rPr>
          <w:rFonts w:ascii="宋体" w:hAnsi="宋体" w:cs="宋体" w:eastAsia="宋体" w:hint="default"/>
          <w:sz w:val="20"/>
          <w:szCs w:val="20"/>
        </w:rPr>
        <w:sectPr>
          <w:pgSz w:w="11910" w:h="16840"/>
          <w:pgMar w:header="877" w:footer="979" w:top="1100" w:bottom="1160" w:left="0" w:right="0"/>
        </w:sectPr>
      </w:pPr>
    </w:p>
    <w:p>
      <w:pPr>
        <w:spacing w:line="240" w:lineRule="auto" w:before="7"/>
        <w:rPr>
          <w:rFonts w:ascii="宋体" w:hAnsi="宋体" w:cs="宋体" w:eastAsia="宋体" w:hint="default"/>
          <w:sz w:val="19"/>
          <w:szCs w:val="19"/>
        </w:rPr>
      </w:pPr>
    </w:p>
    <w:p>
      <w:pPr>
        <w:spacing w:before="26"/>
        <w:ind w:left="1133" w:right="821"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21"/>
        <w:jc w:val="left"/>
        <w:rPr>
          <w:b w:val="0"/>
          <w:bCs w:val="0"/>
        </w:rPr>
      </w:pPr>
      <w:bookmarkStart w:name="4、其他持股在10%以上的法人股东" w:id="110"/>
      <w:bookmarkEnd w:id="110"/>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21"/>
        <w:jc w:val="left"/>
        <w:rPr>
          <w:b w:val="0"/>
          <w:bCs w:val="0"/>
        </w:rPr>
      </w:pPr>
      <w:bookmarkStart w:name="5、控股股东、实际控制人、重组方及其他承诺主体股份限制减持情况" w:id="111"/>
      <w:bookmarkEnd w:id="11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550" w:type="dxa"/>
        <w:tblLayout w:type="fixed"/>
        <w:tblCellMar>
          <w:top w:w="0" w:type="dxa"/>
          <w:left w:w="0" w:type="dxa"/>
          <w:bottom w:w="0" w:type="dxa"/>
          <w:right w:w="0" w:type="dxa"/>
        </w:tblCellMar>
        <w:tblLook w:val="01E0"/>
      </w:tblPr>
      <w:tblGrid>
        <w:gridCol w:w="994"/>
        <w:gridCol w:w="1559"/>
        <w:gridCol w:w="1810"/>
        <w:gridCol w:w="4428"/>
      </w:tblGrid>
      <w:tr>
        <w:trPr>
          <w:trHeight w:val="73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20" w:right="39" w:hanging="181"/>
              <w:jc w:val="left"/>
              <w:rPr>
                <w:rFonts w:ascii="宋体" w:hAnsi="宋体" w:cs="宋体" w:eastAsia="宋体" w:hint="default"/>
                <w:sz w:val="18"/>
                <w:szCs w:val="18"/>
              </w:rPr>
            </w:pPr>
            <w:r>
              <w:rPr>
                <w:rFonts w:ascii="宋体" w:hAnsi="宋体" w:cs="宋体" w:eastAsia="宋体" w:hint="default"/>
                <w:sz w:val="18"/>
                <w:szCs w:val="18"/>
              </w:rPr>
              <w:t>限售条件股 东名称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501" w:right="50" w:hanging="450"/>
              <w:jc w:val="left"/>
              <w:rPr>
                <w:rFonts w:ascii="宋体" w:hAnsi="宋体" w:cs="宋体" w:eastAsia="宋体" w:hint="default"/>
                <w:sz w:val="18"/>
                <w:szCs w:val="18"/>
              </w:rPr>
            </w:pPr>
            <w:r>
              <w:rPr>
                <w:rFonts w:ascii="宋体" w:hAnsi="宋体" w:cs="宋体" w:eastAsia="宋体" w:hint="default"/>
                <w:sz w:val="18"/>
                <w:szCs w:val="18"/>
              </w:rPr>
              <w:t>持有的限售条件股 份数量</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4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1051"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27,861,637</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4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7"/>
              <w:jc w:val="both"/>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自公司股票上市之日起三十六个月内，不转让或者委托</w:t>
            </w:r>
            <w:r>
              <w:rPr>
                <w:rFonts w:ascii="宋体" w:hAnsi="宋体" w:cs="宋体" w:eastAsia="宋体" w:hint="default"/>
                <w:sz w:val="18"/>
                <w:szCs w:val="18"/>
              </w:rPr>
              <w:t> </w:t>
            </w:r>
            <w:r>
              <w:rPr>
                <w:rFonts w:ascii="宋体" w:hAnsi="宋体" w:cs="宋体" w:eastAsia="宋体" w:hint="default"/>
                <w:spacing w:val="3"/>
                <w:sz w:val="18"/>
                <w:szCs w:val="18"/>
              </w:rPr>
              <w:t>他人管理其直接和间接持有的公司股份，也不由公司回</w:t>
            </w:r>
            <w:r>
              <w:rPr>
                <w:rFonts w:ascii="宋体" w:hAnsi="宋体" w:cs="宋体" w:eastAsia="宋体" w:hint="default"/>
                <w:sz w:val="18"/>
                <w:szCs w:val="18"/>
              </w:rPr>
              <w:t> 购该部分股份。</w:t>
            </w:r>
          </w:p>
        </w:tc>
      </w:tr>
      <w:tr>
        <w:trPr>
          <w:trHeight w:val="1051"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14,723,927</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4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7"/>
              <w:jc w:val="both"/>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自公司股票上市之日起三十六个月内，不转让或者委托</w:t>
            </w:r>
            <w:r>
              <w:rPr>
                <w:rFonts w:ascii="宋体" w:hAnsi="宋体" w:cs="宋体" w:eastAsia="宋体" w:hint="default"/>
                <w:sz w:val="18"/>
                <w:szCs w:val="18"/>
              </w:rPr>
              <w:t> </w:t>
            </w:r>
            <w:r>
              <w:rPr>
                <w:rFonts w:ascii="宋体" w:hAnsi="宋体" w:cs="宋体" w:eastAsia="宋体" w:hint="default"/>
                <w:spacing w:val="3"/>
                <w:sz w:val="18"/>
                <w:szCs w:val="18"/>
              </w:rPr>
              <w:t>他人管理其直接和间接持有的公司股份，也不由公司回</w:t>
            </w:r>
            <w:r>
              <w:rPr>
                <w:rFonts w:ascii="宋体" w:hAnsi="宋体" w:cs="宋体" w:eastAsia="宋体" w:hint="default"/>
                <w:sz w:val="18"/>
                <w:szCs w:val="18"/>
              </w:rPr>
              <w:t> 购该部分股份。</w:t>
            </w:r>
          </w:p>
        </w:tc>
      </w:tr>
      <w:tr>
        <w:trPr>
          <w:trHeight w:val="105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6,865,306</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42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7"/>
              <w:jc w:val="both"/>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自公司股票上市之日起三十六个月内，不转让或者委托</w:t>
            </w:r>
            <w:r>
              <w:rPr>
                <w:rFonts w:ascii="宋体" w:hAnsi="宋体" w:cs="宋体" w:eastAsia="宋体" w:hint="default"/>
                <w:sz w:val="18"/>
                <w:szCs w:val="18"/>
              </w:rPr>
              <w:t> </w:t>
            </w:r>
            <w:r>
              <w:rPr>
                <w:rFonts w:ascii="宋体" w:hAnsi="宋体" w:cs="宋体" w:eastAsia="宋体" w:hint="default"/>
                <w:spacing w:val="3"/>
                <w:sz w:val="18"/>
                <w:szCs w:val="18"/>
              </w:rPr>
              <w:t>他人管理其直接和间接持有的公司股份，也不由公司回</w:t>
            </w:r>
            <w:r>
              <w:rPr>
                <w:rFonts w:ascii="宋体" w:hAnsi="宋体" w:cs="宋体" w:eastAsia="宋体" w:hint="default"/>
                <w:sz w:val="18"/>
                <w:szCs w:val="18"/>
              </w:rPr>
              <w:t> 购该部分股份。</w:t>
            </w:r>
          </w:p>
        </w:tc>
      </w:tr>
      <w:tr>
        <w:trPr>
          <w:trHeight w:val="1051"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5,670,865</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4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7"/>
              <w:jc w:val="both"/>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自公司股票上市之日起三十六个月内，不转让或者委托</w:t>
            </w:r>
            <w:r>
              <w:rPr>
                <w:rFonts w:ascii="宋体" w:hAnsi="宋体" w:cs="宋体" w:eastAsia="宋体" w:hint="default"/>
                <w:sz w:val="18"/>
                <w:szCs w:val="18"/>
              </w:rPr>
              <w:t> </w:t>
            </w:r>
            <w:r>
              <w:rPr>
                <w:rFonts w:ascii="宋体" w:hAnsi="宋体" w:cs="宋体" w:eastAsia="宋体" w:hint="default"/>
                <w:spacing w:val="3"/>
                <w:sz w:val="18"/>
                <w:szCs w:val="18"/>
              </w:rPr>
              <w:t>他人管理其直接和间接持有的公司股份，也不由公司回</w:t>
            </w:r>
            <w:r>
              <w:rPr>
                <w:rFonts w:ascii="宋体" w:hAnsi="宋体" w:cs="宋体" w:eastAsia="宋体" w:hint="default"/>
                <w:sz w:val="18"/>
                <w:szCs w:val="18"/>
              </w:rPr>
              <w:t> 购该部分股份。</w:t>
            </w:r>
          </w:p>
        </w:tc>
      </w:tr>
      <w:tr>
        <w:trPr>
          <w:trHeight w:val="1051"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2,876,756</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42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7"/>
              <w:jc w:val="both"/>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自公司股票上市之日起三十六个月内，不转让或者委托</w:t>
            </w:r>
            <w:r>
              <w:rPr>
                <w:rFonts w:ascii="宋体" w:hAnsi="宋体" w:cs="宋体" w:eastAsia="宋体" w:hint="default"/>
                <w:sz w:val="18"/>
                <w:szCs w:val="18"/>
              </w:rPr>
              <w:t> </w:t>
            </w:r>
            <w:r>
              <w:rPr>
                <w:rFonts w:ascii="宋体" w:hAnsi="宋体" w:cs="宋体" w:eastAsia="宋体" w:hint="default"/>
                <w:spacing w:val="3"/>
                <w:sz w:val="18"/>
                <w:szCs w:val="18"/>
              </w:rPr>
              <w:t>他人管理其直接和间接持有的公司股份，也不由公司回</w:t>
            </w:r>
            <w:r>
              <w:rPr>
                <w:rFonts w:ascii="宋体" w:hAnsi="宋体" w:cs="宋体" w:eastAsia="宋体" w:hint="default"/>
                <w:sz w:val="18"/>
                <w:szCs w:val="18"/>
              </w:rPr>
              <w:t> 购该部分股份。</w:t>
            </w:r>
          </w:p>
        </w:tc>
      </w:tr>
    </w:tbl>
    <w:p>
      <w:pPr>
        <w:spacing w:after="0" w:line="319" w:lineRule="auto"/>
        <w:jc w:val="both"/>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1114"/>
        <w:jc w:val="center"/>
        <w:rPr>
          <w:b w:val="0"/>
          <w:bCs w:val="0"/>
        </w:rPr>
      </w:pPr>
      <w:bookmarkStart w:name="第七节 优先股相关情况" w:id="112"/>
      <w:bookmarkEnd w:id="112"/>
      <w:r>
        <w:rPr>
          <w:b w:val="0"/>
          <w:bCs w:val="0"/>
        </w:rPr>
      </w:r>
      <w:bookmarkStart w:name="_bookmark5" w:id="113"/>
      <w:bookmarkEnd w:id="113"/>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60" w:right="821"/>
        <w:jc w:val="left"/>
        <w:rPr>
          <w:b w:val="0"/>
          <w:bCs w:val="0"/>
        </w:rPr>
      </w:pPr>
      <w:bookmarkStart w:name="第八节 董事、监事、高级管理人员和员工情况" w:id="114"/>
      <w:bookmarkEnd w:id="114"/>
      <w:r>
        <w:rPr>
          <w:b w:val="0"/>
          <w:bCs w:val="0"/>
        </w:rPr>
      </w:r>
      <w:bookmarkStart w:name="_bookmark6" w:id="115"/>
      <w:bookmarkEnd w:id="115"/>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821"/>
        <w:jc w:val="left"/>
        <w:rPr>
          <w:b w:val="0"/>
          <w:bCs w:val="0"/>
        </w:rPr>
      </w:pPr>
      <w:bookmarkStart w:name="一、董事、监事和高级管理人员持股变动" w:id="116"/>
      <w:bookmarkEnd w:id="11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843" w:type="dxa"/>
        <w:tblLayout w:type="fixed"/>
        <w:tblCellMar>
          <w:top w:w="0" w:type="dxa"/>
          <w:left w:w="0" w:type="dxa"/>
          <w:bottom w:w="0" w:type="dxa"/>
          <w:right w:w="0" w:type="dxa"/>
        </w:tblCellMar>
        <w:tblLook w:val="01E0"/>
      </w:tblPr>
      <w:tblGrid>
        <w:gridCol w:w="710"/>
        <w:gridCol w:w="851"/>
        <w:gridCol w:w="566"/>
        <w:gridCol w:w="568"/>
        <w:gridCol w:w="566"/>
        <w:gridCol w:w="1134"/>
        <w:gridCol w:w="1134"/>
        <w:gridCol w:w="1134"/>
        <w:gridCol w:w="851"/>
        <w:gridCol w:w="851"/>
        <w:gridCol w:w="694"/>
        <w:gridCol w:w="1148"/>
      </w:tblGrid>
      <w:tr>
        <w:trPr>
          <w:trHeight w:val="1025"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60" w:lineRule="auto"/>
              <w:ind w:left="381" w:right="20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60" w:lineRule="auto"/>
              <w:ind w:left="381" w:right="20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1"/>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7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28,240,586</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378,949</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27,861,637</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14,924,186</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200,259</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14,723,927</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6,958,680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93,374</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6,865,306</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5,747,994</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77,129</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5,670,865</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2,915,882</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39,126</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2,876,756</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373,287</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5,009</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368,278</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赵雪媛</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赵遵廉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1,840,047</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24,690</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1,815,357</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孙集平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张全中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徐迪</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275,370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3,695</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271,675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843" w:type="dxa"/>
        <w:tblLayout w:type="fixed"/>
        <w:tblCellMar>
          <w:top w:w="0" w:type="dxa"/>
          <w:left w:w="0" w:type="dxa"/>
          <w:bottom w:w="0" w:type="dxa"/>
          <w:right w:w="0" w:type="dxa"/>
        </w:tblCellMar>
        <w:tblLook w:val="01E0"/>
      </w:tblPr>
      <w:tblGrid>
        <w:gridCol w:w="710"/>
        <w:gridCol w:w="851"/>
        <w:gridCol w:w="566"/>
        <w:gridCol w:w="568"/>
        <w:gridCol w:w="566"/>
        <w:gridCol w:w="1134"/>
        <w:gridCol w:w="1134"/>
        <w:gridCol w:w="1134"/>
        <w:gridCol w:w="851"/>
        <w:gridCol w:w="851"/>
        <w:gridCol w:w="694"/>
        <w:gridCol w:w="1148"/>
      </w:tblGrid>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z w:val="18"/>
              </w:rPr>
              <w:t>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61,276,032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822,231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60,453,801</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821"/>
        <w:jc w:val="left"/>
        <w:rPr>
          <w:b w:val="0"/>
          <w:bCs w:val="0"/>
        </w:rPr>
      </w:pPr>
      <w:bookmarkStart w:name="二、公司董事、监事、高级管理人员变动情况" w:id="117"/>
      <w:bookmarkEnd w:id="117"/>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赵遵廉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日提出辞职。</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both"/>
              <w:rPr>
                <w:rFonts w:ascii="宋体" w:hAnsi="宋体" w:cs="宋体" w:eastAsia="宋体" w:hint="default"/>
                <w:sz w:val="18"/>
                <w:szCs w:val="18"/>
              </w:rPr>
            </w:pPr>
            <w:r>
              <w:rPr>
                <w:rFonts w:ascii="宋体" w:hAnsi="宋体" w:cs="宋体" w:eastAsia="宋体" w:hint="default"/>
                <w:sz w:val="18"/>
                <w:szCs w:val="18"/>
              </w:rPr>
              <w:t>赵遵廉先生的辞职导致公司董事会独立董事人数低于 法定最低人数，经董事会决议补选张为华先生为公司 独立董事。</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821"/>
        <w:jc w:val="left"/>
        <w:rPr>
          <w:b w:val="0"/>
          <w:bCs w:val="0"/>
        </w:rPr>
      </w:pPr>
      <w:bookmarkStart w:name="三、任职情况" w:id="118"/>
      <w:bookmarkEnd w:id="118"/>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493" w:right="3733" w:hanging="360"/>
        <w:jc w:val="left"/>
      </w:pPr>
      <w:r>
        <w:rPr/>
        <w:t>公司现任董事、监事、高级管理人员专业背景、主要工作经历以及目前在公司的主要职责 </w:t>
      </w:r>
      <w:r>
        <w:rPr>
          <w:rFonts w:ascii="宋体" w:hAnsi="宋体" w:cs="宋体" w:eastAsia="宋体" w:hint="default"/>
        </w:rPr>
        <w:t>1</w:t>
      </w:r>
      <w:r>
        <w:rPr/>
        <w:t>、董事会成员</w:t>
      </w:r>
    </w:p>
    <w:p>
      <w:pPr>
        <w:pStyle w:val="BodyText"/>
        <w:spacing w:line="224" w:lineRule="exact"/>
        <w:ind w:right="0" w:firstLine="360"/>
        <w:jc w:val="both"/>
        <w:rPr>
          <w:rFonts w:ascii="宋体" w:hAnsi="宋体" w:cs="宋体" w:eastAsia="宋体" w:hint="default"/>
        </w:rPr>
      </w:pPr>
      <w:r>
        <w:rPr>
          <w:spacing w:val="-5"/>
        </w:rPr>
        <w:t>刘泽刚先生，</w:t>
      </w:r>
      <w:r>
        <w:rPr>
          <w:rFonts w:ascii="宋体" w:hAnsi="宋体" w:cs="宋体" w:eastAsia="宋体" w:hint="default"/>
          <w:spacing w:val="-5"/>
        </w:rPr>
        <w:t>1966</w:t>
      </w:r>
      <w:r>
        <w:rPr>
          <w:spacing w:val="-5"/>
        </w:rPr>
        <w:t>年生，中国国籍。</w:t>
      </w:r>
      <w:r>
        <w:rPr>
          <w:rFonts w:ascii="宋体" w:hAnsi="宋体" w:cs="宋体" w:eastAsia="宋体" w:hint="default"/>
          <w:spacing w:val="-5"/>
        </w:rPr>
        <w:t>1989</w:t>
      </w:r>
      <w:r>
        <w:rPr>
          <w:spacing w:val="-5"/>
        </w:rPr>
        <w:t>年</w:t>
      </w:r>
      <w:r>
        <w:rPr>
          <w:rFonts w:ascii="宋体" w:hAnsi="宋体" w:cs="宋体" w:eastAsia="宋体" w:hint="default"/>
          <w:spacing w:val="-5"/>
        </w:rPr>
        <w:t>7</w:t>
      </w:r>
      <w:r>
        <w:rPr>
          <w:spacing w:val="-5"/>
        </w:rPr>
        <w:t>月毕业于南京河海大学（原华东水利学院），获学士学位。</w:t>
      </w:r>
      <w:r>
        <w:rPr>
          <w:rFonts w:ascii="宋体" w:hAnsi="宋体" w:cs="宋体" w:eastAsia="宋体" w:hint="default"/>
          <w:spacing w:val="-5"/>
        </w:rPr>
        <w:t>1989</w:t>
      </w:r>
      <w:r>
        <w:rPr>
          <w:spacing w:val="-5"/>
        </w:rPr>
        <w:t>年</w:t>
      </w:r>
      <w:r>
        <w:rPr>
          <w:rFonts w:ascii="宋体" w:hAnsi="宋体" w:cs="宋体" w:eastAsia="宋体" w:hint="default"/>
          <w:spacing w:val="-5"/>
        </w:rPr>
        <w:t>7</w:t>
      </w:r>
      <w:r>
        <w:rPr>
          <w:spacing w:val="-5"/>
        </w:rPr>
        <w:t>月至</w:t>
      </w:r>
      <w:r>
        <w:rPr>
          <w:rFonts w:ascii="宋体" w:hAnsi="宋体" w:cs="宋体" w:eastAsia="宋体" w:hint="default"/>
          <w:spacing w:val="-5"/>
        </w:rPr>
        <w:t>1991</w:t>
      </w:r>
    </w:p>
    <w:p>
      <w:pPr>
        <w:pStyle w:val="BodyText"/>
        <w:spacing w:line="319" w:lineRule="auto" w:before="76"/>
        <w:ind w:right="1033"/>
        <w:jc w:val="left"/>
      </w:pPr>
      <w:r>
        <w:rPr/>
        <w:t>年</w:t>
      </w:r>
      <w:r>
        <w:rPr>
          <w:rFonts w:ascii="宋体" w:hAnsi="宋体" w:cs="宋体" w:eastAsia="宋体" w:hint="default"/>
        </w:rPr>
        <w:t>9</w:t>
      </w:r>
      <w:r>
        <w:rPr/>
        <w:t>月，在能源部水电二局（现中国水电二局有限公司）从事房建电气施工技术工作，</w:t>
      </w:r>
      <w:r>
        <w:rPr>
          <w:rFonts w:ascii="宋体" w:hAnsi="宋体" w:cs="宋体" w:eastAsia="宋体" w:hint="default"/>
        </w:rPr>
        <w:t>1991</w:t>
      </w:r>
      <w:r>
        <w:rPr/>
        <w:t>年</w:t>
      </w:r>
      <w:r>
        <w:rPr>
          <w:rFonts w:ascii="宋体" w:hAnsi="宋体" w:cs="宋体" w:eastAsia="宋体" w:hint="default"/>
        </w:rPr>
        <w:t>9</w:t>
      </w:r>
      <w:r>
        <w:rPr/>
        <w:t>月至</w:t>
      </w:r>
      <w:r>
        <w:rPr>
          <w:rFonts w:ascii="宋体" w:hAnsi="宋体" w:cs="宋体" w:eastAsia="宋体" w:hint="default"/>
        </w:rPr>
        <w:t>1997</w:t>
      </w:r>
      <w:r>
        <w:rPr/>
        <w:t>年</w:t>
      </w:r>
      <w:r>
        <w:rPr>
          <w:rFonts w:ascii="宋体" w:hAnsi="宋体" w:cs="宋体" w:eastAsia="宋体" w:hint="default"/>
        </w:rPr>
        <w:t>2</w:t>
      </w:r>
      <w:r>
        <w:rPr/>
        <w:t>月在北京科锐任</w:t>
      </w:r>
      <w:r>
        <w:rPr>
          <w:spacing w:val="-82"/>
        </w:rPr>
        <w:t> </w:t>
      </w:r>
      <w:r>
        <w:rPr>
          <w:spacing w:val="-82"/>
        </w:rPr>
      </w:r>
      <w:r>
        <w:rPr>
          <w:spacing w:val="-3"/>
        </w:rPr>
        <w:t>销售部经理。</w:t>
      </w:r>
      <w:r>
        <w:rPr>
          <w:rFonts w:ascii="宋体" w:hAnsi="宋体" w:cs="宋体" w:eastAsia="宋体" w:hint="default"/>
          <w:spacing w:val="-3"/>
        </w:rPr>
        <w:t>1997</w:t>
      </w:r>
      <w:r>
        <w:rPr>
          <w:spacing w:val="-3"/>
        </w:rPr>
        <w:t>年</w:t>
      </w:r>
      <w:r>
        <w:rPr>
          <w:rFonts w:ascii="宋体" w:hAnsi="宋体" w:cs="宋体" w:eastAsia="宋体" w:hint="default"/>
          <w:spacing w:val="-3"/>
        </w:rPr>
        <w:t>4</w:t>
      </w:r>
      <w:r>
        <w:rPr>
          <w:spacing w:val="-3"/>
        </w:rPr>
        <w:t>月，刘泽刚与韦强等人出资设立了合纵科技，刘泽刚一直担任本公司董事长兼总经理。</w:t>
      </w:r>
      <w:r>
        <w:rPr>
          <w:rFonts w:ascii="宋体" w:hAnsi="宋体" w:cs="宋体" w:eastAsia="宋体" w:hint="default"/>
          <w:spacing w:val="-3"/>
        </w:rPr>
        <w:t>2008</w:t>
      </w:r>
      <w:r>
        <w:rPr>
          <w:spacing w:val="-3"/>
        </w:rPr>
        <w:t>年</w:t>
      </w:r>
      <w:r>
        <w:rPr>
          <w:rFonts w:ascii="宋体" w:hAnsi="宋体" w:cs="宋体" w:eastAsia="宋体" w:hint="default"/>
          <w:spacing w:val="-3"/>
        </w:rPr>
        <w:t>7</w:t>
      </w:r>
      <w:r>
        <w:rPr>
          <w:spacing w:val="-3"/>
        </w:rPr>
        <w:t>月至今，</w:t>
      </w:r>
      <w:r>
        <w:rPr>
          <w:spacing w:val="-84"/>
        </w:rPr>
        <w:t> </w:t>
      </w:r>
      <w:r>
        <w:rPr>
          <w:spacing w:val="-2"/>
        </w:rPr>
        <w:t>担任北京中关天使投资管理有限公司监事职务。刘泽刚目前还担任中国民主建国会北京市海淀区区委副主委、北京民营科技</w:t>
      </w:r>
      <w:r>
        <w:rPr>
          <w:spacing w:val="-64"/>
        </w:rPr>
        <w:t> </w:t>
      </w:r>
      <w:r>
        <w:rPr>
          <w:spacing w:val="-64"/>
        </w:rPr>
      </w:r>
      <w:r>
        <w:rPr/>
        <w:t>实业家协会副会长、中关村高新技术企业协会副会长。</w:t>
      </w:r>
    </w:p>
    <w:p>
      <w:pPr>
        <w:pStyle w:val="BodyText"/>
        <w:spacing w:line="316" w:lineRule="auto" w:before="17"/>
        <w:ind w:right="1132" w:firstLine="360"/>
        <w:jc w:val="both"/>
      </w:pPr>
      <w:r>
        <w:rPr>
          <w:spacing w:val="-3"/>
        </w:rPr>
        <w:t>韦强先生，</w:t>
      </w:r>
      <w:r>
        <w:rPr>
          <w:rFonts w:ascii="宋体" w:hAnsi="宋体" w:cs="宋体" w:eastAsia="宋体" w:hint="default"/>
          <w:spacing w:val="-3"/>
        </w:rPr>
        <w:t>1966</w:t>
      </w:r>
      <w:r>
        <w:rPr>
          <w:spacing w:val="-3"/>
        </w:rPr>
        <w:t>年生，中国国籍。</w:t>
      </w:r>
      <w:r>
        <w:rPr>
          <w:rFonts w:ascii="宋体" w:hAnsi="宋体" w:cs="宋体" w:eastAsia="宋体" w:hint="default"/>
          <w:spacing w:val="-3"/>
        </w:rPr>
        <w:t>1991</w:t>
      </w:r>
      <w:r>
        <w:rPr>
          <w:spacing w:val="-3"/>
        </w:rPr>
        <w:t>年</w:t>
      </w:r>
      <w:r>
        <w:rPr>
          <w:rFonts w:ascii="宋体" w:hAnsi="宋体" w:cs="宋体" w:eastAsia="宋体" w:hint="default"/>
          <w:spacing w:val="-3"/>
        </w:rPr>
        <w:t>8</w:t>
      </w:r>
      <w:r>
        <w:rPr>
          <w:spacing w:val="-3"/>
        </w:rPr>
        <w:t>月毕业于长沙理工大学（原长沙电力学院），获学士学位。</w:t>
      </w:r>
      <w:r>
        <w:rPr>
          <w:rFonts w:ascii="宋体" w:hAnsi="宋体" w:cs="宋体" w:eastAsia="宋体" w:hint="default"/>
          <w:spacing w:val="-3"/>
        </w:rPr>
        <w:t>1991</w:t>
      </w:r>
      <w:r>
        <w:rPr>
          <w:spacing w:val="-3"/>
        </w:rPr>
        <w:t>年</w:t>
      </w:r>
      <w:r>
        <w:rPr>
          <w:rFonts w:ascii="宋体" w:hAnsi="宋体" w:cs="宋体" w:eastAsia="宋体" w:hint="default"/>
          <w:spacing w:val="-3"/>
        </w:rPr>
        <w:t>10</w:t>
      </w:r>
      <w:r>
        <w:rPr>
          <w:spacing w:val="-3"/>
        </w:rPr>
        <w:t>月至</w:t>
      </w:r>
      <w:r>
        <w:rPr>
          <w:rFonts w:ascii="宋体" w:hAnsi="宋体" w:cs="宋体" w:eastAsia="宋体" w:hint="default"/>
          <w:spacing w:val="-3"/>
        </w:rPr>
        <w:t>1995</w:t>
      </w:r>
      <w:r>
        <w:rPr>
          <w:rFonts w:ascii="宋体" w:hAnsi="宋体" w:cs="宋体" w:eastAsia="宋体" w:hint="default"/>
        </w:rPr>
        <w:t> </w:t>
      </w:r>
      <w:r>
        <w:rPr>
          <w:spacing w:val="-2"/>
        </w:rPr>
        <w:t>年</w:t>
      </w:r>
      <w:r>
        <w:rPr>
          <w:rFonts w:ascii="宋体" w:hAnsi="宋体" w:cs="宋体" w:eastAsia="宋体" w:hint="default"/>
          <w:spacing w:val="-2"/>
        </w:rPr>
        <w:t>5</w:t>
      </w:r>
      <w:r>
        <w:rPr>
          <w:spacing w:val="-2"/>
        </w:rPr>
        <w:t>月，任河南省电力公司办公室秘书。</w:t>
      </w:r>
      <w:r>
        <w:rPr>
          <w:rFonts w:ascii="宋体" w:hAnsi="宋体" w:cs="宋体" w:eastAsia="宋体" w:hint="default"/>
          <w:spacing w:val="-2"/>
        </w:rPr>
        <w:t>1995</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1997</w:t>
      </w:r>
      <w:r>
        <w:rPr>
          <w:spacing w:val="-2"/>
        </w:rPr>
        <w:t>年</w:t>
      </w:r>
      <w:r>
        <w:rPr>
          <w:rFonts w:ascii="宋体" w:hAnsi="宋体" w:cs="宋体" w:eastAsia="宋体" w:hint="default"/>
          <w:spacing w:val="-2"/>
        </w:rPr>
        <w:t>3</w:t>
      </w:r>
      <w:r>
        <w:rPr>
          <w:spacing w:val="-2"/>
        </w:rPr>
        <w:t>月，任北京科锐担任销售部内勤经理。</w:t>
      </w:r>
      <w:r>
        <w:rPr>
          <w:rFonts w:ascii="宋体" w:hAnsi="宋体" w:cs="宋体" w:eastAsia="宋体" w:hint="default"/>
          <w:spacing w:val="-2"/>
        </w:rPr>
        <w:t>1997</w:t>
      </w:r>
      <w:r>
        <w:rPr>
          <w:spacing w:val="-2"/>
        </w:rPr>
        <w:t>年</w:t>
      </w:r>
      <w:r>
        <w:rPr>
          <w:rFonts w:ascii="宋体" w:hAnsi="宋体" w:cs="宋体" w:eastAsia="宋体" w:hint="default"/>
          <w:spacing w:val="-2"/>
        </w:rPr>
        <w:t>4</w:t>
      </w:r>
      <w:r>
        <w:rPr>
          <w:spacing w:val="-2"/>
        </w:rPr>
        <w:t>月，韦强与刘泽</w:t>
      </w:r>
      <w:r>
        <w:rPr>
          <w:spacing w:val="-50"/>
        </w:rPr>
        <w:t> </w:t>
      </w:r>
      <w:r>
        <w:rPr>
          <w:spacing w:val="-50"/>
        </w:rPr>
      </w:r>
      <w:r>
        <w:rPr>
          <w:spacing w:val="-2"/>
        </w:rPr>
        <w:t>刚等人出资设立了合纵有限，成立初期两年内从事扩频通信设备和配电综合检测表计的代理销售。韦强现任公司董事、副总</w:t>
      </w:r>
      <w:r>
        <w:rPr>
          <w:spacing w:val="-66"/>
        </w:rPr>
        <w:t> </w:t>
      </w:r>
      <w:r>
        <w:rPr>
          <w:spacing w:val="-66"/>
        </w:rPr>
      </w:r>
      <w:r>
        <w:rPr/>
        <w:t>经理，同时还担任北京海淀法院人民陪审员、中共金隅嘉华大厦党委书记。</w:t>
      </w:r>
    </w:p>
    <w:p>
      <w:pPr>
        <w:pStyle w:val="BodyText"/>
        <w:spacing w:line="316" w:lineRule="auto" w:before="19"/>
        <w:ind w:right="1040" w:firstLine="360"/>
        <w:jc w:val="both"/>
      </w:pPr>
      <w:r>
        <w:rPr>
          <w:spacing w:val="-2"/>
        </w:rPr>
        <w:t>韩国良先生，</w:t>
      </w:r>
      <w:r>
        <w:rPr>
          <w:rFonts w:ascii="宋体" w:hAnsi="宋体" w:cs="宋体" w:eastAsia="宋体" w:hint="default"/>
          <w:spacing w:val="-2"/>
        </w:rPr>
        <w:t>1965</w:t>
      </w:r>
      <w:r>
        <w:rPr>
          <w:spacing w:val="-2"/>
        </w:rPr>
        <w:t>年生，中国国籍。</w:t>
      </w:r>
      <w:r>
        <w:rPr>
          <w:rFonts w:ascii="宋体" w:hAnsi="宋体" w:cs="宋体" w:eastAsia="宋体" w:hint="default"/>
          <w:spacing w:val="-2"/>
        </w:rPr>
        <w:t>1987</w:t>
      </w:r>
      <w:r>
        <w:rPr>
          <w:spacing w:val="-2"/>
        </w:rPr>
        <w:t>年</w:t>
      </w:r>
      <w:r>
        <w:rPr>
          <w:rFonts w:ascii="宋体" w:hAnsi="宋体" w:cs="宋体" w:eastAsia="宋体" w:hint="default"/>
          <w:spacing w:val="-2"/>
        </w:rPr>
        <w:t>7</w:t>
      </w:r>
      <w:r>
        <w:rPr>
          <w:spacing w:val="-2"/>
        </w:rPr>
        <w:t>月毕业于南京工学院电气技术专业，获学士学位。</w:t>
      </w:r>
      <w:r>
        <w:rPr>
          <w:rFonts w:ascii="宋体" w:hAnsi="宋体" w:cs="宋体" w:eastAsia="宋体" w:hint="default"/>
          <w:spacing w:val="-2"/>
        </w:rPr>
        <w:t>1987</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2001</w:t>
      </w:r>
      <w:r>
        <w:rPr>
          <w:spacing w:val="-2"/>
        </w:rPr>
        <w:t>年</w:t>
      </w:r>
      <w:r>
        <w:rPr>
          <w:rFonts w:ascii="宋体" w:hAnsi="宋体" w:cs="宋体" w:eastAsia="宋体" w:hint="default"/>
          <w:spacing w:val="-2"/>
        </w:rPr>
        <w:t>8</w:t>
      </w:r>
      <w:r>
        <w:rPr>
          <w:spacing w:val="-2"/>
        </w:rPr>
        <w:t>月，</w:t>
      </w:r>
      <w:r>
        <w:rPr>
          <w:spacing w:val="1"/>
        </w:rPr>
        <w:t> </w:t>
      </w:r>
      <w:r>
        <w:rPr/>
        <w:t>历任江苏省南通供电公司用电业务员、检修专责、线损专责、主任工程师等职；</w:t>
      </w:r>
      <w:r>
        <w:rPr>
          <w:rFonts w:ascii="宋体" w:hAnsi="宋体" w:cs="宋体" w:eastAsia="宋体" w:hint="default"/>
        </w:rPr>
        <w:t>2001</w:t>
      </w:r>
      <w:r>
        <w:rPr/>
        <w:t>年</w:t>
      </w:r>
      <w:r>
        <w:rPr>
          <w:rFonts w:ascii="宋体" w:hAnsi="宋体" w:cs="宋体" w:eastAsia="宋体" w:hint="default"/>
        </w:rPr>
        <w:t>9</w:t>
      </w:r>
      <w:r>
        <w:rPr/>
        <w:t>月至今，任公司董事、副总经理。</w:t>
      </w:r>
    </w:p>
    <w:p>
      <w:pPr>
        <w:pStyle w:val="BodyText"/>
        <w:spacing w:line="316" w:lineRule="auto" w:before="19"/>
        <w:ind w:right="1129" w:firstLine="360"/>
        <w:jc w:val="both"/>
      </w:pPr>
      <w:r>
        <w:rPr>
          <w:spacing w:val="-2"/>
        </w:rPr>
        <w:t>张仁增先生，</w:t>
      </w:r>
      <w:r>
        <w:rPr>
          <w:rFonts w:ascii="宋体" w:hAnsi="宋体" w:cs="宋体" w:eastAsia="宋体" w:hint="default"/>
          <w:spacing w:val="-2"/>
        </w:rPr>
        <w:t>1967</w:t>
      </w:r>
      <w:r>
        <w:rPr>
          <w:spacing w:val="-2"/>
        </w:rPr>
        <w:t>年生，中国国籍。</w:t>
      </w:r>
      <w:r>
        <w:rPr>
          <w:rFonts w:ascii="宋体" w:hAnsi="宋体" w:cs="宋体" w:eastAsia="宋体" w:hint="default"/>
          <w:spacing w:val="-2"/>
        </w:rPr>
        <w:t>1990</w:t>
      </w:r>
      <w:r>
        <w:rPr>
          <w:spacing w:val="-2"/>
        </w:rPr>
        <w:t>年</w:t>
      </w:r>
      <w:r>
        <w:rPr>
          <w:rFonts w:ascii="宋体" w:hAnsi="宋体" w:cs="宋体" w:eastAsia="宋体" w:hint="default"/>
          <w:spacing w:val="-2"/>
        </w:rPr>
        <w:t>7</w:t>
      </w:r>
      <w:r>
        <w:rPr>
          <w:spacing w:val="-2"/>
        </w:rPr>
        <w:t>月毕业于北方交通大学，</w:t>
      </w:r>
      <w:r>
        <w:rPr>
          <w:rFonts w:ascii="宋体" w:hAnsi="宋体" w:cs="宋体" w:eastAsia="宋体" w:hint="default"/>
          <w:spacing w:val="-2"/>
        </w:rPr>
        <w:t>2011</w:t>
      </w:r>
      <w:r>
        <w:rPr>
          <w:spacing w:val="-2"/>
        </w:rPr>
        <w:t>年</w:t>
      </w:r>
      <w:r>
        <w:rPr>
          <w:rFonts w:ascii="宋体" w:hAnsi="宋体" w:cs="宋体" w:eastAsia="宋体" w:hint="default"/>
          <w:spacing w:val="-2"/>
        </w:rPr>
        <w:t>7</w:t>
      </w:r>
      <w:r>
        <w:rPr>
          <w:spacing w:val="-2"/>
        </w:rPr>
        <w:t>月获得北京航空航天大学软件工程领域工</w:t>
      </w:r>
      <w:r>
        <w:rPr/>
        <w:t> </w:t>
      </w:r>
      <w:r>
        <w:rPr>
          <w:spacing w:val="-2"/>
        </w:rPr>
        <w:t>程硕士学位。</w:t>
      </w:r>
      <w:r>
        <w:rPr>
          <w:rFonts w:ascii="宋体" w:hAnsi="宋体" w:cs="宋体" w:eastAsia="宋体" w:hint="default"/>
          <w:spacing w:val="-2"/>
        </w:rPr>
        <w:t>1990</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1995</w:t>
      </w:r>
      <w:r>
        <w:rPr>
          <w:spacing w:val="-2"/>
        </w:rPr>
        <w:t>年</w:t>
      </w:r>
      <w:r>
        <w:rPr>
          <w:rFonts w:ascii="宋体" w:hAnsi="宋体" w:cs="宋体" w:eastAsia="宋体" w:hint="default"/>
          <w:spacing w:val="-2"/>
        </w:rPr>
        <w:t>3</w:t>
      </w:r>
      <w:r>
        <w:rPr>
          <w:spacing w:val="-2"/>
        </w:rPr>
        <w:t>月在北京铁路局丰台机务段技术部门工作，</w:t>
      </w:r>
      <w:r>
        <w:rPr>
          <w:rFonts w:ascii="宋体" w:hAnsi="宋体" w:cs="宋体" w:eastAsia="宋体" w:hint="default"/>
          <w:spacing w:val="-2"/>
        </w:rPr>
        <w:t>1995</w:t>
      </w:r>
      <w:r>
        <w:rPr>
          <w:spacing w:val="-2"/>
        </w:rPr>
        <w:t>年</w:t>
      </w:r>
      <w:r>
        <w:rPr>
          <w:rFonts w:ascii="宋体" w:hAnsi="宋体" w:cs="宋体" w:eastAsia="宋体" w:hint="default"/>
          <w:spacing w:val="-2"/>
        </w:rPr>
        <w:t>4</w:t>
      </w:r>
      <w:r>
        <w:rPr>
          <w:spacing w:val="-2"/>
        </w:rPr>
        <w:t>月至</w:t>
      </w:r>
      <w:r>
        <w:rPr>
          <w:rFonts w:ascii="宋体" w:hAnsi="宋体" w:cs="宋体" w:eastAsia="宋体" w:hint="default"/>
          <w:spacing w:val="-2"/>
        </w:rPr>
        <w:t>1998</w:t>
      </w:r>
      <w:r>
        <w:rPr>
          <w:spacing w:val="-2"/>
        </w:rPr>
        <w:t>年</w:t>
      </w:r>
      <w:r>
        <w:rPr>
          <w:rFonts w:ascii="宋体" w:hAnsi="宋体" w:cs="宋体" w:eastAsia="宋体" w:hint="default"/>
          <w:spacing w:val="-2"/>
        </w:rPr>
        <w:t>4</w:t>
      </w:r>
      <w:r>
        <w:rPr>
          <w:spacing w:val="-2"/>
        </w:rPr>
        <w:t>月先后任北京科锐销售部</w:t>
      </w:r>
      <w:r>
        <w:rPr>
          <w:spacing w:val="-44"/>
        </w:rPr>
        <w:t> </w:t>
      </w:r>
      <w:r>
        <w:rPr/>
        <w:t>销售工程师、销售区域经理。</w:t>
      </w:r>
      <w:r>
        <w:rPr>
          <w:rFonts w:ascii="宋体" w:hAnsi="宋体" w:cs="宋体" w:eastAsia="宋体" w:hint="default"/>
        </w:rPr>
        <w:t>1998</w:t>
      </w:r>
      <w:r>
        <w:rPr/>
        <w:t>年</w:t>
      </w:r>
      <w:r>
        <w:rPr>
          <w:rFonts w:ascii="宋体" w:hAnsi="宋体" w:cs="宋体" w:eastAsia="宋体" w:hint="default"/>
        </w:rPr>
        <w:t>4</w:t>
      </w:r>
      <w:r>
        <w:rPr/>
        <w:t>月至</w:t>
      </w:r>
      <w:r>
        <w:rPr>
          <w:rFonts w:ascii="宋体" w:hAnsi="宋体" w:cs="宋体" w:eastAsia="宋体" w:hint="default"/>
        </w:rPr>
        <w:t>1998</w:t>
      </w:r>
      <w:r>
        <w:rPr/>
        <w:t>年</w:t>
      </w:r>
      <w:r>
        <w:rPr>
          <w:rFonts w:ascii="宋体" w:hAnsi="宋体" w:cs="宋体" w:eastAsia="宋体" w:hint="default"/>
        </w:rPr>
        <w:t>10</w:t>
      </w:r>
      <w:r>
        <w:rPr/>
        <w:t>月，张仁增先生任北京聚能达科技有限公司监事、销售经理；</w:t>
      </w:r>
      <w:r>
        <w:rPr>
          <w:rFonts w:ascii="宋体" w:hAnsi="宋体" w:cs="宋体" w:eastAsia="宋体" w:hint="default"/>
        </w:rPr>
        <w:t>1998</w:t>
      </w:r>
      <w:r>
        <w:rPr/>
        <w:t>年</w:t>
      </w:r>
      <w:r>
        <w:rPr>
          <w:rFonts w:ascii="宋体" w:hAnsi="宋体" w:cs="宋体" w:eastAsia="宋体" w:hint="default"/>
        </w:rPr>
        <w:t>12</w:t>
      </w:r>
      <w:r>
        <w:rPr>
          <w:rFonts w:ascii="宋体" w:hAnsi="宋体" w:cs="宋体" w:eastAsia="宋体" w:hint="default"/>
          <w:spacing w:val="-82"/>
        </w:rPr>
        <w:t> </w:t>
      </w:r>
      <w:r>
        <w:rPr/>
        <w:t>月至今，担任公司董事，历任项目经理、总裁办主任，现任行政后勤中心总监。</w:t>
      </w:r>
    </w:p>
    <w:p>
      <w:pPr>
        <w:pStyle w:val="BodyText"/>
        <w:spacing w:line="316" w:lineRule="auto" w:before="19"/>
        <w:ind w:right="1129" w:firstLine="360"/>
        <w:jc w:val="both"/>
      </w:pPr>
      <w:r>
        <w:rPr/>
        <w:t>何昀先生，</w:t>
      </w:r>
      <w:r>
        <w:rPr>
          <w:rFonts w:ascii="宋体" w:hAnsi="宋体" w:cs="宋体" w:eastAsia="宋体" w:hint="default"/>
        </w:rPr>
        <w:t>1972</w:t>
      </w:r>
      <w:r>
        <w:rPr/>
        <w:t>年生，中国国籍。</w:t>
      </w:r>
      <w:r>
        <w:rPr>
          <w:rFonts w:ascii="宋体" w:hAnsi="宋体" w:cs="宋体" w:eastAsia="宋体" w:hint="default"/>
        </w:rPr>
        <w:t>1996</w:t>
      </w:r>
      <w:r>
        <w:rPr/>
        <w:t>年</w:t>
      </w:r>
      <w:r>
        <w:rPr>
          <w:rFonts w:ascii="宋体" w:hAnsi="宋体" w:cs="宋体" w:eastAsia="宋体" w:hint="default"/>
        </w:rPr>
        <w:t>7</w:t>
      </w:r>
      <w:r>
        <w:rPr/>
        <w:t>月毕业于长沙电力学院电力系统及自动化专业。</w:t>
      </w:r>
      <w:r>
        <w:rPr>
          <w:rFonts w:ascii="宋体" w:hAnsi="宋体" w:cs="宋体" w:eastAsia="宋体" w:hint="default"/>
        </w:rPr>
        <w:t>1997</w:t>
      </w:r>
      <w:r>
        <w:rPr/>
        <w:t>年</w:t>
      </w:r>
      <w:r>
        <w:rPr>
          <w:rFonts w:ascii="宋体" w:hAnsi="宋体" w:cs="宋体" w:eastAsia="宋体" w:hint="default"/>
        </w:rPr>
        <w:t>3</w:t>
      </w:r>
      <w:r>
        <w:rPr/>
        <w:t>月至</w:t>
      </w:r>
      <w:r>
        <w:rPr>
          <w:rFonts w:ascii="宋体" w:hAnsi="宋体" w:cs="宋体" w:eastAsia="宋体" w:hint="default"/>
        </w:rPr>
        <w:t>1999</w:t>
      </w:r>
      <w:r>
        <w:rPr/>
        <w:t>年</w:t>
      </w:r>
      <w:r>
        <w:rPr>
          <w:rFonts w:ascii="宋体" w:hAnsi="宋体" w:cs="宋体" w:eastAsia="宋体" w:hint="default"/>
        </w:rPr>
        <w:t>5</w:t>
      </w:r>
      <w:r>
        <w:rPr/>
        <w:t>月在北 </w:t>
      </w:r>
      <w:r>
        <w:rPr>
          <w:spacing w:val="-2"/>
        </w:rPr>
        <w:t>京科锐销售部担任销售工程师。</w:t>
      </w:r>
      <w:r>
        <w:rPr>
          <w:rFonts w:ascii="宋体" w:hAnsi="宋体" w:cs="宋体" w:eastAsia="宋体" w:hint="default"/>
          <w:spacing w:val="-2"/>
        </w:rPr>
        <w:t>1999</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2006</w:t>
      </w:r>
      <w:r>
        <w:rPr>
          <w:spacing w:val="-2"/>
        </w:rPr>
        <w:t>年</w:t>
      </w:r>
      <w:r>
        <w:rPr>
          <w:rFonts w:ascii="宋体" w:hAnsi="宋体" w:cs="宋体" w:eastAsia="宋体" w:hint="default"/>
          <w:spacing w:val="-2"/>
        </w:rPr>
        <w:t>12</w:t>
      </w:r>
      <w:r>
        <w:rPr>
          <w:spacing w:val="-2"/>
        </w:rPr>
        <w:t>月，何昀先生在本公司担任华北大区销售经理；</w:t>
      </w:r>
      <w:r>
        <w:rPr>
          <w:rFonts w:ascii="宋体" w:hAnsi="宋体" w:cs="宋体" w:eastAsia="宋体" w:hint="default"/>
          <w:spacing w:val="-2"/>
        </w:rPr>
        <w:t>2007</w:t>
      </w:r>
      <w:r>
        <w:rPr>
          <w:spacing w:val="-2"/>
        </w:rPr>
        <w:t>年</w:t>
      </w:r>
      <w:r>
        <w:rPr>
          <w:rFonts w:ascii="宋体" w:hAnsi="宋体" w:cs="宋体" w:eastAsia="宋体" w:hint="default"/>
          <w:spacing w:val="-2"/>
        </w:rPr>
        <w:t>1</w:t>
      </w:r>
      <w:r>
        <w:rPr>
          <w:spacing w:val="-2"/>
        </w:rPr>
        <w:t>月至今，担任</w:t>
      </w:r>
      <w:r>
        <w:rPr>
          <w:spacing w:val="-49"/>
        </w:rPr>
        <w:t> </w:t>
      </w:r>
      <w:r>
        <w:rPr>
          <w:spacing w:val="-49"/>
        </w:rPr>
      </w:r>
      <w:r>
        <w:rPr/>
        <w:t>本公司董事、营销总部副总监。</w:t>
      </w:r>
    </w:p>
    <w:p>
      <w:pPr>
        <w:pStyle w:val="BodyText"/>
        <w:spacing w:line="316" w:lineRule="auto" w:before="19"/>
        <w:ind w:right="1129" w:firstLine="360"/>
        <w:jc w:val="both"/>
      </w:pPr>
      <w:r>
        <w:rPr/>
        <w:t>高星女士，</w:t>
      </w:r>
      <w:r>
        <w:rPr>
          <w:rFonts w:ascii="宋体" w:hAnsi="宋体" w:cs="宋体" w:eastAsia="宋体" w:hint="default"/>
        </w:rPr>
        <w:t>1972</w:t>
      </w:r>
      <w:r>
        <w:rPr/>
        <w:t>年生，中国国籍。</w:t>
      </w:r>
      <w:r>
        <w:rPr>
          <w:rFonts w:ascii="宋体" w:hAnsi="宋体" w:cs="宋体" w:eastAsia="宋体" w:hint="default"/>
        </w:rPr>
        <w:t>1996</w:t>
      </w:r>
      <w:r>
        <w:rPr/>
        <w:t>年</w:t>
      </w:r>
      <w:r>
        <w:rPr>
          <w:rFonts w:ascii="宋体" w:hAnsi="宋体" w:cs="宋体" w:eastAsia="宋体" w:hint="default"/>
        </w:rPr>
        <w:t>7</w:t>
      </w:r>
      <w:r>
        <w:rPr/>
        <w:t>月毕业于华北电力大学电气技术专业，获工学学士学位。</w:t>
      </w:r>
      <w:r>
        <w:rPr>
          <w:rFonts w:ascii="宋体" w:hAnsi="宋体" w:cs="宋体" w:eastAsia="宋体" w:hint="default"/>
        </w:rPr>
        <w:t>1996</w:t>
      </w:r>
      <w:r>
        <w:rPr/>
        <w:t>年</w:t>
      </w:r>
      <w:r>
        <w:rPr>
          <w:rFonts w:ascii="宋体" w:hAnsi="宋体" w:cs="宋体" w:eastAsia="宋体" w:hint="default"/>
        </w:rPr>
        <w:t>8</w:t>
      </w:r>
      <w:r>
        <w:rPr/>
        <w:t>月至</w:t>
      </w:r>
      <w:r>
        <w:rPr>
          <w:rFonts w:ascii="宋体" w:hAnsi="宋体" w:cs="宋体" w:eastAsia="宋体" w:hint="default"/>
        </w:rPr>
        <w:t>1999 </w:t>
      </w:r>
      <w:r>
        <w:rPr/>
        <w:t>年</w:t>
      </w:r>
      <w:r>
        <w:rPr>
          <w:rFonts w:ascii="宋体" w:hAnsi="宋体" w:cs="宋体" w:eastAsia="宋体" w:hint="default"/>
        </w:rPr>
        <w:t>3</w:t>
      </w:r>
      <w:r>
        <w:rPr/>
        <w:t>月，在北京科锐销售部担任内勤助理。</w:t>
      </w:r>
      <w:r>
        <w:rPr>
          <w:rFonts w:ascii="宋体" w:hAnsi="宋体" w:cs="宋体" w:eastAsia="宋体" w:hint="default"/>
        </w:rPr>
        <w:t>1999</w:t>
      </w:r>
      <w:r>
        <w:rPr/>
        <w:t>年</w:t>
      </w:r>
      <w:r>
        <w:rPr>
          <w:rFonts w:ascii="宋体" w:hAnsi="宋体" w:cs="宋体" w:eastAsia="宋体" w:hint="default"/>
        </w:rPr>
        <w:t>5</w:t>
      </w:r>
      <w:r>
        <w:rPr/>
        <w:t>月至</w:t>
      </w:r>
      <w:r>
        <w:rPr>
          <w:rFonts w:ascii="宋体" w:hAnsi="宋体" w:cs="宋体" w:eastAsia="宋体" w:hint="default"/>
        </w:rPr>
        <w:t>2006</w:t>
      </w:r>
      <w:r>
        <w:rPr/>
        <w:t>年</w:t>
      </w:r>
      <w:r>
        <w:rPr>
          <w:rFonts w:ascii="宋体" w:hAnsi="宋体" w:cs="宋体" w:eastAsia="宋体" w:hint="default"/>
        </w:rPr>
        <w:t>12</w:t>
      </w:r>
      <w:r>
        <w:rPr/>
        <w:t>月，高星女士任本公司销售中心经理；</w:t>
      </w:r>
      <w:r>
        <w:rPr>
          <w:rFonts w:ascii="宋体" w:hAnsi="宋体" w:cs="宋体" w:eastAsia="宋体" w:hint="default"/>
        </w:rPr>
        <w:t>2007</w:t>
      </w:r>
      <w:r>
        <w:rPr/>
        <w:t>年</w:t>
      </w:r>
      <w:r>
        <w:rPr>
          <w:rFonts w:ascii="宋体" w:hAnsi="宋体" w:cs="宋体" w:eastAsia="宋体" w:hint="default"/>
        </w:rPr>
        <w:t>1</w:t>
      </w:r>
      <w:r>
        <w:rPr/>
        <w:t>月至今，担</w:t>
      </w:r>
      <w:r>
        <w:rPr>
          <w:spacing w:val="-84"/>
        </w:rPr>
        <w:t> </w:t>
      </w:r>
      <w:r>
        <w:rPr>
          <w:spacing w:val="-84"/>
        </w:rPr>
      </w:r>
      <w:r>
        <w:rPr/>
        <w:t>任公司董事，历任人力资源部经理，现任总经理助理。</w:t>
      </w:r>
    </w:p>
    <w:p>
      <w:pPr>
        <w:pStyle w:val="BodyText"/>
        <w:spacing w:line="316" w:lineRule="auto" w:before="19"/>
        <w:ind w:right="1129" w:firstLine="360"/>
        <w:jc w:val="both"/>
      </w:pPr>
      <w:r>
        <w:rPr/>
        <w:t>王颖先生，</w:t>
      </w:r>
      <w:r>
        <w:rPr>
          <w:rFonts w:ascii="宋体" w:hAnsi="宋体" w:cs="宋体" w:eastAsia="宋体" w:hint="default"/>
        </w:rPr>
        <w:t>1970</w:t>
      </w:r>
      <w:r>
        <w:rPr/>
        <w:t>年生，中国国籍。</w:t>
      </w:r>
      <w:r>
        <w:rPr>
          <w:rFonts w:ascii="宋体" w:hAnsi="宋体" w:cs="宋体" w:eastAsia="宋体" w:hint="default"/>
        </w:rPr>
        <w:t>1992</w:t>
      </w:r>
      <w:r>
        <w:rPr/>
        <w:t>年</w:t>
      </w:r>
      <w:r>
        <w:rPr>
          <w:rFonts w:ascii="宋体" w:hAnsi="宋体" w:cs="宋体" w:eastAsia="宋体" w:hint="default"/>
        </w:rPr>
        <w:t>7</w:t>
      </w:r>
      <w:r>
        <w:rPr/>
        <w:t>月，毕业于中国农业大学管理学院，获学士学位；</w:t>
      </w:r>
      <w:r>
        <w:rPr>
          <w:rFonts w:ascii="宋体" w:hAnsi="宋体" w:cs="宋体" w:eastAsia="宋体" w:hint="default"/>
        </w:rPr>
        <w:t>2001</w:t>
      </w:r>
      <w:r>
        <w:rPr/>
        <w:t>年</w:t>
      </w:r>
      <w:r>
        <w:rPr>
          <w:rFonts w:ascii="宋体" w:hAnsi="宋体" w:cs="宋体" w:eastAsia="宋体" w:hint="default"/>
        </w:rPr>
        <w:t>12</w:t>
      </w:r>
      <w:r>
        <w:rPr/>
        <w:t>月，获北京大学 光华管理学院</w:t>
      </w:r>
      <w:r>
        <w:rPr>
          <w:rFonts w:ascii="宋体" w:hAnsi="宋体" w:cs="宋体" w:eastAsia="宋体" w:hint="default"/>
        </w:rPr>
        <w:t>EMBA</w:t>
      </w:r>
      <w:r>
        <w:rPr/>
        <w:t>。</w:t>
      </w:r>
      <w:r>
        <w:rPr>
          <w:rFonts w:ascii="宋体" w:hAnsi="宋体" w:cs="宋体" w:eastAsia="宋体" w:hint="default"/>
        </w:rPr>
        <w:t>2011</w:t>
      </w:r>
      <w:r>
        <w:rPr/>
        <w:t>年</w:t>
      </w:r>
      <w:r>
        <w:rPr>
          <w:rFonts w:ascii="宋体" w:hAnsi="宋体" w:cs="宋体" w:eastAsia="宋体" w:hint="default"/>
        </w:rPr>
        <w:t>1</w:t>
      </w:r>
      <w:r>
        <w:rPr/>
        <w:t>月，获美国普莱斯顿大学工商管理博士学位。</w:t>
      </w:r>
      <w:r>
        <w:rPr>
          <w:rFonts w:ascii="宋体" w:hAnsi="宋体" w:cs="宋体" w:eastAsia="宋体" w:hint="default"/>
        </w:rPr>
        <w:t>1992</w:t>
      </w:r>
      <w:r>
        <w:rPr/>
        <w:t>年</w:t>
      </w:r>
      <w:r>
        <w:rPr>
          <w:rFonts w:ascii="宋体" w:hAnsi="宋体" w:cs="宋体" w:eastAsia="宋体" w:hint="default"/>
        </w:rPr>
        <w:t>9</w:t>
      </w:r>
      <w:r>
        <w:rPr/>
        <w:t>月至</w:t>
      </w:r>
      <w:r>
        <w:rPr>
          <w:rFonts w:ascii="宋体" w:hAnsi="宋体" w:cs="宋体" w:eastAsia="宋体" w:hint="default"/>
        </w:rPr>
        <w:t>1993</w:t>
      </w:r>
      <w:r>
        <w:rPr/>
        <w:t>年</w:t>
      </w:r>
      <w:r>
        <w:rPr>
          <w:rFonts w:ascii="宋体" w:hAnsi="宋体" w:cs="宋体" w:eastAsia="宋体" w:hint="default"/>
        </w:rPr>
        <w:t>7</w:t>
      </w:r>
      <w:r>
        <w:rPr/>
        <w:t>月，在中国农业大学科研处</w:t>
      </w:r>
      <w:r>
        <w:rPr>
          <w:spacing w:val="-83"/>
        </w:rPr>
        <w:t> </w:t>
      </w:r>
      <w:r>
        <w:rPr>
          <w:spacing w:val="-83"/>
        </w:rPr>
      </w:r>
      <w:r>
        <w:rPr>
          <w:spacing w:val="-2"/>
        </w:rPr>
        <w:t>任科研管理人员；</w:t>
      </w:r>
      <w:r>
        <w:rPr>
          <w:rFonts w:ascii="宋体" w:hAnsi="宋体" w:cs="宋体" w:eastAsia="宋体" w:hint="default"/>
          <w:spacing w:val="-2"/>
        </w:rPr>
        <w:t>1993</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1995</w:t>
      </w:r>
      <w:r>
        <w:rPr>
          <w:spacing w:val="-2"/>
        </w:rPr>
        <w:t>年</w:t>
      </w:r>
      <w:r>
        <w:rPr>
          <w:rFonts w:ascii="宋体" w:hAnsi="宋体" w:cs="宋体" w:eastAsia="宋体" w:hint="default"/>
          <w:spacing w:val="-2"/>
        </w:rPr>
        <w:t>5</w:t>
      </w:r>
      <w:r>
        <w:rPr>
          <w:spacing w:val="-2"/>
        </w:rPr>
        <w:t>月，任（台湾）帝冠电脑有限公司企划部经理；</w:t>
      </w:r>
      <w:r>
        <w:rPr>
          <w:rFonts w:ascii="宋体" w:hAnsi="宋体" w:cs="宋体" w:eastAsia="宋体" w:hint="default"/>
          <w:spacing w:val="-2"/>
        </w:rPr>
        <w:t>1995</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1996</w:t>
      </w:r>
      <w:r>
        <w:rPr>
          <w:spacing w:val="-2"/>
        </w:rPr>
        <w:t>年</w:t>
      </w:r>
      <w:r>
        <w:rPr>
          <w:rFonts w:ascii="宋体" w:hAnsi="宋体" w:cs="宋体" w:eastAsia="宋体" w:hint="default"/>
          <w:spacing w:val="-2"/>
        </w:rPr>
        <w:t>8</w:t>
      </w:r>
      <w:r>
        <w:rPr>
          <w:spacing w:val="-2"/>
        </w:rPr>
        <w:t>月，任北京赛思</w:t>
      </w:r>
      <w:r>
        <w:rPr>
          <w:spacing w:val="-46"/>
        </w:rPr>
        <w:t> </w:t>
      </w:r>
      <w:r>
        <w:rPr>
          <w:spacing w:val="-46"/>
        </w:rPr>
      </w:r>
      <w:r>
        <w:rPr/>
        <w:t>咨询有限公司咨询总监；</w:t>
      </w:r>
      <w:r>
        <w:rPr>
          <w:rFonts w:ascii="宋体" w:hAnsi="宋体" w:cs="宋体" w:eastAsia="宋体" w:hint="default"/>
        </w:rPr>
        <w:t>1996</w:t>
      </w:r>
      <w:r>
        <w:rPr/>
        <w:t>年</w:t>
      </w:r>
      <w:r>
        <w:rPr>
          <w:rFonts w:ascii="宋体" w:hAnsi="宋体" w:cs="宋体" w:eastAsia="宋体" w:hint="default"/>
        </w:rPr>
        <w:t>8</w:t>
      </w:r>
      <w:r>
        <w:rPr/>
        <w:t>月至</w:t>
      </w:r>
      <w:r>
        <w:rPr>
          <w:rFonts w:ascii="宋体" w:hAnsi="宋体" w:cs="宋体" w:eastAsia="宋体" w:hint="default"/>
        </w:rPr>
        <w:t>2000</w:t>
      </w:r>
      <w:r>
        <w:rPr/>
        <w:t>年</w:t>
      </w:r>
      <w:r>
        <w:rPr>
          <w:rFonts w:ascii="宋体" w:hAnsi="宋体" w:cs="宋体" w:eastAsia="宋体" w:hint="default"/>
        </w:rPr>
        <w:t>8</w:t>
      </w:r>
      <w:r>
        <w:rPr/>
        <w:t>月，任北京理实华恩企管顾问公司董事总经理；</w:t>
      </w:r>
      <w:r>
        <w:rPr>
          <w:rFonts w:ascii="宋体" w:hAnsi="宋体" w:cs="宋体" w:eastAsia="宋体" w:hint="default"/>
        </w:rPr>
        <w:t>2000</w:t>
      </w:r>
      <w:r>
        <w:rPr/>
        <w:t>年</w:t>
      </w:r>
      <w:r>
        <w:rPr>
          <w:rFonts w:ascii="宋体" w:hAnsi="宋体" w:cs="宋体" w:eastAsia="宋体" w:hint="default"/>
        </w:rPr>
        <w:t>8</w:t>
      </w:r>
      <w:r>
        <w:rPr/>
        <w:t>月至</w:t>
      </w:r>
      <w:r>
        <w:rPr>
          <w:rFonts w:ascii="宋体" w:hAnsi="宋体" w:cs="宋体" w:eastAsia="宋体" w:hint="default"/>
        </w:rPr>
        <w:t>2005</w:t>
      </w:r>
      <w:r>
        <w:rPr/>
        <w:t>年</w:t>
      </w:r>
      <w:r>
        <w:rPr>
          <w:rFonts w:ascii="宋体" w:hAnsi="宋体" w:cs="宋体" w:eastAsia="宋体" w:hint="default"/>
        </w:rPr>
        <w:t>10</w:t>
      </w:r>
      <w:r>
        <w:rPr/>
        <w:t>月，担</w:t>
      </w:r>
    </w:p>
    <w:p>
      <w:pPr>
        <w:spacing w:after="0" w:line="316" w:lineRule="auto"/>
        <w:jc w:val="both"/>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6" w:lineRule="auto" w:before="44"/>
        <w:ind w:right="1027"/>
        <w:jc w:val="left"/>
      </w:pPr>
      <w:r>
        <w:rPr>
          <w:spacing w:val="-3"/>
        </w:rPr>
        <w:t>任北京理实佳讯企业管理顾问有限公司董事长、高级合伙人；</w:t>
      </w:r>
      <w:r>
        <w:rPr>
          <w:rFonts w:ascii="宋体" w:hAnsi="宋体" w:cs="宋体" w:eastAsia="宋体" w:hint="default"/>
          <w:spacing w:val="-3"/>
        </w:rPr>
        <w:t>2005</w:t>
      </w:r>
      <w:r>
        <w:rPr>
          <w:spacing w:val="-3"/>
        </w:rPr>
        <w:t>年</w:t>
      </w:r>
      <w:r>
        <w:rPr>
          <w:rFonts w:ascii="宋体" w:hAnsi="宋体" w:cs="宋体" w:eastAsia="宋体" w:hint="default"/>
          <w:spacing w:val="-3"/>
        </w:rPr>
        <w:t>10</w:t>
      </w:r>
      <w:r>
        <w:rPr>
          <w:spacing w:val="-3"/>
        </w:rPr>
        <w:t>月至今，任理实国际咨询集团执行董事、高级合伙人；</w:t>
      </w:r>
      <w:r>
        <w:rPr/>
        <w:t> </w:t>
      </w:r>
      <w:r>
        <w:rPr>
          <w:rFonts w:ascii="宋体" w:hAnsi="宋体" w:cs="宋体" w:eastAsia="宋体" w:hint="default"/>
          <w:spacing w:val="-2"/>
        </w:rPr>
        <w:t>2006</w:t>
      </w:r>
      <w:r>
        <w:rPr>
          <w:spacing w:val="-2"/>
        </w:rPr>
        <w:t>年</w:t>
      </w:r>
      <w:r>
        <w:rPr>
          <w:rFonts w:ascii="宋体" w:hAnsi="宋体" w:cs="宋体" w:eastAsia="宋体" w:hint="default"/>
          <w:spacing w:val="-2"/>
        </w:rPr>
        <w:t>10</w:t>
      </w:r>
      <w:r>
        <w:rPr>
          <w:spacing w:val="-2"/>
        </w:rPr>
        <w:t>月至今任理实环球国际咨询（北京）有限公司董事长；</w:t>
      </w:r>
      <w:r>
        <w:rPr>
          <w:rFonts w:ascii="宋体" w:hAnsi="宋体" w:cs="宋体" w:eastAsia="宋体" w:hint="default"/>
          <w:spacing w:val="-2"/>
        </w:rPr>
        <w:t>2000</w:t>
      </w:r>
      <w:r>
        <w:rPr>
          <w:spacing w:val="-2"/>
        </w:rPr>
        <w:t>年至今担任北京理实佳讯企业管理顾问有限公司法定代</w:t>
      </w:r>
      <w:r>
        <w:rPr>
          <w:spacing w:val="-56"/>
        </w:rPr>
        <w:t> </w:t>
      </w:r>
      <w:r>
        <w:rPr>
          <w:spacing w:val="-2"/>
        </w:rPr>
        <w:t>表人；</w:t>
      </w:r>
      <w:r>
        <w:rPr>
          <w:rFonts w:ascii="宋体" w:hAnsi="宋体" w:cs="宋体" w:eastAsia="宋体" w:hint="default"/>
          <w:spacing w:val="-2"/>
        </w:rPr>
        <w:t>2006</w:t>
      </w:r>
      <w:r>
        <w:rPr>
          <w:spacing w:val="-2"/>
        </w:rPr>
        <w:t>年至</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月担任北京理实佳讯信息技术有限公司法定代表人，该公司于</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月更名为理实国际广告传媒</w:t>
      </w:r>
    </w:p>
    <w:p>
      <w:pPr>
        <w:pStyle w:val="BodyText"/>
        <w:spacing w:line="319" w:lineRule="auto" w:before="19"/>
        <w:ind w:right="1129"/>
        <w:jc w:val="both"/>
      </w:pPr>
      <w:r>
        <w:rPr/>
        <w:t>（北京）有限公司，王颖继续担任法定代表人；</w:t>
      </w:r>
      <w:r>
        <w:rPr>
          <w:rFonts w:ascii="宋体" w:hAnsi="宋体" w:cs="宋体" w:eastAsia="宋体" w:hint="default"/>
        </w:rPr>
        <w:t>2014</w:t>
      </w:r>
      <w:r>
        <w:rPr/>
        <w:t>年</w:t>
      </w:r>
      <w:r>
        <w:rPr>
          <w:rFonts w:ascii="宋体" w:hAnsi="宋体" w:cs="宋体" w:eastAsia="宋体" w:hint="default"/>
        </w:rPr>
        <w:t>9</w:t>
      </w:r>
      <w:r>
        <w:rPr/>
        <w:t>月至今担任理实国际投资管理（北京）有限公司法定代表人；</w:t>
      </w:r>
      <w:r>
        <w:rPr>
          <w:rFonts w:ascii="宋体" w:hAnsi="宋体" w:cs="宋体" w:eastAsia="宋体" w:hint="default"/>
        </w:rPr>
        <w:t>2015</w:t>
      </w:r>
      <w:r>
        <w:rPr>
          <w:rFonts w:ascii="宋体" w:hAnsi="宋体" w:cs="宋体" w:eastAsia="宋体" w:hint="default"/>
          <w:spacing w:val="-83"/>
        </w:rPr>
        <w:t> </w:t>
      </w:r>
      <w:r>
        <w:rPr>
          <w:spacing w:val="-2"/>
        </w:rPr>
        <w:t>年</w:t>
      </w:r>
      <w:r>
        <w:rPr>
          <w:rFonts w:ascii="宋体" w:hAnsi="宋体" w:cs="宋体" w:eastAsia="宋体" w:hint="default"/>
          <w:spacing w:val="-2"/>
        </w:rPr>
        <w:t>7</w:t>
      </w:r>
      <w:r>
        <w:rPr>
          <w:spacing w:val="-2"/>
        </w:rPr>
        <w:t>月至今担任理实国际老年用品（北京）有限公司法定代表人，该公司于</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月更名为太上福品老年用品（北京）有限</w:t>
      </w:r>
      <w:r>
        <w:rPr>
          <w:spacing w:val="-60"/>
        </w:rPr>
        <w:t> </w:t>
      </w:r>
      <w:r>
        <w:rPr>
          <w:spacing w:val="-60"/>
        </w:rPr>
      </w:r>
      <w:r>
        <w:rPr/>
        <w:t>公司，王颖继续担任法定代表人；</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7</w:t>
      </w:r>
      <w:r>
        <w:rPr/>
        <w:t>日至</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22</w:t>
      </w:r>
      <w:r>
        <w:rPr/>
        <w:t>日，任公司独立董事。王颖目前还是中国科技咨询业协会常</w:t>
      </w:r>
      <w:r>
        <w:rPr>
          <w:spacing w:val="-83"/>
        </w:rPr>
        <w:t> </w:t>
      </w:r>
      <w:r>
        <w:rPr>
          <w:spacing w:val="-83"/>
        </w:rPr>
      </w:r>
      <w:r>
        <w:rPr/>
        <w:t>任理事、北京科技咨询协会理事长、民建中央经济委员会委员。</w:t>
      </w:r>
    </w:p>
    <w:p>
      <w:pPr>
        <w:pStyle w:val="BodyText"/>
        <w:spacing w:line="316" w:lineRule="auto" w:before="17"/>
        <w:ind w:right="1129" w:firstLine="360"/>
        <w:jc w:val="both"/>
      </w:pPr>
      <w:r>
        <w:rPr/>
        <w:t>赵雪媛女士，</w:t>
      </w:r>
      <w:r>
        <w:rPr>
          <w:rFonts w:ascii="宋体" w:hAnsi="宋体" w:cs="宋体" w:eastAsia="宋体" w:hint="default"/>
        </w:rPr>
        <w:t>1970</w:t>
      </w:r>
      <w:r>
        <w:rPr/>
        <w:t>年生，中国国籍，管理学博士，教授，中国注册会计师非执业会员。</w:t>
      </w:r>
      <w:r>
        <w:rPr>
          <w:rFonts w:ascii="宋体" w:hAnsi="宋体" w:cs="宋体" w:eastAsia="宋体" w:hint="default"/>
        </w:rPr>
        <w:t>1991</w:t>
      </w:r>
      <w:r>
        <w:rPr/>
        <w:t>年</w:t>
      </w:r>
      <w:r>
        <w:rPr>
          <w:rFonts w:ascii="宋体" w:hAnsi="宋体" w:cs="宋体" w:eastAsia="宋体" w:hint="default"/>
        </w:rPr>
        <w:t>6</w:t>
      </w:r>
      <w:r>
        <w:rPr/>
        <w:t>月毕业于山西经济管理 学院获学士学位，</w:t>
      </w:r>
      <w:r>
        <w:rPr>
          <w:rFonts w:ascii="宋体" w:hAnsi="宋体" w:cs="宋体" w:eastAsia="宋体" w:hint="default"/>
        </w:rPr>
        <w:t>1994</w:t>
      </w:r>
      <w:r>
        <w:rPr/>
        <w:t>年</w:t>
      </w:r>
      <w:r>
        <w:rPr>
          <w:rFonts w:ascii="宋体" w:hAnsi="宋体" w:cs="宋体" w:eastAsia="宋体" w:hint="default"/>
        </w:rPr>
        <w:t>4</w:t>
      </w:r>
      <w:r>
        <w:rPr/>
        <w:t>月，获中央财政金融学院会计系硕士学位，</w:t>
      </w:r>
      <w:r>
        <w:rPr>
          <w:rFonts w:ascii="宋体" w:hAnsi="宋体" w:cs="宋体" w:eastAsia="宋体" w:hint="default"/>
        </w:rPr>
        <w:t>2003</w:t>
      </w:r>
      <w:r>
        <w:rPr/>
        <w:t>年</w:t>
      </w:r>
      <w:r>
        <w:rPr>
          <w:rFonts w:ascii="宋体" w:hAnsi="宋体" w:cs="宋体" w:eastAsia="宋体" w:hint="default"/>
        </w:rPr>
        <w:t>6</w:t>
      </w:r>
      <w:r>
        <w:rPr/>
        <w:t>月，获中央财经大学博士学位。</w:t>
      </w:r>
      <w:r>
        <w:rPr>
          <w:rFonts w:ascii="宋体" w:hAnsi="宋体" w:cs="宋体" w:eastAsia="宋体" w:hint="default"/>
        </w:rPr>
        <w:t>1994</w:t>
      </w:r>
      <w:r>
        <w:rPr/>
        <w:t>年</w:t>
      </w:r>
      <w:r>
        <w:rPr>
          <w:rFonts w:ascii="宋体" w:hAnsi="宋体" w:cs="宋体" w:eastAsia="宋体" w:hint="default"/>
        </w:rPr>
        <w:t>4</w:t>
      </w:r>
      <w:r>
        <w:rPr/>
        <w:t>月至</w:t>
      </w:r>
      <w:r>
        <w:rPr>
          <w:spacing w:val="-84"/>
        </w:rPr>
        <w:t> </w:t>
      </w:r>
      <w:r>
        <w:rPr>
          <w:rFonts w:ascii="宋体" w:hAnsi="宋体" w:cs="宋体" w:eastAsia="宋体" w:hint="default"/>
        </w:rPr>
        <w:t>1995</w:t>
      </w:r>
      <w:r>
        <w:rPr/>
        <w:t>年</w:t>
      </w:r>
      <w:r>
        <w:rPr>
          <w:rFonts w:ascii="宋体" w:hAnsi="宋体" w:cs="宋体" w:eastAsia="宋体" w:hint="default"/>
        </w:rPr>
        <w:t>5</w:t>
      </w:r>
      <w:r>
        <w:rPr/>
        <w:t>月，任中央财政金融学院助教；</w:t>
      </w:r>
      <w:r>
        <w:rPr>
          <w:rFonts w:ascii="宋体" w:hAnsi="宋体" w:cs="宋体" w:eastAsia="宋体" w:hint="default"/>
        </w:rPr>
        <w:t>1995</w:t>
      </w:r>
      <w:r>
        <w:rPr/>
        <w:t>年</w:t>
      </w:r>
      <w:r>
        <w:rPr>
          <w:rFonts w:ascii="宋体" w:hAnsi="宋体" w:cs="宋体" w:eastAsia="宋体" w:hint="default"/>
        </w:rPr>
        <w:t>5</w:t>
      </w:r>
      <w:r>
        <w:rPr/>
        <w:t>月至</w:t>
      </w:r>
      <w:r>
        <w:rPr>
          <w:rFonts w:ascii="宋体" w:hAnsi="宋体" w:cs="宋体" w:eastAsia="宋体" w:hint="default"/>
        </w:rPr>
        <w:t>1996</w:t>
      </w:r>
      <w:r>
        <w:rPr/>
        <w:t>年</w:t>
      </w:r>
      <w:r>
        <w:rPr>
          <w:rFonts w:ascii="宋体" w:hAnsi="宋体" w:cs="宋体" w:eastAsia="宋体" w:hint="default"/>
        </w:rPr>
        <w:t>12</w:t>
      </w:r>
      <w:r>
        <w:rPr/>
        <w:t>月，在日本太田昭和监查法人</w:t>
      </w:r>
      <w:r>
        <w:rPr>
          <w:rFonts w:ascii="宋体" w:hAnsi="宋体" w:cs="宋体" w:eastAsia="宋体" w:hint="default"/>
        </w:rPr>
        <w:t>(</w:t>
      </w:r>
      <w:r>
        <w:rPr/>
        <w:t>现新世纪监查法人</w:t>
      </w:r>
      <w:r>
        <w:rPr>
          <w:rFonts w:ascii="宋体" w:hAnsi="宋体" w:cs="宋体" w:eastAsia="宋体" w:hint="default"/>
        </w:rPr>
        <w:t>)</w:t>
      </w:r>
      <w:r>
        <w:rPr>
          <w:rFonts w:ascii="宋体" w:hAnsi="宋体" w:cs="宋体" w:eastAsia="宋体" w:hint="default"/>
          <w:spacing w:val="7"/>
        </w:rPr>
        <w:t> </w:t>
      </w:r>
      <w:r>
        <w:rPr/>
        <w:t>任审计助 </w:t>
      </w:r>
      <w:r>
        <w:rPr>
          <w:spacing w:val="-2"/>
        </w:rPr>
        <w:t>理；</w:t>
      </w:r>
      <w:r>
        <w:rPr>
          <w:rFonts w:ascii="宋体" w:hAnsi="宋体" w:cs="宋体" w:eastAsia="宋体" w:hint="default"/>
          <w:spacing w:val="-2"/>
        </w:rPr>
        <w:t>1996</w:t>
      </w:r>
      <w:r>
        <w:rPr>
          <w:spacing w:val="-2"/>
        </w:rPr>
        <w:t>年</w:t>
      </w:r>
      <w:r>
        <w:rPr>
          <w:rFonts w:ascii="宋体" w:hAnsi="宋体" w:cs="宋体" w:eastAsia="宋体" w:hint="default"/>
          <w:spacing w:val="-2"/>
        </w:rPr>
        <w:t>12</w:t>
      </w:r>
      <w:r>
        <w:rPr>
          <w:spacing w:val="-2"/>
        </w:rPr>
        <w:t>月至今，先后被聘为中央财经大学会计学院讲师、副教授、教授。</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月任北京蓝色光标品牌</w:t>
      </w:r>
      <w:r>
        <w:rPr>
          <w:spacing w:val="-50"/>
        </w:rPr>
        <w:t> </w:t>
      </w:r>
      <w:r>
        <w:rPr>
          <w:spacing w:val="-2"/>
        </w:rPr>
        <w:t>管理顾问股份有限公司独立董事。现任大力电工襄阳股份有限公司独立董事</w:t>
      </w:r>
      <w:r>
        <w:rPr>
          <w:rFonts w:ascii="宋体" w:hAnsi="宋体" w:cs="宋体" w:eastAsia="宋体" w:hint="default"/>
          <w:spacing w:val="-2"/>
        </w:rPr>
        <w:t>(2011</w:t>
      </w:r>
      <w:r>
        <w:rPr>
          <w:spacing w:val="-2"/>
        </w:rPr>
        <w:t>年</w:t>
      </w:r>
      <w:r>
        <w:rPr>
          <w:rFonts w:ascii="宋体" w:hAnsi="宋体" w:cs="宋体" w:eastAsia="宋体" w:hint="default"/>
          <w:spacing w:val="-2"/>
        </w:rPr>
        <w:t>11</w:t>
      </w:r>
      <w:r>
        <w:rPr>
          <w:spacing w:val="-2"/>
        </w:rPr>
        <w:t>月至今</w:t>
      </w:r>
      <w:r>
        <w:rPr>
          <w:rFonts w:ascii="宋体" w:hAnsi="宋体" w:cs="宋体" w:eastAsia="宋体" w:hint="default"/>
          <w:spacing w:val="-2"/>
        </w:rPr>
        <w:t>)</w:t>
      </w:r>
      <w:r>
        <w:rPr>
          <w:spacing w:val="-2"/>
        </w:rPr>
        <w:t>、南京全信传输科技股份有限</w:t>
      </w:r>
      <w:r>
        <w:rPr>
          <w:spacing w:val="-56"/>
        </w:rPr>
        <w:t> </w:t>
      </w:r>
      <w:r>
        <w:rPr>
          <w:spacing w:val="-56"/>
        </w:rPr>
      </w:r>
      <w:r>
        <w:rPr/>
        <w:t>公司独立董事</w:t>
      </w:r>
      <w:r>
        <w:rPr>
          <w:rFonts w:ascii="宋体" w:hAnsi="宋体" w:cs="宋体" w:eastAsia="宋体" w:hint="default"/>
        </w:rPr>
        <w:t>(2011</w:t>
      </w:r>
      <w:r>
        <w:rPr/>
        <w:t>年</w:t>
      </w:r>
      <w:r>
        <w:rPr>
          <w:rFonts w:ascii="宋体" w:hAnsi="宋体" w:cs="宋体" w:eastAsia="宋体" w:hint="default"/>
        </w:rPr>
        <w:t>10</w:t>
      </w:r>
      <w:r>
        <w:rPr/>
        <w:t>月至今</w:t>
      </w:r>
      <w:r>
        <w:rPr>
          <w:rFonts w:ascii="宋体" w:hAnsi="宋体" w:cs="宋体" w:eastAsia="宋体" w:hint="default"/>
        </w:rPr>
        <w:t>)</w:t>
      </w:r>
      <w:r>
        <w:rPr/>
        <w:t>、阳泉煤业（集团）股份有限公司独立董事（</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18</w:t>
      </w:r>
      <w:r>
        <w:rPr/>
        <w:t>日至今）、北京梅泰诺通信技术</w:t>
      </w:r>
      <w:r>
        <w:rPr>
          <w:spacing w:val="-84"/>
        </w:rPr>
        <w:t> </w:t>
      </w:r>
      <w:r>
        <w:rPr>
          <w:spacing w:val="-84"/>
        </w:rPr>
      </w:r>
      <w:r>
        <w:rPr/>
        <w:t>股份有限公司独立董事（</w:t>
      </w:r>
      <w:r>
        <w:rPr>
          <w:rFonts w:ascii="宋体" w:hAnsi="宋体" w:cs="宋体" w:eastAsia="宋体" w:hint="default"/>
        </w:rPr>
        <w:t>2015</w:t>
      </w:r>
      <w:r>
        <w:rPr/>
        <w:t>年</w:t>
      </w:r>
      <w:r>
        <w:rPr>
          <w:rFonts w:ascii="宋体" w:hAnsi="宋体" w:cs="宋体" w:eastAsia="宋体" w:hint="default"/>
        </w:rPr>
        <w:t>7</w:t>
      </w:r>
      <w:r>
        <w:rPr/>
        <w:t>月至今）。</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7</w:t>
      </w:r>
      <w:r>
        <w:rPr/>
        <w:t>日至</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22</w:t>
      </w:r>
      <w:r>
        <w:rPr/>
        <w:t>日，任公司独立董事。</w:t>
      </w:r>
    </w:p>
    <w:p>
      <w:pPr>
        <w:pStyle w:val="BodyText"/>
        <w:spacing w:line="316" w:lineRule="auto" w:before="19"/>
        <w:ind w:right="1129" w:firstLine="360"/>
        <w:jc w:val="both"/>
      </w:pPr>
      <w:r>
        <w:rPr/>
        <w:t>张为华先生，</w:t>
      </w:r>
      <w:r>
        <w:rPr>
          <w:rFonts w:ascii="宋体" w:hAnsi="宋体" w:cs="宋体" w:eastAsia="宋体" w:hint="default"/>
        </w:rPr>
        <w:t>1965</w:t>
      </w:r>
      <w:r>
        <w:rPr/>
        <w:t>年生，中国国籍，中共党员，法学硕士。</w:t>
      </w:r>
      <w:r>
        <w:rPr>
          <w:rFonts w:ascii="宋体" w:hAnsi="宋体" w:cs="宋体" w:eastAsia="宋体" w:hint="default"/>
        </w:rPr>
        <w:t>1986</w:t>
      </w:r>
      <w:r>
        <w:rPr/>
        <w:t>年</w:t>
      </w:r>
      <w:r>
        <w:rPr>
          <w:rFonts w:ascii="宋体" w:hAnsi="宋体" w:cs="宋体" w:eastAsia="宋体" w:hint="default"/>
        </w:rPr>
        <w:t>7</w:t>
      </w:r>
      <w:r>
        <w:rPr/>
        <w:t>月，毕业于中央民族大学获法律系，获学士学位； </w:t>
      </w:r>
      <w:r>
        <w:rPr>
          <w:rFonts w:ascii="宋体" w:hAnsi="宋体" w:cs="宋体" w:eastAsia="宋体" w:hint="default"/>
        </w:rPr>
        <w:t>1997</w:t>
      </w:r>
      <w:r>
        <w:rPr/>
        <w:t>年</w:t>
      </w:r>
      <w:r>
        <w:rPr>
          <w:rFonts w:ascii="宋体" w:hAnsi="宋体" w:cs="宋体" w:eastAsia="宋体" w:hint="default"/>
        </w:rPr>
        <w:t>7</w:t>
      </w:r>
      <w:r>
        <w:rPr/>
        <w:t>月，获北京大学法学院硕士学位；</w:t>
      </w:r>
      <w:r>
        <w:rPr>
          <w:rFonts w:ascii="宋体" w:hAnsi="宋体" w:cs="宋体" w:eastAsia="宋体" w:hint="default"/>
        </w:rPr>
        <w:t>1999</w:t>
      </w:r>
      <w:r>
        <w:rPr/>
        <w:t>年</w:t>
      </w:r>
      <w:r>
        <w:rPr>
          <w:rFonts w:ascii="宋体" w:hAnsi="宋体" w:cs="宋体" w:eastAsia="宋体" w:hint="default"/>
        </w:rPr>
        <w:t>7</w:t>
      </w:r>
      <w:r>
        <w:rPr/>
        <w:t>月，获（美国）华盛顿大学法学院硕士学位。</w:t>
      </w:r>
      <w:r>
        <w:rPr>
          <w:rFonts w:ascii="宋体" w:hAnsi="宋体" w:cs="宋体" w:eastAsia="宋体" w:hint="default"/>
        </w:rPr>
        <w:t>1986</w:t>
      </w:r>
      <w:r>
        <w:rPr/>
        <w:t>年</w:t>
      </w:r>
      <w:r>
        <w:rPr>
          <w:rFonts w:ascii="宋体" w:hAnsi="宋体" w:cs="宋体" w:eastAsia="宋体" w:hint="default"/>
        </w:rPr>
        <w:t>7</w:t>
      </w:r>
      <w:r>
        <w:rPr/>
        <w:t>月至</w:t>
      </w:r>
      <w:r>
        <w:rPr>
          <w:rFonts w:ascii="宋体" w:hAnsi="宋体" w:cs="宋体" w:eastAsia="宋体" w:hint="default"/>
        </w:rPr>
        <w:t>2001</w:t>
      </w:r>
      <w:r>
        <w:rPr/>
        <w:t>年</w:t>
      </w:r>
      <w:r>
        <w:rPr>
          <w:rFonts w:ascii="宋体" w:hAnsi="宋体" w:cs="宋体" w:eastAsia="宋体" w:hint="default"/>
        </w:rPr>
        <w:t>11</w:t>
      </w:r>
      <w:r>
        <w:rPr/>
        <w:t>月，</w:t>
      </w:r>
      <w:r>
        <w:rPr>
          <w:spacing w:val="-83"/>
        </w:rPr>
        <w:t> </w:t>
      </w:r>
      <w:r>
        <w:rPr/>
        <w:t>任中央民族大学法学院教师；</w:t>
      </w:r>
      <w:r>
        <w:rPr>
          <w:rFonts w:ascii="宋体" w:hAnsi="宋体" w:cs="宋体" w:eastAsia="宋体" w:hint="default"/>
        </w:rPr>
        <w:t>1991</w:t>
      </w:r>
      <w:r>
        <w:rPr/>
        <w:t>年</w:t>
      </w:r>
      <w:r>
        <w:rPr>
          <w:rFonts w:ascii="宋体" w:hAnsi="宋体" w:cs="宋体" w:eastAsia="宋体" w:hint="default"/>
        </w:rPr>
        <w:t>9</w:t>
      </w:r>
      <w:r>
        <w:rPr/>
        <w:t>月至</w:t>
      </w:r>
      <w:r>
        <w:rPr>
          <w:rFonts w:ascii="宋体" w:hAnsi="宋体" w:cs="宋体" w:eastAsia="宋体" w:hint="default"/>
        </w:rPr>
        <w:t>2001</w:t>
      </w:r>
      <w:r>
        <w:rPr/>
        <w:t>年</w:t>
      </w:r>
      <w:r>
        <w:rPr>
          <w:rFonts w:ascii="宋体" w:hAnsi="宋体" w:cs="宋体" w:eastAsia="宋体" w:hint="default"/>
        </w:rPr>
        <w:t>11</w:t>
      </w:r>
      <w:r>
        <w:rPr/>
        <w:t>月，北京市大成律师事务所兼职律师；</w:t>
      </w:r>
      <w:r>
        <w:rPr>
          <w:rFonts w:ascii="宋体" w:hAnsi="宋体" w:cs="宋体" w:eastAsia="宋体" w:hint="default"/>
        </w:rPr>
        <w:t>2001</w:t>
      </w:r>
      <w:r>
        <w:rPr/>
        <w:t>年</w:t>
      </w:r>
      <w:r>
        <w:rPr>
          <w:rFonts w:ascii="宋体" w:hAnsi="宋体" w:cs="宋体" w:eastAsia="宋体" w:hint="default"/>
        </w:rPr>
        <w:t>12</w:t>
      </w:r>
      <w:r>
        <w:rPr/>
        <w:t>月至今，任北京市六合</w:t>
      </w:r>
      <w:r>
        <w:rPr>
          <w:spacing w:val="-83"/>
        </w:rPr>
        <w:t> </w:t>
      </w:r>
      <w:r>
        <w:rPr>
          <w:spacing w:val="-83"/>
        </w:rPr>
      </w:r>
      <w:r>
        <w:rPr>
          <w:spacing w:val="-2"/>
        </w:rPr>
        <w:t>金证律师事务所律师；</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月至今，任保定银行股份有限公司独立董事；</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月至今，任北京合纵科技股份有限公</w:t>
      </w:r>
      <w:r>
        <w:rPr>
          <w:spacing w:val="-53"/>
        </w:rPr>
        <w:t> </w:t>
      </w:r>
      <w:r>
        <w:rPr>
          <w:spacing w:val="-53"/>
        </w:rPr>
      </w:r>
      <w:r>
        <w:rPr/>
        <w:t>司独立董事。</w:t>
      </w:r>
    </w:p>
    <w:p>
      <w:pPr>
        <w:pStyle w:val="BodyText"/>
        <w:spacing w:line="316" w:lineRule="auto" w:before="19"/>
        <w:ind w:left="1134" w:right="1049" w:firstLine="360"/>
        <w:jc w:val="both"/>
      </w:pPr>
      <w:r>
        <w:rPr/>
        <w:t>公司于</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6</w:t>
      </w:r>
      <w:r>
        <w:rPr/>
        <w:t>日召开第三届董事会第三十一次会议和</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22</w:t>
      </w:r>
      <w:r>
        <w:rPr/>
        <w:t>日召开</w:t>
      </w:r>
      <w:r>
        <w:rPr>
          <w:rFonts w:ascii="宋体" w:hAnsi="宋体" w:cs="宋体" w:eastAsia="宋体" w:hint="default"/>
        </w:rPr>
        <w:t>2016</w:t>
      </w:r>
      <w:r>
        <w:rPr/>
        <w:t>年第一次临时股东大会审议董事会换 届选举事项，审议通过独立董事王颖先生、赵雪媛女士于</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22</w:t>
      </w:r>
      <w:r>
        <w:rPr/>
        <w:t>日任期届满不再担任公司独立董事，刘卫东先生、张</w:t>
      </w:r>
      <w:r>
        <w:rPr>
          <w:spacing w:val="-84"/>
        </w:rPr>
        <w:t> </w:t>
      </w:r>
      <w:r>
        <w:rPr>
          <w:spacing w:val="-84"/>
        </w:rPr>
      </w:r>
      <w:r>
        <w:rPr/>
        <w:t>金鑫先生担任公司第四届董事会独立董事。此相关事项已在巨潮资讯网（</w:t>
      </w:r>
      <w:hyperlink r:id="rId12">
        <w:r>
          <w:rPr>
            <w:rFonts w:ascii="宋体" w:hAnsi="宋体" w:cs="宋体" w:eastAsia="宋体" w:hint="default"/>
          </w:rPr>
          <w:t>http://www.cninfo.com.cn</w:t>
        </w:r>
      </w:hyperlink>
      <w:r>
        <w:rPr/>
        <w:t>）进行了相应的公告。</w:t>
      </w:r>
    </w:p>
    <w:p>
      <w:pPr>
        <w:pStyle w:val="BodyText"/>
        <w:spacing w:line="240" w:lineRule="auto" w:before="19"/>
        <w:ind w:left="1493" w:right="821"/>
        <w:jc w:val="left"/>
      </w:pPr>
      <w:r>
        <w:rPr>
          <w:rFonts w:ascii="宋体" w:hAnsi="宋体" w:cs="宋体" w:eastAsia="宋体" w:hint="default"/>
        </w:rPr>
        <w:t>2</w:t>
      </w:r>
      <w:r>
        <w:rPr/>
        <w:t>、监事会成员</w:t>
      </w:r>
    </w:p>
    <w:p>
      <w:pPr>
        <w:pStyle w:val="BodyText"/>
        <w:spacing w:line="316" w:lineRule="auto" w:before="76"/>
        <w:ind w:right="1129" w:firstLine="360"/>
        <w:jc w:val="both"/>
      </w:pPr>
      <w:r>
        <w:rPr>
          <w:spacing w:val="-2"/>
        </w:rPr>
        <w:t>王维平先生，</w:t>
      </w:r>
      <w:r>
        <w:rPr>
          <w:rFonts w:ascii="宋体" w:hAnsi="宋体" w:cs="宋体" w:eastAsia="宋体" w:hint="default"/>
          <w:spacing w:val="-2"/>
        </w:rPr>
        <w:t>1966</w:t>
      </w:r>
      <w:r>
        <w:rPr>
          <w:spacing w:val="-2"/>
        </w:rPr>
        <w:t>年生，中国国籍，工程师。</w:t>
      </w:r>
      <w:r>
        <w:rPr>
          <w:rFonts w:ascii="宋体" w:hAnsi="宋体" w:cs="宋体" w:eastAsia="宋体" w:hint="default"/>
          <w:spacing w:val="-2"/>
        </w:rPr>
        <w:t>1992</w:t>
      </w:r>
      <w:r>
        <w:rPr>
          <w:rFonts w:ascii="宋体" w:hAnsi="宋体" w:cs="宋体" w:eastAsia="宋体" w:hint="default"/>
          <w:spacing w:val="23"/>
        </w:rPr>
        <w:t> </w:t>
      </w:r>
      <w:r>
        <w:rPr>
          <w:spacing w:val="-2"/>
        </w:rPr>
        <w:t>年</w:t>
      </w:r>
      <w:r>
        <w:rPr>
          <w:rFonts w:ascii="宋体" w:hAnsi="宋体" w:cs="宋体" w:eastAsia="宋体" w:hint="default"/>
          <w:spacing w:val="-2"/>
        </w:rPr>
        <w:t>7</w:t>
      </w:r>
      <w:r>
        <w:rPr>
          <w:spacing w:val="-2"/>
        </w:rPr>
        <w:t>月，毕业于西安科技大学（原西安矿业学院）通信工程专业，获</w:t>
      </w:r>
      <w:r>
        <w:rPr/>
        <w:t> </w:t>
      </w:r>
      <w:r>
        <w:rPr>
          <w:spacing w:val="-2"/>
        </w:rPr>
        <w:t>学士学位。</w:t>
      </w:r>
      <w:r>
        <w:rPr>
          <w:rFonts w:ascii="宋体" w:hAnsi="宋体" w:cs="宋体" w:eastAsia="宋体" w:hint="default"/>
          <w:spacing w:val="-2"/>
        </w:rPr>
        <w:t>1992</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1996</w:t>
      </w:r>
      <w:r>
        <w:rPr>
          <w:spacing w:val="-2"/>
        </w:rPr>
        <w:t>年</w:t>
      </w:r>
      <w:r>
        <w:rPr>
          <w:rFonts w:ascii="宋体" w:hAnsi="宋体" w:cs="宋体" w:eastAsia="宋体" w:hint="default"/>
          <w:spacing w:val="-2"/>
        </w:rPr>
        <w:t>7</w:t>
      </w:r>
      <w:r>
        <w:rPr>
          <w:spacing w:val="-2"/>
        </w:rPr>
        <w:t>月，北京工业职业技术学院（原北京煤炭工业学校），教师；</w:t>
      </w:r>
      <w:r>
        <w:rPr>
          <w:rFonts w:ascii="宋体" w:hAnsi="宋体" w:cs="宋体" w:eastAsia="宋体" w:hint="default"/>
          <w:spacing w:val="-2"/>
        </w:rPr>
        <w:t>1996</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1997</w:t>
      </w:r>
      <w:r>
        <w:rPr>
          <w:spacing w:val="-2"/>
        </w:rPr>
        <w:t>年</w:t>
      </w:r>
      <w:r>
        <w:rPr>
          <w:rFonts w:ascii="宋体" w:hAnsi="宋体" w:cs="宋体" w:eastAsia="宋体" w:hint="default"/>
          <w:spacing w:val="-2"/>
        </w:rPr>
        <w:t>8</w:t>
      </w:r>
      <w:r>
        <w:rPr>
          <w:spacing w:val="-2"/>
        </w:rPr>
        <w:t>月，北京</w:t>
      </w:r>
      <w:r>
        <w:rPr>
          <w:spacing w:val="-49"/>
        </w:rPr>
        <w:t> </w:t>
      </w:r>
      <w:r>
        <w:rPr>
          <w:spacing w:val="-49"/>
        </w:rPr>
      </w:r>
      <w:r>
        <w:rPr>
          <w:spacing w:val="-2"/>
        </w:rPr>
        <w:t>正信通信技术有限公司，工程师；</w:t>
      </w:r>
      <w:r>
        <w:rPr>
          <w:rFonts w:ascii="宋体" w:hAnsi="宋体" w:cs="宋体" w:eastAsia="宋体" w:hint="default"/>
          <w:spacing w:val="-2"/>
        </w:rPr>
        <w:t>1997</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2007</w:t>
      </w:r>
      <w:r>
        <w:rPr>
          <w:spacing w:val="-2"/>
        </w:rPr>
        <w:t>年</w:t>
      </w:r>
      <w:r>
        <w:rPr>
          <w:rFonts w:ascii="宋体" w:hAnsi="宋体" w:cs="宋体" w:eastAsia="宋体" w:hint="default"/>
          <w:spacing w:val="-2"/>
        </w:rPr>
        <w:t>2</w:t>
      </w:r>
      <w:r>
        <w:rPr>
          <w:spacing w:val="-2"/>
        </w:rPr>
        <w:t>月，历任公司通信产品部经理、采购供应部经理、生产部总经理、行</w:t>
      </w:r>
      <w:r>
        <w:rPr>
          <w:spacing w:val="-56"/>
        </w:rPr>
        <w:t> </w:t>
      </w:r>
      <w:r>
        <w:rPr>
          <w:spacing w:val="-56"/>
        </w:rPr>
      </w:r>
      <w:r>
        <w:rPr/>
        <w:t>政部经理等职；</w:t>
      </w:r>
      <w:r>
        <w:rPr>
          <w:rFonts w:ascii="宋体" w:hAnsi="宋体" w:cs="宋体" w:eastAsia="宋体" w:hint="default"/>
        </w:rPr>
        <w:t>2007</w:t>
      </w:r>
      <w:r>
        <w:rPr/>
        <w:t>年</w:t>
      </w:r>
      <w:r>
        <w:rPr>
          <w:rFonts w:ascii="宋体" w:hAnsi="宋体" w:cs="宋体" w:eastAsia="宋体" w:hint="default"/>
        </w:rPr>
        <w:t>3</w:t>
      </w:r>
      <w:r>
        <w:rPr/>
        <w:t>月至今，任公司监事会主席。</w:t>
      </w:r>
    </w:p>
    <w:p>
      <w:pPr>
        <w:pStyle w:val="BodyText"/>
        <w:spacing w:line="316" w:lineRule="auto" w:before="19"/>
        <w:ind w:right="1039" w:firstLine="360"/>
        <w:jc w:val="left"/>
      </w:pPr>
      <w:r>
        <w:rPr/>
        <w:t>孙集平女士，</w:t>
      </w:r>
      <w:r>
        <w:rPr>
          <w:rFonts w:ascii="宋体" w:hAnsi="宋体" w:cs="宋体" w:eastAsia="宋体" w:hint="default"/>
        </w:rPr>
        <w:t>1956</w:t>
      </w:r>
      <w:r>
        <w:rPr/>
        <w:t>年生，中国国籍。</w:t>
      </w:r>
      <w:r>
        <w:rPr>
          <w:rFonts w:ascii="宋体" w:hAnsi="宋体" w:cs="宋体" w:eastAsia="宋体" w:hint="default"/>
        </w:rPr>
        <w:t>1985</w:t>
      </w:r>
      <w:r>
        <w:rPr/>
        <w:t>年</w:t>
      </w:r>
      <w:r>
        <w:rPr>
          <w:rFonts w:ascii="宋体" w:hAnsi="宋体" w:cs="宋体" w:eastAsia="宋体" w:hint="default"/>
        </w:rPr>
        <w:t>7</w:t>
      </w:r>
      <w:r>
        <w:rPr/>
        <w:t>月毕业于北京广播电视大学中文专业；</w:t>
      </w:r>
      <w:r>
        <w:rPr>
          <w:rFonts w:ascii="宋体" w:hAnsi="宋体" w:cs="宋体" w:eastAsia="宋体" w:hint="default"/>
        </w:rPr>
        <w:t>2001</w:t>
      </w:r>
      <w:r>
        <w:rPr/>
        <w:t>年</w:t>
      </w:r>
      <w:r>
        <w:rPr>
          <w:rFonts w:ascii="宋体" w:hAnsi="宋体" w:cs="宋体" w:eastAsia="宋体" w:hint="default"/>
        </w:rPr>
        <w:t>2</w:t>
      </w:r>
      <w:r>
        <w:rPr/>
        <w:t>月至</w:t>
      </w:r>
      <w:r>
        <w:rPr>
          <w:rFonts w:ascii="宋体" w:hAnsi="宋体" w:cs="宋体" w:eastAsia="宋体" w:hint="default"/>
        </w:rPr>
        <w:t>2003</w:t>
      </w:r>
      <w:r>
        <w:rPr/>
        <w:t>年</w:t>
      </w:r>
      <w:r>
        <w:rPr>
          <w:rFonts w:ascii="宋体" w:hAnsi="宋体" w:cs="宋体" w:eastAsia="宋体" w:hint="default"/>
        </w:rPr>
        <w:t>1</w:t>
      </w:r>
      <w:r>
        <w:rPr/>
        <w:t>月，首都经贸 </w:t>
      </w:r>
      <w:r>
        <w:rPr>
          <w:spacing w:val="-2"/>
        </w:rPr>
        <w:t>大学经济学专业研究生。</w:t>
      </w:r>
      <w:r>
        <w:rPr>
          <w:rFonts w:ascii="宋体" w:hAnsi="宋体" w:cs="宋体" w:eastAsia="宋体" w:hint="default"/>
          <w:spacing w:val="-2"/>
        </w:rPr>
        <w:t>1975</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1978</w:t>
      </w:r>
      <w:r>
        <w:rPr>
          <w:spacing w:val="-2"/>
        </w:rPr>
        <w:t>年</w:t>
      </w:r>
      <w:r>
        <w:rPr>
          <w:rFonts w:ascii="宋体" w:hAnsi="宋体" w:cs="宋体" w:eastAsia="宋体" w:hint="default"/>
          <w:spacing w:val="-2"/>
        </w:rPr>
        <w:t>8</w:t>
      </w:r>
      <w:r>
        <w:rPr>
          <w:spacing w:val="-2"/>
        </w:rPr>
        <w:t>月，中国燃料化学工业部科员；</w:t>
      </w:r>
      <w:r>
        <w:rPr>
          <w:rFonts w:ascii="宋体" w:hAnsi="宋体" w:cs="宋体" w:eastAsia="宋体" w:hint="default"/>
          <w:spacing w:val="-2"/>
        </w:rPr>
        <w:t>1978</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1982</w:t>
      </w:r>
      <w:r>
        <w:rPr>
          <w:spacing w:val="-2"/>
        </w:rPr>
        <w:t>年</w:t>
      </w:r>
      <w:r>
        <w:rPr>
          <w:rFonts w:ascii="宋体" w:hAnsi="宋体" w:cs="宋体" w:eastAsia="宋体" w:hint="default"/>
          <w:spacing w:val="-2"/>
        </w:rPr>
        <w:t>7</w:t>
      </w:r>
      <w:r>
        <w:rPr>
          <w:spacing w:val="-2"/>
        </w:rPr>
        <w:t>月，中国石油化学工业部</w:t>
      </w:r>
      <w:r>
        <w:rPr>
          <w:spacing w:val="-45"/>
        </w:rPr>
        <w:t> </w:t>
      </w:r>
      <w:r>
        <w:rPr>
          <w:spacing w:val="-45"/>
        </w:rPr>
      </w:r>
      <w:r>
        <w:rPr/>
        <w:t>项目管理；</w:t>
      </w:r>
      <w:r>
        <w:rPr>
          <w:rFonts w:ascii="宋体" w:hAnsi="宋体" w:cs="宋体" w:eastAsia="宋体" w:hint="default"/>
        </w:rPr>
        <w:t>1982</w:t>
      </w:r>
      <w:r>
        <w:rPr/>
        <w:t>年</w:t>
      </w:r>
      <w:r>
        <w:rPr>
          <w:rFonts w:ascii="宋体" w:hAnsi="宋体" w:cs="宋体" w:eastAsia="宋体" w:hint="default"/>
        </w:rPr>
        <w:t>8</w:t>
      </w:r>
      <w:r>
        <w:rPr/>
        <w:t>月至</w:t>
      </w:r>
      <w:r>
        <w:rPr>
          <w:rFonts w:ascii="宋体" w:hAnsi="宋体" w:cs="宋体" w:eastAsia="宋体" w:hint="default"/>
        </w:rPr>
        <w:t>2000</w:t>
      </w:r>
      <w:r>
        <w:rPr/>
        <w:t>年</w:t>
      </w:r>
      <w:r>
        <w:rPr>
          <w:rFonts w:ascii="宋体" w:hAnsi="宋体" w:cs="宋体" w:eastAsia="宋体" w:hint="default"/>
        </w:rPr>
        <w:t>1</w:t>
      </w:r>
      <w:r>
        <w:rPr/>
        <w:t>月，中国石油天然气集团公司项目管理；</w:t>
      </w:r>
      <w:r>
        <w:rPr>
          <w:rFonts w:ascii="宋体" w:hAnsi="宋体" w:cs="宋体" w:eastAsia="宋体" w:hint="default"/>
        </w:rPr>
        <w:t>2000</w:t>
      </w:r>
      <w:r>
        <w:rPr/>
        <w:t>年</w:t>
      </w:r>
      <w:r>
        <w:rPr>
          <w:rFonts w:ascii="宋体" w:hAnsi="宋体" w:cs="宋体" w:eastAsia="宋体" w:hint="default"/>
        </w:rPr>
        <w:t>1</w:t>
      </w:r>
      <w:r>
        <w:rPr/>
        <w:t>月至今，历任中国风险投资有限公司投资</w:t>
      </w:r>
      <w:r>
        <w:rPr>
          <w:spacing w:val="-83"/>
        </w:rPr>
        <w:t> </w:t>
      </w:r>
      <w:r>
        <w:rPr>
          <w:spacing w:val="-83"/>
        </w:rPr>
      </w:r>
      <w:r>
        <w:rPr>
          <w:spacing w:val="-5"/>
        </w:rPr>
        <w:t>经理、投资总监、现任合伙人、高级副总裁，并先后担任中国风投投资的深圳东江环保股份有限公司董事（</w:t>
      </w:r>
      <w:r>
        <w:rPr>
          <w:rFonts w:ascii="宋体" w:hAnsi="宋体" w:cs="宋体" w:eastAsia="宋体" w:hint="default"/>
          <w:spacing w:val="-5"/>
        </w:rPr>
        <w:t>2002</w:t>
      </w:r>
      <w:r>
        <w:rPr>
          <w:spacing w:val="-5"/>
        </w:rPr>
        <w:t>年</w:t>
      </w:r>
      <w:r>
        <w:rPr>
          <w:rFonts w:ascii="宋体" w:hAnsi="宋体" w:cs="宋体" w:eastAsia="宋体" w:hint="default"/>
          <w:spacing w:val="-5"/>
        </w:rPr>
        <w:t>1</w:t>
      </w:r>
      <w:r>
        <w:rPr>
          <w:spacing w:val="-5"/>
        </w:rPr>
        <w:t>月至今）、</w:t>
      </w:r>
      <w:r>
        <w:rPr>
          <w:spacing w:val="-64"/>
        </w:rPr>
        <w:t> </w:t>
      </w:r>
      <w:r>
        <w:rPr>
          <w:spacing w:val="-64"/>
        </w:rPr>
      </w:r>
      <w:r>
        <w:rPr>
          <w:spacing w:val="-2"/>
        </w:rPr>
        <w:t>江苏维尔利环保科技股份有限公司董事（</w:t>
      </w:r>
      <w:r>
        <w:rPr>
          <w:rFonts w:ascii="宋体" w:hAnsi="宋体" w:cs="宋体" w:eastAsia="宋体" w:hint="default"/>
          <w:spacing w:val="-2"/>
        </w:rPr>
        <w:t>2008</w:t>
      </w:r>
      <w:r>
        <w:rPr>
          <w:spacing w:val="-2"/>
        </w:rPr>
        <w:t>年</w:t>
      </w:r>
      <w:r>
        <w:rPr>
          <w:rFonts w:ascii="宋体" w:hAnsi="宋体" w:cs="宋体" w:eastAsia="宋体" w:hint="default"/>
          <w:spacing w:val="-2"/>
        </w:rPr>
        <w:t>12</w:t>
      </w:r>
      <w:r>
        <w:rPr>
          <w:spacing w:val="-2"/>
        </w:rPr>
        <w:t>月至今）、贵阳高原矿山机械有限公司董事（</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月至今）、海湾环</w:t>
      </w:r>
      <w:r>
        <w:rPr>
          <w:spacing w:val="-56"/>
        </w:rPr>
        <w:t> </w:t>
      </w:r>
      <w:r>
        <w:rPr>
          <w:spacing w:val="-56"/>
        </w:rPr>
      </w:r>
      <w:r>
        <w:rPr>
          <w:spacing w:val="-2"/>
        </w:rPr>
        <w:t>境科技</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股份有限公司监事</w:t>
      </w:r>
      <w:r>
        <w:rPr>
          <w:rFonts w:ascii="宋体" w:hAnsi="宋体" w:cs="宋体" w:eastAsia="宋体" w:hint="default"/>
          <w:spacing w:val="-2"/>
        </w:rPr>
        <w:t>(2010</w:t>
      </w:r>
      <w:r>
        <w:rPr>
          <w:spacing w:val="-2"/>
        </w:rPr>
        <w:t>年至今</w:t>
      </w:r>
      <w:r>
        <w:rPr>
          <w:rFonts w:ascii="宋体" w:hAnsi="宋体" w:cs="宋体" w:eastAsia="宋体" w:hint="default"/>
          <w:spacing w:val="-2"/>
        </w:rPr>
        <w:t>)</w:t>
      </w:r>
      <w:r>
        <w:rPr>
          <w:spacing w:val="-2"/>
        </w:rPr>
        <w:t>、凯龙高科技股份有限公司监事（</w:t>
      </w:r>
      <w:r>
        <w:rPr>
          <w:rFonts w:ascii="宋体" w:hAnsi="宋体" w:cs="宋体" w:eastAsia="宋体" w:hint="default"/>
          <w:spacing w:val="-2"/>
        </w:rPr>
        <w:t>2011</w:t>
      </w:r>
      <w:r>
        <w:rPr>
          <w:spacing w:val="-2"/>
        </w:rPr>
        <w:t>年至今）、康达新能源设备股份有限公</w:t>
      </w:r>
      <w:r>
        <w:rPr>
          <w:spacing w:val="-54"/>
        </w:rPr>
        <w:t> </w:t>
      </w:r>
      <w:r>
        <w:rPr>
          <w:spacing w:val="-54"/>
        </w:rPr>
      </w:r>
      <w:r>
        <w:rPr/>
        <w:t>司董事（</w:t>
      </w:r>
      <w:r>
        <w:rPr>
          <w:rFonts w:ascii="宋体" w:hAnsi="宋体" w:cs="宋体" w:eastAsia="宋体" w:hint="default"/>
        </w:rPr>
        <w:t>2012</w:t>
      </w:r>
      <w:r>
        <w:rPr/>
        <w:t>年至今）贵州宏达环保科技有限公司董事（</w:t>
      </w:r>
      <w:r>
        <w:rPr>
          <w:rFonts w:ascii="宋体" w:hAnsi="宋体" w:cs="宋体" w:eastAsia="宋体" w:hint="default"/>
        </w:rPr>
        <w:t>2014</w:t>
      </w:r>
      <w:r>
        <w:rPr/>
        <w:t>年至今）、江苏上田环境修复有限公司董事（</w:t>
      </w:r>
      <w:r>
        <w:rPr>
          <w:rFonts w:ascii="宋体" w:hAnsi="宋体" w:cs="宋体" w:eastAsia="宋体" w:hint="default"/>
        </w:rPr>
        <w:t>2013</w:t>
      </w:r>
      <w:r>
        <w:rPr/>
        <w:t>年至今）、 合纵科技董事（</w:t>
      </w:r>
      <w:r>
        <w:rPr>
          <w:rFonts w:ascii="宋体" w:hAnsi="宋体" w:cs="宋体" w:eastAsia="宋体" w:hint="default"/>
        </w:rPr>
        <w:t>2007</w:t>
      </w:r>
      <w:r>
        <w:rPr/>
        <w:t>年</w:t>
      </w:r>
      <w:r>
        <w:rPr>
          <w:rFonts w:ascii="宋体" w:hAnsi="宋体" w:cs="宋体" w:eastAsia="宋体" w:hint="default"/>
        </w:rPr>
        <w:t>1</w:t>
      </w:r>
      <w:r>
        <w:rPr/>
        <w:t>月至</w:t>
      </w:r>
      <w:r>
        <w:rPr>
          <w:rFonts w:ascii="宋体" w:hAnsi="宋体" w:cs="宋体" w:eastAsia="宋体" w:hint="default"/>
        </w:rPr>
        <w:t>2009</w:t>
      </w:r>
      <w:r>
        <w:rPr/>
        <w:t>年</w:t>
      </w:r>
      <w:r>
        <w:rPr>
          <w:rFonts w:ascii="宋体" w:hAnsi="宋体" w:cs="宋体" w:eastAsia="宋体" w:hint="default"/>
        </w:rPr>
        <w:t>9</w:t>
      </w:r>
      <w:r>
        <w:rPr/>
        <w:t>月）及监事（</w:t>
      </w:r>
      <w:r>
        <w:rPr>
          <w:rFonts w:ascii="宋体" w:hAnsi="宋体" w:cs="宋体" w:eastAsia="宋体" w:hint="default"/>
        </w:rPr>
        <w:t>2009</w:t>
      </w:r>
      <w:r>
        <w:rPr/>
        <w:t>年</w:t>
      </w:r>
      <w:r>
        <w:rPr>
          <w:rFonts w:ascii="宋体" w:hAnsi="宋体" w:cs="宋体" w:eastAsia="宋体" w:hint="default"/>
        </w:rPr>
        <w:t>11</w:t>
      </w:r>
      <w:r>
        <w:rPr/>
        <w:t>月至</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22</w:t>
      </w:r>
      <w:r>
        <w:rPr/>
        <w:t>日）。同时担任中国风险投资公司旗下管理的</w:t>
      </w:r>
      <w:r>
        <w:rPr>
          <w:spacing w:val="-83"/>
        </w:rPr>
        <w:t> </w:t>
      </w:r>
      <w:r>
        <w:rPr>
          <w:spacing w:val="-83"/>
        </w:rPr>
      </w:r>
      <w:r>
        <w:rPr>
          <w:spacing w:val="-2"/>
        </w:rPr>
        <w:t>基金</w:t>
      </w:r>
      <w:r>
        <w:rPr>
          <w:rFonts w:ascii="宋体" w:hAnsi="宋体" w:cs="宋体" w:eastAsia="宋体" w:hint="default"/>
          <w:spacing w:val="-2"/>
        </w:rPr>
        <w:t>--</w:t>
      </w:r>
      <w:r>
        <w:rPr>
          <w:spacing w:val="-2"/>
        </w:rPr>
        <w:t>深圳市华澳资本管理有限公司管理合伙人及董事（</w:t>
      </w:r>
      <w:r>
        <w:rPr>
          <w:rFonts w:ascii="宋体" w:hAnsi="宋体" w:cs="宋体" w:eastAsia="宋体" w:hint="default"/>
          <w:spacing w:val="-2"/>
        </w:rPr>
        <w:t>2010</w:t>
      </w:r>
      <w:r>
        <w:rPr>
          <w:spacing w:val="-2"/>
        </w:rPr>
        <w:t>年</w:t>
      </w:r>
      <w:r>
        <w:rPr>
          <w:rFonts w:ascii="宋体" w:hAnsi="宋体" w:cs="宋体" w:eastAsia="宋体" w:hint="default"/>
          <w:spacing w:val="-2"/>
        </w:rPr>
        <w:t>11</w:t>
      </w:r>
      <w:r>
        <w:rPr>
          <w:spacing w:val="-2"/>
        </w:rPr>
        <w:t>月至今）、北京嘉华创业投资有限公司董事总经理（</w:t>
      </w:r>
      <w:r>
        <w:rPr>
          <w:rFonts w:ascii="宋体" w:hAnsi="宋体" w:cs="宋体" w:eastAsia="宋体" w:hint="default"/>
          <w:spacing w:val="-2"/>
        </w:rPr>
        <w:t>2011</w:t>
      </w:r>
      <w:r>
        <w:rPr>
          <w:rFonts w:ascii="宋体" w:hAnsi="宋体" w:cs="宋体" w:eastAsia="宋体" w:hint="default"/>
          <w:spacing w:val="-54"/>
        </w:rPr>
        <w:t> </w:t>
      </w:r>
      <w:r>
        <w:rPr/>
        <w:t>年</w:t>
      </w:r>
      <w:r>
        <w:rPr>
          <w:rFonts w:ascii="宋体" w:hAnsi="宋体" w:cs="宋体" w:eastAsia="宋体" w:hint="default"/>
        </w:rPr>
        <w:t>2</w:t>
      </w:r>
      <w:r>
        <w:rPr/>
        <w:t>月至今）、绍兴华建创业投资有限公司总经理（</w:t>
      </w:r>
      <w:r>
        <w:rPr>
          <w:rFonts w:ascii="宋体" w:hAnsi="宋体" w:cs="宋体" w:eastAsia="宋体" w:hint="default"/>
        </w:rPr>
        <w:t>2011</w:t>
      </w:r>
      <w:r>
        <w:rPr/>
        <w:t>年</w:t>
      </w:r>
      <w:r>
        <w:rPr>
          <w:rFonts w:ascii="宋体" w:hAnsi="宋体" w:cs="宋体" w:eastAsia="宋体" w:hint="default"/>
        </w:rPr>
        <w:t>7</w:t>
      </w:r>
      <w:r>
        <w:rPr/>
        <w:t>月至今）、青岛静远创业投资有限公司董事总经理（</w:t>
      </w:r>
      <w:r>
        <w:rPr>
          <w:rFonts w:ascii="宋体" w:hAnsi="宋体" w:cs="宋体" w:eastAsia="宋体" w:hint="default"/>
        </w:rPr>
        <w:t>2011</w:t>
      </w:r>
      <w:r>
        <w:rPr/>
        <w:t>年</w:t>
      </w:r>
      <w:r>
        <w:rPr>
          <w:rFonts w:ascii="宋体" w:hAnsi="宋体" w:cs="宋体" w:eastAsia="宋体" w:hint="default"/>
        </w:rPr>
        <w:t>11</w:t>
      </w:r>
      <w:r>
        <w:rPr>
          <w:rFonts w:ascii="宋体" w:hAnsi="宋体" w:cs="宋体" w:eastAsia="宋体" w:hint="default"/>
          <w:spacing w:val="2"/>
        </w:rPr>
        <w:t> </w:t>
      </w:r>
      <w:r>
        <w:rPr>
          <w:spacing w:val="-2"/>
        </w:rPr>
        <w:t>月至今）、武汉中投建华创业投资有限公司总经理（</w:t>
      </w:r>
      <w:r>
        <w:rPr>
          <w:rFonts w:ascii="宋体" w:hAnsi="宋体" w:cs="宋体" w:eastAsia="宋体" w:hint="default"/>
          <w:spacing w:val="-2"/>
        </w:rPr>
        <w:t>2014</w:t>
      </w:r>
      <w:r>
        <w:rPr>
          <w:spacing w:val="-2"/>
        </w:rPr>
        <w:t>年至今）</w:t>
      </w:r>
      <w:r>
        <w:rPr>
          <w:rFonts w:ascii="宋体" w:hAnsi="宋体" w:cs="宋体" w:eastAsia="宋体" w:hint="default"/>
          <w:spacing w:val="-2"/>
        </w:rPr>
        <w:t>,</w:t>
      </w:r>
      <w:r>
        <w:rPr>
          <w:spacing w:val="-2"/>
        </w:rPr>
        <w:t>扬州嘉华创业投资有限公司董事总经理（</w:t>
      </w:r>
      <w:r>
        <w:rPr>
          <w:rFonts w:ascii="宋体" w:hAnsi="宋体" w:cs="宋体" w:eastAsia="宋体" w:hint="default"/>
          <w:spacing w:val="-2"/>
        </w:rPr>
        <w:t>2014</w:t>
      </w:r>
      <w:r>
        <w:rPr>
          <w:spacing w:val="-2"/>
        </w:rPr>
        <w:t>年至今）。</w:t>
      </w:r>
    </w:p>
    <w:p>
      <w:pPr>
        <w:pStyle w:val="BodyText"/>
        <w:spacing w:line="319" w:lineRule="auto" w:before="19"/>
        <w:ind w:right="1129" w:firstLine="360"/>
        <w:jc w:val="both"/>
      </w:pPr>
      <w:r>
        <w:rPr/>
        <w:t>张全中先生，</w:t>
      </w:r>
      <w:r>
        <w:rPr>
          <w:rFonts w:ascii="宋体" w:hAnsi="宋体" w:cs="宋体" w:eastAsia="宋体" w:hint="default"/>
        </w:rPr>
        <w:t>1967</w:t>
      </w:r>
      <w:r>
        <w:rPr/>
        <w:t>年生，中国国籍。</w:t>
      </w:r>
      <w:r>
        <w:rPr>
          <w:rFonts w:ascii="宋体" w:hAnsi="宋体" w:cs="宋体" w:eastAsia="宋体" w:hint="default"/>
        </w:rPr>
        <w:t>1988</w:t>
      </w:r>
      <w:r>
        <w:rPr/>
        <w:t>年</w:t>
      </w:r>
      <w:r>
        <w:rPr>
          <w:rFonts w:ascii="宋体" w:hAnsi="宋体" w:cs="宋体" w:eastAsia="宋体" w:hint="default"/>
        </w:rPr>
        <w:t>7</w:t>
      </w:r>
      <w:r>
        <w:rPr/>
        <w:t>月至</w:t>
      </w:r>
      <w:r>
        <w:rPr>
          <w:rFonts w:ascii="宋体" w:hAnsi="宋体" w:cs="宋体" w:eastAsia="宋体" w:hint="default"/>
        </w:rPr>
        <w:t>1991</w:t>
      </w:r>
      <w:r>
        <w:rPr/>
        <w:t>年</w:t>
      </w:r>
      <w:r>
        <w:rPr>
          <w:rFonts w:ascii="宋体" w:hAnsi="宋体" w:cs="宋体" w:eastAsia="宋体" w:hint="default"/>
        </w:rPr>
        <w:t>7</w:t>
      </w:r>
      <w:r>
        <w:rPr/>
        <w:t>月，就读于华东工学院机电一体化专业。</w:t>
      </w:r>
      <w:r>
        <w:rPr>
          <w:rFonts w:ascii="宋体" w:hAnsi="宋体" w:cs="宋体" w:eastAsia="宋体" w:hint="default"/>
        </w:rPr>
        <w:t>1991</w:t>
      </w:r>
      <w:r>
        <w:rPr/>
        <w:t>年</w:t>
      </w:r>
      <w:r>
        <w:rPr>
          <w:rFonts w:ascii="宋体" w:hAnsi="宋体" w:cs="宋体" w:eastAsia="宋体" w:hint="default"/>
        </w:rPr>
        <w:t>8</w:t>
      </w:r>
      <w:r>
        <w:rPr/>
        <w:t>月至</w:t>
      </w:r>
      <w:r>
        <w:rPr>
          <w:rFonts w:ascii="宋体" w:hAnsi="宋体" w:cs="宋体" w:eastAsia="宋体" w:hint="default"/>
        </w:rPr>
        <w:t>2004</w:t>
      </w:r>
      <w:r>
        <w:rPr/>
        <w:t>年 </w:t>
      </w:r>
      <w:r>
        <w:rPr>
          <w:rFonts w:ascii="宋体" w:hAnsi="宋体" w:cs="宋体" w:eastAsia="宋体" w:hint="default"/>
          <w:spacing w:val="-2"/>
        </w:rPr>
        <w:t>11</w:t>
      </w:r>
      <w:r>
        <w:rPr>
          <w:spacing w:val="-2"/>
        </w:rPr>
        <w:t>月，任平顶山市矿山机械厂副总经理、总工程师；</w:t>
      </w:r>
      <w:r>
        <w:rPr>
          <w:rFonts w:ascii="宋体" w:hAnsi="宋体" w:cs="宋体" w:eastAsia="宋体" w:hint="default"/>
          <w:spacing w:val="-2"/>
        </w:rPr>
        <w:t>2004</w:t>
      </w:r>
      <w:r>
        <w:rPr>
          <w:spacing w:val="-2"/>
        </w:rPr>
        <w:t>年</w:t>
      </w:r>
      <w:r>
        <w:rPr>
          <w:rFonts w:ascii="宋体" w:hAnsi="宋体" w:cs="宋体" w:eastAsia="宋体" w:hint="default"/>
          <w:spacing w:val="-2"/>
        </w:rPr>
        <w:t>12</w:t>
      </w:r>
      <w:r>
        <w:rPr>
          <w:spacing w:val="-2"/>
        </w:rPr>
        <w:t>月至</w:t>
      </w:r>
      <w:r>
        <w:rPr>
          <w:rFonts w:ascii="宋体" w:hAnsi="宋体" w:cs="宋体" w:eastAsia="宋体" w:hint="default"/>
          <w:spacing w:val="-2"/>
        </w:rPr>
        <w:t>2006</w:t>
      </w:r>
      <w:r>
        <w:rPr>
          <w:spacing w:val="-2"/>
        </w:rPr>
        <w:t>年</w:t>
      </w:r>
      <w:r>
        <w:rPr>
          <w:rFonts w:ascii="宋体" w:hAnsi="宋体" w:cs="宋体" w:eastAsia="宋体" w:hint="default"/>
          <w:spacing w:val="-2"/>
        </w:rPr>
        <w:t>6</w:t>
      </w:r>
      <w:r>
        <w:rPr>
          <w:spacing w:val="-2"/>
        </w:rPr>
        <w:t>月，任公司生产部总经理；</w:t>
      </w:r>
      <w:r>
        <w:rPr>
          <w:rFonts w:ascii="宋体" w:hAnsi="宋体" w:cs="宋体" w:eastAsia="宋体" w:hint="default"/>
          <w:spacing w:val="-2"/>
        </w:rPr>
        <w:t>2006</w:t>
      </w:r>
      <w:r>
        <w:rPr>
          <w:spacing w:val="-2"/>
        </w:rPr>
        <w:t>年</w:t>
      </w:r>
      <w:r>
        <w:rPr>
          <w:rFonts w:ascii="宋体" w:hAnsi="宋体" w:cs="宋体" w:eastAsia="宋体" w:hint="default"/>
          <w:spacing w:val="-2"/>
        </w:rPr>
        <w:t>7</w:t>
      </w:r>
      <w:r>
        <w:rPr>
          <w:spacing w:val="-2"/>
        </w:rPr>
        <w:t>月至今，历任</w:t>
      </w:r>
      <w:r>
        <w:rPr>
          <w:spacing w:val="-49"/>
        </w:rPr>
        <w:t> </w:t>
      </w:r>
      <w:r>
        <w:rPr>
          <w:spacing w:val="-49"/>
        </w:rPr>
      </w:r>
      <w:r>
        <w:rPr/>
        <w:t>公司营销服务中心副经理，现任公司基建部副总经理、监事。</w:t>
      </w:r>
    </w:p>
    <w:p>
      <w:pPr>
        <w:pStyle w:val="BodyText"/>
        <w:spacing w:line="316" w:lineRule="auto" w:before="17"/>
        <w:ind w:right="821" w:firstLine="360"/>
        <w:jc w:val="left"/>
      </w:pPr>
      <w:r>
        <w:rPr/>
        <w:t>公司于</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6</w:t>
      </w:r>
      <w:r>
        <w:rPr/>
        <w:t>日召开第三届监事会第十七次会议和</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22</w:t>
      </w:r>
      <w:r>
        <w:rPr/>
        <w:t>日召开</w:t>
      </w:r>
      <w:r>
        <w:rPr>
          <w:rFonts w:ascii="宋体" w:hAnsi="宋体" w:cs="宋体" w:eastAsia="宋体" w:hint="default"/>
        </w:rPr>
        <w:t>2016</w:t>
      </w:r>
      <w:r>
        <w:rPr/>
        <w:t>年第一次临时股东大会审议监事会换届 </w:t>
      </w:r>
      <w:r>
        <w:rPr>
          <w:spacing w:val="-2"/>
        </w:rPr>
        <w:t>选举事项，审议通过监事孙集平女士于</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22</w:t>
      </w:r>
      <w:r>
        <w:rPr>
          <w:spacing w:val="-2"/>
        </w:rPr>
        <w:t>日任期届满不再担任公司监事，王小鑫女士担任公司第四届监事会监事。</w:t>
      </w:r>
      <w:r>
        <w:rPr>
          <w:spacing w:val="-57"/>
        </w:rPr>
        <w:t> </w:t>
      </w:r>
      <w:r>
        <w:rPr>
          <w:spacing w:val="-57"/>
        </w:rPr>
      </w:r>
      <w:r>
        <w:rPr/>
        <w:t>此相关事项已在巨潮资讯网（</w:t>
      </w:r>
      <w:hyperlink r:id="rId12">
        <w:r>
          <w:rPr>
            <w:rFonts w:ascii="宋体" w:hAnsi="宋体" w:cs="宋体" w:eastAsia="宋体" w:hint="default"/>
          </w:rPr>
          <w:t>http://www.cninfo.com.cn</w:t>
        </w:r>
      </w:hyperlink>
      <w:r>
        <w:rPr/>
        <w:t>）进行了相应的公告。</w:t>
      </w:r>
    </w:p>
    <w:p>
      <w:pPr>
        <w:spacing w:after="0" w:line="316"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6" w:lineRule="auto" w:before="44"/>
        <w:ind w:left="1494" w:right="5892"/>
        <w:jc w:val="left"/>
      </w:pPr>
      <w:r>
        <w:rPr>
          <w:rFonts w:ascii="宋体" w:hAnsi="宋体" w:cs="宋体" w:eastAsia="宋体" w:hint="default"/>
        </w:rPr>
        <w:t>3</w:t>
      </w:r>
      <w:r>
        <w:rPr/>
        <w:t>、高级管理人员 刘泽刚先生，现任本公司总经理，简历见董事会介绍。 韦强先生，现任本公司副总经理，简历见董事会介绍。 韩国良先生，现任本公司副总经理，简历见董事会介绍。</w:t>
      </w:r>
    </w:p>
    <w:p>
      <w:pPr>
        <w:pStyle w:val="BodyText"/>
        <w:spacing w:line="316" w:lineRule="auto" w:before="19"/>
        <w:ind w:right="1029" w:firstLine="360"/>
        <w:jc w:val="left"/>
      </w:pPr>
      <w:r>
        <w:rPr>
          <w:spacing w:val="-2"/>
        </w:rPr>
        <w:t>徐迪女士，</w:t>
      </w:r>
      <w:r>
        <w:rPr>
          <w:rFonts w:ascii="宋体" w:hAnsi="宋体" w:cs="宋体" w:eastAsia="宋体" w:hint="default"/>
          <w:spacing w:val="-2"/>
        </w:rPr>
        <w:t>1947</w:t>
      </w:r>
      <w:r>
        <w:rPr>
          <w:spacing w:val="-2"/>
        </w:rPr>
        <w:t>年生，中国国籍，无境外永久居留权，会计师。</w:t>
      </w:r>
      <w:r>
        <w:rPr>
          <w:rFonts w:ascii="宋体" w:hAnsi="宋体" w:cs="宋体" w:eastAsia="宋体" w:hint="default"/>
          <w:spacing w:val="-2"/>
        </w:rPr>
        <w:t>1985</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1988</w:t>
      </w:r>
      <w:r>
        <w:rPr>
          <w:rFonts w:ascii="宋体" w:hAnsi="宋体" w:cs="宋体" w:eastAsia="宋体" w:hint="default"/>
          <w:spacing w:val="15"/>
        </w:rPr>
        <w:t> </w:t>
      </w:r>
      <w:r>
        <w:rPr>
          <w:spacing w:val="-1"/>
        </w:rPr>
        <w:t>年</w:t>
      </w:r>
      <w:r>
        <w:rPr>
          <w:rFonts w:ascii="宋体" w:hAnsi="宋体" w:cs="宋体" w:eastAsia="宋体" w:hint="default"/>
          <w:spacing w:val="-1"/>
        </w:rPr>
        <w:t>7</w:t>
      </w:r>
      <w:r>
        <w:rPr>
          <w:spacing w:val="-1"/>
        </w:rPr>
        <w:t>月，就读于四川省干部管理学院，</w:t>
      </w:r>
      <w:r>
        <w:rPr/>
        <w:t> </w:t>
      </w:r>
      <w:r>
        <w:rPr>
          <w:spacing w:val="-2"/>
        </w:rPr>
        <w:t>大专学历。</w:t>
      </w:r>
      <w:r>
        <w:rPr>
          <w:rFonts w:ascii="宋体" w:hAnsi="宋体" w:cs="宋体" w:eastAsia="宋体" w:hint="default"/>
          <w:spacing w:val="-2"/>
        </w:rPr>
        <w:t>1976</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1997</w:t>
      </w:r>
      <w:r>
        <w:rPr>
          <w:spacing w:val="-2"/>
        </w:rPr>
        <w:t>年</w:t>
      </w:r>
      <w:r>
        <w:rPr>
          <w:rFonts w:ascii="宋体" w:hAnsi="宋体" w:cs="宋体" w:eastAsia="宋体" w:hint="default"/>
          <w:spacing w:val="-2"/>
        </w:rPr>
        <w:t>1</w:t>
      </w:r>
      <w:r>
        <w:rPr>
          <w:spacing w:val="-2"/>
        </w:rPr>
        <w:t>月，中国石油化工股份有限公司四川维尼纶厂历任成本会计、主管会计、供销公司任财务经</w:t>
      </w:r>
      <w:r>
        <w:rPr>
          <w:spacing w:val="-55"/>
        </w:rPr>
        <w:t> </w:t>
      </w:r>
      <w:r>
        <w:rPr>
          <w:spacing w:val="-55"/>
        </w:rPr>
      </w:r>
      <w:r>
        <w:rPr/>
        <w:t>理；</w:t>
      </w:r>
      <w:r>
        <w:rPr>
          <w:rFonts w:ascii="宋体" w:hAnsi="宋体" w:cs="宋体" w:eastAsia="宋体" w:hint="default"/>
        </w:rPr>
        <w:t>1997</w:t>
      </w:r>
      <w:r>
        <w:rPr/>
        <w:t>年</w:t>
      </w:r>
      <w:r>
        <w:rPr>
          <w:rFonts w:ascii="宋体" w:hAnsi="宋体" w:cs="宋体" w:eastAsia="宋体" w:hint="default"/>
        </w:rPr>
        <w:t>2</w:t>
      </w:r>
      <w:r>
        <w:rPr/>
        <w:t>月至</w:t>
      </w:r>
      <w:r>
        <w:rPr>
          <w:rFonts w:ascii="宋体" w:hAnsi="宋体" w:cs="宋体" w:eastAsia="宋体" w:hint="default"/>
        </w:rPr>
        <w:t>1999</w:t>
      </w:r>
      <w:r>
        <w:rPr/>
        <w:t>年</w:t>
      </w:r>
      <w:r>
        <w:rPr>
          <w:rFonts w:ascii="宋体" w:hAnsi="宋体" w:cs="宋体" w:eastAsia="宋体" w:hint="default"/>
        </w:rPr>
        <w:t>2</w:t>
      </w:r>
      <w:r>
        <w:rPr/>
        <w:t>月，在北京小汤山龙脉温泉任财务经理；</w:t>
      </w:r>
      <w:r>
        <w:rPr>
          <w:rFonts w:ascii="宋体" w:hAnsi="宋体" w:cs="宋体" w:eastAsia="宋体" w:hint="default"/>
        </w:rPr>
        <w:t>1999</w:t>
      </w:r>
      <w:r>
        <w:rPr/>
        <w:t>年</w:t>
      </w:r>
      <w:r>
        <w:rPr>
          <w:rFonts w:ascii="宋体" w:hAnsi="宋体" w:cs="宋体" w:eastAsia="宋体" w:hint="default"/>
        </w:rPr>
        <w:t>3</w:t>
      </w:r>
      <w:r>
        <w:rPr/>
        <w:t>月至</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14</w:t>
      </w:r>
      <w:r>
        <w:rPr/>
        <w:t>日，担任公司财务总监。</w:t>
      </w:r>
    </w:p>
    <w:p>
      <w:pPr>
        <w:pStyle w:val="BodyText"/>
        <w:spacing w:line="316" w:lineRule="auto" w:before="19"/>
        <w:ind w:right="1129" w:firstLine="360"/>
        <w:jc w:val="both"/>
      </w:pPr>
      <w:r>
        <w:rPr/>
        <w:t>冯峥先生，</w:t>
      </w:r>
      <w:r>
        <w:rPr>
          <w:rFonts w:ascii="宋体" w:hAnsi="宋体" w:cs="宋体" w:eastAsia="宋体" w:hint="default"/>
        </w:rPr>
        <w:t>1971</w:t>
      </w:r>
      <w:r>
        <w:rPr/>
        <w:t>年生，中国国籍，无境外永久居留权。</w:t>
      </w:r>
      <w:r>
        <w:rPr>
          <w:rFonts w:ascii="宋体" w:hAnsi="宋体" w:cs="宋体" w:eastAsia="宋体" w:hint="default"/>
        </w:rPr>
        <w:t>1994</w:t>
      </w:r>
      <w:r>
        <w:rPr/>
        <w:t>年</w:t>
      </w:r>
      <w:r>
        <w:rPr>
          <w:rFonts w:ascii="宋体" w:hAnsi="宋体" w:cs="宋体" w:eastAsia="宋体" w:hint="default"/>
        </w:rPr>
        <w:t>7</w:t>
      </w:r>
      <w:r>
        <w:rPr/>
        <w:t>月，毕业于北京电子工程学院电子工程专业，获学士学 位；</w:t>
      </w:r>
      <w:r>
        <w:rPr>
          <w:rFonts w:ascii="宋体" w:hAnsi="宋体" w:cs="宋体" w:eastAsia="宋体" w:hint="default"/>
        </w:rPr>
        <w:t>1997</w:t>
      </w:r>
      <w:r>
        <w:rPr/>
        <w:t>年</w:t>
      </w:r>
      <w:r>
        <w:rPr>
          <w:rFonts w:ascii="宋体" w:hAnsi="宋体" w:cs="宋体" w:eastAsia="宋体" w:hint="default"/>
        </w:rPr>
        <w:t>9</w:t>
      </w:r>
      <w:r>
        <w:rPr/>
        <w:t>月至</w:t>
      </w:r>
      <w:r>
        <w:rPr>
          <w:rFonts w:ascii="宋体" w:hAnsi="宋体" w:cs="宋体" w:eastAsia="宋体" w:hint="default"/>
        </w:rPr>
        <w:t>2000</w:t>
      </w:r>
      <w:r>
        <w:rPr/>
        <w:t>年</w:t>
      </w:r>
      <w:r>
        <w:rPr>
          <w:rFonts w:ascii="宋体" w:hAnsi="宋体" w:cs="宋体" w:eastAsia="宋体" w:hint="default"/>
        </w:rPr>
        <w:t>3</w:t>
      </w:r>
      <w:r>
        <w:rPr/>
        <w:t>月，就读于北方交通大学工商管理专业，获硕士学位</w:t>
      </w:r>
      <w:r>
        <w:rPr>
          <w:rFonts w:ascii="宋体" w:hAnsi="宋体" w:cs="宋体" w:eastAsia="宋体" w:hint="default"/>
        </w:rPr>
        <w:t>2000</w:t>
      </w:r>
      <w:r>
        <w:rPr/>
        <w:t>年</w:t>
      </w:r>
      <w:r>
        <w:rPr>
          <w:rFonts w:ascii="宋体" w:hAnsi="宋体" w:cs="宋体" w:eastAsia="宋体" w:hint="default"/>
        </w:rPr>
        <w:t>10</w:t>
      </w:r>
      <w:r>
        <w:rPr/>
        <w:t>月至</w:t>
      </w:r>
      <w:r>
        <w:rPr>
          <w:rFonts w:ascii="宋体" w:hAnsi="宋体" w:cs="宋体" w:eastAsia="宋体" w:hint="default"/>
        </w:rPr>
        <w:t>2001</w:t>
      </w:r>
      <w:r>
        <w:rPr/>
        <w:t>年</w:t>
      </w:r>
      <w:r>
        <w:rPr>
          <w:rFonts w:ascii="宋体" w:hAnsi="宋体" w:cs="宋体" w:eastAsia="宋体" w:hint="default"/>
        </w:rPr>
        <w:t>8</w:t>
      </w:r>
      <w:r>
        <w:rPr/>
        <w:t>月，担任国家广电总局</w:t>
      </w:r>
      <w:r>
        <w:rPr>
          <w:spacing w:val="-83"/>
        </w:rPr>
        <w:t> </w:t>
      </w:r>
      <w:r>
        <w:rPr>
          <w:spacing w:val="-83"/>
        </w:rPr>
      </w:r>
      <w:r>
        <w:rPr/>
        <w:t>中数大正网络传输公司技术总监；</w:t>
      </w:r>
      <w:r>
        <w:rPr>
          <w:rFonts w:ascii="宋体" w:hAnsi="宋体" w:cs="宋体" w:eastAsia="宋体" w:hint="default"/>
        </w:rPr>
        <w:t>2001</w:t>
      </w:r>
      <w:r>
        <w:rPr/>
        <w:t>年</w:t>
      </w:r>
      <w:r>
        <w:rPr>
          <w:rFonts w:ascii="宋体" w:hAnsi="宋体" w:cs="宋体" w:eastAsia="宋体" w:hint="default"/>
        </w:rPr>
        <w:t>9</w:t>
      </w:r>
      <w:r>
        <w:rPr/>
        <w:t>月至</w:t>
      </w:r>
      <w:r>
        <w:rPr>
          <w:rFonts w:ascii="宋体" w:hAnsi="宋体" w:cs="宋体" w:eastAsia="宋体" w:hint="default"/>
        </w:rPr>
        <w:t>2006</w:t>
      </w:r>
      <w:r>
        <w:rPr/>
        <w:t>年</w:t>
      </w:r>
      <w:r>
        <w:rPr>
          <w:rFonts w:ascii="宋体" w:hAnsi="宋体" w:cs="宋体" w:eastAsia="宋体" w:hint="default"/>
        </w:rPr>
        <w:t>2</w:t>
      </w:r>
      <w:r>
        <w:rPr/>
        <w:t>月，在中国风险投资有限公司任高级投资经理；</w:t>
      </w:r>
      <w:r>
        <w:rPr>
          <w:rFonts w:ascii="宋体" w:hAnsi="宋体" w:cs="宋体" w:eastAsia="宋体" w:hint="default"/>
        </w:rPr>
        <w:t>2006</w:t>
      </w:r>
      <w:r>
        <w:rPr/>
        <w:t>年</w:t>
      </w:r>
      <w:r>
        <w:rPr>
          <w:rFonts w:ascii="宋体" w:hAnsi="宋体" w:cs="宋体" w:eastAsia="宋体" w:hint="default"/>
        </w:rPr>
        <w:t>3</w:t>
      </w:r>
      <w:r>
        <w:rPr/>
        <w:t>月至今，任</w:t>
      </w:r>
      <w:r>
        <w:rPr>
          <w:spacing w:val="-83"/>
        </w:rPr>
        <w:t> </w:t>
      </w:r>
      <w:r>
        <w:rPr>
          <w:spacing w:val="-83"/>
        </w:rPr>
      </w:r>
      <w:r>
        <w:rPr/>
        <w:t>公司董事会秘书，</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24</w:t>
      </w:r>
      <w:r>
        <w:rPr/>
        <w:t>日起兼任公司副总经理。</w:t>
      </w:r>
    </w:p>
    <w:p>
      <w:pPr>
        <w:pStyle w:val="BodyText"/>
        <w:spacing w:line="338" w:lineRule="auto" w:before="19"/>
        <w:ind w:right="821" w:firstLine="360"/>
        <w:jc w:val="left"/>
      </w:pP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w:t>
      </w:r>
      <w:r>
        <w:rPr>
          <w:spacing w:val="-2"/>
        </w:rPr>
        <w:t>日，公司召开第四届董事会第一次会议审议通过徐迪女士于</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14</w:t>
      </w:r>
      <w:r>
        <w:rPr>
          <w:spacing w:val="-2"/>
        </w:rPr>
        <w:t>日任期届满不再担任公司财务总监，</w:t>
      </w:r>
      <w:r>
        <w:rPr/>
        <w:t> 张晓屹先生担任公司财务总监。此相关事项已在巨潮资讯网（</w:t>
      </w:r>
      <w:hyperlink r:id="rId12">
        <w:r>
          <w:rPr>
            <w:rFonts w:ascii="宋体" w:hAnsi="宋体" w:cs="宋体" w:eastAsia="宋体" w:hint="default"/>
          </w:rPr>
          <w:t>http://www.cninfo.com.cn</w:t>
        </w:r>
      </w:hyperlink>
      <w:r>
        <w:rPr/>
        <w:t>）进行了相应的公告。 在股东单位任职情况</w:t>
      </w:r>
    </w:p>
    <w:p>
      <w:pPr>
        <w:pStyle w:val="BodyText"/>
        <w:spacing w:line="338" w:lineRule="auto" w:before="43"/>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34"/>
        <w:gridCol w:w="3020"/>
        <w:gridCol w:w="1134"/>
        <w:gridCol w:w="1559"/>
        <w:gridCol w:w="1246"/>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北京中关天使投资管理有限公司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理实国际咨询集团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执行董事、高 级合伙人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理实环球国际咨询（北京）有限公司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北京理实佳讯企业管理顾问有限公司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理实国际广告传媒（北京）有限公司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理实国际投资管理（北京）有限公司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太上福品老年用品（北京）有限公司</w:t>
            </w:r>
          </w:p>
          <w:p>
            <w:pPr>
              <w:pStyle w:val="TableParagraph"/>
              <w:spacing w:line="319" w:lineRule="auto" w:before="75"/>
              <w:ind w:left="22" w:right="105"/>
              <w:jc w:val="left"/>
              <w:rPr>
                <w:rFonts w:ascii="宋体" w:hAnsi="宋体" w:cs="宋体" w:eastAsia="宋体" w:hint="default"/>
                <w:sz w:val="18"/>
                <w:szCs w:val="18"/>
              </w:rPr>
            </w:pPr>
            <w:r>
              <w:rPr>
                <w:rFonts w:ascii="宋体" w:hAnsi="宋体" w:cs="宋体" w:eastAsia="宋体" w:hint="default"/>
                <w:sz w:val="18"/>
                <w:szCs w:val="18"/>
              </w:rPr>
              <w:t>（原理实国际老年用品（北京）有限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赵雪媛</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赵雪媛</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大力电工襄阳股份有限公司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赵雪媛</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南京全信传输科技股份有限公司独立 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赵雪媛</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阳泉煤业（集团）股份有限公司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赵雪媛</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北京梅泰诺通信技术股份有限公司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北京市六合金证律师事务所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保定银行股份有限公司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孙集平</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中国风险投资有限公司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合伙人、高级 副总裁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234"/>
        <w:gridCol w:w="3020"/>
        <w:gridCol w:w="1134"/>
        <w:gridCol w:w="1559"/>
        <w:gridCol w:w="1246"/>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孙集平</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苏维尔利环保科技股份有限公司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孙集平</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贵阳高原矿山机械有限公司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孙集平</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海湾环境科技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孙集平</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凯龙高科技股份有限公司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孙集平</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康达新能源设备股份有限公司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孙集平</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贵州宏达环保科技有限公司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孙集平</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江苏上田环境修复有限公司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孙集平</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深圳市华澳资本管理有限公司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管理合伙人、 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孙集平</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北京嘉华创业投资有限公司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孙集平</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绍兴华建创业投资有限公司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孙集平</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青岛静远创业投资有限公司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孙集平</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武汉中投建华创业投资有限公司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孙集平</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扬州嘉华创业投资有限公司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821"/>
        <w:jc w:val="left"/>
      </w:pPr>
      <w:r>
        <w:rPr/>
        <w:t>公司现任及报告期内离任董事、监事和高级管理人员近三年证券监管机构处罚的情况</w:t>
      </w:r>
    </w:p>
    <w:p>
      <w:pPr>
        <w:pStyle w:val="BodyText"/>
        <w:spacing w:line="240" w:lineRule="auto" w:before="117"/>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821"/>
        <w:jc w:val="left"/>
        <w:rPr>
          <w:b w:val="0"/>
          <w:bCs w:val="0"/>
        </w:rPr>
      </w:pPr>
      <w:bookmarkStart w:name="四、董事、监事、高级管理人员报酬情况" w:id="119"/>
      <w:bookmarkEnd w:id="119"/>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21"/>
        <w:jc w:val="left"/>
      </w:pPr>
      <w:r>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4262"/>
        <w:gridCol w:w="4262"/>
      </w:tblGrid>
      <w:tr>
        <w:trPr>
          <w:trHeight w:val="1596"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4"/>
                <w:sz w:val="18"/>
                <w:szCs w:val="18"/>
              </w:rPr>
              <w:t>按照《高级管理人员薪酬考核管理办法》及公司现行其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他工资制度和业绩考核规定，由董事会薪酬与考核委员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会根据岗位绩效评价结果及薪酬分配政策提出上述人 </w:t>
            </w:r>
            <w:r>
              <w:rPr>
                <w:rFonts w:ascii="宋体" w:hAnsi="宋体" w:cs="宋体" w:eastAsia="宋体" w:hint="default"/>
                <w:spacing w:val="-4"/>
                <w:sz w:val="18"/>
                <w:szCs w:val="18"/>
              </w:rPr>
              <w:t>员的绩效薪酬数额和奖惩方式，提交公司董事会审核批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准。</w:t>
            </w:r>
          </w:p>
        </w:tc>
      </w:tr>
      <w:tr>
        <w:trPr>
          <w:trHeight w:val="65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pacing w:val="-4"/>
                <w:sz w:val="18"/>
                <w:szCs w:val="18"/>
              </w:rPr>
              <w:t>根据公司盈利水平及各董事、监事、高级管理人员的分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工及履职情况确定。</w:t>
            </w:r>
          </w:p>
        </w:tc>
      </w:tr>
      <w:tr>
        <w:trPr>
          <w:trHeight w:val="65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公司董事、监事、高级管理人员共</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人，各项报酬均已</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按时支付。</w:t>
            </w:r>
          </w:p>
        </w:tc>
      </w:tr>
    </w:tbl>
    <w:p>
      <w:pPr>
        <w:spacing w:line="240" w:lineRule="auto" w:before="6"/>
        <w:rPr>
          <w:rFonts w:ascii="宋体" w:hAnsi="宋体" w:cs="宋体" w:eastAsia="宋体" w:hint="default"/>
          <w:sz w:val="27"/>
          <w:szCs w:val="27"/>
        </w:rPr>
      </w:pPr>
    </w:p>
    <w:p>
      <w:pPr>
        <w:pStyle w:val="BodyText"/>
        <w:spacing w:line="240" w:lineRule="auto" w:before="44"/>
        <w:ind w:left="1134" w:right="821"/>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2174"/>
        <w:gridCol w:w="993"/>
        <w:gridCol w:w="934"/>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00"/>
              <w:jc w:val="right"/>
              <w:rPr>
                <w:rFonts w:ascii="宋体" w:hAnsi="宋体" w:cs="宋体" w:eastAsia="宋体" w:hint="default"/>
                <w:sz w:val="18"/>
                <w:szCs w:val="18"/>
              </w:rPr>
            </w:pPr>
            <w:r>
              <w:rPr>
                <w:rFonts w:ascii="宋体" w:hAnsi="宋体" w:cs="宋体" w:eastAsia="宋体" w:hint="default"/>
                <w:sz w:val="18"/>
                <w:szCs w:val="18"/>
              </w:rPr>
              <w:t>职务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81"/>
              <w:jc w:val="right"/>
              <w:rPr>
                <w:rFonts w:ascii="宋体" w:hAnsi="宋体" w:cs="宋体" w:eastAsia="宋体" w:hint="default"/>
                <w:sz w:val="18"/>
                <w:szCs w:val="18"/>
              </w:rPr>
            </w:pPr>
            <w:r>
              <w:rPr>
                <w:rFonts w:ascii="宋体" w:hAnsi="宋体" w:cs="宋体" w:eastAsia="宋体" w:hint="default"/>
                <w:sz w:val="18"/>
                <w:szCs w:val="18"/>
              </w:rPr>
              <w:t>董事长、总经理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8" w:right="0"/>
              <w:jc w:val="left"/>
              <w:rPr>
                <w:rFonts w:ascii="Times New Roman" w:hAnsi="Times New Roman" w:cs="Times New Roman" w:eastAsia="Times New Roman" w:hint="default"/>
                <w:sz w:val="18"/>
                <w:szCs w:val="18"/>
              </w:rPr>
            </w:pPr>
            <w:r>
              <w:rPr>
                <w:rFonts w:ascii="Times New Roman"/>
                <w:sz w:val="18"/>
              </w:rPr>
              <w:t>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  强</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81"/>
              <w:jc w:val="right"/>
              <w:rPr>
                <w:rFonts w:ascii="宋体" w:hAnsi="宋体" w:cs="宋体" w:eastAsia="宋体" w:hint="default"/>
                <w:sz w:val="18"/>
                <w:szCs w:val="18"/>
              </w:rPr>
            </w:pPr>
            <w:r>
              <w:rPr>
                <w:rFonts w:ascii="宋体" w:hAnsi="宋体" w:cs="宋体" w:eastAsia="宋体" w:hint="default"/>
                <w:sz w:val="18"/>
                <w:szCs w:val="18"/>
              </w:rPr>
              <w:t>董事、副总经理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8" w:right="0"/>
              <w:jc w:val="left"/>
              <w:rPr>
                <w:rFonts w:ascii="Times New Roman" w:hAnsi="Times New Roman" w:cs="Times New Roman" w:eastAsia="Times New Roman" w:hint="default"/>
                <w:sz w:val="18"/>
                <w:szCs w:val="18"/>
              </w:rPr>
            </w:pPr>
            <w:r>
              <w:rPr>
                <w:rFonts w:ascii="Times New Roman"/>
                <w:sz w:val="18"/>
              </w:rPr>
              <w:t>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70"/>
        <w:gridCol w:w="2174"/>
        <w:gridCol w:w="993"/>
        <w:gridCol w:w="934"/>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董事、行政后勤中心总监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  昀</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董事、营销总部副总监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  星</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董事、总经理助理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赵遵廉</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颖</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赵雪媛</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孙集平</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张全中</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职工代表监事、营销服务中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心副经理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  迪</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507.65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821"/>
        <w:jc w:val="left"/>
      </w:pPr>
      <w:r>
        <w:rPr/>
        <w:t>公司董事、监事、高级管理人员报告期内被授予的股权激励情况</w:t>
      </w:r>
    </w:p>
    <w:p>
      <w:pPr>
        <w:pStyle w:val="BodyText"/>
        <w:spacing w:line="240" w:lineRule="auto" w:before="117"/>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821"/>
        <w:jc w:val="left"/>
        <w:rPr>
          <w:b w:val="0"/>
          <w:bCs w:val="0"/>
        </w:rPr>
      </w:pPr>
      <w:bookmarkStart w:name="五、公司员工情况" w:id="120"/>
      <w:bookmarkEnd w:id="120"/>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21"/>
        <w:jc w:val="left"/>
        <w:rPr>
          <w:b w:val="0"/>
          <w:bCs w:val="0"/>
        </w:rPr>
      </w:pPr>
      <w:bookmarkStart w:name="1、员工数量、专业构成及教育程度" w:id="121"/>
      <w:bookmarkEnd w:id="12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1,193</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研究生及研究生以上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1,193</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821"/>
        <w:jc w:val="left"/>
        <w:rPr>
          <w:b w:val="0"/>
          <w:bCs w:val="0"/>
        </w:rPr>
      </w:pPr>
      <w:bookmarkStart w:name="2、薪酬政策" w:id="122"/>
      <w:bookmarkEnd w:id="12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32" w:firstLine="360"/>
        <w:jc w:val="left"/>
      </w:pPr>
      <w:r>
        <w:rPr>
          <w:spacing w:val="-2"/>
        </w:rPr>
        <w:t>公司雇员之薪酬包括薪金、津贴等。公司实行全员劳动合同制，依据《中华人民共和国劳动法》和地方相关法规、规范</w:t>
      </w:r>
      <w:r>
        <w:rPr/>
        <w:t> 性文件，公司与员工签订《劳动合同书》，公司按国家有关法律、法规及地方相关社会保险政策，为员工办理养老、医疗、 工伤、失业、生育的社会保险和住房公积金。</w:t>
      </w:r>
    </w:p>
    <w:p>
      <w:pPr>
        <w:spacing w:line="240" w:lineRule="auto" w:before="7"/>
        <w:rPr>
          <w:rFonts w:ascii="宋体" w:hAnsi="宋体" w:cs="宋体" w:eastAsia="宋体" w:hint="default"/>
          <w:sz w:val="22"/>
          <w:szCs w:val="22"/>
        </w:rPr>
      </w:pPr>
    </w:p>
    <w:p>
      <w:pPr>
        <w:pStyle w:val="Heading3"/>
        <w:spacing w:line="240" w:lineRule="auto"/>
        <w:ind w:right="821"/>
        <w:jc w:val="left"/>
        <w:rPr>
          <w:b w:val="0"/>
          <w:bCs w:val="0"/>
        </w:rPr>
      </w:pPr>
      <w:bookmarkStart w:name="3、培训计划" w:id="123"/>
      <w:bookmarkEnd w:id="12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公司一直十分重视员工的培训和发展工作，制定了系列的培训计划与人才培育项目，全面加强员工培训工作，包括新员</w:t>
      </w:r>
      <w:r>
        <w:rPr/>
        <w:t> </w:t>
      </w:r>
      <w:r>
        <w:rPr>
          <w:spacing w:val="-2"/>
        </w:rPr>
        <w:t>工入职培训、新员工公司文化理念培训、新员工试用期间岗位技能培训实习、在职员工业务与管理技能培训、一线员工的操</w:t>
      </w:r>
      <w:r>
        <w:rPr>
          <w:spacing w:val="-66"/>
        </w:rPr>
        <w:t> </w:t>
      </w:r>
      <w:r>
        <w:rPr>
          <w:spacing w:val="-66"/>
        </w:rPr>
      </w:r>
      <w:r>
        <w:rPr>
          <w:spacing w:val="-2"/>
        </w:rPr>
        <w:t>作技能培训、管理干部员管理提升培训、员工晋级、调岗职业技能需求培训等，不断提升公司员工素质和能力，提升员工和</w:t>
      </w:r>
      <w:r>
        <w:rPr>
          <w:spacing w:val="-66"/>
        </w:rPr>
        <w:t> </w:t>
      </w:r>
      <w:r>
        <w:rPr>
          <w:spacing w:val="-66"/>
        </w:rPr>
      </w:r>
      <w:r>
        <w:rPr/>
        <w:t>部门工作效率，为公司战略目标的实现提供坚实的基础和确实的保障。</w:t>
      </w:r>
    </w:p>
    <w:p>
      <w:pPr>
        <w:spacing w:line="240" w:lineRule="auto" w:before="7"/>
        <w:rPr>
          <w:rFonts w:ascii="宋体" w:hAnsi="宋体" w:cs="宋体" w:eastAsia="宋体" w:hint="default"/>
          <w:sz w:val="22"/>
          <w:szCs w:val="22"/>
        </w:rPr>
      </w:pPr>
    </w:p>
    <w:p>
      <w:pPr>
        <w:pStyle w:val="Heading3"/>
        <w:spacing w:line="240" w:lineRule="auto"/>
        <w:ind w:right="821"/>
        <w:jc w:val="left"/>
        <w:rPr>
          <w:b w:val="0"/>
          <w:bCs w:val="0"/>
        </w:rPr>
      </w:pPr>
      <w:bookmarkStart w:name="4、劳务外包情况" w:id="124"/>
      <w:bookmarkEnd w:id="12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4"/>
        <w:jc w:val="center"/>
        <w:rPr>
          <w:b w:val="0"/>
          <w:bCs w:val="0"/>
        </w:rPr>
      </w:pPr>
      <w:bookmarkStart w:name="第九节 公司治理" w:id="125"/>
      <w:bookmarkEnd w:id="125"/>
      <w:r>
        <w:rPr>
          <w:b w:val="0"/>
          <w:bCs w:val="0"/>
        </w:rPr>
      </w:r>
      <w:bookmarkStart w:name="_bookmark7" w:id="126"/>
      <w:bookmarkEnd w:id="12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21"/>
        <w:jc w:val="left"/>
        <w:rPr>
          <w:b w:val="0"/>
          <w:bCs w:val="0"/>
        </w:rPr>
      </w:pPr>
      <w:bookmarkStart w:name="一、公司治理的基本状况" w:id="127"/>
      <w:bookmarkEnd w:id="127"/>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821" w:firstLine="360"/>
        <w:jc w:val="left"/>
      </w:pPr>
      <w:r>
        <w:rPr>
          <w:spacing w:val="-6"/>
        </w:rPr>
        <w:t>报告期内，公司根据《公司法》、《证券法》、《上市公司治理准则》、《深圳证券交易所创业板股票上市规则》、《深</w:t>
      </w:r>
      <w:r>
        <w:rPr/>
        <w:t> </w:t>
      </w:r>
      <w:r>
        <w:rPr>
          <w:spacing w:val="-4"/>
        </w:rPr>
        <w:t>圳证券交易所创业板上市公司规范运作指引》等法律、法规的要求，不断完善法人治理结构，建立行之有效的内控管理体系，</w:t>
      </w:r>
      <w:r>
        <w:rPr>
          <w:spacing w:val="-46"/>
        </w:rPr>
        <w:t> </w:t>
      </w:r>
      <w:r>
        <w:rPr>
          <w:spacing w:val="-46"/>
        </w:rPr>
      </w:r>
      <w:r>
        <w:rPr>
          <w:spacing w:val="-2"/>
        </w:rPr>
        <w:t>确保公司规范运作。公司股东大会、董事会、监事会的召集、召开、表决程序符合有关法律、法规的要求，且均严格按照相</w:t>
      </w:r>
      <w:r>
        <w:rPr>
          <w:spacing w:val="-72"/>
        </w:rPr>
        <w:t> </w:t>
      </w:r>
      <w:r>
        <w:rPr>
          <w:spacing w:val="-72"/>
        </w:rPr>
      </w:r>
      <w:r>
        <w:rPr>
          <w:spacing w:val="-2"/>
        </w:rPr>
        <w:t>关法律法规，履行各自的权利和义务，公司重大生产经营决策、投资决策及财务决策均按照《公司章程》及有关内控制度规</w:t>
      </w:r>
      <w:r>
        <w:rPr>
          <w:spacing w:val="-66"/>
        </w:rPr>
        <w:t> </w:t>
      </w:r>
      <w:r>
        <w:rPr>
          <w:spacing w:val="-66"/>
        </w:rPr>
      </w:r>
      <w:r>
        <w:rPr>
          <w:spacing w:val="-2"/>
        </w:rPr>
        <w:t>定的程序和规则进行，截至报告期末，上述机构和人员依法运作，未出现违法、违规现象和重大缺陷，能够切实履行应尽的</w:t>
      </w:r>
      <w:r>
        <w:rPr>
          <w:spacing w:val="-66"/>
        </w:rPr>
        <w:t> </w:t>
      </w:r>
      <w:r>
        <w:rPr>
          <w:spacing w:val="-66"/>
        </w:rPr>
      </w:r>
      <w:r>
        <w:rPr/>
        <w:t>职责和义务。</w:t>
      </w:r>
    </w:p>
    <w:p>
      <w:pPr>
        <w:pStyle w:val="BodyText"/>
        <w:spacing w:line="240" w:lineRule="auto" w:before="59"/>
        <w:ind w:right="821"/>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821"/>
        <w:jc w:val="left"/>
        <w:rPr>
          <w:b w:val="0"/>
          <w:bCs w:val="0"/>
        </w:rPr>
      </w:pPr>
      <w:bookmarkStart w:name="二、公司相对于控股股东在业务、人员、资产、机构、财务等方面的独立情况" w:id="128"/>
      <w:bookmarkEnd w:id="128"/>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24" w:right="821"/>
        <w:jc w:val="left"/>
      </w:pPr>
      <w:r>
        <w:rPr/>
        <w:t>公司不存在与控股股东在业务、人员、资产、机构、财务等方面不能保证独立性、不能保持自主经营能力的情况。</w:t>
      </w:r>
    </w:p>
    <w:p>
      <w:pPr>
        <w:spacing w:line="240" w:lineRule="auto" w:before="2"/>
        <w:rPr>
          <w:rFonts w:ascii="宋体" w:hAnsi="宋体" w:cs="宋体" w:eastAsia="宋体" w:hint="default"/>
          <w:sz w:val="25"/>
          <w:szCs w:val="25"/>
        </w:rPr>
      </w:pPr>
    </w:p>
    <w:p>
      <w:pPr>
        <w:pStyle w:val="Heading2"/>
        <w:spacing w:line="240" w:lineRule="auto"/>
        <w:ind w:right="821"/>
        <w:jc w:val="left"/>
        <w:rPr>
          <w:b w:val="0"/>
          <w:bCs w:val="0"/>
        </w:rPr>
      </w:pPr>
      <w:bookmarkStart w:name="三、同业竞争情况" w:id="129"/>
      <w:bookmarkEnd w:id="129"/>
      <w:r>
        <w:rPr>
          <w:b w:val="0"/>
          <w:bCs w:val="0"/>
        </w:rPr>
      </w:r>
      <w:r>
        <w:rPr/>
        <w:t>三、同业竞争情况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21"/>
        <w:jc w:val="left"/>
        <w:rPr>
          <w:b w:val="0"/>
          <w:bCs w:val="0"/>
        </w:rPr>
      </w:pPr>
      <w:bookmarkStart w:name="四、报告期内召开的年度股东大会和临时股东大会的有关情况" w:id="130"/>
      <w:bookmarkEnd w:id="130"/>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本报告期股东大会情况" w:id="131"/>
      <w:bookmarkEnd w:id="13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全国中小企业股份 转让系统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全国中小企业股份 转让系统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全国中小企业股份 转让系统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全国中小企业股份 转让系统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56.09%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821"/>
        <w:jc w:val="left"/>
        <w:rPr>
          <w:b w:val="0"/>
          <w:bCs w:val="0"/>
        </w:rPr>
      </w:pPr>
      <w:bookmarkStart w:name="2、表决权恢复的优先股股东请求召开临时股东大会" w:id="132"/>
      <w:bookmarkEnd w:id="13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21"/>
        <w:jc w:val="left"/>
        <w:rPr>
          <w:b w:val="0"/>
          <w:bCs w:val="0"/>
        </w:rPr>
      </w:pPr>
      <w:bookmarkStart w:name="五、报告期内独立董事履行职责的情况" w:id="133"/>
      <w:bookmarkEnd w:id="133"/>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独立董事出席董事会及股东大会的情况" w:id="134"/>
      <w:bookmarkEnd w:id="13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王颖</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赵雪媛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赵遵廉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51"/>
        <w:ind w:left="1134" w:right="4273"/>
        <w:jc w:val="left"/>
      </w:pPr>
      <w:r>
        <w:rPr/>
        <w:t>连续两次未亲自出席董事会的说明 独立董事不存在连续两次未亲自出席董事会情形。</w:t>
      </w:r>
    </w:p>
    <w:p>
      <w:pPr>
        <w:spacing w:line="240" w:lineRule="auto" w:before="11"/>
        <w:rPr>
          <w:rFonts w:ascii="宋体" w:hAnsi="宋体" w:cs="宋体" w:eastAsia="宋体" w:hint="default"/>
          <w:sz w:val="19"/>
          <w:szCs w:val="19"/>
        </w:rPr>
      </w:pPr>
    </w:p>
    <w:p>
      <w:pPr>
        <w:pStyle w:val="Heading3"/>
        <w:spacing w:line="240" w:lineRule="auto"/>
        <w:ind w:left="1134" w:right="821"/>
        <w:jc w:val="left"/>
        <w:rPr>
          <w:b w:val="0"/>
          <w:bCs w:val="0"/>
        </w:rPr>
      </w:pPr>
      <w:bookmarkStart w:name="2、独立董事对公司有关事项提出异议的情况" w:id="135"/>
      <w:bookmarkEnd w:id="13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821"/>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821"/>
        <w:jc w:val="left"/>
        <w:rPr>
          <w:b w:val="0"/>
          <w:bCs w:val="0"/>
        </w:rPr>
      </w:pPr>
      <w:bookmarkStart w:name="3、独立董事履行职责的其他说明" w:id="136"/>
      <w:bookmarkEnd w:id="13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21"/>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4" w:lineRule="auto" w:before="41"/>
        <w:ind w:right="1131" w:firstLine="360"/>
        <w:jc w:val="both"/>
      </w:pPr>
      <w:r>
        <w:rPr>
          <w:spacing w:val="-2"/>
        </w:rPr>
        <w:t>公司独立董事严格按照《公司法》、《证券法》、《关于在上市公司建立独立董事制度的指导意见》、《深圳证券交易</w:t>
      </w:r>
      <w:r>
        <w:rPr/>
        <w:t> </w:t>
      </w:r>
      <w:r>
        <w:rPr>
          <w:spacing w:val="-2"/>
        </w:rPr>
        <w:t>所创业板上市公司规范运作指引》、《关于加强社会公众股股东权益保护的若干规定》、《公司章程》、《独立董事工作制</w:t>
      </w:r>
      <w:r>
        <w:rPr>
          <w:spacing w:val="-69"/>
        </w:rPr>
        <w:t> </w:t>
      </w:r>
      <w:r>
        <w:rPr>
          <w:spacing w:val="-69"/>
        </w:rPr>
      </w:r>
      <w:r>
        <w:rPr>
          <w:spacing w:val="-2"/>
        </w:rPr>
        <w:t>度》等相关法律、法规、规章的规定和要求，在</w:t>
      </w:r>
      <w:r>
        <w:rPr>
          <w:rFonts w:ascii="Times New Roman" w:hAnsi="Times New Roman" w:cs="Times New Roman" w:eastAsia="Times New Roman" w:hint="default"/>
          <w:spacing w:val="-2"/>
        </w:rPr>
        <w:t>2015</w:t>
      </w:r>
      <w:r>
        <w:rPr>
          <w:spacing w:val="-2"/>
        </w:rPr>
        <w:t>年度工作中，诚实、勤勉、独立地履行职责，积极出席相关会议，认真</w:t>
      </w:r>
      <w:r>
        <w:rPr>
          <w:spacing w:val="-65"/>
        </w:rPr>
        <w:t> </w:t>
      </w:r>
      <w:r>
        <w:rPr>
          <w:spacing w:val="-65"/>
        </w:rPr>
      </w:r>
      <w:r>
        <w:rPr>
          <w:spacing w:val="-2"/>
        </w:rPr>
        <w:t>审议董事会各项议案，对公司重大事项发表了独立意见，充分发挥了独立董事及各专业委员会的作用。一方面，严格审核公</w:t>
      </w:r>
      <w:r>
        <w:rPr>
          <w:spacing w:val="-66"/>
        </w:rPr>
        <w:t> </w:t>
      </w:r>
      <w:r>
        <w:rPr>
          <w:spacing w:val="-66"/>
        </w:rPr>
      </w:r>
      <w:r>
        <w:rPr>
          <w:spacing w:val="-2"/>
        </w:rPr>
        <w:t>司提交董事会的相关事项，维护公司和公众股东的合法权益，促进公司规范运作；另一方面发挥自己的专业优势，积极关注</w:t>
      </w:r>
      <w:r>
        <w:rPr>
          <w:spacing w:val="-66"/>
        </w:rPr>
        <w:t> </w:t>
      </w:r>
      <w:r>
        <w:rPr>
          <w:spacing w:val="-66"/>
        </w:rPr>
      </w:r>
      <w:r>
        <w:rPr/>
        <w:t>和参与研究公司的发展，为公司的审计工作及内控、薪酬激励、提名任命、战略规划等工作提出了意见和建议。</w:t>
      </w:r>
    </w:p>
    <w:p>
      <w:pPr>
        <w:spacing w:after="0" w:line="314" w:lineRule="auto"/>
        <w:jc w:val="both"/>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bookmarkStart w:name="六、董事会下设专门委员会在报告期内履行职责情况" w:id="137"/>
      <w:bookmarkEnd w:id="137"/>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公司董事会下设审计委员会、战略发展委员会、提名委员会、薪酬与考核委员会。各专门委员会在报告期内的履职情况</w:t>
      </w:r>
      <w:r>
        <w:rPr/>
        <w:t> 如下：</w:t>
      </w:r>
    </w:p>
    <w:p>
      <w:pPr>
        <w:pStyle w:val="BodyText"/>
        <w:spacing w:line="309" w:lineRule="auto" w:before="19"/>
        <w:ind w:left="1493" w:right="82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审计委员会的履职情况：</w:t>
      </w:r>
      <w:r>
        <w:rPr>
          <w:w w:val="99"/>
        </w:rPr>
        <w:t> </w:t>
      </w:r>
      <w:r>
        <w:rPr/>
        <w:t>公司董事会审计委员会本着勤勉尽责的原则，充分发挥监督作用，报告期内主要履行了以下职责：</w:t>
      </w:r>
      <w:r>
        <w:rPr>
          <w:w w:val="99"/>
        </w:rPr>
        <w:t> </w:t>
      </w:r>
      <w:r>
        <w:rPr>
          <w:spacing w:val="-2"/>
        </w:rPr>
        <w:t>报告期内，公司审计委员会严格按照《审计委员会工作细则》的相关要求，共召开审计委员会会议四次，对公司全年生</w:t>
      </w:r>
    </w:p>
    <w:p>
      <w:pPr>
        <w:pStyle w:val="BodyText"/>
        <w:spacing w:line="316" w:lineRule="auto" w:before="24"/>
        <w:ind w:right="1132"/>
        <w:jc w:val="both"/>
      </w:pPr>
      <w:r>
        <w:rPr>
          <w:spacing w:val="-2"/>
        </w:rPr>
        <w:t>产经营情况和重大事项进展情况的进行了监控，与审计会计师进行沟通，制定年度审计计划并对年度审计工作进行安排，并</w:t>
      </w:r>
      <w:r>
        <w:rPr>
          <w:spacing w:val="-66"/>
        </w:rPr>
        <w:t> </w:t>
      </w:r>
      <w:r>
        <w:rPr>
          <w:spacing w:val="-66"/>
        </w:rPr>
      </w:r>
      <w:r>
        <w:rPr>
          <w:spacing w:val="-2"/>
        </w:rPr>
        <w:t>就审计过程中发现的问题与相关人员进行有效沟通，同时，审议审计部提交的年度审计计划及总结，切实履行了审计委员会</w:t>
      </w:r>
      <w:r>
        <w:rPr>
          <w:spacing w:val="-66"/>
        </w:rPr>
        <w:t> </w:t>
      </w:r>
      <w:r>
        <w:rPr>
          <w:spacing w:val="-66"/>
        </w:rPr>
      </w:r>
      <w:r>
        <w:rPr/>
        <w:t>工作职责。</w:t>
      </w:r>
    </w:p>
    <w:p>
      <w:pPr>
        <w:pStyle w:val="BodyText"/>
        <w:spacing w:line="307" w:lineRule="auto" w:before="19"/>
        <w:ind w:left="1493" w:right="1192"/>
        <w:jc w:val="left"/>
        <w:rPr>
          <w:rFonts w:ascii="Times New Roman" w:hAnsi="Times New Roman" w:cs="Times New Roman" w:eastAsia="Times New Roman" w:hint="default"/>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提名委员会履职情况：</w:t>
      </w:r>
      <w:r>
        <w:rPr>
          <w:w w:val="99"/>
        </w:rPr>
        <w:t> </w:t>
      </w:r>
      <w:r>
        <w:rPr/>
        <w:t>报告期内，提名委员会召开专业委员会会议和沟通会一次，对独立董事的人选进行了讨论。</w:t>
      </w:r>
      <w:r>
        <w:rPr>
          <w:w w:val="99"/>
        </w:rPr>
        <w:t>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薪酬与考核委员会履职情况：</w:t>
      </w:r>
      <w:r>
        <w:rPr>
          <w:w w:val="99"/>
        </w:rPr>
        <w:t> </w:t>
      </w:r>
      <w:r>
        <w:rPr/>
        <w:t>报告期内，薪酬与考核委员会对公司年底考核，董事、监事和高级管理人员薪酬等事项进行了讨论与审议，认为</w:t>
      </w:r>
      <w:r>
        <w:rPr>
          <w:rFonts w:ascii="Times New Roman" w:hAnsi="Times New Roman" w:cs="Times New Roman" w:eastAsia="Times New Roman" w:hint="default"/>
        </w:rPr>
        <w:t>2015</w:t>
      </w:r>
    </w:p>
    <w:p>
      <w:pPr>
        <w:pStyle w:val="BodyText"/>
        <w:spacing w:line="316" w:lineRule="auto" w:before="7"/>
        <w:ind w:left="1134" w:right="821"/>
        <w:jc w:val="left"/>
      </w:pPr>
      <w:r>
        <w:rPr>
          <w:spacing w:val="-2"/>
        </w:rPr>
        <w:t>年绩效考核体现了公平，公司董事、监事及高级管理人员的薪酬发放符合公司薪酬管理制度的规定，不存在违反公司薪酬管</w:t>
      </w:r>
      <w:r>
        <w:rPr>
          <w:spacing w:val="-66"/>
        </w:rPr>
        <w:t> </w:t>
      </w:r>
      <w:r>
        <w:rPr>
          <w:spacing w:val="-66"/>
        </w:rPr>
      </w:r>
      <w:r>
        <w:rPr/>
        <w:t>理制度及与薪酬管理制度不一致的情形。报告期内，公司未有实施股权激励的情况。</w:t>
      </w:r>
    </w:p>
    <w:p>
      <w:pPr>
        <w:pStyle w:val="BodyText"/>
        <w:spacing w:line="300" w:lineRule="auto" w:before="19"/>
        <w:ind w:left="1494" w:right="821"/>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战略委员会履职情况：</w:t>
      </w:r>
      <w:r>
        <w:rPr>
          <w:w w:val="99"/>
        </w:rPr>
        <w:t> </w:t>
      </w:r>
      <w:r>
        <w:rPr>
          <w:spacing w:val="-2"/>
        </w:rPr>
        <w:t>报告期内，战略委员会结合公司所处行业发展情况及公司自身发展状况，对公司长期发展战略和重大投资决策进行审议</w:t>
      </w:r>
    </w:p>
    <w:p>
      <w:pPr>
        <w:pStyle w:val="BodyText"/>
        <w:spacing w:line="240" w:lineRule="auto" w:before="31"/>
        <w:ind w:left="1134" w:right="0"/>
        <w:jc w:val="both"/>
      </w:pPr>
      <w:r>
        <w:rPr/>
        <w:t>并提出建议。</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七、监事会工作情况" w:id="138"/>
      <w:bookmarkEnd w:id="138"/>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监事会在报告期内的监督活动是否发现公司存在风险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39"/>
      <w:bookmarkEnd w:id="139"/>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公司建立了完善的高级管理人员绩效考评体系和薪酬制度，高级管理人员的工作绩效与其收入直接挂钩。高级管理人员</w:t>
      </w:r>
      <w:r>
        <w:rPr/>
        <w:t> </w:t>
      </w:r>
      <w:r>
        <w:rPr>
          <w:spacing w:val="-2"/>
        </w:rPr>
        <w:t>的聘任公开、透明，符合法律、法规的规定。公司董事会下设的提名、薪酬和考核委员会负责对公司董事及高级管理人员进</w:t>
      </w:r>
      <w:r>
        <w:rPr>
          <w:spacing w:val="-66"/>
        </w:rPr>
        <w:t> </w:t>
      </w:r>
      <w:r>
        <w:rPr>
          <w:spacing w:val="-66"/>
        </w:rPr>
      </w:r>
      <w:r>
        <w:rPr/>
        <w:t>行绩效考核。</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40"/>
      <w:bookmarkEnd w:id="140"/>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41"/>
      <w:bookmarkEnd w:id="14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内控自我评价报告" w:id="142"/>
      <w:bookmarkEnd w:id="14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3189"/>
        <w:gridCol w:w="3329"/>
        <w:gridCol w:w="3051"/>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8"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344"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38"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重大缺陷： </w:t>
            </w:r>
            <w:r>
              <w:rPr>
                <w:rFonts w:ascii="宋体" w:hAnsi="宋体" w:cs="宋体" w:eastAsia="宋体" w:hint="default"/>
                <w:spacing w:val="-4"/>
                <w:sz w:val="18"/>
                <w:szCs w:val="18"/>
              </w:rPr>
              <w:t>1</w:t>
            </w:r>
            <w:r>
              <w:rPr>
                <w:rFonts w:ascii="宋体" w:hAnsi="宋体" w:cs="宋体" w:eastAsia="宋体" w:hint="default"/>
                <w:spacing w:val="-4"/>
                <w:sz w:val="18"/>
                <w:szCs w:val="18"/>
              </w:rPr>
              <w:t>、公司董事、监事和高级管理人员的舞弊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行为</w:t>
            </w:r>
          </w:p>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、公司更正已公布的财务报告</w:t>
            </w:r>
          </w:p>
          <w:p>
            <w:pPr>
              <w:pStyle w:val="TableParagraph"/>
              <w:spacing w:line="338" w:lineRule="auto" w:before="115"/>
              <w:ind w:left="22" w:right="22"/>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、注册会计师发现的却未被公司内部控制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识别的当期财务报告中的重大错报 </w:t>
            </w:r>
            <w:r>
              <w:rPr>
                <w:rFonts w:ascii="宋体" w:hAnsi="宋体" w:cs="宋体" w:eastAsia="宋体" w:hint="default"/>
                <w:spacing w:val="-4"/>
                <w:sz w:val="18"/>
                <w:szCs w:val="18"/>
              </w:rPr>
              <w:t>4</w:t>
            </w:r>
            <w:r>
              <w:rPr>
                <w:rFonts w:ascii="宋体" w:hAnsi="宋体" w:cs="宋体" w:eastAsia="宋体" w:hint="default"/>
                <w:spacing w:val="-4"/>
                <w:sz w:val="18"/>
                <w:szCs w:val="18"/>
              </w:rPr>
              <w:t>、审计委员会和审计部对公司的对外财务</w:t>
            </w:r>
          </w:p>
          <w:p>
            <w:pPr>
              <w:pStyle w:val="TableParagraph"/>
              <w:spacing w:line="357" w:lineRule="auto" w:before="4"/>
              <w:ind w:left="22" w:right="22"/>
              <w:jc w:val="left"/>
              <w:rPr>
                <w:rFonts w:ascii="宋体" w:hAnsi="宋体" w:cs="宋体" w:eastAsia="宋体" w:hint="default"/>
                <w:sz w:val="18"/>
                <w:szCs w:val="18"/>
              </w:rPr>
            </w:pPr>
            <w:r>
              <w:rPr>
                <w:rFonts w:ascii="宋体" w:hAnsi="宋体" w:cs="宋体" w:eastAsia="宋体" w:hint="default"/>
                <w:sz w:val="18"/>
                <w:szCs w:val="18"/>
              </w:rPr>
              <w:t>报告和财务报告内部控制监督无效。 重要缺陷：</w:t>
            </w:r>
          </w:p>
          <w:p>
            <w:pPr>
              <w:pStyle w:val="TableParagraph"/>
              <w:spacing w:line="319" w:lineRule="auto" w:before="26"/>
              <w:ind w:left="22" w:right="22"/>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、未依照公认会计准则选择和应用会计政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策</w:t>
            </w:r>
          </w:p>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、未建立反舞弊程序和控制措施</w:t>
            </w:r>
          </w:p>
          <w:p>
            <w:pPr>
              <w:pStyle w:val="TableParagraph"/>
              <w:spacing w:line="319" w:lineRule="auto" w:before="115"/>
              <w:ind w:left="22" w:right="22"/>
              <w:jc w:val="both"/>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、对于非常规或特殊交易的账务处理没有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建立相应的控制机制或没有实施且没有相 应的补偿性控制</w:t>
            </w:r>
          </w:p>
          <w:p>
            <w:pPr>
              <w:pStyle w:val="TableParagraph"/>
              <w:spacing w:line="319" w:lineRule="auto" w:before="56"/>
              <w:ind w:left="22" w:right="22"/>
              <w:jc w:val="both"/>
              <w:rPr>
                <w:rFonts w:ascii="宋体" w:hAnsi="宋体" w:cs="宋体" w:eastAsia="宋体" w:hint="default"/>
                <w:sz w:val="18"/>
                <w:szCs w:val="18"/>
              </w:rPr>
            </w:pPr>
            <w:r>
              <w:rPr>
                <w:rFonts w:ascii="宋体" w:hAnsi="宋体" w:cs="宋体" w:eastAsia="宋体" w:hint="default"/>
                <w:spacing w:val="-4"/>
                <w:sz w:val="18"/>
                <w:szCs w:val="18"/>
              </w:rPr>
              <w:t>4</w:t>
            </w:r>
            <w:r>
              <w:rPr>
                <w:rFonts w:ascii="宋体" w:hAnsi="宋体" w:cs="宋体" w:eastAsia="宋体" w:hint="default"/>
                <w:spacing w:val="-4"/>
                <w:sz w:val="18"/>
                <w:szCs w:val="18"/>
              </w:rPr>
              <w:t>、对于期末财务报告过程的控制存在一项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或多项缺陷且不能合理保证编制的财务报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表达到真实、准确的目标。</w:t>
            </w:r>
          </w:p>
          <w:p>
            <w:pPr>
              <w:pStyle w:val="TableParagraph"/>
              <w:spacing w:line="338" w:lineRule="auto" w:before="58"/>
              <w:ind w:left="22" w:right="48"/>
              <w:jc w:val="left"/>
              <w:rPr>
                <w:rFonts w:ascii="宋体" w:hAnsi="宋体" w:cs="宋体" w:eastAsia="宋体" w:hint="default"/>
                <w:sz w:val="18"/>
                <w:szCs w:val="18"/>
              </w:rPr>
            </w:pPr>
            <w:r>
              <w:rPr>
                <w:rFonts w:ascii="宋体" w:hAnsi="宋体" w:cs="宋体" w:eastAsia="宋体" w:hint="default"/>
                <w:sz w:val="18"/>
                <w:szCs w:val="18"/>
              </w:rPr>
              <w:t>一般缺陷： 除上述重大缺陷、重要缺陷之外的其他控 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60" w:lineRule="auto"/>
              <w:ind w:left="22" w:right="226"/>
              <w:jc w:val="left"/>
              <w:rPr>
                <w:rFonts w:ascii="宋体" w:hAnsi="宋体" w:cs="宋体" w:eastAsia="宋体" w:hint="default"/>
                <w:sz w:val="18"/>
                <w:szCs w:val="18"/>
              </w:rPr>
            </w:pPr>
            <w:r>
              <w:rPr>
                <w:rFonts w:ascii="宋体" w:hAnsi="宋体" w:cs="宋体" w:eastAsia="宋体" w:hint="default"/>
                <w:sz w:val="18"/>
                <w:szCs w:val="18"/>
              </w:rPr>
              <w:t>重大缺陷： </w:t>
            </w:r>
            <w:r>
              <w:rPr>
                <w:rFonts w:ascii="宋体" w:hAnsi="宋体" w:cs="宋体" w:eastAsia="宋体" w:hint="default"/>
                <w:sz w:val="18"/>
                <w:szCs w:val="18"/>
              </w:rPr>
              <w:t>1</w:t>
            </w:r>
            <w:r>
              <w:rPr>
                <w:rFonts w:ascii="宋体" w:hAnsi="宋体" w:cs="宋体" w:eastAsia="宋体" w:hint="default"/>
                <w:sz w:val="18"/>
                <w:szCs w:val="18"/>
              </w:rPr>
              <w:t>、违犯国家法律法规或规范性文件</w:t>
            </w:r>
          </w:p>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、重大决策程序不民主、不科学</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、制度缺失可能导致系统性失效</w:t>
            </w:r>
          </w:p>
          <w:p>
            <w:pPr>
              <w:pStyle w:val="TableParagraph"/>
              <w:spacing w:line="319" w:lineRule="auto" w:before="116"/>
              <w:ind w:left="22" w:right="46"/>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、管理骨干人员或技术骨干人员纷纷 流失</w:t>
            </w:r>
          </w:p>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、媒体负面新闻频现</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、重大或重要缺陷不能得到整改</w:t>
            </w:r>
          </w:p>
          <w:p>
            <w:pPr>
              <w:pStyle w:val="TableParagraph"/>
              <w:spacing w:line="357" w:lineRule="auto" w:before="117"/>
              <w:ind w:left="22" w:right="21"/>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、其他对公司负面影响重大的情形。 重要缺陷：</w:t>
            </w:r>
          </w:p>
          <w:p>
            <w:pPr>
              <w:pStyle w:val="TableParagraph"/>
              <w:spacing w:line="319" w:lineRule="auto" w:before="26"/>
              <w:ind w:left="22" w:right="21"/>
              <w:jc w:val="both"/>
              <w:rPr>
                <w:rFonts w:ascii="宋体" w:hAnsi="宋体" w:cs="宋体" w:eastAsia="宋体" w:hint="default"/>
                <w:sz w:val="18"/>
                <w:szCs w:val="18"/>
              </w:rPr>
            </w:pPr>
            <w:r>
              <w:rPr>
                <w:rFonts w:ascii="宋体" w:hAnsi="宋体" w:cs="宋体" w:eastAsia="宋体" w:hint="default"/>
                <w:spacing w:val="-4"/>
                <w:sz w:val="18"/>
                <w:szCs w:val="18"/>
              </w:rPr>
              <w:t>一个或多个缺陷组合，其严重程度和经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济后果低于重大缺陷，但仍可能导致企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业偏离控制目标的缺陷。</w:t>
            </w:r>
          </w:p>
          <w:p>
            <w:pPr>
              <w:pStyle w:val="TableParagraph"/>
              <w:spacing w:line="338" w:lineRule="auto" w:before="58"/>
              <w:ind w:left="22" w:right="136"/>
              <w:jc w:val="left"/>
              <w:rPr>
                <w:rFonts w:ascii="宋体" w:hAnsi="宋体" w:cs="宋体" w:eastAsia="宋体" w:hint="default"/>
                <w:sz w:val="18"/>
                <w:szCs w:val="18"/>
              </w:rPr>
            </w:pPr>
            <w:r>
              <w:rPr>
                <w:rFonts w:ascii="宋体" w:hAnsi="宋体" w:cs="宋体" w:eastAsia="宋体" w:hint="default"/>
                <w:sz w:val="18"/>
                <w:szCs w:val="18"/>
              </w:rPr>
              <w:t>一般缺陷： 不构成重大缺陷或重要缺陷的其他内 部控制缺陷。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334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2269"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8"/>
              <w:ind w:left="22" w:right="20"/>
              <w:jc w:val="left"/>
              <w:rPr>
                <w:rFonts w:ascii="宋体" w:hAnsi="宋体" w:cs="宋体" w:eastAsia="宋体" w:hint="default"/>
                <w:sz w:val="18"/>
                <w:szCs w:val="18"/>
              </w:rPr>
            </w:pPr>
            <w:r>
              <w:rPr>
                <w:rFonts w:ascii="宋体" w:hAnsi="宋体" w:cs="宋体" w:eastAsia="宋体" w:hint="default"/>
                <w:sz w:val="18"/>
                <w:szCs w:val="18"/>
              </w:rPr>
              <w:t>错报的潜在程度分为重大缺陷：考虑补偿 性控制措施和实际偏差率后，</w:t>
            </w:r>
            <w:r>
              <w:rPr>
                <w:rFonts w:ascii="宋体" w:hAnsi="宋体" w:cs="宋体" w:eastAsia="宋体" w:hint="default"/>
                <w:spacing w:val="-62"/>
                <w:sz w:val="18"/>
                <w:szCs w:val="18"/>
              </w:rPr>
              <w:t> </w:t>
            </w:r>
            <w:r>
              <w:rPr>
                <w:rFonts w:ascii="宋体" w:hAnsi="宋体" w:cs="宋体" w:eastAsia="宋体" w:hint="default"/>
                <w:sz w:val="18"/>
                <w:szCs w:val="18"/>
              </w:rPr>
              <w:t>缺陷≥营业</w:t>
            </w:r>
            <w:r>
              <w:rPr>
                <w:rFonts w:ascii="宋体" w:hAnsi="宋体" w:cs="宋体" w:eastAsia="宋体" w:hint="default"/>
                <w:sz w:val="18"/>
                <w:szCs w:val="18"/>
              </w:rPr>
              <w:t> 收入</w:t>
            </w:r>
            <w:r>
              <w:rPr>
                <w:rFonts w:ascii="宋体" w:hAnsi="宋体" w:cs="宋体" w:eastAsia="宋体" w:hint="default"/>
                <w:spacing w:val="-60"/>
                <w:sz w:val="18"/>
                <w:szCs w:val="18"/>
              </w:rPr>
              <w:t> </w:t>
            </w:r>
            <w:r>
              <w:rPr>
                <w:rFonts w:ascii="宋体" w:hAnsi="宋体" w:cs="宋体" w:eastAsia="宋体" w:hint="default"/>
                <w:sz w:val="18"/>
                <w:szCs w:val="18"/>
              </w:rPr>
              <w:t>1%</w:t>
            </w:r>
            <w:r>
              <w:rPr>
                <w:rFonts w:ascii="宋体" w:hAnsi="宋体" w:cs="宋体" w:eastAsia="宋体" w:hint="default"/>
                <w:sz w:val="18"/>
                <w:szCs w:val="18"/>
              </w:rPr>
              <w:t>、重要缺陷：考虑补偿性控制措施 和实际偏差率后，</w:t>
            </w:r>
            <w:r>
              <w:rPr>
                <w:rFonts w:ascii="宋体" w:hAnsi="宋体" w:cs="宋体" w:eastAsia="宋体" w:hint="default"/>
                <w:spacing w:val="-62"/>
                <w:sz w:val="18"/>
                <w:szCs w:val="18"/>
              </w:rPr>
              <w:t> </w:t>
            </w:r>
            <w:r>
              <w:rPr>
                <w:rFonts w:ascii="宋体" w:hAnsi="宋体" w:cs="宋体" w:eastAsia="宋体" w:hint="default"/>
                <w:sz w:val="18"/>
                <w:szCs w:val="18"/>
              </w:rPr>
              <w:t>营业收入</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%&gt;</w:t>
            </w:r>
            <w:r>
              <w:rPr>
                <w:rFonts w:ascii="宋体" w:hAnsi="宋体" w:cs="宋体" w:eastAsia="宋体" w:hint="default"/>
                <w:sz w:val="18"/>
                <w:szCs w:val="18"/>
              </w:rPr>
              <w:t>缺陷≥营 业收入</w:t>
            </w:r>
            <w:r>
              <w:rPr>
                <w:rFonts w:ascii="宋体" w:hAnsi="宋体" w:cs="宋体" w:eastAsia="宋体" w:hint="default"/>
                <w:spacing w:val="-46"/>
                <w:sz w:val="18"/>
                <w:szCs w:val="18"/>
              </w:rPr>
              <w:t> </w:t>
            </w:r>
            <w:r>
              <w:rPr>
                <w:rFonts w:ascii="宋体" w:hAnsi="宋体" w:cs="宋体" w:eastAsia="宋体" w:hint="default"/>
                <w:sz w:val="18"/>
                <w:szCs w:val="18"/>
              </w:rPr>
              <w:t>0.25%</w:t>
            </w:r>
            <w:r>
              <w:rPr>
                <w:rFonts w:ascii="宋体" w:hAnsi="宋体" w:cs="宋体" w:eastAsia="宋体" w:hint="default"/>
                <w:sz w:val="18"/>
                <w:szCs w:val="18"/>
              </w:rPr>
              <w:t>、一般缺陷：考虑补偿性控 制措施和实际偏差率后，</w:t>
            </w:r>
            <w:r>
              <w:rPr>
                <w:rFonts w:ascii="宋体" w:hAnsi="宋体" w:cs="宋体" w:eastAsia="宋体" w:hint="default"/>
                <w:spacing w:val="-45"/>
                <w:sz w:val="18"/>
                <w:szCs w:val="18"/>
              </w:rPr>
              <w:t> </w:t>
            </w:r>
            <w:r>
              <w:rPr>
                <w:rFonts w:ascii="宋体" w:hAnsi="宋体" w:cs="宋体" w:eastAsia="宋体" w:hint="default"/>
                <w:sz w:val="18"/>
                <w:szCs w:val="18"/>
              </w:rPr>
              <w:t>缺陷</w:t>
            </w:r>
            <w:r>
              <w:rPr>
                <w:rFonts w:ascii="宋体" w:hAnsi="宋体" w:cs="宋体" w:eastAsia="宋体" w:hint="default"/>
                <w:sz w:val="18"/>
                <w:szCs w:val="18"/>
              </w:rPr>
              <w:t>&lt;</w:t>
            </w:r>
            <w:r>
              <w:rPr>
                <w:rFonts w:ascii="宋体" w:hAnsi="宋体" w:cs="宋体" w:eastAsia="宋体" w:hint="default"/>
                <w:sz w:val="18"/>
                <w:szCs w:val="18"/>
              </w:rPr>
              <w:t>营业收入 </w:t>
            </w:r>
            <w:r>
              <w:rPr>
                <w:rFonts w:ascii="宋体" w:hAnsi="宋体" w:cs="宋体" w:eastAsia="宋体" w:hint="default"/>
                <w:sz w:val="18"/>
                <w:szCs w:val="18"/>
              </w:rPr>
              <w:t>0.25%</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6"/>
              <w:jc w:val="both"/>
              <w:rPr>
                <w:rFonts w:ascii="宋体" w:hAnsi="宋体" w:cs="宋体" w:eastAsia="宋体" w:hint="default"/>
                <w:sz w:val="18"/>
                <w:szCs w:val="18"/>
              </w:rPr>
            </w:pPr>
            <w:r>
              <w:rPr>
                <w:rFonts w:ascii="宋体" w:hAnsi="宋体" w:cs="宋体" w:eastAsia="宋体" w:hint="default"/>
                <w:spacing w:val="6"/>
                <w:sz w:val="18"/>
                <w:szCs w:val="18"/>
              </w:rPr>
              <w:t>公司确定的非财务报告内部控制缺陷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评价的定量标准是根据缺陷可能造成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公司直接财产损失的绝对金额或缺陷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潜在负面影响程度等因素确定的：</w:t>
            </w:r>
          </w:p>
          <w:p>
            <w:pPr>
              <w:pStyle w:val="TableParagraph"/>
              <w:spacing w:line="240" w:lineRule="auto" w:before="58"/>
              <w:ind w:left="22" w:right="0"/>
              <w:jc w:val="both"/>
              <w:rPr>
                <w:rFonts w:ascii="宋体" w:hAnsi="宋体" w:cs="宋体" w:eastAsia="宋体" w:hint="default"/>
                <w:sz w:val="18"/>
                <w:szCs w:val="18"/>
              </w:rPr>
            </w:pPr>
            <w:r>
              <w:rPr>
                <w:rFonts w:ascii="宋体" w:hAnsi="宋体" w:cs="宋体" w:eastAsia="宋体" w:hint="default"/>
                <w:sz w:val="18"/>
                <w:szCs w:val="18"/>
              </w:rPr>
              <w:t>重大缺陷：</w:t>
            </w:r>
          </w:p>
          <w:p>
            <w:pPr>
              <w:pStyle w:val="TableParagraph"/>
              <w:spacing w:line="319" w:lineRule="auto" w:before="116"/>
              <w:ind w:left="22" w:right="-21"/>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w:t>
            </w:r>
            <w:r>
              <w:rPr>
                <w:rFonts w:ascii="宋体" w:hAnsi="宋体" w:cs="宋体" w:eastAsia="宋体" w:hint="default"/>
                <w:spacing w:val="-47"/>
                <w:sz w:val="18"/>
                <w:szCs w:val="18"/>
              </w:rPr>
              <w:t> </w:t>
            </w:r>
            <w:r>
              <w:rPr>
                <w:rFonts w:ascii="宋体" w:hAnsi="宋体" w:cs="宋体" w:eastAsia="宋体" w:hint="default"/>
                <w:sz w:val="18"/>
                <w:szCs w:val="18"/>
              </w:rPr>
              <w:t>直</w:t>
            </w:r>
            <w:r>
              <w:rPr>
                <w:rFonts w:ascii="宋体" w:hAnsi="宋体" w:cs="宋体" w:eastAsia="宋体" w:hint="default"/>
                <w:spacing w:val="-47"/>
                <w:sz w:val="18"/>
                <w:szCs w:val="18"/>
              </w:rPr>
              <w:t> </w:t>
            </w:r>
            <w:r>
              <w:rPr>
                <w:rFonts w:ascii="宋体" w:hAnsi="宋体" w:cs="宋体" w:eastAsia="宋体" w:hint="default"/>
                <w:sz w:val="18"/>
                <w:szCs w:val="18"/>
              </w:rPr>
              <w:t>接</w:t>
            </w:r>
            <w:r>
              <w:rPr>
                <w:rFonts w:ascii="宋体" w:hAnsi="宋体" w:cs="宋体" w:eastAsia="宋体" w:hint="default"/>
                <w:spacing w:val="-47"/>
                <w:sz w:val="18"/>
                <w:szCs w:val="18"/>
              </w:rPr>
              <w:t> </w:t>
            </w:r>
            <w:r>
              <w:rPr>
                <w:rFonts w:ascii="宋体" w:hAnsi="宋体" w:cs="宋体" w:eastAsia="宋体" w:hint="default"/>
                <w:sz w:val="18"/>
                <w:szCs w:val="18"/>
              </w:rPr>
              <w:t>财</w:t>
            </w:r>
            <w:r>
              <w:rPr>
                <w:rFonts w:ascii="宋体" w:hAnsi="宋体" w:cs="宋体" w:eastAsia="宋体" w:hint="default"/>
                <w:spacing w:val="-46"/>
                <w:sz w:val="18"/>
                <w:szCs w:val="18"/>
              </w:rPr>
              <w:t> </w:t>
            </w:r>
            <w:r>
              <w:rPr>
                <w:rFonts w:ascii="宋体" w:hAnsi="宋体" w:cs="宋体" w:eastAsia="宋体" w:hint="default"/>
                <w:sz w:val="18"/>
                <w:szCs w:val="18"/>
              </w:rPr>
              <w:t>产</w:t>
            </w:r>
            <w:r>
              <w:rPr>
                <w:rFonts w:ascii="宋体" w:hAnsi="宋体" w:cs="宋体" w:eastAsia="宋体" w:hint="default"/>
                <w:spacing w:val="-47"/>
                <w:sz w:val="18"/>
                <w:szCs w:val="18"/>
              </w:rPr>
              <w:t> </w:t>
            </w:r>
            <w:r>
              <w:rPr>
                <w:rFonts w:ascii="宋体" w:hAnsi="宋体" w:cs="宋体" w:eastAsia="宋体" w:hint="default"/>
                <w:sz w:val="18"/>
                <w:szCs w:val="18"/>
              </w:rPr>
              <w:t>损</w:t>
            </w:r>
            <w:r>
              <w:rPr>
                <w:rFonts w:ascii="宋体" w:hAnsi="宋体" w:cs="宋体" w:eastAsia="宋体" w:hint="default"/>
                <w:spacing w:val="-47"/>
                <w:sz w:val="18"/>
                <w:szCs w:val="18"/>
              </w:rPr>
              <w:t> </w:t>
            </w:r>
            <w:r>
              <w:rPr>
                <w:rFonts w:ascii="宋体" w:hAnsi="宋体" w:cs="宋体" w:eastAsia="宋体" w:hint="default"/>
                <w:sz w:val="18"/>
                <w:szCs w:val="18"/>
              </w:rPr>
              <w:t>失</w:t>
            </w:r>
            <w:r>
              <w:rPr>
                <w:rFonts w:ascii="宋体" w:hAnsi="宋体" w:cs="宋体" w:eastAsia="宋体" w:hint="default"/>
                <w:spacing w:val="-47"/>
                <w:sz w:val="18"/>
                <w:szCs w:val="18"/>
              </w:rPr>
              <w:t> </w:t>
            </w:r>
            <w:r>
              <w:rPr>
                <w:rFonts w:ascii="宋体" w:hAnsi="宋体" w:cs="宋体" w:eastAsia="宋体" w:hint="default"/>
                <w:sz w:val="18"/>
                <w:szCs w:val="18"/>
              </w:rPr>
              <w:t>达</w:t>
            </w:r>
            <w:r>
              <w:rPr>
                <w:rFonts w:ascii="宋体" w:hAnsi="宋体" w:cs="宋体" w:eastAsia="宋体" w:hint="default"/>
                <w:spacing w:val="-47"/>
                <w:sz w:val="18"/>
                <w:szCs w:val="18"/>
              </w:rPr>
              <w:t> </w:t>
            </w:r>
            <w:r>
              <w:rPr>
                <w:rFonts w:ascii="宋体" w:hAnsi="宋体" w:cs="宋体" w:eastAsia="宋体" w:hint="default"/>
                <w:sz w:val="18"/>
                <w:szCs w:val="18"/>
              </w:rPr>
              <w:t>到 </w:t>
            </w:r>
            <w:r>
              <w:rPr>
                <w:rFonts w:ascii="宋体" w:hAnsi="宋体" w:cs="宋体" w:eastAsia="宋体" w:hint="default"/>
                <w:sz w:val="18"/>
                <w:szCs w:val="18"/>
              </w:rPr>
              <w:t>400</w:t>
            </w:r>
            <w:r>
              <w:rPr>
                <w:rFonts w:ascii="宋体" w:hAnsi="宋体" w:cs="宋体" w:eastAsia="宋体" w:hint="default"/>
                <w:spacing w:val="43"/>
                <w:sz w:val="18"/>
                <w:szCs w:val="18"/>
              </w:rPr>
              <w:t> </w:t>
            </w:r>
            <w:r>
              <w:rPr>
                <w:rFonts w:ascii="宋体" w:hAnsi="宋体" w:cs="宋体" w:eastAsia="宋体" w:hint="default"/>
                <w:spacing w:val="21"/>
                <w:sz w:val="18"/>
                <w:szCs w:val="18"/>
              </w:rPr>
              <w:t>万元</w:t>
            </w:r>
            <w:r>
              <w:rPr>
                <w:rFonts w:ascii="宋体" w:hAnsi="宋体" w:cs="宋体" w:eastAsia="宋体" w:hint="default"/>
                <w:spacing w:val="-47"/>
                <w:sz w:val="18"/>
                <w:szCs w:val="18"/>
              </w:rPr>
              <w:t> </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以上。</w:t>
            </w:r>
            <w:r>
              <w:rPr>
                <w:rFonts w:ascii="宋体" w:hAnsi="宋体" w:cs="宋体" w:eastAsia="宋体" w:hint="default"/>
                <w:spacing w:val="-66"/>
                <w:sz w:val="18"/>
                <w:szCs w:val="18"/>
              </w:rPr>
              <w:t> </w:t>
            </w:r>
            <w:r>
              <w:rPr>
                <w:rFonts w:ascii="宋体" w:hAnsi="宋体" w:cs="宋体" w:eastAsia="宋体" w:hint="default"/>
                <w:spacing w:val="-3"/>
                <w:sz w:val="18"/>
                <w:szCs w:val="18"/>
              </w:rPr>
              <w:t>2</w:t>
            </w:r>
            <w:r>
              <w:rPr>
                <w:rFonts w:ascii="宋体" w:hAnsi="宋体" w:cs="宋体" w:eastAsia="宋体" w:hint="default"/>
                <w:spacing w:val="-3"/>
                <w:sz w:val="18"/>
                <w:szCs w:val="18"/>
              </w:rPr>
              <w:t>、潜在负面影响：</w:t>
            </w:r>
            <w:r>
              <w:rPr>
                <w:rFonts w:ascii="宋体" w:hAnsi="宋体" w:cs="宋体" w:eastAsia="宋体" w:hint="default"/>
                <w:spacing w:val="-66"/>
                <w:sz w:val="18"/>
                <w:szCs w:val="18"/>
              </w:rPr>
              <w:t> </w:t>
            </w:r>
            <w:r>
              <w:rPr>
                <w:rFonts w:ascii="宋体" w:hAnsi="宋体" w:cs="宋体" w:eastAsia="宋体" w:hint="default"/>
                <w:sz w:val="18"/>
                <w:szCs w:val="18"/>
              </w:rPr>
              <w:t>已经</w:t>
            </w:r>
            <w:r>
              <w:rPr>
                <w:rFonts w:ascii="宋体" w:hAnsi="宋体" w:cs="宋体" w:eastAsia="宋体" w:hint="default"/>
                <w:sz w:val="18"/>
                <w:szCs w:val="18"/>
              </w:rPr>
              <w:t> </w:t>
            </w:r>
            <w:r>
              <w:rPr>
                <w:rFonts w:ascii="宋体" w:hAnsi="宋体" w:cs="宋体" w:eastAsia="宋体" w:hint="default"/>
                <w:spacing w:val="6"/>
                <w:sz w:val="18"/>
                <w:szCs w:val="18"/>
              </w:rPr>
              <w:t>对外正式披露并对公司定期报告披露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造成负面影响；企业关键岗位人员流失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严重。</w:t>
            </w:r>
          </w:p>
          <w:p>
            <w:pPr>
              <w:pStyle w:val="TableParagraph"/>
              <w:spacing w:line="240" w:lineRule="auto" w:before="56"/>
              <w:ind w:left="22" w:right="0"/>
              <w:jc w:val="both"/>
              <w:rPr>
                <w:rFonts w:ascii="宋体" w:hAnsi="宋体" w:cs="宋体" w:eastAsia="宋体" w:hint="default"/>
                <w:sz w:val="18"/>
                <w:szCs w:val="18"/>
              </w:rPr>
            </w:pPr>
            <w:r>
              <w:rPr>
                <w:rFonts w:ascii="宋体" w:hAnsi="宋体" w:cs="宋体" w:eastAsia="宋体" w:hint="default"/>
                <w:sz w:val="18"/>
                <w:szCs w:val="18"/>
              </w:rPr>
              <w:t>重要缺陷：</w:t>
            </w:r>
          </w:p>
          <w:p>
            <w:pPr>
              <w:pStyle w:val="TableParagraph"/>
              <w:spacing w:line="240" w:lineRule="auto" w:before="115"/>
              <w:ind w:left="22" w:right="0"/>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、直接财产损失达到 </w:t>
            </w:r>
            <w:r>
              <w:rPr>
                <w:rFonts w:ascii="宋体" w:hAnsi="宋体" w:cs="宋体" w:eastAsia="宋体" w:hint="default"/>
                <w:sz w:val="18"/>
                <w:szCs w:val="18"/>
              </w:rPr>
              <w:t>100 </w:t>
            </w:r>
            <w:r>
              <w:rPr>
                <w:rFonts w:ascii="宋体" w:hAnsi="宋体" w:cs="宋体" w:eastAsia="宋体" w:hint="default"/>
                <w:spacing w:val="2"/>
                <w:sz w:val="18"/>
                <w:szCs w:val="18"/>
              </w:rPr>
              <w:t>万</w:t>
            </w:r>
            <w:r>
              <w:rPr>
                <w:rFonts w:ascii="宋体" w:hAnsi="宋体" w:cs="宋体" w:eastAsia="宋体" w:hint="default"/>
                <w:spacing w:val="2"/>
                <w:sz w:val="18"/>
                <w:szCs w:val="18"/>
              </w:rPr>
              <w:t>(</w:t>
            </w:r>
            <w:r>
              <w:rPr>
                <w:rFonts w:ascii="宋体" w:hAnsi="宋体" w:cs="宋体" w:eastAsia="宋体" w:hint="default"/>
                <w:spacing w:val="2"/>
                <w:sz w:val="18"/>
                <w:szCs w:val="18"/>
              </w:rPr>
              <w:t>含</w:t>
            </w:r>
            <w:r>
              <w:rPr>
                <w:rFonts w:ascii="宋体" w:hAnsi="宋体" w:cs="宋体" w:eastAsia="宋体" w:hint="default"/>
                <w:spacing w:val="2"/>
                <w:sz w:val="18"/>
                <w:szCs w:val="18"/>
              </w:rPr>
              <w:t>)</w:t>
            </w:r>
            <w:r>
              <w:rPr>
                <w:rFonts w:ascii="宋体" w:hAnsi="宋体" w:cs="宋体" w:eastAsia="宋体" w:hint="default"/>
                <w:spacing w:val="-27"/>
                <w:sz w:val="18"/>
                <w:szCs w:val="18"/>
              </w:rPr>
              <w:t> </w:t>
            </w:r>
            <w:r>
              <w:rPr>
                <w:rFonts w:ascii="宋体" w:hAnsi="宋体" w:cs="宋体" w:eastAsia="宋体" w:hint="default"/>
                <w:sz w:val="18"/>
                <w:szCs w:val="18"/>
              </w:rPr>
              <w:t>--</w:t>
            </w:r>
          </w:p>
          <w:p>
            <w:pPr>
              <w:pStyle w:val="TableParagraph"/>
              <w:spacing w:line="319" w:lineRule="auto" w:before="76"/>
              <w:ind w:left="22" w:right="20"/>
              <w:jc w:val="both"/>
              <w:rPr>
                <w:rFonts w:ascii="宋体" w:hAnsi="宋体" w:cs="宋体" w:eastAsia="宋体" w:hint="default"/>
                <w:sz w:val="18"/>
                <w:szCs w:val="18"/>
              </w:rPr>
            </w:pPr>
            <w:r>
              <w:rPr>
                <w:rFonts w:ascii="宋体" w:hAnsi="宋体" w:cs="宋体" w:eastAsia="宋体" w:hint="default"/>
                <w:sz w:val="18"/>
                <w:szCs w:val="18"/>
              </w:rPr>
              <w:t>400 </w:t>
            </w:r>
            <w:r>
              <w:rPr>
                <w:rFonts w:ascii="宋体" w:hAnsi="宋体" w:cs="宋体" w:eastAsia="宋体" w:hint="default"/>
                <w:sz w:val="18"/>
                <w:szCs w:val="18"/>
              </w:rPr>
              <w:t>万元。</w:t>
            </w:r>
            <w:r>
              <w:rPr>
                <w:rFonts w:ascii="宋体" w:hAnsi="宋体" w:cs="宋体" w:eastAsia="宋体" w:hint="default"/>
                <w:spacing w:val="-65"/>
                <w:sz w:val="18"/>
                <w:szCs w:val="18"/>
              </w:rPr>
              <w:t> </w:t>
            </w:r>
            <w:r>
              <w:rPr>
                <w:rFonts w:ascii="宋体" w:hAnsi="宋体" w:cs="宋体" w:eastAsia="宋体" w:hint="default"/>
                <w:sz w:val="18"/>
                <w:szCs w:val="18"/>
              </w:rPr>
              <w:t>2</w:t>
            </w:r>
            <w:r>
              <w:rPr>
                <w:rFonts w:ascii="宋体" w:hAnsi="宋体" w:cs="宋体" w:eastAsia="宋体" w:hint="default"/>
                <w:sz w:val="18"/>
                <w:szCs w:val="18"/>
              </w:rPr>
              <w:t>、潜在负面影响：受到国 </w:t>
            </w:r>
            <w:r>
              <w:rPr>
                <w:rFonts w:ascii="宋体" w:hAnsi="宋体" w:cs="宋体" w:eastAsia="宋体" w:hint="default"/>
                <w:spacing w:val="-4"/>
                <w:sz w:val="18"/>
                <w:szCs w:val="18"/>
              </w:rPr>
              <w:t>家政府部门处罚，但未对公司定期报告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披露造成负面影响。</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270"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BodyText"/>
        <w:spacing w:line="240" w:lineRule="auto" w:before="44"/>
        <w:ind w:left="0" w:right="1138"/>
        <w:jc w:val="right"/>
      </w:pPr>
      <w:r>
        <w:rPr/>
        <w:pict>
          <v:shape style="position:absolute;margin-left:56.459999pt;margin-top:-16.448271pt;width:479.2pt;height:163.4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165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一般缺陷：</w:t>
                        </w:r>
                      </w:p>
                      <w:p>
                        <w:pPr>
                          <w:pStyle w:val="TableParagraph"/>
                          <w:spacing w:line="319" w:lineRule="auto" w:before="116"/>
                          <w:ind w:left="22" w:right="2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、直接财产损失在</w:t>
                        </w:r>
                        <w:r>
                          <w:rPr>
                            <w:rFonts w:ascii="宋体" w:hAnsi="宋体" w:cs="宋体" w:eastAsia="宋体" w:hint="default"/>
                            <w:spacing w:val="-48"/>
                            <w:sz w:val="18"/>
                            <w:szCs w:val="18"/>
                          </w:rPr>
                          <w:t> </w:t>
                        </w:r>
                        <w:r>
                          <w:rPr>
                            <w:rFonts w:ascii="宋体" w:hAnsi="宋体" w:cs="宋体" w:eastAsia="宋体" w:hint="default"/>
                            <w:sz w:val="18"/>
                            <w:szCs w:val="18"/>
                          </w:rPr>
                          <w:t>100</w:t>
                        </w:r>
                        <w:r>
                          <w:rPr>
                            <w:rFonts w:ascii="宋体" w:hAnsi="宋体" w:cs="宋体" w:eastAsia="宋体" w:hint="default"/>
                            <w:spacing w:val="-48"/>
                            <w:sz w:val="18"/>
                            <w:szCs w:val="18"/>
                          </w:rPr>
                          <w:t> </w:t>
                        </w:r>
                        <w:r>
                          <w:rPr>
                            <w:rFonts w:ascii="宋体" w:hAnsi="宋体" w:cs="宋体" w:eastAsia="宋体" w:hint="default"/>
                            <w:sz w:val="18"/>
                            <w:szCs w:val="18"/>
                          </w:rPr>
                          <w:t>万元以下。</w:t>
                        </w:r>
                        <w:r>
                          <w:rPr>
                            <w:rFonts w:ascii="宋体" w:hAnsi="宋体" w:cs="宋体" w:eastAsia="宋体" w:hint="default"/>
                            <w:spacing w:val="-56"/>
                            <w:sz w:val="18"/>
                            <w:szCs w:val="18"/>
                          </w:rPr>
                          <w:t> </w:t>
                        </w:r>
                        <w:r>
                          <w:rPr>
                            <w:rFonts w:ascii="宋体" w:hAnsi="宋体" w:cs="宋体" w:eastAsia="宋体" w:hint="default"/>
                            <w:sz w:val="18"/>
                            <w:szCs w:val="18"/>
                          </w:rPr>
                          <w:t>2 </w:t>
                        </w:r>
                        <w:r>
                          <w:rPr>
                            <w:rFonts w:ascii="宋体" w:hAnsi="宋体" w:cs="宋体" w:eastAsia="宋体" w:hint="default"/>
                            <w:spacing w:val="-4"/>
                            <w:sz w:val="18"/>
                            <w:szCs w:val="18"/>
                          </w:rPr>
                          <w:t>潜在负面影响：受到省级（含省级）以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下政府部门处罚，但未对公司定期报告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披露造成负面影响。</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before="26"/>
        <w:ind w:left="1134" w:right="821"/>
        <w:jc w:val="left"/>
        <w:rPr>
          <w:b w:val="0"/>
          <w:bCs w:val="0"/>
        </w:rPr>
      </w:pPr>
      <w:bookmarkStart w:name="十、内部控制审计报告或鉴证报告" w:id="143"/>
      <w:bookmarkEnd w:id="143"/>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21"/>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我们认为，贵公司于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日按照《企业内部控制基本规范》和相关规定在所有重大方面保持了有效的财务报 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821"/>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8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4"/>
        <w:jc w:val="center"/>
        <w:rPr>
          <w:b w:val="0"/>
          <w:bCs w:val="0"/>
        </w:rPr>
      </w:pPr>
      <w:bookmarkStart w:name="第十节 财务报告" w:id="144"/>
      <w:bookmarkEnd w:id="144"/>
      <w:r>
        <w:rPr>
          <w:b w:val="0"/>
          <w:bCs w:val="0"/>
        </w:rPr>
      </w:r>
      <w:bookmarkStart w:name="_bookmark8" w:id="145"/>
      <w:bookmarkEnd w:id="145"/>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21"/>
        <w:jc w:val="left"/>
        <w:rPr>
          <w:b w:val="0"/>
          <w:bCs w:val="0"/>
        </w:rPr>
      </w:pPr>
      <w:bookmarkStart w:name="一、审计报告" w:id="146"/>
      <w:bookmarkEnd w:id="14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XYZH/2016BJA10271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唐炫、唐静</w:t>
            </w:r>
          </w:p>
        </w:tc>
      </w:tr>
    </w:tbl>
    <w:p>
      <w:pPr>
        <w:pStyle w:val="Heading4"/>
        <w:spacing w:line="240" w:lineRule="auto"/>
        <w:ind w:right="1113"/>
        <w:jc w:val="center"/>
        <w:rPr>
          <w:b w:val="0"/>
          <w:bCs w:val="0"/>
        </w:rPr>
      </w:pPr>
      <w:r>
        <w:rPr/>
        <w:t>审计报告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30"/>
        <w:jc w:val="right"/>
        <w:rPr>
          <w:rFonts w:ascii="宋体" w:hAnsi="宋体" w:cs="宋体" w:eastAsia="宋体" w:hint="default"/>
        </w:rPr>
      </w:pPr>
      <w:r>
        <w:rPr>
          <w:rFonts w:ascii="宋体"/>
        </w:rPr>
        <w:t>XYZH/2016BJA10271</w:t>
      </w:r>
    </w:p>
    <w:p>
      <w:pPr>
        <w:pStyle w:val="Heading4"/>
        <w:spacing w:line="240" w:lineRule="auto" w:before="117"/>
        <w:ind w:left="1133" w:right="821"/>
        <w:jc w:val="left"/>
        <w:rPr>
          <w:b w:val="0"/>
          <w:bCs w:val="0"/>
        </w:rPr>
      </w:pPr>
      <w:r>
        <w:rPr/>
        <w:t>北京合纵科技股份有限公司全体股东：</w:t>
      </w:r>
      <w:r>
        <w:rPr>
          <w:b w:val="0"/>
          <w:bCs w:val="0"/>
        </w:rPr>
      </w:r>
    </w:p>
    <w:p>
      <w:pPr>
        <w:spacing w:line="240" w:lineRule="auto" w:before="10"/>
        <w:rPr>
          <w:rFonts w:ascii="宋体" w:hAnsi="宋体" w:cs="宋体" w:eastAsia="宋体" w:hint="default"/>
          <w:b/>
          <w:bCs/>
          <w:sz w:val="20"/>
          <w:szCs w:val="20"/>
        </w:rPr>
      </w:pPr>
    </w:p>
    <w:p>
      <w:pPr>
        <w:pStyle w:val="BodyText"/>
        <w:spacing w:line="316" w:lineRule="auto" w:before="44"/>
        <w:ind w:right="821" w:firstLine="440"/>
        <w:jc w:val="left"/>
      </w:pPr>
      <w:r>
        <w:rPr/>
        <w:t>我们审计了后附的北京合纵科技股份有限公司（以下简称合纵科技）财务报表，包括</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日的合并及母公司 </w:t>
      </w:r>
      <w:r>
        <w:rPr>
          <w:spacing w:val="-4"/>
        </w:rPr>
        <w:t>资产负债表，</w:t>
      </w:r>
      <w:r>
        <w:rPr>
          <w:rFonts w:ascii="宋体" w:hAnsi="宋体" w:cs="宋体" w:eastAsia="宋体" w:hint="default"/>
          <w:spacing w:val="-4"/>
        </w:rPr>
        <w:t>2015</w:t>
      </w:r>
      <w:r>
        <w:rPr>
          <w:spacing w:val="-4"/>
        </w:rPr>
        <w:t>年度的合并及母公司利润表、合并及母公司现金流量表、合并及母公司股东权益变动表以及财务报表附注。</w:t>
      </w:r>
    </w:p>
    <w:p>
      <w:pPr>
        <w:spacing w:line="552" w:lineRule="exact" w:before="27"/>
        <w:ind w:left="1574" w:right="821" w:hanging="11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编制和公允列报财务报表是合纵科技管理层的责任，这种责任包括：（</w:t>
      </w:r>
      <w:r>
        <w:rPr>
          <w:rFonts w:ascii="宋体" w:hAnsi="宋体" w:cs="宋体" w:eastAsia="宋体" w:hint="default"/>
          <w:spacing w:val="-2"/>
          <w:sz w:val="18"/>
          <w:szCs w:val="18"/>
        </w:rPr>
        <w:t>1</w:t>
      </w:r>
      <w:r>
        <w:rPr>
          <w:rFonts w:ascii="宋体" w:hAnsi="宋体" w:cs="宋体" w:eastAsia="宋体" w:hint="default"/>
          <w:spacing w:val="-2"/>
          <w:sz w:val="18"/>
          <w:szCs w:val="18"/>
        </w:rPr>
        <w:t>）按照企业会计准则的规定编制财务报表，并</w:t>
      </w:r>
    </w:p>
    <w:p>
      <w:pPr>
        <w:pStyle w:val="BodyText"/>
        <w:spacing w:line="561" w:lineRule="auto"/>
        <w:ind w:left="1465" w:right="821" w:hanging="332"/>
        <w:jc w:val="left"/>
        <w:rPr>
          <w:rFonts w:ascii="宋体" w:hAnsi="宋体" w:cs="宋体" w:eastAsia="宋体" w:hint="default"/>
        </w:rPr>
      </w:pPr>
      <w:r>
        <w:rPr/>
        <w:t>使其实现公允反映；（</w:t>
      </w:r>
      <w:r>
        <w:rPr>
          <w:rFonts w:ascii="宋体" w:hAnsi="宋体" w:cs="宋体" w:eastAsia="宋体"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rPr>
      </w:r>
    </w:p>
    <w:p>
      <w:pPr>
        <w:pStyle w:val="BodyText"/>
        <w:spacing w:line="316" w:lineRule="auto" w:before="75"/>
        <w:ind w:right="1131" w:firstLine="440"/>
        <w:jc w:val="both"/>
      </w:pPr>
      <w:r>
        <w:rPr/>
        <w:t>我们的责任是在执行审计工作的基础上对财务报表发表审计意见。我们按照中国注册会计师审计准则的规定执行了审 </w:t>
      </w:r>
      <w:r>
        <w:rPr>
          <w:spacing w:val="-2"/>
        </w:rPr>
        <w:t>计工作。中国注册会计师审计准则要求我们遵守职业道德守则，计划和执行审计工作以对财务报表是否不存在重大错报获取</w:t>
      </w:r>
      <w:r>
        <w:rPr>
          <w:spacing w:val="-64"/>
        </w:rPr>
        <w:t> </w:t>
      </w:r>
      <w:r>
        <w:rPr>
          <w:spacing w:val="-64"/>
        </w:rPr>
      </w:r>
      <w:r>
        <w:rPr/>
        <w:t>合理保证。</w:t>
      </w:r>
    </w:p>
    <w:p>
      <w:pPr>
        <w:spacing w:line="240" w:lineRule="auto" w:before="10"/>
        <w:rPr>
          <w:rFonts w:ascii="宋体" w:hAnsi="宋体" w:cs="宋体" w:eastAsia="宋体" w:hint="default"/>
          <w:sz w:val="19"/>
          <w:szCs w:val="19"/>
        </w:rPr>
      </w:pPr>
    </w:p>
    <w:p>
      <w:pPr>
        <w:pStyle w:val="BodyText"/>
        <w:spacing w:line="316" w:lineRule="auto"/>
        <w:ind w:left="1134" w:right="1032" w:firstLine="440"/>
        <w:jc w:val="left"/>
      </w:pPr>
      <w:r>
        <w:rPr>
          <w:spacing w:val="-2"/>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spacing w:line="240" w:lineRule="auto" w:before="10"/>
        <w:rPr>
          <w:rFonts w:ascii="宋体" w:hAnsi="宋体" w:cs="宋体" w:eastAsia="宋体" w:hint="default"/>
          <w:sz w:val="19"/>
          <w:szCs w:val="19"/>
        </w:rPr>
      </w:pPr>
    </w:p>
    <w:p>
      <w:pPr>
        <w:pStyle w:val="BodyText"/>
        <w:spacing w:line="561" w:lineRule="auto"/>
        <w:ind w:left="1644" w:right="4012" w:hanging="70"/>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3.</w:t>
      </w:r>
      <w:r>
        <w:rPr>
          <w:rFonts w:ascii="宋体" w:hAnsi="宋体" w:cs="宋体" w:eastAsia="宋体" w:hint="default"/>
          <w:b/>
          <w:bCs/>
          <w:spacing w:val="86"/>
        </w:rPr>
        <w:t> </w:t>
      </w:r>
      <w:r>
        <w:rPr>
          <w:rFonts w:ascii="宋体" w:hAnsi="宋体" w:cs="宋体" w:eastAsia="宋体" w:hint="default"/>
          <w:b/>
          <w:bCs/>
        </w:rPr>
        <w:t>审计意见</w:t>
      </w:r>
      <w:r>
        <w:rPr>
          <w:rFonts w:ascii="宋体" w:hAnsi="宋体" w:cs="宋体" w:eastAsia="宋体" w:hint="default"/>
        </w:rPr>
      </w:r>
    </w:p>
    <w:p>
      <w:pPr>
        <w:spacing w:line="240" w:lineRule="auto" w:before="4"/>
        <w:rPr>
          <w:rFonts w:ascii="宋体" w:hAnsi="宋体" w:cs="宋体" w:eastAsia="宋体" w:hint="default"/>
          <w:b/>
          <w:bCs/>
          <w:sz w:val="17"/>
          <w:szCs w:val="17"/>
        </w:rPr>
      </w:pPr>
    </w:p>
    <w:p>
      <w:pPr>
        <w:pStyle w:val="BodyText"/>
        <w:spacing w:line="319" w:lineRule="auto"/>
        <w:ind w:right="1119" w:firstLine="330"/>
        <w:jc w:val="left"/>
      </w:pPr>
      <w:r>
        <w:rPr>
          <w:spacing w:val="-1"/>
        </w:rPr>
        <w:t>我们认为，合纵科技财务报表在所有重大方面按照企业会计准则的规定编制，公允反映了合纵科技</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w:t>
      </w:r>
      <w:r>
        <w:rPr/>
        <w:t> 并及母公司财务状况以及</w:t>
      </w:r>
      <w:r>
        <w:rPr>
          <w:rFonts w:ascii="宋体" w:hAnsi="宋体" w:cs="宋体" w:eastAsia="宋体" w:hint="default"/>
        </w:rPr>
        <w:t>2015</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tbl>
      <w:tblPr>
        <w:tblW w:w="0" w:type="auto"/>
        <w:jc w:val="left"/>
        <w:tblInd w:w="1451" w:type="dxa"/>
        <w:tblLayout w:type="fixed"/>
        <w:tblCellMar>
          <w:top w:w="0" w:type="dxa"/>
          <w:left w:w="0" w:type="dxa"/>
          <w:bottom w:w="0" w:type="dxa"/>
          <w:right w:w="0" w:type="dxa"/>
        </w:tblCellMar>
        <w:tblLook w:val="01E0"/>
      </w:tblPr>
      <w:tblGrid>
        <w:gridCol w:w="4047"/>
        <w:gridCol w:w="2607"/>
      </w:tblGrid>
      <w:tr>
        <w:trPr>
          <w:trHeight w:val="180" w:hRule="exact"/>
        </w:trPr>
        <w:tc>
          <w:tcPr>
            <w:tcW w:w="4047"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c>
          <w:tcPr>
            <w:tcW w:w="2607" w:type="dxa"/>
            <w:tcBorders>
              <w:top w:val="nil" w:sz="6" w:space="0" w:color="auto"/>
              <w:left w:val="nil" w:sz="6" w:space="0" w:color="auto"/>
              <w:bottom w:val="nil" w:sz="6" w:space="0" w:color="auto"/>
              <w:right w:val="nil" w:sz="6" w:space="0" w:color="auto"/>
            </w:tcBorders>
          </w:tcPr>
          <w:p>
            <w:pPr>
              <w:pStyle w:val="TableParagraph"/>
              <w:spacing w:line="180" w:lineRule="exact"/>
              <w:ind w:left="607" w:right="0"/>
              <w:jc w:val="left"/>
              <w:rPr>
                <w:rFonts w:ascii="宋体" w:hAnsi="宋体" w:cs="宋体" w:eastAsia="宋体" w:hint="default"/>
                <w:sz w:val="18"/>
                <w:szCs w:val="18"/>
              </w:rPr>
            </w:pPr>
            <w:r>
              <w:rPr>
                <w:rFonts w:ascii="宋体" w:hAnsi="宋体" w:cs="宋体" w:eastAsia="宋体" w:hint="default"/>
                <w:sz w:val="18"/>
                <w:szCs w:val="18"/>
              </w:rPr>
              <w:t>中国注册会计师：唐炫</w:t>
            </w:r>
          </w:p>
        </w:tc>
      </w:tr>
    </w:tbl>
    <w:p>
      <w:pPr>
        <w:spacing w:after="0" w:line="180" w:lineRule="exact"/>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tbl>
      <w:tblPr>
        <w:tblW w:w="0" w:type="auto"/>
        <w:jc w:val="left"/>
        <w:tblInd w:w="2681" w:type="dxa"/>
        <w:tblLayout w:type="fixed"/>
        <w:tblCellMar>
          <w:top w:w="0" w:type="dxa"/>
          <w:left w:w="0" w:type="dxa"/>
          <w:bottom w:w="0" w:type="dxa"/>
          <w:right w:w="0" w:type="dxa"/>
        </w:tblCellMar>
        <w:tblLook w:val="01E0"/>
      </w:tblPr>
      <w:tblGrid>
        <w:gridCol w:w="2202"/>
        <w:gridCol w:w="3222"/>
      </w:tblGrid>
      <w:tr>
        <w:trPr>
          <w:trHeight w:val="502" w:hRule="exact"/>
        </w:trPr>
        <w:tc>
          <w:tcPr>
            <w:tcW w:w="2202"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hAnsi="宋体" w:cs="宋体" w:eastAsia="宋体" w:hint="default"/>
                <w:sz w:val="18"/>
                <w:szCs w:val="18"/>
              </w:rPr>
              <w:t>中国注册会计师：唐静</w:t>
            </w:r>
          </w:p>
        </w:tc>
      </w:tr>
      <w:tr>
        <w:trPr>
          <w:trHeight w:val="502"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30"/>
                <w:sz w:val="18"/>
                <w:szCs w:val="18"/>
              </w:rPr>
              <w:t> </w:t>
            </w:r>
            <w:r>
              <w:rPr>
                <w:rFonts w:ascii="宋体" w:hAnsi="宋体" w:cs="宋体" w:eastAsia="宋体" w:hint="default"/>
                <w:sz w:val="18"/>
                <w:szCs w:val="18"/>
              </w:rPr>
              <w:t>北京</w:t>
            </w: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二○一六年四月十五日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left="1134" w:right="821"/>
        <w:jc w:val="left"/>
        <w:rPr>
          <w:b w:val="0"/>
          <w:bCs w:val="0"/>
        </w:rPr>
      </w:pPr>
      <w:bookmarkStart w:name="二、财务报表" w:id="147"/>
      <w:bookmarkEnd w:id="14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21"/>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821"/>
        <w:jc w:val="left"/>
        <w:rPr>
          <w:b w:val="0"/>
          <w:bCs w:val="0"/>
        </w:rPr>
      </w:pPr>
      <w:bookmarkStart w:name="1、合并资产负债表" w:id="148"/>
      <w:bookmarkEnd w:id="14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0" w:right="0"/>
        </w:sectPr>
      </w:pPr>
    </w:p>
    <w:p>
      <w:pPr>
        <w:pStyle w:val="BodyText"/>
        <w:spacing w:line="240" w:lineRule="auto" w:before="44"/>
        <w:ind w:right="-19"/>
        <w:jc w:val="left"/>
      </w:pPr>
      <w:r>
        <w:rPr/>
        <w:t>编制单位：北京合纵科技股份有限公司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977" w:right="-17"/>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195" w:space="40"/>
            <w:col w:w="2462" w:space="2223"/>
            <w:col w:w="2990"/>
          </w:cols>
        </w:sectPr>
      </w:pPr>
    </w:p>
    <w:p>
      <w:pPr>
        <w:spacing w:line="240" w:lineRule="auto" w:before="13"/>
        <w:rPr>
          <w:rFonts w:ascii="宋体" w:hAnsi="宋体" w:cs="宋体" w:eastAsia="宋体" w:hint="default"/>
          <w:sz w:val="7"/>
          <w:szCs w:val="7"/>
        </w:rPr>
      </w:pPr>
    </w:p>
    <w:tbl>
      <w:tblPr>
        <w:tblW w:w="0" w:type="auto"/>
        <w:jc w:val="left"/>
        <w:tblInd w:w="1164" w:type="dxa"/>
        <w:tblLayout w:type="fixed"/>
        <w:tblCellMar>
          <w:top w:w="0" w:type="dxa"/>
          <w:left w:w="0" w:type="dxa"/>
          <w:bottom w:w="0" w:type="dxa"/>
          <w:right w:w="0" w:type="dxa"/>
        </w:tblCellMar>
        <w:tblLook w:val="01E0"/>
      </w:tblPr>
      <w:tblGrid>
        <w:gridCol w:w="2968"/>
        <w:gridCol w:w="3300"/>
        <w:gridCol w:w="3302"/>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370,582,166.10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280,149,746.82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16,565,397.00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546,854,490.71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371,833,763.34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17,541,352.13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15,416,136.79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26,850,237.16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19,275,882.26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167,601,932.33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179,982,695.67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1,562,960.88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664,510.43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4" w:type="dxa"/>
        <w:tblLayout w:type="fixed"/>
        <w:tblCellMar>
          <w:top w:w="0" w:type="dxa"/>
          <w:left w:w="0" w:type="dxa"/>
          <w:bottom w:w="0" w:type="dxa"/>
          <w:right w:w="0" w:type="dxa"/>
        </w:tblCellMar>
        <w:tblLook w:val="01E0"/>
      </w:tblPr>
      <w:tblGrid>
        <w:gridCol w:w="2968"/>
        <w:gridCol w:w="3300"/>
        <w:gridCol w:w="3302"/>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1,147,558,536.31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867,322,735.31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76,863,220.74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68,253,213.43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202,856,057.23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22,399,569.13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97,640,382.68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27,996,080.43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30,320,411.50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1,376,450.30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2,244,195.29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7,226,071.90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5,746,319.89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469,500.00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416,752,094.35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126,639,378.17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1,564,310,630.66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993,962,113.48</w:t>
            </w:r>
          </w:p>
        </w:tc>
      </w:tr>
      <w:tr>
        <w:trPr>
          <w:trHeight w:val="402" w:hRule="exact"/>
        </w:trPr>
        <w:tc>
          <w:tcPr>
            <w:tcW w:w="296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10" w:space="0" w:color="D9D9D9"/>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224,822,974.00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154,590,000.00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467,741,195.78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291,087,338.72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10,321,058.03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14,540,632.52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75" w:type="dxa"/>
        <w:tblLayout w:type="fixed"/>
        <w:tblCellMar>
          <w:top w:w="0" w:type="dxa"/>
          <w:left w:w="0" w:type="dxa"/>
          <w:bottom w:w="0" w:type="dxa"/>
          <w:right w:w="0" w:type="dxa"/>
        </w:tblCellMar>
        <w:tblLook w:val="01E0"/>
      </w:tblPr>
      <w:tblGrid>
        <w:gridCol w:w="2945"/>
        <w:gridCol w:w="3312"/>
        <w:gridCol w:w="3302"/>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15,357,884.80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10,833,629.13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34,955,277.18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27,755,727.48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77,833.34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131,533.33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11,758,819.11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4,425,680.74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815,035,042.24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568,364,541.92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13,756,171.78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5,003,720.28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13,756,171.78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5,003,720.28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828,791,214.02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573,368,262.20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108,180,000.00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82,180,000.00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237,676,121.67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19,525,625.19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4" w:type="dxa"/>
        <w:tblLayout w:type="fixed"/>
        <w:tblCellMar>
          <w:top w:w="0" w:type="dxa"/>
          <w:left w:w="0" w:type="dxa"/>
          <w:bottom w:w="0" w:type="dxa"/>
          <w:right w:w="0" w:type="dxa"/>
        </w:tblCellMar>
        <w:tblLook w:val="01E0"/>
      </w:tblPr>
      <w:tblGrid>
        <w:gridCol w:w="2968"/>
        <w:gridCol w:w="3300"/>
        <w:gridCol w:w="3302"/>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33,444,269.58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28,506,412.90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353,455,620.74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287,334,009.32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732,756,011.99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417,546,047.41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2,763,404.65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3,047,803.87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735,519,416.64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420,593,851.28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1,564,310,630.66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993,962,113.48</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before="44"/>
        <w:ind w:left="0" w:right="1229"/>
        <w:jc w:val="right"/>
      </w:pPr>
      <w:r>
        <w:rPr/>
        <w:t>法定代表人：刘泽刚</w:t>
        <w:tab/>
        <w:t>主管会计工作负责人：韦强</w:t>
        <w:tab/>
        <w:t>会计机构负责人：张晓屹</w:t>
      </w:r>
    </w:p>
    <w:p>
      <w:pPr>
        <w:spacing w:line="240" w:lineRule="auto" w:before="11"/>
        <w:rPr>
          <w:rFonts w:ascii="宋体" w:hAnsi="宋体" w:cs="宋体" w:eastAsia="宋体" w:hint="default"/>
          <w:sz w:val="26"/>
          <w:szCs w:val="26"/>
        </w:rPr>
      </w:pPr>
    </w:p>
    <w:p>
      <w:pPr>
        <w:pStyle w:val="Heading3"/>
        <w:spacing w:line="240" w:lineRule="auto"/>
        <w:ind w:right="821"/>
        <w:jc w:val="left"/>
        <w:rPr>
          <w:b w:val="0"/>
          <w:bCs w:val="0"/>
        </w:rPr>
      </w:pPr>
      <w:bookmarkStart w:name="2、母公司资产负债表" w:id="149"/>
      <w:bookmarkEnd w:id="14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64" w:type="dxa"/>
        <w:tblLayout w:type="fixed"/>
        <w:tblCellMar>
          <w:top w:w="0" w:type="dxa"/>
          <w:left w:w="0" w:type="dxa"/>
          <w:bottom w:w="0" w:type="dxa"/>
          <w:right w:w="0" w:type="dxa"/>
        </w:tblCellMar>
        <w:tblLook w:val="01E0"/>
      </w:tblPr>
      <w:tblGrid>
        <w:gridCol w:w="2968"/>
        <w:gridCol w:w="3300"/>
        <w:gridCol w:w="3302"/>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314,335,495.27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235,900,897.73</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16,515,397.00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546,805,046.71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371,732,335.44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7,160,557.34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1,589,590.18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26,689,897.51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19,795,251.27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54,650,586.71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51,396,771.86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448,077.46</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966,605,058.00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680,414,846.48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4" w:type="dxa"/>
        <w:tblLayout w:type="fixed"/>
        <w:tblCellMar>
          <w:top w:w="0" w:type="dxa"/>
          <w:left w:w="0" w:type="dxa"/>
          <w:bottom w:w="0" w:type="dxa"/>
          <w:right w:w="0" w:type="dxa"/>
        </w:tblCellMar>
        <w:tblLook w:val="01E0"/>
      </w:tblPr>
      <w:tblGrid>
        <w:gridCol w:w="2956"/>
        <w:gridCol w:w="3312"/>
        <w:gridCol w:w="3302"/>
      </w:tblGrid>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356,958,720.88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33,583,370.72</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41,602,058.17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43,170,940.54</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9,917,916.88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9,769,148.20</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17,672,437.76</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62,076.72</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6,555,708.61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4,945,498.84</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432,706,842.30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91,531,035.02</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1,399,311,900.30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771,945,881.50</w:t>
            </w:r>
          </w:p>
        </w:tc>
      </w:tr>
      <w:tr>
        <w:trPr>
          <w:trHeight w:val="402" w:hRule="exact"/>
        </w:trPr>
        <w:tc>
          <w:tcPr>
            <w:tcW w:w="2956"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45,000,000.00</w:t>
            </w: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225,422,974.00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154,590,000.00</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456,488,343.14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188,428,575.24</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10,321,058.03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14,540,632.52</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5,803,840.74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4,475,154.08</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27,043,181.89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20,794,856.43</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77,833.34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87,533.33</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3,969,126.43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722,900.42</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779,126,357.57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428,639,652.02</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75" w:type="dxa"/>
        <w:tblLayout w:type="fixed"/>
        <w:tblCellMar>
          <w:top w:w="0" w:type="dxa"/>
          <w:left w:w="0" w:type="dxa"/>
          <w:bottom w:w="0" w:type="dxa"/>
          <w:right w:w="0" w:type="dxa"/>
        </w:tblCellMar>
        <w:tblLook w:val="01E0"/>
      </w:tblPr>
      <w:tblGrid>
        <w:gridCol w:w="2945"/>
        <w:gridCol w:w="3312"/>
        <w:gridCol w:w="3302"/>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992,557.79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1,206,307.79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992,557.79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1,206,307.79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780,118,915.36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429,845,959.81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108,180,000.00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82,180,000.00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237,787,799.08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19,637,302.60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33,444,269.58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28,506,412.90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239,780,916.28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211,776,206.19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619,192,984.94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342,099,921.69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1,399,311,900.30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771,945,881.50</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before="44"/>
        <w:ind w:left="0" w:right="1229"/>
        <w:jc w:val="right"/>
      </w:pPr>
      <w:r>
        <w:rPr/>
        <w:t>法定代表人：刘泽刚</w:t>
        <w:tab/>
        <w:t>主管会计工作负责人：韦强</w:t>
        <w:tab/>
        <w:t>会计机构负责人：张晓屹</w:t>
      </w:r>
    </w:p>
    <w:p>
      <w:pPr>
        <w:spacing w:line="240" w:lineRule="auto" w:before="11"/>
        <w:rPr>
          <w:rFonts w:ascii="宋体" w:hAnsi="宋体" w:cs="宋体" w:eastAsia="宋体" w:hint="default"/>
          <w:sz w:val="26"/>
          <w:szCs w:val="26"/>
        </w:rPr>
      </w:pPr>
    </w:p>
    <w:p>
      <w:pPr>
        <w:pStyle w:val="Heading3"/>
        <w:spacing w:line="240" w:lineRule="auto"/>
        <w:ind w:right="821"/>
        <w:jc w:val="left"/>
        <w:rPr>
          <w:b w:val="0"/>
          <w:bCs w:val="0"/>
        </w:rPr>
      </w:pPr>
      <w:bookmarkStart w:name="3、合并利润表" w:id="150"/>
      <w:bookmarkEnd w:id="15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1,117,448,993.36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911,464,692.14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1,117,448,993.36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911,464,692.14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212.119995pt;margin-top:521.320007pt;width:157.7pt;height:19.650pt;mso-position-horizontal-relative:page;mso-position-vertical-relative:page;z-index:-780592" coordorigin="4242,10426" coordsize="3154,393">
            <v:shape style="position:absolute;left:4242;top:10426;width:3154;height:393" coordorigin="4242,10426" coordsize="3154,393" path="m4242,10819l7396,10819,7396,10426,4242,10426,4242,10819xe" filled="true" fillcolor="#ffffff" stroked="false">
              <v:path arrowok="t"/>
              <v:fill type="solid"/>
            </v:shape>
            <w10:wrap type="none"/>
          </v:group>
        </w:pict>
      </w:r>
      <w:r>
        <w:rPr/>
        <w:pict>
          <v:group style="position:absolute;margin-left:212.119995pt;margin-top:641.919983pt;width:157.7pt;height:19.650pt;mso-position-horizontal-relative:page;mso-position-vertical-relative:page;z-index:-780568" coordorigin="4242,12838" coordsize="3154,393">
            <v:shape style="position:absolute;left:4242;top:12838;width:3154;height:393" coordorigin="4242,12838" coordsize="3154,393" path="m4242,13231l7396,13231,7396,12838,4242,12838,4242,13231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4" w:right="0"/>
              <w:jc w:val="left"/>
              <w:rPr>
                <w:rFonts w:ascii="Times New Roman" w:hAnsi="Times New Roman" w:cs="Times New Roman" w:eastAsia="Times New Roman" w:hint="default"/>
                <w:sz w:val="18"/>
                <w:szCs w:val="18"/>
              </w:rPr>
            </w:pPr>
            <w:r>
              <w:rPr>
                <w:rFonts w:ascii="Times New Roman"/>
                <w:sz w:val="18"/>
              </w:rPr>
              <w:t>1,024,947,211.43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822,257,150.51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817,924,559.51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631,146,171.48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5,648,515.54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4,870,030.26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116,934,731.21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100,958,748.27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70,935,150.90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74,522,624.42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2,561,513.30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1,889,171.15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10,942,740.97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8,870,404.93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92,501,781.93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89,207,541.63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6,852,779.48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4,690,705.81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8,124.98</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152,513.51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3,757,543.81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151,398.75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3,757,349.33</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99,202,047.90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90,140,703.63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11,990,979.02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15,127,141.41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87,211,068.88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75,013,562.22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87,495,468.10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75,285,176.63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-284,399.22</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-271,614.41</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87,211,068.88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75,013,562.22</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87,495,468.10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75,285,176.63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-284,399.22</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-271,614.41</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before="44"/>
        <w:ind w:left="0" w:right="1229"/>
        <w:jc w:val="right"/>
      </w:pPr>
      <w:r>
        <w:rPr/>
        <w:t>法定代表人：刘泽刚</w:t>
        <w:tab/>
        <w:t>主管会计工作负责人：韦强</w:t>
        <w:tab/>
        <w:t>会计机构负责人：张晓屹</w:t>
      </w:r>
    </w:p>
    <w:p>
      <w:pPr>
        <w:spacing w:line="240" w:lineRule="auto" w:before="11"/>
        <w:rPr>
          <w:rFonts w:ascii="宋体" w:hAnsi="宋体" w:cs="宋体" w:eastAsia="宋体" w:hint="default"/>
          <w:sz w:val="26"/>
          <w:szCs w:val="26"/>
        </w:rPr>
      </w:pPr>
    </w:p>
    <w:p>
      <w:pPr>
        <w:pStyle w:val="Heading3"/>
        <w:spacing w:line="240" w:lineRule="auto"/>
        <w:ind w:right="821"/>
        <w:jc w:val="left"/>
        <w:rPr>
          <w:b w:val="0"/>
          <w:bCs w:val="0"/>
        </w:rPr>
      </w:pPr>
      <w:bookmarkStart w:name="4、母公司利润表" w:id="151"/>
      <w:bookmarkEnd w:id="15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1,119,123,718.74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912,973,289.78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920,014,037.89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715,352,018.18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3,704,307.69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3,107,422.62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94,087,093.85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79,601,856.91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33,722,597.41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34,718,609.11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2,388,374.48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643,718.80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11,723,628.09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8,840,429.52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53,483,679.33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70,709,234.64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3,261,636.39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2,763,750.26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8,124.98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97,474.83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40,327.58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96,664.15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40,327.58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56,647,840.89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73,432,657.32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7,269,274.12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12,303,774.76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49,378,566.77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61,128,882.56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49,378,566.77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61,128,882.56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before="44"/>
        <w:ind w:left="0" w:right="1229"/>
        <w:jc w:val="right"/>
      </w:pPr>
      <w:r>
        <w:rPr/>
        <w:t>法定代表人：刘泽刚</w:t>
        <w:tab/>
        <w:t>主管会计工作负责人：韦强</w:t>
        <w:tab/>
        <w:t>会计机构负责人：张晓屹</w:t>
      </w:r>
    </w:p>
    <w:p>
      <w:pPr>
        <w:spacing w:line="240" w:lineRule="auto" w:before="11"/>
        <w:rPr>
          <w:rFonts w:ascii="宋体" w:hAnsi="宋体" w:cs="宋体" w:eastAsia="宋体" w:hint="default"/>
          <w:sz w:val="26"/>
          <w:szCs w:val="26"/>
        </w:rPr>
      </w:pPr>
    </w:p>
    <w:p>
      <w:pPr>
        <w:pStyle w:val="Heading3"/>
        <w:spacing w:line="240" w:lineRule="auto"/>
        <w:ind w:right="821"/>
        <w:jc w:val="left"/>
        <w:rPr>
          <w:b w:val="0"/>
          <w:bCs w:val="0"/>
        </w:rPr>
      </w:pPr>
      <w:bookmarkStart w:name="5、合并现金流量表" w:id="152"/>
      <w:bookmarkEnd w:id="15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64" w:type="dxa"/>
        <w:tblLayout w:type="fixed"/>
        <w:tblCellMar>
          <w:top w:w="0" w:type="dxa"/>
          <w:left w:w="0" w:type="dxa"/>
          <w:bottom w:w="0" w:type="dxa"/>
          <w:right w:w="0" w:type="dxa"/>
        </w:tblCellMar>
        <w:tblLook w:val="01E0"/>
      </w:tblPr>
      <w:tblGrid>
        <w:gridCol w:w="2967"/>
        <w:gridCol w:w="3302"/>
        <w:gridCol w:w="3302"/>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1,023,525,170.69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869,901,640.36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34,940,929.35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20,137,838.82</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4" w:type="dxa"/>
        <w:tblLayout w:type="fixed"/>
        <w:tblCellMar>
          <w:top w:w="0" w:type="dxa"/>
          <w:left w:w="0" w:type="dxa"/>
          <w:bottom w:w="0" w:type="dxa"/>
          <w:right w:w="0" w:type="dxa"/>
        </w:tblCellMar>
        <w:tblLook w:val="01E0"/>
      </w:tblPr>
      <w:tblGrid>
        <w:gridCol w:w="2967"/>
        <w:gridCol w:w="3302"/>
        <w:gridCol w:w="3302"/>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1,058,466,100.04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890,039,479.18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678,696,707.93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555,660,802.10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122,097,801.85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106,789,513.56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67,402,284.44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55,574,516.79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160,097,914.47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153,041,637.05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1,028,294,708.69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871,066,469.50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30,171,391.35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18,973,009.68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168,347.00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21,000.00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168,347.00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21,000.00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205,869,915.62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29,047,578.54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205,869,915.62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29,047,578.54</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4" w:type="dxa"/>
        <w:tblLayout w:type="fixed"/>
        <w:tblCellMar>
          <w:top w:w="0" w:type="dxa"/>
          <w:left w:w="0" w:type="dxa"/>
          <w:bottom w:w="0" w:type="dxa"/>
          <w:right w:w="0" w:type="dxa"/>
        </w:tblCellMar>
        <w:tblLook w:val="01E0"/>
      </w:tblPr>
      <w:tblGrid>
        <w:gridCol w:w="2967"/>
        <w:gridCol w:w="3302"/>
        <w:gridCol w:w="3302"/>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-205,701,568.62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-29,026,578.54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244,150,496.48</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15,266,092.82</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359,416,589.30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115,000,000.00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21,219,297.22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19,908,257.14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2,026,815.75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1,449,867.58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138,246,112.97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91,358,124.72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221,170,476.33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-11,358,124.72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45,640,299.06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-21,411,693.58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185,341,572.24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206,753,265.82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230,981,871.30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185,341,572.24</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before="44"/>
        <w:ind w:left="0" w:right="1229"/>
        <w:jc w:val="right"/>
      </w:pPr>
      <w:r>
        <w:rPr/>
        <w:t>法定代表人：刘泽刚</w:t>
        <w:tab/>
        <w:t>主管会计工作负责人：韦强</w:t>
        <w:tab/>
        <w:t>会计机构负责人：张晓屹</w:t>
      </w:r>
    </w:p>
    <w:p>
      <w:pPr>
        <w:spacing w:line="240" w:lineRule="auto" w:before="11"/>
        <w:rPr>
          <w:rFonts w:ascii="宋体" w:hAnsi="宋体" w:cs="宋体" w:eastAsia="宋体" w:hint="default"/>
          <w:sz w:val="26"/>
          <w:szCs w:val="26"/>
        </w:rPr>
      </w:pPr>
    </w:p>
    <w:p>
      <w:pPr>
        <w:pStyle w:val="Heading3"/>
        <w:spacing w:line="240" w:lineRule="auto"/>
        <w:ind w:right="821"/>
        <w:jc w:val="left"/>
        <w:rPr>
          <w:b w:val="0"/>
          <w:bCs w:val="0"/>
        </w:rPr>
      </w:pPr>
      <w:bookmarkStart w:name="6、母公司现金流量表" w:id="153"/>
      <w:bookmarkEnd w:id="15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64" w:type="dxa"/>
        <w:tblLayout w:type="fixed"/>
        <w:tblCellMar>
          <w:top w:w="0" w:type="dxa"/>
          <w:left w:w="0" w:type="dxa"/>
          <w:bottom w:w="0" w:type="dxa"/>
          <w:right w:w="0" w:type="dxa"/>
        </w:tblCellMar>
        <w:tblLook w:val="01E0"/>
      </w:tblPr>
      <w:tblGrid>
        <w:gridCol w:w="2967"/>
        <w:gridCol w:w="3302"/>
        <w:gridCol w:w="3302"/>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1,023,525,170.69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869,290,826.06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30,275,033.31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5,573,862.63</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4" w:type="dxa"/>
        <w:tblLayout w:type="fixed"/>
        <w:tblCellMar>
          <w:top w:w="0" w:type="dxa"/>
          <w:left w:w="0" w:type="dxa"/>
          <w:bottom w:w="0" w:type="dxa"/>
          <w:right w:w="0" w:type="dxa"/>
        </w:tblCellMar>
        <w:tblLook w:val="01E0"/>
      </w:tblPr>
      <w:tblGrid>
        <w:gridCol w:w="2967"/>
        <w:gridCol w:w="3302"/>
        <w:gridCol w:w="3302"/>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1,053,800,204.00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874,864,688.69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685,488,443.70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718,390,935.80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46,790,973.78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36,556,809.14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40,985,832.86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38,494,361.69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135,582,922.98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124,366,565.12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908,848,173.32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917,808,671.75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144,952,030.68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-42,943,983.06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155,000.00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21,000.00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155,000.00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21,000.00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19,350,998.96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2,798,947.36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244,150,496.48</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80,000,000.00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343,501,495.44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2,798,947.36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-343,346,495.44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-2,777,947.36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244,150,496.48</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5,266,092.82</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349,416,589.30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60,000,000.00</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4" w:type="dxa"/>
        <w:tblLayout w:type="fixed"/>
        <w:tblCellMar>
          <w:top w:w="0" w:type="dxa"/>
          <w:left w:w="0" w:type="dxa"/>
          <w:bottom w:w="0" w:type="dxa"/>
          <w:right w:w="0" w:type="dxa"/>
        </w:tblCellMar>
        <w:tblLook w:val="01E0"/>
      </w:tblPr>
      <w:tblGrid>
        <w:gridCol w:w="2967"/>
        <w:gridCol w:w="3302"/>
        <w:gridCol w:w="3302"/>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95,000,000.00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20,415,297.22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18,848,257.14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1,964,350.00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930,000.00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117,379,647.22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69,778,257.14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232,036,942.08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-9,778,257.14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33,642,477.32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-55,500,187.56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141,092,723.15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196,592,910.71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174,735,200.47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141,092,723.15</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3138"/>
        <w:jc w:val="left"/>
        <w:rPr>
          <w:b w:val="0"/>
          <w:bCs w:val="0"/>
        </w:rPr>
      </w:pPr>
      <w:bookmarkStart w:name="7、合并所有者权益变动表" w:id="154"/>
      <w:bookmarkEnd w:id="15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3138"/>
        <w:jc w:val="left"/>
      </w:pPr>
      <w:r>
        <w:rPr/>
        <w:t>本期金额</w:t>
      </w:r>
    </w:p>
    <w:p>
      <w:pPr>
        <w:pStyle w:val="BodyText"/>
        <w:spacing w:line="240" w:lineRule="auto" w:before="116"/>
        <w:ind w:left="0" w:right="1535"/>
        <w:jc w:val="right"/>
      </w:pP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415"/>
        <w:gridCol w:w="1268"/>
        <w:gridCol w:w="850"/>
        <w:gridCol w:w="992"/>
        <w:gridCol w:w="709"/>
        <w:gridCol w:w="1276"/>
        <w:gridCol w:w="710"/>
        <w:gridCol w:w="850"/>
        <w:gridCol w:w="568"/>
        <w:gridCol w:w="1134"/>
        <w:gridCol w:w="851"/>
        <w:gridCol w:w="1276"/>
        <w:gridCol w:w="1276"/>
        <w:gridCol w:w="1276"/>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130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29"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1048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3"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482" w:type="dxa"/>
            <w:gridSpan w:val="11"/>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542"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4" w:hRule="exact"/>
        </w:trPr>
        <w:tc>
          <w:tcPr>
            <w:tcW w:w="1415" w:type="dxa"/>
            <w:vMerge/>
            <w:tcBorders>
              <w:left w:val="single" w:sz="4" w:space="0" w:color="000000"/>
              <w:bottom w:val="single" w:sz="4" w:space="0" w:color="FFFFFF"/>
              <w:right w:val="single" w:sz="4" w:space="0" w:color="000000"/>
            </w:tcBorders>
            <w:shd w:val="clear" w:color="auto" w:fill="D2D2D2"/>
          </w:tcPr>
          <w:p>
            <w:pPr/>
          </w:p>
        </w:tc>
        <w:tc>
          <w:tcPr>
            <w:tcW w:w="126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255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2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59" w:right="22" w:hanging="237"/>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39"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99"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0" w:right="5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6" w:type="dxa"/>
            <w:vMerge/>
            <w:tcBorders>
              <w:left w:val="single" w:sz="4" w:space="0" w:color="000000"/>
              <w:right w:val="single" w:sz="4" w:space="0" w:color="000000"/>
            </w:tcBorders>
            <w:shd w:val="clear" w:color="auto" w:fill="D2D2D2"/>
          </w:tcPr>
          <w:p>
            <w:pPr/>
          </w:p>
        </w:tc>
      </w:tr>
      <w:tr>
        <w:trPr>
          <w:trHeight w:val="191" w:hRule="exact"/>
        </w:trPr>
        <w:tc>
          <w:tcPr>
            <w:tcW w:w="1415" w:type="dxa"/>
            <w:vMerge w:val="restart"/>
            <w:tcBorders>
              <w:top w:val="single" w:sz="4" w:space="0" w:color="FFFFFF"/>
              <w:left w:val="single" w:sz="4" w:space="0" w:color="000000"/>
              <w:right w:val="single" w:sz="4" w:space="0" w:color="000000"/>
            </w:tcBorders>
            <w:shd w:val="clear" w:color="auto" w:fill="D2D2D2"/>
          </w:tcPr>
          <w:p>
            <w:pPr/>
          </w:p>
        </w:tc>
        <w:tc>
          <w:tcPr>
            <w:tcW w:w="126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51"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1"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178" w:hRule="exact"/>
        </w:trPr>
        <w:tc>
          <w:tcPr>
            <w:tcW w:w="1415" w:type="dxa"/>
            <w:vMerge/>
            <w:tcBorders>
              <w:left w:val="single" w:sz="4" w:space="0" w:color="000000"/>
              <w:right w:val="single" w:sz="4" w:space="0" w:color="000000"/>
            </w:tcBorders>
            <w:shd w:val="clear" w:color="auto" w:fill="D2D2D2"/>
          </w:tcPr>
          <w:p>
            <w:pPr/>
          </w:p>
        </w:tc>
        <w:tc>
          <w:tcPr>
            <w:tcW w:w="1268"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0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12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82,180,000.00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center"/>
              <w:rPr>
                <w:rFonts w:ascii="Times New Roman" w:hAnsi="Times New Roman" w:cs="Times New Roman" w:eastAsia="Times New Roman" w:hint="default"/>
                <w:sz w:val="18"/>
                <w:szCs w:val="18"/>
              </w:rPr>
            </w:pPr>
            <w:r>
              <w:rPr>
                <w:rFonts w:ascii="Times New Roman"/>
                <w:sz w:val="18"/>
              </w:rPr>
              <w:t>19,525,625.19</w:t>
            </w:r>
          </w:p>
        </w:tc>
        <w:tc>
          <w:tcPr>
            <w:tcW w:w="710" w:type="dxa"/>
            <w:tcBorders>
              <w:top w:val="single" w:sz="22" w:space="0" w:color="D2D2D2"/>
              <w:left w:val="single" w:sz="4" w:space="0" w:color="000000"/>
              <w:bottom w:val="single" w:sz="4" w:space="0" w:color="000000"/>
              <w:right w:val="single" w:sz="4" w:space="0" w:color="000000"/>
            </w:tcBorders>
          </w:tcPr>
          <w:p>
            <w:pPr/>
          </w:p>
        </w:tc>
        <w:tc>
          <w:tcPr>
            <w:tcW w:w="850" w:type="dxa"/>
            <w:tcBorders>
              <w:top w:val="single" w:sz="22" w:space="0" w:color="D2D2D2"/>
              <w:left w:val="single" w:sz="4" w:space="0" w:color="000000"/>
              <w:bottom w:val="single" w:sz="4" w:space="0" w:color="000000"/>
              <w:right w:val="single" w:sz="4" w:space="0" w:color="000000"/>
            </w:tcBorders>
          </w:tcPr>
          <w:p>
            <w:pPr/>
          </w:p>
        </w:tc>
        <w:tc>
          <w:tcPr>
            <w:tcW w:w="568" w:type="dxa"/>
            <w:tcBorders>
              <w:top w:val="single" w:sz="22"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28,506,412.90</w:t>
            </w:r>
          </w:p>
        </w:tc>
        <w:tc>
          <w:tcPr>
            <w:tcW w:w="851" w:type="dxa"/>
            <w:tcBorders>
              <w:top w:val="single" w:sz="22"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287,334,009.32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3,047,803.87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420,593,851.28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12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82,180,000.00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center"/>
              <w:rPr>
                <w:rFonts w:ascii="Times New Roman" w:hAnsi="Times New Roman" w:cs="Times New Roman" w:eastAsia="Times New Roman" w:hint="default"/>
                <w:sz w:val="18"/>
                <w:szCs w:val="18"/>
              </w:rPr>
            </w:pPr>
            <w:r>
              <w:rPr>
                <w:rFonts w:ascii="Times New Roman"/>
                <w:sz w:val="18"/>
              </w:rPr>
              <w:t>19,525,625.19</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28,506,412.90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287,334,009.32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3,047,803.87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420,593,851.28</w:t>
            </w: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12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218,150,496.48</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4,937,856.68</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66,121,611.42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-284,399.22</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314,925,565.36</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87,495,468.10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-284,399.22</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87,211,068.88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12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218,150,496.48</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244,150,496.48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12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218,150,496.48</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244,150,496.48</w:t>
            </w:r>
          </w:p>
        </w:tc>
      </w:tr>
    </w:tbl>
    <w:p>
      <w:pPr>
        <w:spacing w:after="0" w:line="240" w:lineRule="auto"/>
        <w:jc w:val="center"/>
        <w:rPr>
          <w:rFonts w:ascii="Times New Roman" w:hAnsi="Times New Roman" w:cs="Times New Roman" w:eastAsia="Times New Roman" w:hint="default"/>
          <w:sz w:val="18"/>
          <w:szCs w:val="18"/>
        </w:rPr>
        <w:sectPr>
          <w:headerReference w:type="default" r:id="rId22"/>
          <w:footerReference w:type="default" r:id="rId23"/>
          <w:pgSz w:w="16840" w:h="11910" w:orient="landscape"/>
          <w:pgMar w:header="867" w:footer="979" w:top="1060" w:bottom="1160" w:left="1300" w:right="0"/>
          <w:pgNumType w:start="75"/>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27"/>
        <w:gridCol w:w="1268"/>
        <w:gridCol w:w="850"/>
        <w:gridCol w:w="992"/>
        <w:gridCol w:w="709"/>
        <w:gridCol w:w="1276"/>
        <w:gridCol w:w="710"/>
        <w:gridCol w:w="850"/>
        <w:gridCol w:w="568"/>
        <w:gridCol w:w="1134"/>
        <w:gridCol w:w="851"/>
        <w:gridCol w:w="1276"/>
        <w:gridCol w:w="1276"/>
        <w:gridCol w:w="1276"/>
      </w:tblGrid>
      <w:tr>
        <w:trPr>
          <w:trHeight w:val="729" w:hRule="exact"/>
        </w:trPr>
        <w:tc>
          <w:tcPr>
            <w:tcW w:w="14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268" w:type="dxa"/>
            <w:tcBorders>
              <w:top w:val="single" w:sz="15" w:space="0" w:color="000000"/>
              <w:left w:val="single" w:sz="9" w:space="0" w:color="D2D2D2"/>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4,937,856.68</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-21,373,856.68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-16,436,000.00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4,937,856.68</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-4,937,856.68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-16,436,000.00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-16,436,000.00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6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27"/>
        <w:gridCol w:w="1268"/>
        <w:gridCol w:w="850"/>
        <w:gridCol w:w="992"/>
        <w:gridCol w:w="709"/>
        <w:gridCol w:w="1276"/>
        <w:gridCol w:w="710"/>
        <w:gridCol w:w="850"/>
        <w:gridCol w:w="568"/>
        <w:gridCol w:w="1134"/>
        <w:gridCol w:w="851"/>
        <w:gridCol w:w="1276"/>
        <w:gridCol w:w="1276"/>
        <w:gridCol w:w="1276"/>
      </w:tblGrid>
      <w:tr>
        <w:trPr>
          <w:trHeight w:val="416" w:hRule="exact"/>
        </w:trPr>
        <w:tc>
          <w:tcPr>
            <w:tcW w:w="14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68" w:type="dxa"/>
            <w:tcBorders>
              <w:top w:val="single" w:sz="15" w:space="0" w:color="000000"/>
              <w:left w:val="single" w:sz="9" w:space="0" w:color="D2D2D2"/>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12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108,180,000.00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237,676,121.67</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33,444,269.58</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353,455,620.74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2,763,404.65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735,519,416.64</w:t>
            </w:r>
          </w:p>
        </w:tc>
      </w:tr>
    </w:tbl>
    <w:p>
      <w:pPr>
        <w:pStyle w:val="BodyText"/>
        <w:spacing w:line="240" w:lineRule="auto" w:before="51"/>
        <w:ind w:left="120" w:right="0"/>
        <w:jc w:val="left"/>
      </w:pPr>
      <w:r>
        <w:rPr/>
        <w:t>上期金额</w:t>
      </w:r>
    </w:p>
    <w:p>
      <w:pPr>
        <w:pStyle w:val="BodyText"/>
        <w:spacing w:line="240" w:lineRule="auto" w:before="117"/>
        <w:ind w:left="0" w:right="1535"/>
        <w:jc w:val="right"/>
      </w:pPr>
      <w:r>
        <w:rPr/>
        <w:t>单位：元</w:t>
      </w:r>
    </w:p>
    <w:p>
      <w:pPr>
        <w:spacing w:line="240" w:lineRule="auto" w:before="0"/>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415"/>
        <w:gridCol w:w="1268"/>
        <w:gridCol w:w="850"/>
        <w:gridCol w:w="992"/>
        <w:gridCol w:w="709"/>
        <w:gridCol w:w="1276"/>
        <w:gridCol w:w="710"/>
        <w:gridCol w:w="850"/>
        <w:gridCol w:w="568"/>
        <w:gridCol w:w="1134"/>
        <w:gridCol w:w="851"/>
        <w:gridCol w:w="1276"/>
        <w:gridCol w:w="1276"/>
        <w:gridCol w:w="1276"/>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1303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29"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1048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3"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482" w:type="dxa"/>
            <w:gridSpan w:val="11"/>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542"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4" w:hRule="exact"/>
        </w:trPr>
        <w:tc>
          <w:tcPr>
            <w:tcW w:w="1415" w:type="dxa"/>
            <w:vMerge/>
            <w:tcBorders>
              <w:left w:val="single" w:sz="4" w:space="0" w:color="000000"/>
              <w:bottom w:val="single" w:sz="4" w:space="0" w:color="FFFFFF"/>
              <w:right w:val="single" w:sz="4" w:space="0" w:color="000000"/>
            </w:tcBorders>
            <w:shd w:val="clear" w:color="auto" w:fill="D2D2D2"/>
          </w:tcPr>
          <w:p>
            <w:pPr/>
          </w:p>
        </w:tc>
        <w:tc>
          <w:tcPr>
            <w:tcW w:w="126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255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2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59" w:right="22" w:hanging="237"/>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39"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99"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0" w:right="5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6" w:type="dxa"/>
            <w:vMerge/>
            <w:tcBorders>
              <w:left w:val="single" w:sz="4" w:space="0" w:color="000000"/>
              <w:right w:val="single" w:sz="4" w:space="0" w:color="000000"/>
            </w:tcBorders>
            <w:shd w:val="clear" w:color="auto" w:fill="D2D2D2"/>
          </w:tcPr>
          <w:p>
            <w:pPr/>
          </w:p>
        </w:tc>
      </w:tr>
      <w:tr>
        <w:trPr>
          <w:trHeight w:val="194" w:hRule="exact"/>
        </w:trPr>
        <w:tc>
          <w:tcPr>
            <w:tcW w:w="1415" w:type="dxa"/>
            <w:vMerge w:val="restart"/>
            <w:tcBorders>
              <w:top w:val="single" w:sz="4" w:space="0" w:color="FFFFFF"/>
              <w:left w:val="single" w:sz="4" w:space="0" w:color="000000"/>
              <w:right w:val="single" w:sz="4" w:space="0" w:color="000000"/>
            </w:tcBorders>
            <w:shd w:val="clear" w:color="auto" w:fill="D2D2D2"/>
          </w:tcPr>
          <w:p>
            <w:pPr/>
          </w:p>
        </w:tc>
        <w:tc>
          <w:tcPr>
            <w:tcW w:w="126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51"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1"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176" w:hRule="exact"/>
        </w:trPr>
        <w:tc>
          <w:tcPr>
            <w:tcW w:w="1415" w:type="dxa"/>
            <w:vMerge/>
            <w:tcBorders>
              <w:left w:val="single" w:sz="4" w:space="0" w:color="000000"/>
              <w:right w:val="single" w:sz="4" w:space="0" w:color="000000"/>
            </w:tcBorders>
            <w:shd w:val="clear" w:color="auto" w:fill="D2D2D2"/>
          </w:tcPr>
          <w:p>
            <w:pPr/>
          </w:p>
        </w:tc>
        <w:tc>
          <w:tcPr>
            <w:tcW w:w="1268"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5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2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0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1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82,180,000.00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19,525,625.19</w:t>
            </w:r>
          </w:p>
        </w:tc>
        <w:tc>
          <w:tcPr>
            <w:tcW w:w="710" w:type="dxa"/>
            <w:tcBorders>
              <w:top w:val="single" w:sz="22" w:space="0" w:color="D2D2D2"/>
              <w:left w:val="single" w:sz="4" w:space="0" w:color="000000"/>
              <w:bottom w:val="single" w:sz="4" w:space="0" w:color="000000"/>
              <w:right w:val="single" w:sz="4" w:space="0" w:color="000000"/>
            </w:tcBorders>
          </w:tcPr>
          <w:p>
            <w:pPr/>
          </w:p>
        </w:tc>
        <w:tc>
          <w:tcPr>
            <w:tcW w:w="850" w:type="dxa"/>
            <w:tcBorders>
              <w:top w:val="single" w:sz="22" w:space="0" w:color="D2D2D2"/>
              <w:left w:val="single" w:sz="4" w:space="0" w:color="000000"/>
              <w:bottom w:val="single" w:sz="4" w:space="0" w:color="000000"/>
              <w:right w:val="single" w:sz="4" w:space="0" w:color="000000"/>
            </w:tcBorders>
          </w:tcPr>
          <w:p>
            <w:pPr/>
          </w:p>
        </w:tc>
        <w:tc>
          <w:tcPr>
            <w:tcW w:w="568" w:type="dxa"/>
            <w:tcBorders>
              <w:top w:val="single" w:sz="22"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22,393,524.64</w:t>
            </w:r>
          </w:p>
        </w:tc>
        <w:tc>
          <w:tcPr>
            <w:tcW w:w="851" w:type="dxa"/>
            <w:tcBorders>
              <w:top w:val="single" w:sz="22"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234,597,720.95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3,319,418.28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Times New Roman" w:hAnsi="Times New Roman" w:cs="Times New Roman" w:eastAsia="Times New Roman" w:hint="default"/>
                <w:sz w:val="18"/>
                <w:szCs w:val="18"/>
              </w:rPr>
            </w:pPr>
            <w:r>
              <w:rPr>
                <w:rFonts w:ascii="Times New Roman"/>
                <w:sz w:val="18"/>
              </w:rPr>
              <w:t>362,016,289.06</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1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82,180,000.00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19,525,625.19</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22,393,524.64</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234,597,720.95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3,319,418.28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Times New Roman" w:hAnsi="Times New Roman" w:cs="Times New Roman" w:eastAsia="Times New Roman" w:hint="default"/>
                <w:sz w:val="18"/>
                <w:szCs w:val="18"/>
              </w:rPr>
            </w:pPr>
            <w:r>
              <w:rPr>
                <w:rFonts w:ascii="Times New Roman"/>
                <w:sz w:val="18"/>
              </w:rPr>
              <w:t>362,016,289.06</w:t>
            </w: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6,112,888.26</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52,736,288.37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-271,614.41</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58,577,562.22</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75,285,176.63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-271,614.41</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75,013,562.22</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26"/>
        <w:gridCol w:w="1268"/>
        <w:gridCol w:w="850"/>
        <w:gridCol w:w="992"/>
        <w:gridCol w:w="709"/>
        <w:gridCol w:w="1276"/>
        <w:gridCol w:w="710"/>
        <w:gridCol w:w="850"/>
        <w:gridCol w:w="568"/>
        <w:gridCol w:w="1134"/>
        <w:gridCol w:w="851"/>
        <w:gridCol w:w="1276"/>
        <w:gridCol w:w="1276"/>
        <w:gridCol w:w="1276"/>
      </w:tblGrid>
      <w:tr>
        <w:trPr>
          <w:trHeight w:val="377" w:hRule="exact"/>
        </w:trPr>
        <w:tc>
          <w:tcPr>
            <w:tcW w:w="14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268" w:type="dxa"/>
            <w:tcBorders>
              <w:top w:val="single" w:sz="15" w:space="0" w:color="000000"/>
              <w:left w:val="single" w:sz="13" w:space="0" w:color="D2D2D2"/>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6,112,888.26</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-22,548,888.26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-16,436,000.00</w:t>
            </w: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6,112,888.26</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-6,112,888.26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-16,436,000.00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-16,436,000.00</w:t>
            </w: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26"/>
        <w:gridCol w:w="1268"/>
        <w:gridCol w:w="850"/>
        <w:gridCol w:w="992"/>
        <w:gridCol w:w="709"/>
        <w:gridCol w:w="1276"/>
        <w:gridCol w:w="710"/>
        <w:gridCol w:w="850"/>
        <w:gridCol w:w="568"/>
        <w:gridCol w:w="1134"/>
        <w:gridCol w:w="851"/>
        <w:gridCol w:w="1276"/>
        <w:gridCol w:w="1276"/>
        <w:gridCol w:w="1276"/>
      </w:tblGrid>
      <w:tr>
        <w:trPr>
          <w:trHeight w:val="416" w:hRule="exact"/>
        </w:trPr>
        <w:tc>
          <w:tcPr>
            <w:tcW w:w="14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68" w:type="dxa"/>
            <w:tcBorders>
              <w:top w:val="single" w:sz="15" w:space="0" w:color="000000"/>
              <w:left w:val="single" w:sz="13" w:space="0" w:color="D2D2D2"/>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68"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1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82,180,000.00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19,525,625.19</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28,506,412.90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287,334,009.32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3,047,803.87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420,593,851.28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20" w:right="0"/>
        <w:jc w:val="left"/>
        <w:rPr>
          <w:b w:val="0"/>
          <w:bCs w:val="0"/>
        </w:rPr>
      </w:pPr>
      <w:bookmarkStart w:name="8、母公司所有者权益变动表" w:id="155"/>
      <w:bookmarkEnd w:id="15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20" w:right="0"/>
        <w:jc w:val="left"/>
      </w:pPr>
      <w:r>
        <w:rPr/>
        <w:t>本期金额</w:t>
      </w:r>
    </w:p>
    <w:p>
      <w:pPr>
        <w:pStyle w:val="BodyText"/>
        <w:spacing w:line="240" w:lineRule="auto" w:before="117"/>
        <w:ind w:left="0" w:right="1535"/>
        <w:jc w:val="right"/>
      </w:pPr>
      <w:r>
        <w:rPr/>
        <w:pict>
          <v:shape style="position:absolute;margin-left:72.330002pt;margin-top:22.841732pt;width:723.15pt;height:335.3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1548"/>
                    <w:gridCol w:w="1134"/>
                    <w:gridCol w:w="851"/>
                    <w:gridCol w:w="992"/>
                    <w:gridCol w:w="1276"/>
                    <w:gridCol w:w="1417"/>
                    <w:gridCol w:w="1134"/>
                    <w:gridCol w:w="851"/>
                    <w:gridCol w:w="1276"/>
                    <w:gridCol w:w="1276"/>
                    <w:gridCol w:w="1276"/>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471"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542"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5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977"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vMerge/>
                        <w:tcBorders>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1548"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9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1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19,637,302.60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22" w:space="0" w:color="D2D2D2"/>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28,506,412.90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211,776,206.19</w:t>
                        </w:r>
                      </w:p>
                    </w:tc>
                    <w:tc>
                      <w:tcPr>
                        <w:tcW w:w="12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9"/>
                          <w:ind w:left="96" w:right="0"/>
                          <w:jc w:val="center"/>
                          <w:rPr>
                            <w:rFonts w:ascii="Times New Roman" w:hAnsi="Times New Roman" w:cs="Times New Roman" w:eastAsia="Times New Roman" w:hint="default"/>
                            <w:sz w:val="18"/>
                            <w:szCs w:val="18"/>
                          </w:rPr>
                        </w:pPr>
                        <w:r>
                          <w:rPr>
                            <w:rFonts w:ascii="Times New Roman"/>
                            <w:sz w:val="18"/>
                          </w:rPr>
                          <w:t>342,099,921.69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1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19,637,302.60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28,506,412.90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211,776,206.19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342,099,921.69</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218,150,496.48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4,937,856.68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28,004,710.09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277,093,063.25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49,378,566.77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49,378,566.77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1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218,150,496.48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244,150,496.48</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1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218,150,496.48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244,150,496.48</w:t>
                        </w:r>
                      </w:p>
                    </w:tc>
                  </w:tr>
                </w:tbl>
                <w:p>
                  <w:pPr/>
                </w:p>
              </w:txbxContent>
            </v:textbox>
            <w10:wrap type="none"/>
          </v:shape>
        </w:pict>
      </w:r>
      <w:r>
        <w:rPr/>
        <w:t>单位：元</w:t>
      </w:r>
    </w:p>
    <w:p>
      <w:pPr>
        <w:spacing w:after="0" w:line="240" w:lineRule="auto"/>
        <w:jc w:val="right"/>
        <w:sectPr>
          <w:pgSz w:w="16840" w:h="11910" w:orient="landscape"/>
          <w:pgMar w:header="867" w:footer="979" w:top="1060" w:bottom="12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42"/>
        <w:gridCol w:w="1536"/>
        <w:gridCol w:w="1134"/>
        <w:gridCol w:w="851"/>
        <w:gridCol w:w="992"/>
        <w:gridCol w:w="1276"/>
        <w:gridCol w:w="1417"/>
        <w:gridCol w:w="1134"/>
        <w:gridCol w:w="851"/>
        <w:gridCol w:w="1276"/>
        <w:gridCol w:w="1276"/>
        <w:gridCol w:w="1276"/>
      </w:tblGrid>
      <w:tr>
        <w:trPr>
          <w:trHeight w:val="377" w:hRule="exact"/>
        </w:trPr>
        <w:tc>
          <w:tcPr>
            <w:tcW w:w="14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53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4,937,856.68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-21,373,856.68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-16,436,000.00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4,937,856.68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-4,937,856.68</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-16,436,000.00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-16,436,000.00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42"/>
        <w:gridCol w:w="1536"/>
        <w:gridCol w:w="1134"/>
        <w:gridCol w:w="851"/>
        <w:gridCol w:w="992"/>
        <w:gridCol w:w="1276"/>
        <w:gridCol w:w="1417"/>
        <w:gridCol w:w="1134"/>
        <w:gridCol w:w="851"/>
        <w:gridCol w:w="1276"/>
        <w:gridCol w:w="1276"/>
        <w:gridCol w:w="1276"/>
      </w:tblGrid>
      <w:tr>
        <w:trPr>
          <w:trHeight w:val="416" w:hRule="exact"/>
        </w:trPr>
        <w:tc>
          <w:tcPr>
            <w:tcW w:w="14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15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378" w:right="0"/>
              <w:jc w:val="left"/>
              <w:rPr>
                <w:rFonts w:ascii="Times New Roman" w:hAnsi="Times New Roman" w:cs="Times New Roman" w:eastAsia="Times New Roman" w:hint="default"/>
                <w:sz w:val="18"/>
                <w:szCs w:val="18"/>
              </w:rPr>
            </w:pPr>
            <w:r>
              <w:rPr>
                <w:rFonts w:ascii="Times New Roman"/>
                <w:sz w:val="18"/>
              </w:rPr>
              <w:t>108,180,000.00</w:t>
            </w:r>
          </w:p>
        </w:tc>
        <w:tc>
          <w:tcPr>
            <w:tcW w:w="1134"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237,787,799.08</w:t>
            </w:r>
          </w:p>
        </w:tc>
        <w:tc>
          <w:tcPr>
            <w:tcW w:w="1417"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33,444,269.58</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239,780,916.28</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619,192,984.94</w:t>
            </w:r>
          </w:p>
        </w:tc>
      </w:tr>
    </w:tbl>
    <w:p>
      <w:pPr>
        <w:pStyle w:val="BodyText"/>
        <w:spacing w:line="240" w:lineRule="auto" w:before="51"/>
        <w:ind w:left="120" w:right="0"/>
        <w:jc w:val="left"/>
      </w:pPr>
      <w:r>
        <w:rPr/>
        <w:t>上期金额</w:t>
      </w:r>
    </w:p>
    <w:p>
      <w:pPr>
        <w:pStyle w:val="BodyText"/>
        <w:spacing w:line="240" w:lineRule="auto" w:before="117"/>
        <w:ind w:left="0" w:right="1535"/>
        <w:jc w:val="right"/>
      </w:pPr>
      <w:r>
        <w:rPr/>
        <w:t>单位：元</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418"/>
        <w:gridCol w:w="1548"/>
        <w:gridCol w:w="1134"/>
        <w:gridCol w:w="851"/>
        <w:gridCol w:w="992"/>
        <w:gridCol w:w="1276"/>
        <w:gridCol w:w="1417"/>
        <w:gridCol w:w="1134"/>
        <w:gridCol w:w="851"/>
        <w:gridCol w:w="1276"/>
        <w:gridCol w:w="1276"/>
        <w:gridCol w:w="1276"/>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9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1"/>
              <w:ind w:left="471"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1"/>
              <w:ind w:left="542"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5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977"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25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vMerge/>
            <w:tcBorders>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1548"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4"/>
              <w:ind w:left="29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4"/>
              <w:ind w:left="15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4"/>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1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82,180,000.00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19,637,302.60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18" w:space="0" w:color="D2D2D2"/>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22,393,524.64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Times New Roman" w:hAnsi="Times New Roman" w:cs="Times New Roman" w:eastAsia="Times New Roman" w:hint="default"/>
                <w:sz w:val="18"/>
                <w:szCs w:val="18"/>
              </w:rPr>
            </w:pPr>
            <w:r>
              <w:rPr>
                <w:rFonts w:ascii="Times New Roman"/>
                <w:sz w:val="18"/>
              </w:rPr>
              <w:t>173,196,211.89</w:t>
            </w:r>
          </w:p>
        </w:tc>
        <w:tc>
          <w:tcPr>
            <w:tcW w:w="1276"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84"/>
              <w:ind w:left="96" w:right="0"/>
              <w:jc w:val="center"/>
              <w:rPr>
                <w:rFonts w:ascii="Times New Roman" w:hAnsi="Times New Roman" w:cs="Times New Roman" w:eastAsia="Times New Roman" w:hint="default"/>
                <w:sz w:val="18"/>
                <w:szCs w:val="18"/>
              </w:rPr>
            </w:pPr>
            <w:r>
              <w:rPr>
                <w:rFonts w:ascii="Times New Roman"/>
                <w:sz w:val="18"/>
              </w:rPr>
              <w:t>297,407,039.13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1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82,180,000.00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19,637,302.60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22,393,524.64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Times New Roman" w:hAnsi="Times New Roman" w:cs="Times New Roman" w:eastAsia="Times New Roman" w:hint="default"/>
                <w:sz w:val="18"/>
                <w:szCs w:val="18"/>
              </w:rPr>
            </w:pPr>
            <w:r>
              <w:rPr>
                <w:rFonts w:ascii="Times New Roman"/>
                <w:sz w:val="18"/>
              </w:rPr>
              <w:t>173,196,211.89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6" w:right="0"/>
              <w:jc w:val="center"/>
              <w:rPr>
                <w:rFonts w:ascii="Times New Roman" w:hAnsi="Times New Roman" w:cs="Times New Roman" w:eastAsia="Times New Roman" w:hint="default"/>
                <w:sz w:val="18"/>
                <w:szCs w:val="18"/>
              </w:rPr>
            </w:pPr>
            <w:r>
              <w:rPr>
                <w:rFonts w:ascii="Times New Roman"/>
                <w:sz w:val="18"/>
              </w:rPr>
              <w:t>297,407,039.13</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6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6,112,888.26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38,579,994.30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44,692,882.56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61,128,882.56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61,128,882.56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154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0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42"/>
        <w:gridCol w:w="1536"/>
        <w:gridCol w:w="1134"/>
        <w:gridCol w:w="851"/>
        <w:gridCol w:w="992"/>
        <w:gridCol w:w="1276"/>
        <w:gridCol w:w="1417"/>
        <w:gridCol w:w="1134"/>
        <w:gridCol w:w="851"/>
        <w:gridCol w:w="1276"/>
        <w:gridCol w:w="1276"/>
        <w:gridCol w:w="1276"/>
      </w:tblGrid>
      <w:tr>
        <w:trPr>
          <w:trHeight w:val="377" w:hRule="exact"/>
        </w:trPr>
        <w:tc>
          <w:tcPr>
            <w:tcW w:w="14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3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6,112,888.26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-22,548,888.26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-16,436,000.00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6,112,888.26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-6,112,888.26</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-16,436,000.00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-16,436,000.00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8" w:right="0"/>
              <w:jc w:val="left"/>
              <w:rPr>
                <w:rFonts w:ascii="Times New Roman" w:hAnsi="Times New Roman" w:cs="Times New Roman" w:eastAsia="Times New Roman" w:hint="default"/>
                <w:sz w:val="18"/>
                <w:szCs w:val="18"/>
              </w:rPr>
            </w:pPr>
            <w:r>
              <w:rPr>
                <w:rFonts w:ascii="Times New Roman"/>
                <w:sz w:val="18"/>
              </w:rPr>
              <w:t>82,180,000.00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19,637,302.60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28,506,412.90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211,776,206.19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342,099,921.69</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79" w:top="1060" w:bottom="1160" w:left="132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821"/>
        <w:jc w:val="left"/>
        <w:rPr>
          <w:b w:val="0"/>
          <w:bCs w:val="0"/>
        </w:rPr>
      </w:pPr>
      <w:bookmarkStart w:name="三、公司基本情况" w:id="156"/>
      <w:bookmarkEnd w:id="156"/>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24" w:right="821"/>
        <w:jc w:val="left"/>
      </w:pPr>
      <w:r>
        <w:rPr>
          <w:rFonts w:ascii="Times New Roman" w:hAnsi="Times New Roman" w:cs="Times New Roman" w:eastAsia="Times New Roman" w:hint="default"/>
        </w:rPr>
        <w:t>1.</w:t>
      </w:r>
      <w:r>
        <w:rPr/>
        <w:t>企业设立、发展概况</w:t>
      </w:r>
    </w:p>
    <w:p>
      <w:pPr>
        <w:spacing w:line="240" w:lineRule="auto" w:before="2"/>
        <w:rPr>
          <w:rFonts w:ascii="宋体" w:hAnsi="宋体" w:cs="宋体" w:eastAsia="宋体" w:hint="default"/>
          <w:sz w:val="23"/>
          <w:szCs w:val="23"/>
        </w:rPr>
      </w:pPr>
    </w:p>
    <w:p>
      <w:pPr>
        <w:pStyle w:val="BodyText"/>
        <w:spacing w:line="304" w:lineRule="auto"/>
        <w:ind w:right="1129" w:firstLine="360"/>
        <w:jc w:val="both"/>
      </w:pPr>
      <w:r>
        <w:rPr/>
        <w:t>（</w:t>
      </w:r>
      <w:r>
        <w:rPr>
          <w:rFonts w:ascii="Times New Roman" w:hAnsi="Times New Roman" w:cs="Times New Roman" w:eastAsia="Times New Roman" w:hint="default"/>
        </w:rPr>
        <w:t>1</w:t>
      </w:r>
      <w:r>
        <w:rPr/>
        <w:t>）北京合纵科技股份有限公司（以下简称本公司，在包含子公司时统称本集团）是</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月以刘泽刚、韦强等</w:t>
      </w:r>
      <w:r>
        <w:rPr>
          <w:rFonts w:ascii="Times New Roman" w:hAnsi="Times New Roman" w:cs="Times New Roman" w:eastAsia="Times New Roman" w:hint="default"/>
        </w:rPr>
        <w:t>21 </w:t>
      </w:r>
      <w:r>
        <w:rPr>
          <w:spacing w:val="-2"/>
        </w:rPr>
        <w:t>位自然人和中国风险投资有限公司为发起人，由北京合纵科技有限公司整体变更方式设立的股份有限公司。本公司前身为北</w:t>
      </w:r>
      <w:r>
        <w:rPr>
          <w:spacing w:val="-64"/>
        </w:rPr>
        <w:t> </w:t>
      </w:r>
      <w:r>
        <w:rPr>
          <w:spacing w:val="-64"/>
        </w:rPr>
      </w:r>
      <w:r>
        <w:rPr/>
        <w:t>京合纵科技有限公司（以下简称有限公司）。</w:t>
      </w:r>
      <w:r>
        <w:rPr>
          <w:rFonts w:ascii="Times New Roman" w:hAnsi="Times New Roman" w:cs="Times New Roman" w:eastAsia="Times New Roman" w:hint="default"/>
        </w:rPr>
        <w:t>1997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日，有限公司由自然人刘泽刚、樊京生、韦强三人共同出资组 </w:t>
      </w:r>
      <w:r>
        <w:rPr>
          <w:spacing w:val="-2"/>
        </w:rPr>
        <w:t>建，并在北京市工商行政管理局登记注册后成立，注册号</w:t>
      </w:r>
      <w:r>
        <w:rPr>
          <w:rFonts w:ascii="Times New Roman" w:hAnsi="Times New Roman" w:cs="Times New Roman" w:eastAsia="Times New Roman" w:hint="default"/>
          <w:spacing w:val="-2"/>
        </w:rPr>
        <w:t>08467969</w:t>
      </w:r>
      <w:r>
        <w:rPr>
          <w:spacing w:val="-2"/>
        </w:rPr>
        <w:t>，注册资本</w:t>
      </w:r>
      <w:r>
        <w:rPr>
          <w:rFonts w:ascii="Times New Roman" w:hAnsi="Times New Roman" w:cs="Times New Roman" w:eastAsia="Times New Roman" w:hint="default"/>
          <w:spacing w:val="-2"/>
        </w:rPr>
        <w:t>100</w:t>
      </w:r>
      <w:r>
        <w:rPr>
          <w:rFonts w:ascii="Times New Roman" w:hAnsi="Times New Roman" w:cs="Times New Roman" w:eastAsia="Times New Roman" w:hint="default"/>
          <w:spacing w:val="21"/>
        </w:rPr>
        <w:t> </w:t>
      </w:r>
      <w:r>
        <w:rPr>
          <w:spacing w:val="-2"/>
        </w:rPr>
        <w:t>万元，法定代表人刘泽刚，股东出资及股</w:t>
      </w:r>
      <w:r>
        <w:rPr>
          <w:spacing w:val="-81"/>
        </w:rPr>
        <w:t> </w:t>
      </w:r>
      <w:r>
        <w:rPr>
          <w:spacing w:val="-81"/>
        </w:rPr>
      </w:r>
      <w:r>
        <w:rPr/>
        <w:t>权结构情况如下（单位：万元）：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939"/>
        <w:gridCol w:w="1843"/>
        <w:gridCol w:w="1082"/>
        <w:gridCol w:w="1510"/>
        <w:gridCol w:w="1507"/>
        <w:gridCol w:w="1842"/>
      </w:tblGrid>
      <w:tr>
        <w:trPr>
          <w:trHeight w:val="348" w:hRule="exact"/>
        </w:trPr>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出资额</w:t>
            </w:r>
            <w:r>
              <w:rPr>
                <w:rFonts w:ascii="宋体" w:hAnsi="宋体" w:cs="宋体" w:eastAsia="宋体" w:hint="default"/>
                <w:sz w:val="18"/>
                <w:szCs w:val="18"/>
              </w:rPr>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货币出资</w:t>
            </w:r>
            <w:r>
              <w:rPr>
                <w:rFonts w:ascii="宋体" w:hAnsi="宋体" w:cs="宋体" w:eastAsia="宋体" w:hint="default"/>
                <w:sz w:val="18"/>
                <w:szCs w:val="18"/>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实物出资</w:t>
            </w:r>
            <w:r>
              <w:rPr>
                <w:rFonts w:ascii="宋体" w:hAnsi="宋体" w:cs="宋体" w:eastAsia="宋体" w:hint="default"/>
                <w:sz w:val="18"/>
                <w:szCs w:val="18"/>
              </w:rPr>
            </w:r>
          </w:p>
        </w:tc>
      </w:tr>
      <w:tr>
        <w:trPr>
          <w:trHeight w:val="347" w:hRule="exact"/>
        </w:trPr>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45.00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45</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26.40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18.60</w:t>
            </w:r>
          </w:p>
        </w:tc>
      </w:tr>
      <w:tr>
        <w:trPr>
          <w:trHeight w:val="347" w:hRule="exact"/>
        </w:trPr>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樊京生</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30.00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30.00</w:t>
            </w: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25.00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25</w:t>
            </w:r>
          </w:p>
        </w:tc>
        <w:tc>
          <w:tcPr>
            <w:tcW w:w="1507"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25.00</w:t>
            </w:r>
          </w:p>
        </w:tc>
      </w:tr>
      <w:tr>
        <w:trPr>
          <w:trHeight w:val="348" w:hRule="exact"/>
        </w:trPr>
        <w:tc>
          <w:tcPr>
            <w:tcW w:w="939"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100.00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56.40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43.60</w:t>
            </w:r>
          </w:p>
        </w:tc>
      </w:tr>
    </w:tbl>
    <w:p>
      <w:pPr>
        <w:spacing w:line="240" w:lineRule="auto" w:before="10"/>
        <w:rPr>
          <w:rFonts w:ascii="宋体" w:hAnsi="宋体" w:cs="宋体" w:eastAsia="宋体" w:hint="default"/>
          <w:sz w:val="15"/>
          <w:szCs w:val="15"/>
        </w:rPr>
      </w:pPr>
    </w:p>
    <w:p>
      <w:pPr>
        <w:pStyle w:val="BodyText"/>
        <w:spacing w:line="300" w:lineRule="auto" w:before="44"/>
        <w:ind w:right="1132" w:firstLine="360"/>
        <w:jc w:val="both"/>
      </w:pPr>
      <w:r>
        <w:rPr/>
        <w:t>上述实物出资由中科北方会计师事务所以中科评字（</w:t>
      </w:r>
      <w:r>
        <w:rPr>
          <w:rFonts w:ascii="Times New Roman" w:hAnsi="Times New Roman" w:cs="Times New Roman" w:eastAsia="Times New Roman" w:hint="default"/>
        </w:rPr>
        <w:t>1997</w:t>
      </w:r>
      <w:r>
        <w:rPr/>
        <w:t>）第</w:t>
      </w:r>
      <w:r>
        <w:rPr>
          <w:rFonts w:ascii="Times New Roman" w:hAnsi="Times New Roman" w:cs="Times New Roman" w:eastAsia="Times New Roman" w:hint="default"/>
        </w:rPr>
        <w:t>972051</w:t>
      </w:r>
      <w:r>
        <w:rPr>
          <w:rFonts w:ascii="Times New Roman" w:hAnsi="Times New Roman" w:cs="Times New Roman" w:eastAsia="Times New Roman" w:hint="default"/>
          <w:spacing w:val="3"/>
        </w:rPr>
        <w:t> </w:t>
      </w:r>
      <w:r>
        <w:rPr/>
        <w:t>号《资产评估报告》确认，已经中科北方会计师 事务所以中科验字第</w:t>
      </w:r>
      <w:r>
        <w:rPr>
          <w:rFonts w:ascii="Times New Roman" w:hAnsi="Times New Roman" w:cs="Times New Roman" w:eastAsia="Times New Roman" w:hint="default"/>
        </w:rPr>
        <w:t>972066</w:t>
      </w:r>
      <w:r>
        <w:rPr/>
        <w:t>号《开业登记验资报告书》验证。</w:t>
      </w:r>
    </w:p>
    <w:p>
      <w:pPr>
        <w:spacing w:line="240" w:lineRule="auto" w:before="4"/>
        <w:rPr>
          <w:rFonts w:ascii="宋体" w:hAnsi="宋体" w:cs="宋体" w:eastAsia="宋体" w:hint="default"/>
          <w:sz w:val="19"/>
          <w:szCs w:val="19"/>
        </w:rPr>
      </w:pPr>
    </w:p>
    <w:p>
      <w:pPr>
        <w:pStyle w:val="BodyText"/>
        <w:spacing w:line="300" w:lineRule="auto"/>
        <w:ind w:right="1130" w:firstLine="360"/>
        <w:jc w:val="both"/>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1999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1 </w:t>
      </w:r>
      <w:r>
        <w:rPr/>
        <w:t>日，有限公司召开股东会并作出决议，刘泽刚将原非货币出资中的轿车等共计</w:t>
      </w:r>
      <w:r>
        <w:rPr>
          <w:rFonts w:ascii="Times New Roman" w:hAnsi="Times New Roman" w:cs="Times New Roman" w:eastAsia="Times New Roman" w:hint="default"/>
        </w:rPr>
        <w:t>16.975</w:t>
      </w:r>
      <w:r>
        <w:rPr>
          <w:rFonts w:ascii="Times New Roman" w:hAnsi="Times New Roman" w:cs="Times New Roman" w:eastAsia="Times New Roman" w:hint="default"/>
          <w:spacing w:val="32"/>
        </w:rPr>
        <w:t> </w:t>
      </w:r>
      <w:r>
        <w:rPr/>
        <w:t>万元变更为等 额货币出资，变更后的注册资本仍为</w:t>
      </w:r>
      <w:r>
        <w:rPr>
          <w:rFonts w:ascii="Times New Roman" w:hAnsi="Times New Roman" w:cs="Times New Roman" w:eastAsia="Times New Roman" w:hint="default"/>
        </w:rPr>
        <w:t>100 </w:t>
      </w:r>
      <w:r>
        <w:rPr/>
        <w:t>万元；</w:t>
      </w:r>
      <w:r>
        <w:rPr>
          <w:rFonts w:ascii="Times New Roman" w:hAnsi="Times New Roman" w:cs="Times New Roman" w:eastAsia="Times New Roman" w:hint="default"/>
        </w:rPr>
        <w:t>1999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日，北京民青会计师事务所为此出具了《变更登记验资报告 书》（</w:t>
      </w:r>
      <w:r>
        <w:rPr>
          <w:rFonts w:ascii="Times New Roman" w:hAnsi="Times New Roman" w:cs="Times New Roman" w:eastAsia="Times New Roman" w:hint="default"/>
        </w:rPr>
        <w:t>[99]</w:t>
      </w:r>
      <w:r>
        <w:rPr/>
        <w:t>民青验字</w:t>
      </w:r>
      <w:r>
        <w:rPr>
          <w:rFonts w:ascii="Times New Roman" w:hAnsi="Times New Roman" w:cs="Times New Roman" w:eastAsia="Times New Roman" w:hint="default"/>
        </w:rPr>
        <w:t>B</w:t>
      </w:r>
      <w:r>
        <w:rPr/>
        <w:t>第</w:t>
      </w:r>
      <w:r>
        <w:rPr>
          <w:rFonts w:ascii="Times New Roman" w:hAnsi="Times New Roman" w:cs="Times New Roman" w:eastAsia="Times New Roman" w:hint="default"/>
        </w:rPr>
        <w:t>020</w:t>
      </w:r>
      <w:r>
        <w:rPr/>
        <w:t>号）； </w:t>
      </w:r>
      <w:r>
        <w:rPr>
          <w:rFonts w:ascii="Times New Roman" w:hAnsi="Times New Roman" w:cs="Times New Roman" w:eastAsia="Times New Roman" w:hint="default"/>
        </w:rPr>
        <w:t>1999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24 </w:t>
      </w:r>
      <w:r>
        <w:rPr>
          <w:rFonts w:ascii="Times New Roman" w:hAnsi="Times New Roman" w:cs="Times New Roman" w:eastAsia="Times New Roman" w:hint="default"/>
          <w:spacing w:val="13"/>
        </w:rPr>
        <w:t> </w:t>
      </w:r>
      <w:r>
        <w:rPr/>
        <w:t>日，完成工商变更登记。</w:t>
      </w:r>
    </w:p>
    <w:p>
      <w:pPr>
        <w:spacing w:line="240" w:lineRule="auto" w:before="5"/>
        <w:rPr>
          <w:rFonts w:ascii="宋体" w:hAnsi="宋体" w:cs="宋体" w:eastAsia="宋体" w:hint="default"/>
          <w:sz w:val="19"/>
          <w:szCs w:val="19"/>
        </w:rPr>
      </w:pPr>
    </w:p>
    <w:p>
      <w:pPr>
        <w:pStyle w:val="BodyText"/>
        <w:spacing w:line="300" w:lineRule="auto"/>
        <w:ind w:right="1129"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日，有限公司召开股东会并作出决议，樊京生将其全部出资</w:t>
      </w:r>
      <w:r>
        <w:rPr>
          <w:rFonts w:ascii="Times New Roman" w:hAnsi="Times New Roman" w:cs="Times New Roman" w:eastAsia="Times New Roman" w:hint="default"/>
        </w:rPr>
        <w:t>30</w:t>
      </w:r>
      <w:r>
        <w:rPr/>
        <w:t>万元分别转让给张仁增</w:t>
      </w:r>
      <w:r>
        <w:rPr>
          <w:rFonts w:ascii="Times New Roman" w:hAnsi="Times New Roman" w:cs="Times New Roman" w:eastAsia="Times New Roman" w:hint="default"/>
        </w:rPr>
        <w:t>12</w:t>
      </w:r>
      <w:r>
        <w:rPr/>
        <w:t>万元、何昀</w:t>
      </w:r>
      <w:r>
        <w:rPr>
          <w:rFonts w:ascii="Times New Roman" w:hAnsi="Times New Roman" w:cs="Times New Roman" w:eastAsia="Times New Roman" w:hint="default"/>
        </w:rPr>
        <w:t>9 </w:t>
      </w:r>
      <w:r>
        <w:rPr/>
        <w:t>万元、刘玉刚</w:t>
      </w:r>
      <w:r>
        <w:rPr>
          <w:rFonts w:ascii="Times New Roman" w:hAnsi="Times New Roman" w:cs="Times New Roman" w:eastAsia="Times New Roman" w:hint="default"/>
        </w:rPr>
        <w:t>9</w:t>
      </w:r>
      <w:r>
        <w:rPr/>
        <w:t>万元，刘泽刚将其部分出资</w:t>
      </w:r>
      <w:r>
        <w:rPr>
          <w:rFonts w:ascii="Times New Roman" w:hAnsi="Times New Roman" w:cs="Times New Roman" w:eastAsia="Times New Roman" w:hint="default"/>
        </w:rPr>
        <w:t>5</w:t>
      </w:r>
      <w:r>
        <w:rPr/>
        <w:t>万元转让给高星，韦强将其部分出资</w:t>
      </w:r>
      <w:r>
        <w:rPr>
          <w:rFonts w:ascii="Times New Roman" w:hAnsi="Times New Roman" w:cs="Times New Roman" w:eastAsia="Times New Roman" w:hint="default"/>
        </w:rPr>
        <w:t>3.2</w:t>
      </w:r>
      <w:r>
        <w:rPr/>
        <w:t>万元转让给王维平，有关各方分别签署</w:t>
      </w:r>
      <w:r>
        <w:rPr>
          <w:spacing w:val="-44"/>
        </w:rPr>
        <w:t> </w:t>
      </w:r>
      <w:r>
        <w:rPr>
          <w:spacing w:val="-44"/>
        </w:rPr>
      </w:r>
      <w:r>
        <w:rPr/>
        <w:t>了《出资转让协议》。</w:t>
      </w:r>
      <w:r>
        <w:rPr>
          <w:rFonts w:ascii="Times New Roman" w:hAnsi="Times New Roman" w:cs="Times New Roman" w:eastAsia="Times New Roman" w:hint="default"/>
        </w:rPr>
        <w:t>1999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日，完成工商登记变更。此次变动后股东出资及股权结构情况如下（单位：万元）：</w:t>
      </w:r>
    </w:p>
    <w:p>
      <w:pPr>
        <w:spacing w:line="240" w:lineRule="auto" w:before="7"/>
        <w:rPr>
          <w:rFonts w:ascii="宋体" w:hAnsi="宋体" w:cs="宋体" w:eastAsia="宋体" w:hint="default"/>
          <w:sz w:val="18"/>
          <w:szCs w:val="18"/>
        </w:rPr>
      </w:pPr>
    </w:p>
    <w:tbl>
      <w:tblPr>
        <w:tblW w:w="0" w:type="auto"/>
        <w:jc w:val="left"/>
        <w:tblInd w:w="1126" w:type="dxa"/>
        <w:tblLayout w:type="fixed"/>
        <w:tblCellMar>
          <w:top w:w="0" w:type="dxa"/>
          <w:left w:w="0" w:type="dxa"/>
          <w:bottom w:w="0" w:type="dxa"/>
          <w:right w:w="0" w:type="dxa"/>
        </w:tblCellMar>
        <w:tblLook w:val="01E0"/>
      </w:tblPr>
      <w:tblGrid>
        <w:gridCol w:w="732"/>
        <w:gridCol w:w="1330"/>
        <w:gridCol w:w="1434"/>
        <w:gridCol w:w="922"/>
        <w:gridCol w:w="820"/>
        <w:gridCol w:w="1230"/>
        <w:gridCol w:w="1217"/>
        <w:gridCol w:w="1038"/>
      </w:tblGrid>
      <w:tr>
        <w:trPr>
          <w:trHeight w:val="347"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出资额</w:t>
            </w:r>
            <w:r>
              <w:rPr>
                <w:rFonts w:ascii="宋体" w:hAnsi="宋体" w:cs="宋体" w:eastAsia="宋体" w:hint="default"/>
                <w:sz w:val="18"/>
                <w:szCs w:val="18"/>
              </w:rPr>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出资额</w:t>
            </w:r>
            <w:r>
              <w:rPr>
                <w:rFonts w:ascii="宋体" w:hAnsi="宋体" w:cs="宋体" w:eastAsia="宋体" w:hint="default"/>
                <w:sz w:val="18"/>
                <w:szCs w:val="18"/>
              </w:rPr>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7"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40.00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40.00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刘玉刚</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9.00</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9.00</w:t>
            </w:r>
          </w:p>
        </w:tc>
      </w:tr>
      <w:tr>
        <w:trPr>
          <w:trHeight w:val="347"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21.80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21.80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5.00</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12.00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12.00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3.20</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3.20</w:t>
            </w:r>
          </w:p>
        </w:tc>
      </w:tr>
      <w:tr>
        <w:trPr>
          <w:trHeight w:val="348"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9.00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9.00</w:t>
            </w:r>
          </w:p>
        </w:tc>
        <w:tc>
          <w:tcPr>
            <w:tcW w:w="8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100.00</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0"/>
        <w:rPr>
          <w:rFonts w:ascii="宋体" w:hAnsi="宋体" w:cs="宋体" w:eastAsia="宋体" w:hint="default"/>
          <w:sz w:val="15"/>
          <w:szCs w:val="15"/>
        </w:rPr>
      </w:pPr>
    </w:p>
    <w:p>
      <w:pPr>
        <w:pStyle w:val="BodyText"/>
        <w:spacing w:line="300" w:lineRule="auto" w:before="44"/>
        <w:ind w:right="1130" w:firstLine="360"/>
        <w:jc w:val="both"/>
      </w:pPr>
      <w:r>
        <w:rPr>
          <w:spacing w:val="-1"/>
        </w:rPr>
        <w:t>（</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10</w:t>
      </w:r>
      <w:r>
        <w:rPr>
          <w:spacing w:val="-1"/>
        </w:rPr>
        <w:t>日，有限公司召开股东会并作出决议，将注册资本由</w:t>
      </w:r>
      <w:r>
        <w:rPr>
          <w:rFonts w:ascii="Times New Roman" w:hAnsi="Times New Roman" w:cs="Times New Roman" w:eastAsia="Times New Roman" w:hint="default"/>
          <w:spacing w:val="-1"/>
        </w:rPr>
        <w:t>100</w:t>
      </w:r>
      <w:r>
        <w:rPr>
          <w:spacing w:val="-1"/>
        </w:rPr>
        <w:t>万元增加到</w:t>
      </w:r>
      <w:r>
        <w:rPr>
          <w:rFonts w:ascii="Times New Roman" w:hAnsi="Times New Roman" w:cs="Times New Roman" w:eastAsia="Times New Roman" w:hint="default"/>
          <w:spacing w:val="-1"/>
        </w:rPr>
        <w:t>1,098</w:t>
      </w:r>
      <w:r>
        <w:rPr>
          <w:spacing w:val="-1"/>
        </w:rPr>
        <w:t>万元，由各股东刘泽刚、韦</w:t>
      </w:r>
      <w:r>
        <w:rPr/>
        <w:t> 强、张仁增、何昀、刘玉刚、高星、王维平按原比例追加投入货币资金</w:t>
      </w:r>
      <w:r>
        <w:rPr>
          <w:rFonts w:ascii="Times New Roman" w:hAnsi="Times New Roman" w:cs="Times New Roman" w:eastAsia="Times New Roman" w:hint="default"/>
        </w:rPr>
        <w:t>399.2</w:t>
      </w:r>
      <w:r>
        <w:rPr/>
        <w:t>万元、</w:t>
      </w:r>
      <w:r>
        <w:rPr>
          <w:rFonts w:ascii="Times New Roman" w:hAnsi="Times New Roman" w:cs="Times New Roman" w:eastAsia="Times New Roman" w:hint="default"/>
        </w:rPr>
        <w:t>217.564</w:t>
      </w:r>
      <w:r>
        <w:rPr/>
        <w:t>万元、</w:t>
      </w:r>
      <w:r>
        <w:rPr>
          <w:rFonts w:ascii="Times New Roman" w:hAnsi="Times New Roman" w:cs="Times New Roman" w:eastAsia="Times New Roman" w:hint="default"/>
        </w:rPr>
        <w:t>119.76</w:t>
      </w:r>
      <w:r>
        <w:rPr/>
        <w:t>万元、</w:t>
      </w:r>
      <w:r>
        <w:rPr>
          <w:rFonts w:ascii="Times New Roman" w:hAnsi="Times New Roman" w:cs="Times New Roman" w:eastAsia="Times New Roman" w:hint="default"/>
        </w:rPr>
        <w:t>89.82</w:t>
      </w:r>
      <w:r>
        <w:rPr/>
        <w:t>万元、</w:t>
      </w:r>
      <w:r>
        <w:rPr>
          <w:spacing w:val="-85"/>
        </w:rPr>
        <w:t> </w:t>
      </w:r>
      <w:r>
        <w:rPr>
          <w:rFonts w:ascii="Times New Roman" w:hAnsi="Times New Roman" w:cs="Times New Roman" w:eastAsia="Times New Roman" w:hint="default"/>
        </w:rPr>
        <w:t>89.82</w:t>
      </w:r>
      <w:r>
        <w:rPr/>
        <w:t>万元、</w:t>
      </w:r>
      <w:r>
        <w:rPr>
          <w:rFonts w:ascii="Times New Roman" w:hAnsi="Times New Roman" w:cs="Times New Roman" w:eastAsia="Times New Roman" w:hint="default"/>
        </w:rPr>
        <w:t>49.9</w:t>
      </w:r>
      <w:r>
        <w:rPr/>
        <w:t>万元、</w:t>
      </w:r>
      <w:r>
        <w:rPr>
          <w:rFonts w:ascii="Times New Roman" w:hAnsi="Times New Roman" w:cs="Times New Roman" w:eastAsia="Times New Roman" w:hint="default"/>
        </w:rPr>
        <w:t>31.936</w:t>
      </w:r>
      <w:r>
        <w:rPr/>
        <w:t>万元；</w:t>
      </w:r>
      <w:r>
        <w:rPr>
          <w:rFonts w:ascii="Times New Roman" w:hAnsi="Times New Roman" w:cs="Times New Roman" w:eastAsia="Times New Roman" w:hint="default"/>
        </w:rPr>
        <w:t>2000 </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19</w:t>
      </w:r>
      <w:r>
        <w:rPr>
          <w:rFonts w:ascii="Times New Roman" w:hAnsi="Times New Roman" w:cs="Times New Roman" w:eastAsia="Times New Roman" w:hint="default"/>
          <w:spacing w:val="6"/>
        </w:rPr>
        <w:t> </w:t>
      </w:r>
      <w:r>
        <w:rPr/>
        <w:t>日，北京凌峰会计师事务所有限公司于出具（</w:t>
      </w:r>
      <w:r>
        <w:rPr>
          <w:rFonts w:ascii="Times New Roman" w:hAnsi="Times New Roman" w:cs="Times New Roman" w:eastAsia="Times New Roman" w:hint="default"/>
        </w:rPr>
        <w:t>2000</w:t>
      </w:r>
      <w:r>
        <w:rPr/>
        <w:t>）京凌验字</w:t>
      </w:r>
      <w:r>
        <w:rPr>
          <w:rFonts w:ascii="Times New Roman" w:hAnsi="Times New Roman" w:cs="Times New Roman" w:eastAsia="Times New Roman" w:hint="default"/>
        </w:rPr>
        <w:t>7</w:t>
      </w: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12 </w:t>
      </w:r>
      <w:r>
        <w:rPr/>
        <w:t>号《变更验资报告书》对上述出资情况进行验证。</w:t>
      </w:r>
      <w:r>
        <w:rPr>
          <w:rFonts w:ascii="Times New Roman" w:hAnsi="Times New Roman" w:cs="Times New Roman" w:eastAsia="Times New Roman" w:hint="default"/>
        </w:rPr>
        <w:t>2000 </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t>日，完成工商登记变更。此次变动后股东出资及股权结构 情况如下（单位：万元）：</w:t>
      </w:r>
    </w:p>
    <w:p>
      <w:pPr>
        <w:spacing w:line="240" w:lineRule="auto" w:before="12"/>
        <w:rPr>
          <w:rFonts w:ascii="宋体" w:hAnsi="宋体" w:cs="宋体" w:eastAsia="宋体" w:hint="default"/>
          <w:sz w:val="19"/>
          <w:szCs w:val="19"/>
        </w:rPr>
      </w:pPr>
    </w:p>
    <w:tbl>
      <w:tblPr>
        <w:tblW w:w="0" w:type="auto"/>
        <w:jc w:val="left"/>
        <w:tblInd w:w="1126" w:type="dxa"/>
        <w:tblLayout w:type="fixed"/>
        <w:tblCellMar>
          <w:top w:w="0" w:type="dxa"/>
          <w:left w:w="0" w:type="dxa"/>
          <w:bottom w:w="0" w:type="dxa"/>
          <w:right w:w="0" w:type="dxa"/>
        </w:tblCellMar>
        <w:tblLook w:val="01E0"/>
      </w:tblPr>
      <w:tblGrid>
        <w:gridCol w:w="732"/>
        <w:gridCol w:w="1330"/>
        <w:gridCol w:w="1434"/>
        <w:gridCol w:w="922"/>
        <w:gridCol w:w="820"/>
        <w:gridCol w:w="1230"/>
        <w:gridCol w:w="1230"/>
        <w:gridCol w:w="1025"/>
      </w:tblGrid>
      <w:tr>
        <w:trPr>
          <w:trHeight w:val="347"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出资额</w:t>
            </w:r>
            <w:r>
              <w:rPr>
                <w:rFonts w:ascii="宋体" w:hAnsi="宋体" w:cs="宋体" w:eastAsia="宋体" w:hint="default"/>
                <w:sz w:val="18"/>
                <w:szCs w:val="18"/>
              </w:rPr>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出资额</w:t>
            </w:r>
            <w:r>
              <w:rPr>
                <w:rFonts w:ascii="宋体" w:hAnsi="宋体" w:cs="宋体" w:eastAsia="宋体" w:hint="default"/>
                <w:sz w:val="18"/>
                <w:szCs w:val="18"/>
              </w:rPr>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7"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439.200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40.00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刘玉刚</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98.820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9.00</w:t>
            </w:r>
          </w:p>
        </w:tc>
      </w:tr>
      <w:tr>
        <w:trPr>
          <w:trHeight w:val="347"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239.364</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21.80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54.900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5.00</w:t>
            </w:r>
          </w:p>
        </w:tc>
      </w:tr>
      <w:tr>
        <w:trPr>
          <w:trHeight w:val="348"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131.760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12.00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35.136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3.20</w:t>
            </w:r>
          </w:p>
        </w:tc>
      </w:tr>
      <w:tr>
        <w:trPr>
          <w:trHeight w:val="347"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98.820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9.00</w:t>
            </w:r>
          </w:p>
        </w:tc>
        <w:tc>
          <w:tcPr>
            <w:tcW w:w="8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1,098.00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headerReference w:type="default" r:id="rId24"/>
          <w:footerReference w:type="default" r:id="rId25"/>
          <w:pgSz w:w="11910" w:h="16840"/>
          <w:pgMar w:header="877" w:footer="979" w:top="1100" w:bottom="1160" w:left="0" w:right="0"/>
          <w:pgNumType w:start="83"/>
        </w:sectPr>
      </w:pPr>
    </w:p>
    <w:p>
      <w:pPr>
        <w:spacing w:line="240" w:lineRule="auto" w:before="12"/>
        <w:rPr>
          <w:rFonts w:ascii="宋体" w:hAnsi="宋体" w:cs="宋体" w:eastAsia="宋体" w:hint="default"/>
          <w:sz w:val="21"/>
          <w:szCs w:val="21"/>
        </w:rPr>
      </w:pPr>
    </w:p>
    <w:p>
      <w:pPr>
        <w:pStyle w:val="BodyText"/>
        <w:spacing w:line="300" w:lineRule="auto" w:before="44"/>
        <w:ind w:right="821" w:firstLine="360"/>
        <w:jc w:val="left"/>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日，有限公司召开股东会并作出决议，增加新股东中国风险投资有限公司（以下简称风险投资），并</w:t>
      </w:r>
      <w:r>
        <w:rPr/>
        <w:t> </w:t>
      </w:r>
      <w:r>
        <w:rPr>
          <w:spacing w:val="-2"/>
        </w:rPr>
        <w:t>根据公司股东与风险投资签订的《认股及股东协议》的规定，风险投资以货币形式出资</w:t>
      </w:r>
      <w:r>
        <w:rPr>
          <w:rFonts w:ascii="Times New Roman" w:hAnsi="Times New Roman" w:cs="Times New Roman" w:eastAsia="Times New Roman" w:hint="default"/>
          <w:spacing w:val="-2"/>
        </w:rPr>
        <w:t>485</w:t>
      </w:r>
      <w:r>
        <w:rPr>
          <w:spacing w:val="-2"/>
        </w:rPr>
        <w:t>万元，其中</w:t>
      </w:r>
      <w:r>
        <w:rPr>
          <w:rFonts w:ascii="Times New Roman" w:hAnsi="Times New Roman" w:cs="Times New Roman" w:eastAsia="Times New Roman" w:hint="default"/>
          <w:spacing w:val="-2"/>
        </w:rPr>
        <w:t>95</w:t>
      </w:r>
      <w:r>
        <w:rPr>
          <w:spacing w:val="-2"/>
        </w:rPr>
        <w:t>万元增加注册资本。</w:t>
      </w:r>
      <w:r>
        <w:rPr>
          <w:spacing w:val="-61"/>
        </w:rPr>
        <w:t> </w:t>
      </w:r>
      <w:r>
        <w:rPr>
          <w:rFonts w:ascii="Times New Roman" w:hAnsi="Times New Roman" w:cs="Times New Roman" w:eastAsia="Times New Roman" w:hint="default"/>
        </w:rPr>
        <w:t>2004 </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29</w:t>
      </w:r>
      <w:r>
        <w:rPr/>
        <w:t>日，上述款项已经缴存至中国光大银行北京海淀支行。</w:t>
      </w:r>
      <w:r>
        <w:rPr>
          <w:rFonts w:ascii="Times New Roman" w:hAnsi="Times New Roman" w:cs="Times New Roman" w:eastAsia="Times New Roman" w:hint="default"/>
        </w:rPr>
        <w:t>2004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17"/>
        </w:rPr>
        <w:t> </w:t>
      </w:r>
      <w:r>
        <w:rPr>
          <w:spacing w:val="-3"/>
        </w:rPr>
        <w:t>日，完成工商登记变更。此次变动后有</w:t>
      </w:r>
      <w:r>
        <w:rPr/>
        <w:t> 限公司股东出资及股权结构情况如下（单位：万元）：</w:t>
      </w:r>
    </w:p>
    <w:p>
      <w:pPr>
        <w:spacing w:line="240" w:lineRule="auto" w:before="13"/>
        <w:rPr>
          <w:rFonts w:ascii="宋体" w:hAnsi="宋体" w:cs="宋体" w:eastAsia="宋体" w:hint="default"/>
          <w:sz w:val="19"/>
          <w:szCs w:val="19"/>
        </w:rPr>
      </w:pPr>
    </w:p>
    <w:tbl>
      <w:tblPr>
        <w:tblW w:w="0" w:type="auto"/>
        <w:jc w:val="left"/>
        <w:tblInd w:w="1126" w:type="dxa"/>
        <w:tblLayout w:type="fixed"/>
        <w:tblCellMar>
          <w:top w:w="0" w:type="dxa"/>
          <w:left w:w="0" w:type="dxa"/>
          <w:bottom w:w="0" w:type="dxa"/>
          <w:right w:w="0" w:type="dxa"/>
        </w:tblCellMar>
        <w:tblLook w:val="01E0"/>
      </w:tblPr>
      <w:tblGrid>
        <w:gridCol w:w="732"/>
        <w:gridCol w:w="1330"/>
        <w:gridCol w:w="1434"/>
        <w:gridCol w:w="922"/>
        <w:gridCol w:w="820"/>
        <w:gridCol w:w="1230"/>
        <w:gridCol w:w="1230"/>
        <w:gridCol w:w="1025"/>
      </w:tblGrid>
      <w:tr>
        <w:trPr>
          <w:trHeight w:val="347"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出资额</w:t>
            </w:r>
            <w:r>
              <w:rPr>
                <w:rFonts w:ascii="宋体" w:hAnsi="宋体" w:cs="宋体" w:eastAsia="宋体" w:hint="default"/>
                <w:sz w:val="18"/>
                <w:szCs w:val="18"/>
              </w:rPr>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出资额</w:t>
            </w:r>
            <w:r>
              <w:rPr>
                <w:rFonts w:ascii="宋体" w:hAnsi="宋体" w:cs="宋体" w:eastAsia="宋体" w:hint="default"/>
                <w:sz w:val="18"/>
                <w:szCs w:val="18"/>
              </w:rPr>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7"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439.200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36.82</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风险投资</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95.000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7.96</w:t>
            </w:r>
          </w:p>
        </w:tc>
      </w:tr>
      <w:tr>
        <w:trPr>
          <w:trHeight w:val="347"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239.364</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20.06</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54.900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4.60</w:t>
            </w:r>
          </w:p>
        </w:tc>
      </w:tr>
      <w:tr>
        <w:trPr>
          <w:trHeight w:val="348"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131.760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11.05</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35.136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2.95</w:t>
            </w:r>
          </w:p>
        </w:tc>
      </w:tr>
      <w:tr>
        <w:trPr>
          <w:trHeight w:val="347"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98.820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8.28</w:t>
            </w:r>
          </w:p>
        </w:tc>
        <w:tc>
          <w:tcPr>
            <w:tcW w:w="8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刘玉刚</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98.820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8.28</w:t>
            </w:r>
          </w:p>
        </w:tc>
        <w:tc>
          <w:tcPr>
            <w:tcW w:w="8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1,193.000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0"/>
        <w:rPr>
          <w:rFonts w:ascii="宋体" w:hAnsi="宋体" w:cs="宋体" w:eastAsia="宋体" w:hint="default"/>
          <w:sz w:val="15"/>
          <w:szCs w:val="15"/>
        </w:rPr>
      </w:pPr>
    </w:p>
    <w:p>
      <w:pPr>
        <w:pStyle w:val="BodyText"/>
        <w:spacing w:line="309" w:lineRule="auto" w:before="44"/>
        <w:ind w:left="1134" w:right="1130" w:firstLine="36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日，有限公司召开股东会并作出决议，决定吸收自然人韩国良、何晋章、徐迪、张旭、聂武河、邓 </w:t>
      </w:r>
      <w:r>
        <w:rPr>
          <w:spacing w:val="-2"/>
        </w:rPr>
        <w:t>胜明、琚存旭、常满祥、严旭东、肖湘、贺飞、迂永信、符家荣、高维、陈涛为新股东，同时进行股东间转让。此次变动后</w:t>
      </w:r>
      <w:r>
        <w:rPr>
          <w:spacing w:val="-72"/>
        </w:rPr>
        <w:t> </w:t>
      </w:r>
      <w:r>
        <w:rPr>
          <w:spacing w:val="-72"/>
        </w:rPr>
      </w:r>
      <w:r>
        <w:rPr/>
        <w:t>股权结构情况如下（单位：万元）：</w:t>
      </w:r>
    </w:p>
    <w:p>
      <w:pPr>
        <w:spacing w:line="240" w:lineRule="auto" w:before="5"/>
        <w:rPr>
          <w:rFonts w:ascii="宋体" w:hAnsi="宋体" w:cs="宋体" w:eastAsia="宋体" w:hint="default"/>
          <w:sz w:val="19"/>
          <w:szCs w:val="19"/>
        </w:rPr>
      </w:pPr>
    </w:p>
    <w:tbl>
      <w:tblPr>
        <w:tblW w:w="0" w:type="auto"/>
        <w:jc w:val="left"/>
        <w:tblInd w:w="1126" w:type="dxa"/>
        <w:tblLayout w:type="fixed"/>
        <w:tblCellMar>
          <w:top w:w="0" w:type="dxa"/>
          <w:left w:w="0" w:type="dxa"/>
          <w:bottom w:w="0" w:type="dxa"/>
          <w:right w:w="0" w:type="dxa"/>
        </w:tblCellMar>
        <w:tblLook w:val="01E0"/>
      </w:tblPr>
      <w:tblGrid>
        <w:gridCol w:w="754"/>
        <w:gridCol w:w="1290"/>
        <w:gridCol w:w="1472"/>
        <w:gridCol w:w="959"/>
        <w:gridCol w:w="738"/>
        <w:gridCol w:w="1254"/>
        <w:gridCol w:w="1230"/>
        <w:gridCol w:w="1025"/>
      </w:tblGrid>
      <w:tr>
        <w:trPr>
          <w:trHeight w:val="348"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出资额</w:t>
            </w:r>
            <w:r>
              <w:rPr>
                <w:rFonts w:ascii="宋体" w:hAnsi="宋体" w:cs="宋体" w:eastAsia="宋体" w:hint="default"/>
                <w:sz w:val="18"/>
                <w:szCs w:val="18"/>
              </w:rPr>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出资额</w:t>
            </w:r>
            <w:r>
              <w:rPr>
                <w:rFonts w:ascii="宋体" w:hAnsi="宋体" w:cs="宋体" w:eastAsia="宋体" w:hint="default"/>
                <w:sz w:val="18"/>
                <w:szCs w:val="18"/>
              </w:rPr>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风险投资</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83.2363</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6.98</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13</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肖湘</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6.7442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0.56</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451.6447</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37.86</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14</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6.1697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0.52</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232.7852</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19.51</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15</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何晋章</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6.1697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0.52</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125.7737</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10.54</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16</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徐迪</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5.7083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0.48</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99.5984</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8.35</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17</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陈涛</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5.6735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0.48</w:t>
            </w:r>
          </w:p>
        </w:tc>
      </w:tr>
      <w:tr>
        <w:trPr>
          <w:trHeight w:val="348"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50.8386</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4.26</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18</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张旭</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4.1487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0.35</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31.5695</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2.64</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19</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迂永信</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4.1311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0.35</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8</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琚存旭</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27.2978</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2.29</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贺飞</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3.6932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0.31</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9</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高维</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13.6489</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1.14</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21</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符家荣</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2.6762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0.22</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严旭东</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11.2403</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0.94</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22</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聂武河</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2.5887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0.22</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11</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常满祥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9.6345</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0.81</w:t>
            </w:r>
          </w:p>
        </w:tc>
        <w:tc>
          <w:tcPr>
            <w:tcW w:w="738" w:type="dxa"/>
            <w:tcBorders>
              <w:top w:val="single" w:sz="6" w:space="0" w:color="000000"/>
              <w:left w:val="single" w:sz="6"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12</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邓胜明</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8.0288</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0.67</w:t>
            </w:r>
          </w:p>
        </w:tc>
        <w:tc>
          <w:tcPr>
            <w:tcW w:w="738" w:type="dxa"/>
            <w:tcBorders>
              <w:top w:val="single" w:sz="6" w:space="0" w:color="000000"/>
              <w:left w:val="single" w:sz="6"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1,193.00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0"/>
        <w:rPr>
          <w:rFonts w:ascii="宋体" w:hAnsi="宋体" w:cs="宋体" w:eastAsia="宋体" w:hint="default"/>
          <w:sz w:val="15"/>
          <w:szCs w:val="15"/>
        </w:rPr>
      </w:pPr>
    </w:p>
    <w:p>
      <w:pPr>
        <w:pStyle w:val="BodyText"/>
        <w:spacing w:line="300" w:lineRule="auto" w:before="44"/>
        <w:ind w:right="1040" w:firstLine="360"/>
        <w:jc w:val="both"/>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日，有限公司股东会通过《关于公司申请变更为股份有限公司的议案》决议，以</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日为 基准日经审计的有限公司净资产</w:t>
      </w:r>
      <w:r>
        <w:rPr>
          <w:rFonts w:ascii="Times New Roman" w:hAnsi="Times New Roman" w:cs="Times New Roman" w:eastAsia="Times New Roman" w:hint="default"/>
        </w:rPr>
        <w:t>7,427.48</w:t>
      </w:r>
      <w:r>
        <w:rPr/>
        <w:t>万元，按</w:t>
      </w:r>
      <w:r>
        <w:rPr>
          <w:rFonts w:ascii="Times New Roman" w:hAnsi="Times New Roman" w:cs="Times New Roman" w:eastAsia="Times New Roman" w:hint="default"/>
        </w:rPr>
        <w:t>1.029</w:t>
      </w:r>
      <w:r>
        <w:rPr/>
        <w:t>：</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折合股份</w:t>
      </w:r>
      <w:r>
        <w:rPr>
          <w:rFonts w:ascii="Times New Roman" w:hAnsi="Times New Roman" w:cs="Times New Roman" w:eastAsia="Times New Roman" w:hint="default"/>
        </w:rPr>
        <w:t>7,218</w:t>
      </w:r>
      <w:r>
        <w:rPr>
          <w:rFonts w:ascii="Times New Roman" w:hAnsi="Times New Roman" w:cs="Times New Roman" w:eastAsia="Times New Roman" w:hint="default"/>
          <w:spacing w:val="36"/>
        </w:rPr>
        <w:t> </w:t>
      </w:r>
      <w:r>
        <w:rPr/>
        <w:t>万股，有限公司整体变更为股份公司，名称变更</w:t>
      </w:r>
      <w:r>
        <w:rPr>
          <w:spacing w:val="-76"/>
        </w:rPr>
        <w:t> </w:t>
      </w:r>
      <w:r>
        <w:rPr>
          <w:spacing w:val="-76"/>
        </w:rPr>
      </w:r>
      <w:r>
        <w:rPr/>
        <w:t>为</w:t>
      </w:r>
      <w:r>
        <w:rPr>
          <w:rFonts w:ascii="Times New Roman" w:hAnsi="Times New Roman" w:cs="Times New Roman" w:eastAsia="Times New Roman" w:hint="default"/>
        </w:rPr>
        <w:t>“</w:t>
      </w:r>
      <w:r>
        <w:rPr/>
        <w:t>北京合纵科技股份有限公司</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22</w:t>
      </w:r>
      <w:r>
        <w:rPr/>
        <w:t>名股东的股权同时转为本公司的发起人股份。总股本为</w:t>
      </w:r>
      <w:r>
        <w:rPr>
          <w:rFonts w:ascii="Times New Roman" w:hAnsi="Times New Roman" w:cs="Times New Roman" w:eastAsia="Times New Roman" w:hint="default"/>
        </w:rPr>
        <w:t>7,218</w:t>
      </w:r>
      <w:r>
        <w:rPr/>
        <w:t>万股，每股面值</w:t>
      </w:r>
      <w:r>
        <w:rPr>
          <w:spacing w:val="-25"/>
        </w:rPr>
        <w:t> </w:t>
      </w:r>
      <w:r>
        <w:rPr>
          <w:spacing w:val="-1"/>
        </w:rPr>
        <w:t>人民币</w:t>
      </w:r>
      <w:r>
        <w:rPr>
          <w:rFonts w:ascii="Times New Roman" w:hAnsi="Times New Roman" w:cs="Times New Roman" w:eastAsia="Times New Roman" w:hint="default"/>
          <w:spacing w:val="-1"/>
        </w:rPr>
        <w:t>1</w:t>
      </w:r>
      <w:r>
        <w:rPr>
          <w:spacing w:val="-1"/>
        </w:rPr>
        <w:t>元，注册资本为人民币</w:t>
      </w:r>
      <w:r>
        <w:rPr>
          <w:rFonts w:ascii="Times New Roman" w:hAnsi="Times New Roman" w:cs="Times New Roman" w:eastAsia="Times New Roman" w:hint="default"/>
          <w:spacing w:val="-1"/>
        </w:rPr>
        <w:t>7,218</w:t>
      </w:r>
      <w:r>
        <w:rPr>
          <w:spacing w:val="-1"/>
        </w:rPr>
        <w:t>万元。中勤万信会计师事务所有限公司为此出具（</w:t>
      </w:r>
      <w:r>
        <w:rPr>
          <w:rFonts w:ascii="Times New Roman" w:hAnsi="Times New Roman" w:cs="Times New Roman" w:eastAsia="Times New Roman" w:hint="default"/>
          <w:spacing w:val="-1"/>
        </w:rPr>
        <w:t>2006</w:t>
      </w:r>
      <w:r>
        <w:rPr>
          <w:spacing w:val="-1"/>
        </w:rPr>
        <w:t>）中勤审字第</w:t>
      </w:r>
      <w:r>
        <w:rPr>
          <w:rFonts w:ascii="Times New Roman" w:hAnsi="Times New Roman" w:cs="Times New Roman" w:eastAsia="Times New Roman" w:hint="default"/>
          <w:spacing w:val="-1"/>
        </w:rPr>
        <w:t>12313</w:t>
      </w:r>
      <w:r>
        <w:rPr>
          <w:spacing w:val="-1"/>
        </w:rPr>
        <w:t>号审计报告、</w:t>
      </w:r>
    </w:p>
    <w:p>
      <w:pPr>
        <w:pStyle w:val="BodyText"/>
        <w:spacing w:line="300" w:lineRule="auto" w:before="13"/>
        <w:ind w:right="821"/>
        <w:jc w:val="left"/>
      </w:pPr>
      <w:r>
        <w:rPr/>
        <w:t>（</w:t>
      </w:r>
      <w:r>
        <w:rPr>
          <w:rFonts w:ascii="Times New Roman" w:hAnsi="Times New Roman" w:cs="Times New Roman" w:eastAsia="Times New Roman" w:hint="default"/>
        </w:rPr>
        <w:t>2007</w:t>
      </w:r>
      <w:r>
        <w:rPr/>
        <w:t>）中勤验字第</w:t>
      </w:r>
      <w:r>
        <w:rPr>
          <w:rFonts w:ascii="Times New Roman" w:hAnsi="Times New Roman" w:cs="Times New Roman" w:eastAsia="Times New Roman" w:hint="default"/>
        </w:rPr>
        <w:t>01002 </w:t>
      </w:r>
      <w:r>
        <w:rPr/>
        <w:t>号验资报告。</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日，完成工商登记变更。此次变动后各股东持股数量及股权结构情况</w:t>
      </w:r>
      <w:r>
        <w:rPr>
          <w:spacing w:val="-88"/>
        </w:rPr>
        <w:t> </w:t>
      </w:r>
      <w:r>
        <w:rPr>
          <w:spacing w:val="-88"/>
        </w:rPr>
      </w:r>
      <w:r>
        <w:rPr/>
        <w:t>如下（单位：万元）：</w:t>
      </w:r>
    </w:p>
    <w:tbl>
      <w:tblPr>
        <w:tblW w:w="0" w:type="auto"/>
        <w:jc w:val="left"/>
        <w:tblInd w:w="1126" w:type="dxa"/>
        <w:tblLayout w:type="fixed"/>
        <w:tblCellMar>
          <w:top w:w="0" w:type="dxa"/>
          <w:left w:w="0" w:type="dxa"/>
          <w:bottom w:w="0" w:type="dxa"/>
          <w:right w:w="0" w:type="dxa"/>
        </w:tblCellMar>
        <w:tblLook w:val="01E0"/>
      </w:tblPr>
      <w:tblGrid>
        <w:gridCol w:w="754"/>
        <w:gridCol w:w="1290"/>
        <w:gridCol w:w="1352"/>
        <w:gridCol w:w="1082"/>
        <w:gridCol w:w="701"/>
        <w:gridCol w:w="1291"/>
        <w:gridCol w:w="1434"/>
        <w:gridCol w:w="818"/>
      </w:tblGrid>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2,732.5832</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37.86</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13</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肖湘</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40.8042</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0.56</w:t>
            </w:r>
          </w:p>
        </w:tc>
      </w:tr>
      <w:tr>
        <w:trPr>
          <w:trHeight w:val="348"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1,408.4186</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19.51</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14</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37.3287</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0.52</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760.9680</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10.54</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15</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何晋章</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37.3287</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0.52</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602.5994</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8.35</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16</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徐迪</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34.537</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0.48</w:t>
            </w:r>
          </w:p>
        </w:tc>
      </w:tr>
      <w:tr>
        <w:trPr>
          <w:trHeight w:val="348"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风险投资</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503.6039</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6.98</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17</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陈涛</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34.3264</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0.48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6" w:type="dxa"/>
        <w:tblLayout w:type="fixed"/>
        <w:tblCellMar>
          <w:top w:w="0" w:type="dxa"/>
          <w:left w:w="0" w:type="dxa"/>
          <w:bottom w:w="0" w:type="dxa"/>
          <w:right w:w="0" w:type="dxa"/>
        </w:tblCellMar>
        <w:tblLook w:val="01E0"/>
      </w:tblPr>
      <w:tblGrid>
        <w:gridCol w:w="754"/>
        <w:gridCol w:w="1290"/>
        <w:gridCol w:w="1352"/>
        <w:gridCol w:w="1082"/>
        <w:gridCol w:w="701"/>
        <w:gridCol w:w="1291"/>
        <w:gridCol w:w="1434"/>
        <w:gridCol w:w="818"/>
      </w:tblGrid>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307.5882</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4.26</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18</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张旭</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25.101</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0.35</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191.0047</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2.64</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19</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迂永信</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24.9943</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0.35</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8</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琚存旭</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165.1597</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2.29</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贺飞</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22.3451</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0.31</w:t>
            </w:r>
          </w:p>
        </w:tc>
      </w:tr>
      <w:tr>
        <w:trPr>
          <w:trHeight w:val="348"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9</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高维</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82.5798</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1.14</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21</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符家荣</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16.1921</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0.22</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严旭东</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68.0069</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0.94</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22</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聂武河</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15.6621</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0.22</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11</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常满祥</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58.2916</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0.81</w:t>
            </w:r>
          </w:p>
        </w:tc>
        <w:tc>
          <w:tcPr>
            <w:tcW w:w="701"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12</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邓胜明</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48.5764</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0.67</w:t>
            </w:r>
          </w:p>
        </w:tc>
        <w:tc>
          <w:tcPr>
            <w:tcW w:w="701"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7,218.0000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10"/>
        <w:rPr>
          <w:rFonts w:ascii="宋体" w:hAnsi="宋体" w:cs="宋体" w:eastAsia="宋体" w:hint="default"/>
          <w:sz w:val="15"/>
          <w:szCs w:val="15"/>
        </w:rPr>
      </w:pPr>
    </w:p>
    <w:p>
      <w:pPr>
        <w:pStyle w:val="BodyText"/>
        <w:spacing w:line="300" w:lineRule="auto" w:before="44"/>
        <w:ind w:right="1131" w:firstLine="360"/>
        <w:jc w:val="both"/>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日，经中关村科技园区管理委员会《关于同意北京合纵科技股份有限公司申请进入证券公司代办股 份转让系统进行股份报价转让试点的函》（中科园函</w:t>
      </w:r>
      <w:r>
        <w:rPr>
          <w:rFonts w:ascii="Times New Roman" w:hAnsi="Times New Roman" w:cs="Times New Roman" w:eastAsia="Times New Roman" w:hint="default"/>
        </w:rPr>
        <w:t>[2007]45 </w:t>
      </w:r>
      <w:r>
        <w:rPr/>
        <w:t>号）的批准，本公司作为中关村科技园区股份报价转让试点</w:t>
      </w:r>
      <w:r>
        <w:rPr>
          <w:spacing w:val="-80"/>
        </w:rPr>
        <w:t> </w:t>
      </w:r>
      <w:r>
        <w:rPr>
          <w:spacing w:val="-80"/>
        </w:rPr>
      </w:r>
      <w:r>
        <w:rPr/>
        <w:t>企业，于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日起在中关村科技园区非上市股份有限公司股份报价转让系统挂牌。挂牌时，公司股东、持股数量及</w:t>
      </w:r>
      <w:r>
        <w:rPr>
          <w:spacing w:val="-83"/>
        </w:rPr>
        <w:t> </w:t>
      </w:r>
      <w:r>
        <w:rPr>
          <w:spacing w:val="-83"/>
        </w:rPr>
      </w:r>
      <w:r>
        <w:rPr/>
        <w:t>股权结构与上述第（</w:t>
      </w:r>
      <w:r>
        <w:rPr>
          <w:rFonts w:ascii="Times New Roman" w:hAnsi="Times New Roman" w:cs="Times New Roman" w:eastAsia="Times New Roman" w:hint="default"/>
        </w:rPr>
        <w:t>7</w:t>
      </w:r>
      <w:r>
        <w:rPr/>
        <w:t>）项相同。</w:t>
      </w:r>
    </w:p>
    <w:p>
      <w:pPr>
        <w:spacing w:line="240" w:lineRule="auto" w:before="4"/>
        <w:rPr>
          <w:rFonts w:ascii="宋体" w:hAnsi="宋体" w:cs="宋体" w:eastAsia="宋体" w:hint="default"/>
          <w:sz w:val="19"/>
          <w:szCs w:val="19"/>
        </w:rPr>
      </w:pPr>
    </w:p>
    <w:p>
      <w:pPr>
        <w:pStyle w:val="BodyText"/>
        <w:spacing w:line="300" w:lineRule="auto"/>
        <w:ind w:right="1039" w:firstLine="360"/>
        <w:jc w:val="left"/>
      </w:pPr>
      <w:r>
        <w:rPr>
          <w:spacing w:val="-3"/>
        </w:rPr>
        <w:t>（</w:t>
      </w:r>
      <w:r>
        <w:rPr>
          <w:rFonts w:ascii="Times New Roman" w:hAnsi="Times New Roman" w:cs="Times New Roman" w:eastAsia="Times New Roman" w:hint="default"/>
          <w:spacing w:val="-3"/>
        </w:rPr>
        <w:t>9</w:t>
      </w:r>
      <w:r>
        <w:rPr>
          <w:spacing w:val="-3"/>
        </w:rPr>
        <w:t>）</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19</w:t>
      </w:r>
      <w:r>
        <w:rPr>
          <w:spacing w:val="-3"/>
        </w:rPr>
        <w:t>日，根据中国证券业协会中证协函〔</w:t>
      </w:r>
      <w:r>
        <w:rPr>
          <w:rFonts w:ascii="Times New Roman" w:hAnsi="Times New Roman" w:cs="Times New Roman" w:eastAsia="Times New Roman" w:hint="default"/>
          <w:spacing w:val="-3"/>
        </w:rPr>
        <w:t>2008</w:t>
      </w:r>
      <w:r>
        <w:rPr>
          <w:spacing w:val="-3"/>
        </w:rPr>
        <w:t>〕</w:t>
      </w:r>
      <w:r>
        <w:rPr>
          <w:rFonts w:ascii="Times New Roman" w:hAnsi="Times New Roman" w:cs="Times New Roman" w:eastAsia="Times New Roman" w:hint="default"/>
          <w:spacing w:val="-3"/>
        </w:rPr>
        <w:t>72</w:t>
      </w:r>
      <w:r>
        <w:rPr>
          <w:spacing w:val="-3"/>
        </w:rPr>
        <w:t>号确认函、中关村科技园区管理委员会中科园函〔</w:t>
      </w:r>
      <w:r>
        <w:rPr>
          <w:rFonts w:ascii="Times New Roman" w:hAnsi="Times New Roman" w:cs="Times New Roman" w:eastAsia="Times New Roman" w:hint="default"/>
          <w:spacing w:val="-3"/>
        </w:rPr>
        <w:t>2008</w:t>
      </w:r>
      <w:r>
        <w:rPr>
          <w:spacing w:val="-3"/>
        </w:rPr>
        <w:t>〕</w:t>
      </w:r>
      <w:r>
        <w:rPr/>
        <w:t> </w:t>
      </w:r>
      <w:r>
        <w:rPr>
          <w:rFonts w:ascii="Times New Roman" w:hAnsi="Times New Roman" w:cs="Times New Roman" w:eastAsia="Times New Roman" w:hint="default"/>
        </w:rPr>
        <w:t>14</w:t>
      </w:r>
      <w:r>
        <w:rPr/>
        <w:t>号函的批准以及</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日本公司</w:t>
      </w:r>
      <w:r>
        <w:rPr>
          <w:rFonts w:ascii="Times New Roman" w:hAnsi="Times New Roman" w:cs="Times New Roman" w:eastAsia="Times New Roman" w:hint="default"/>
        </w:rPr>
        <w:t>2008</w:t>
      </w:r>
      <w:r>
        <w:rPr/>
        <w:t>年度第一次临时股东大会决议的规定，本公司计划以非公开定向增资的方式增</w:t>
      </w:r>
      <w:r>
        <w:rPr>
          <w:spacing w:val="-83"/>
        </w:rPr>
        <w:t> </w:t>
      </w:r>
      <w:r>
        <w:rPr>
          <w:spacing w:val="-83"/>
        </w:rPr>
      </w:r>
      <w:r>
        <w:rPr/>
        <w:t>资</w:t>
      </w:r>
      <w:r>
        <w:rPr>
          <w:rFonts w:ascii="Times New Roman" w:hAnsi="Times New Roman" w:cs="Times New Roman" w:eastAsia="Times New Roman" w:hint="default"/>
        </w:rPr>
        <w:t>1000 </w:t>
      </w:r>
      <w:r>
        <w:rPr/>
        <w:t>万股有限售条件的人民币普通股，其中，增发股份的</w:t>
      </w:r>
      <w:r>
        <w:rPr>
          <w:rFonts w:ascii="Times New Roman" w:hAnsi="Times New Roman" w:cs="Times New Roman" w:eastAsia="Times New Roman" w:hint="default"/>
        </w:rPr>
        <w:t>30%</w:t>
      </w:r>
      <w:r>
        <w:rPr/>
        <w:t>拟向股权登记日在册股东配售，拟向在册股东配售的股份</w:t>
      </w:r>
      <w:r>
        <w:rPr>
          <w:spacing w:val="-60"/>
        </w:rPr>
        <w:t> </w:t>
      </w:r>
      <w:r>
        <w:rPr>
          <w:spacing w:val="-60"/>
        </w:rPr>
      </w:r>
      <w:r>
        <w:rPr/>
        <w:t>不超过</w:t>
      </w:r>
      <w:r>
        <w:rPr>
          <w:rFonts w:ascii="Times New Roman" w:hAnsi="Times New Roman" w:cs="Times New Roman" w:eastAsia="Times New Roman" w:hint="default"/>
        </w:rPr>
        <w:t>300 </w:t>
      </w:r>
      <w:r>
        <w:rPr/>
        <w:t>万股（含</w:t>
      </w:r>
      <w:r>
        <w:rPr>
          <w:rFonts w:ascii="Times New Roman" w:hAnsi="Times New Roman" w:cs="Times New Roman" w:eastAsia="Times New Roman" w:hint="default"/>
        </w:rPr>
        <w:t>300</w:t>
      </w:r>
      <w:r>
        <w:rPr/>
        <w:t>万股），定向增资价格为每股人民币</w:t>
      </w:r>
      <w:r>
        <w:rPr>
          <w:rFonts w:ascii="Times New Roman" w:hAnsi="Times New Roman" w:cs="Times New Roman" w:eastAsia="Times New Roman" w:hint="default"/>
        </w:rPr>
        <w:t>3 </w:t>
      </w:r>
      <w:r>
        <w:rPr/>
        <w:t>元。本公司以</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日为股权登记日，登记在册的公 </w:t>
      </w:r>
      <w:r>
        <w:rPr>
          <w:spacing w:val="-3"/>
        </w:rPr>
        <w:t>司原有股东享有优先认购权，共有</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33"/>
        </w:rPr>
        <w:t> </w:t>
      </w:r>
      <w:r>
        <w:rPr>
          <w:spacing w:val="-5"/>
        </w:rPr>
        <w:t>名在册股东刘泽刚、韦强、葛瑆参与认购，共认购</w:t>
      </w:r>
      <w:r>
        <w:rPr>
          <w:rFonts w:ascii="Times New Roman" w:hAnsi="Times New Roman" w:cs="Times New Roman" w:eastAsia="Times New Roman" w:hint="default"/>
          <w:spacing w:val="-5"/>
        </w:rPr>
        <w:t>300</w:t>
      </w:r>
      <w:r>
        <w:rPr>
          <w:rFonts w:ascii="Times New Roman" w:hAnsi="Times New Roman" w:cs="Times New Roman" w:eastAsia="Times New Roman" w:hint="default"/>
          <w:spacing w:val="32"/>
        </w:rPr>
        <w:t> </w:t>
      </w:r>
      <w:r>
        <w:rPr>
          <w:spacing w:val="-4"/>
        </w:rPr>
        <w:t>万股，其中：刘泽刚认购</w:t>
      </w:r>
      <w:r>
        <w:rPr>
          <w:rFonts w:ascii="Times New Roman" w:hAnsi="Times New Roman" w:cs="Times New Roman" w:eastAsia="Times New Roman" w:hint="default"/>
          <w:spacing w:val="-4"/>
        </w:rPr>
        <w:t>2,418,754</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股、韦强认购</w:t>
      </w:r>
      <w:r>
        <w:rPr>
          <w:rFonts w:ascii="Times New Roman" w:hAnsi="Times New Roman" w:cs="Times New Roman" w:eastAsia="Times New Roman" w:hint="default"/>
        </w:rPr>
        <w:t>580,000</w:t>
      </w:r>
      <w:r>
        <w:rPr/>
        <w:t>股、葛瑆认购</w:t>
      </w:r>
      <w:r>
        <w:rPr>
          <w:rFonts w:ascii="Times New Roman" w:hAnsi="Times New Roman" w:cs="Times New Roman" w:eastAsia="Times New Roman" w:hint="default"/>
        </w:rPr>
        <w:t>1,246</w:t>
      </w:r>
      <w:r>
        <w:rPr/>
        <w:t>股。</w:t>
      </w:r>
    </w:p>
    <w:p>
      <w:pPr>
        <w:spacing w:line="240" w:lineRule="auto" w:before="4"/>
        <w:rPr>
          <w:rFonts w:ascii="宋体" w:hAnsi="宋体" w:cs="宋体" w:eastAsia="宋体" w:hint="default"/>
          <w:sz w:val="19"/>
          <w:szCs w:val="19"/>
        </w:rPr>
      </w:pPr>
    </w:p>
    <w:p>
      <w:pPr>
        <w:pStyle w:val="BodyText"/>
        <w:spacing w:line="300" w:lineRule="auto"/>
        <w:ind w:right="1127" w:firstLine="360"/>
        <w:jc w:val="both"/>
      </w:pPr>
      <w:r>
        <w:rPr/>
        <w:t>剩余</w:t>
      </w:r>
      <w:r>
        <w:rPr>
          <w:rFonts w:ascii="Times New Roman" w:hAnsi="Times New Roman" w:cs="Times New Roman" w:eastAsia="Times New Roman" w:hint="default"/>
        </w:rPr>
        <w:t>700</w:t>
      </w:r>
      <w:r>
        <w:rPr/>
        <w:t>万股股份由</w:t>
      </w:r>
      <w:r>
        <w:rPr>
          <w:rFonts w:ascii="Times New Roman" w:hAnsi="Times New Roman" w:cs="Times New Roman" w:eastAsia="Times New Roman" w:hint="default"/>
        </w:rPr>
        <w:t>5</w:t>
      </w:r>
      <w:r>
        <w:rPr/>
        <w:t>五位定向增资认购人认购，其中公司原自然人股东韦强认购</w:t>
      </w:r>
      <w:r>
        <w:rPr>
          <w:rFonts w:ascii="Times New Roman" w:hAnsi="Times New Roman" w:cs="Times New Roman" w:eastAsia="Times New Roman" w:hint="default"/>
        </w:rPr>
        <w:t>120</w:t>
      </w:r>
      <w:r>
        <w:rPr/>
        <w:t>万股、上海天一投资咨询发展有限 </w:t>
      </w:r>
      <w:r>
        <w:rPr>
          <w:spacing w:val="-2"/>
        </w:rPr>
        <w:t>公司（以下简称天一投资）认购</w:t>
      </w:r>
      <w:r>
        <w:rPr>
          <w:rFonts w:ascii="Times New Roman" w:hAnsi="Times New Roman" w:cs="Times New Roman" w:eastAsia="Times New Roman" w:hint="default"/>
          <w:spacing w:val="-2"/>
        </w:rPr>
        <w:t>200</w:t>
      </w:r>
      <w:r>
        <w:rPr>
          <w:spacing w:val="-2"/>
        </w:rPr>
        <w:t>万股、北京信创融创业投资顾问有限公司（以下简称信创融）认购</w:t>
      </w:r>
      <w:r>
        <w:rPr>
          <w:rFonts w:ascii="Times New Roman" w:hAnsi="Times New Roman" w:cs="Times New Roman" w:eastAsia="Times New Roman" w:hint="default"/>
          <w:spacing w:val="-2"/>
        </w:rPr>
        <w:t>150</w:t>
      </w:r>
      <w:r>
        <w:rPr>
          <w:spacing w:val="-2"/>
        </w:rPr>
        <w:t>万股、上海先元投</w:t>
      </w:r>
      <w:r>
        <w:rPr>
          <w:spacing w:val="-62"/>
        </w:rPr>
        <w:t> </w:t>
      </w:r>
      <w:r>
        <w:rPr>
          <w:spacing w:val="-62"/>
        </w:rPr>
      </w:r>
      <w:r>
        <w:rPr>
          <w:spacing w:val="-2"/>
        </w:rPr>
        <w:t>资管理有限公司（以下简称先元投资）认购</w:t>
      </w:r>
      <w:r>
        <w:rPr>
          <w:rFonts w:ascii="Times New Roman" w:hAnsi="Times New Roman" w:cs="Times New Roman" w:eastAsia="Times New Roman" w:hint="default"/>
          <w:spacing w:val="-2"/>
        </w:rPr>
        <w:t>100</w:t>
      </w:r>
      <w:r>
        <w:rPr>
          <w:spacing w:val="-2"/>
        </w:rPr>
        <w:t>万股、上海联学教育发展有限公司（以下简称联学教育）认购</w:t>
      </w:r>
      <w:r>
        <w:rPr>
          <w:rFonts w:ascii="Times New Roman" w:hAnsi="Times New Roman" w:cs="Times New Roman" w:eastAsia="Times New Roman" w:hint="default"/>
          <w:spacing w:val="-2"/>
        </w:rPr>
        <w:t>130</w:t>
      </w:r>
      <w:r>
        <w:rPr>
          <w:spacing w:val="-2"/>
        </w:rPr>
        <w:t>万股。本公</w:t>
      </w:r>
      <w:r>
        <w:rPr>
          <w:spacing w:val="-62"/>
        </w:rPr>
        <w:t> </w:t>
      </w:r>
      <w:r>
        <w:rPr>
          <w:spacing w:val="-62"/>
        </w:rPr>
      </w:r>
      <w:r>
        <w:rPr/>
        <w:t>司扣除发行费用后净募集资金</w:t>
      </w:r>
      <w:r>
        <w:rPr>
          <w:rFonts w:ascii="Times New Roman" w:hAnsi="Times New Roman" w:cs="Times New Roman" w:eastAsia="Times New Roman" w:hint="default"/>
        </w:rPr>
        <w:t>2,928</w:t>
      </w:r>
      <w:r>
        <w:rPr/>
        <w:t>万元，本次定向增资完成后，股本总额由</w:t>
      </w:r>
      <w:r>
        <w:rPr>
          <w:rFonts w:ascii="Times New Roman" w:hAnsi="Times New Roman" w:cs="Times New Roman" w:eastAsia="Times New Roman" w:hint="default"/>
        </w:rPr>
        <w:t>7,218</w:t>
      </w:r>
      <w:r>
        <w:rPr>
          <w:rFonts w:ascii="Times New Roman" w:hAnsi="Times New Roman" w:cs="Times New Roman" w:eastAsia="Times New Roman" w:hint="default"/>
          <w:spacing w:val="17"/>
        </w:rPr>
        <w:t> </w:t>
      </w:r>
      <w:r>
        <w:rPr/>
        <w:t>万股增加到</w:t>
      </w:r>
      <w:r>
        <w:rPr>
          <w:rFonts w:ascii="Times New Roman" w:hAnsi="Times New Roman" w:cs="Times New Roman" w:eastAsia="Times New Roman" w:hint="default"/>
        </w:rPr>
        <w:t>8,218</w:t>
      </w:r>
      <w:r>
        <w:rPr>
          <w:rFonts w:ascii="Times New Roman" w:hAnsi="Times New Roman" w:cs="Times New Roman" w:eastAsia="Times New Roman" w:hint="default"/>
          <w:spacing w:val="16"/>
        </w:rPr>
        <w:t> </w:t>
      </w:r>
      <w:r>
        <w:rPr/>
        <w:t>万股</w:t>
      </w:r>
      <w:r>
        <w:rPr>
          <w:rFonts w:ascii="Times New Roman" w:hAnsi="Times New Roman" w:cs="Times New Roman" w:eastAsia="Times New Roman" w:hint="default"/>
        </w:rPr>
        <w:t>,</w:t>
      </w:r>
      <w:r>
        <w:rPr/>
        <w:t>其余</w:t>
      </w:r>
      <w:r>
        <w:rPr>
          <w:rFonts w:ascii="Times New Roman" w:hAnsi="Times New Roman" w:cs="Times New Roman" w:eastAsia="Times New Roman" w:hint="default"/>
        </w:rPr>
        <w:t>1,928</w:t>
      </w:r>
      <w:r>
        <w:rPr/>
        <w:t>万元作</w:t>
      </w:r>
      <w:r>
        <w:rPr>
          <w:spacing w:val="-80"/>
        </w:rPr>
        <w:t> </w:t>
      </w:r>
      <w:r>
        <w:rPr/>
        <w:t>为股本溢价计入资本公积项目。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 </w:t>
      </w:r>
      <w:r>
        <w:rPr/>
        <w:t>日，中勤万信会计师事务所有限公司出具了（</w:t>
      </w:r>
      <w:r>
        <w:rPr>
          <w:rFonts w:ascii="Times New Roman" w:hAnsi="Times New Roman" w:cs="Times New Roman" w:eastAsia="Times New Roman" w:hint="default"/>
        </w:rPr>
        <w:t>2008</w:t>
      </w:r>
      <w:r>
        <w:rPr/>
        <w:t>）中勤验字第</w:t>
      </w:r>
      <w:r>
        <w:rPr>
          <w:rFonts w:ascii="Times New Roman" w:hAnsi="Times New Roman" w:cs="Times New Roman" w:eastAsia="Times New Roman" w:hint="default"/>
        </w:rPr>
        <w:t>03007</w:t>
      </w:r>
      <w:r>
        <w:rPr/>
        <w:t>号验资</w:t>
      </w:r>
      <w:r>
        <w:rPr>
          <w:spacing w:val="-85"/>
        </w:rPr>
        <w:t> </w:t>
      </w:r>
      <w:r>
        <w:rPr/>
        <w:t>报告对上述出资情况进行验证，</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14</w:t>
      </w:r>
      <w:r>
        <w:rPr>
          <w:rFonts w:ascii="Times New Roman" w:hAnsi="Times New Roman" w:cs="Times New Roman" w:eastAsia="Times New Roman" w:hint="default"/>
          <w:spacing w:val="7"/>
        </w:rPr>
        <w:t> </w:t>
      </w:r>
      <w:r>
        <w:rPr/>
        <w:t>日，本公司在中国证券登记结算有限责任公司深圳分公司办理了定向增资股 份登记手续。此次变动后各股东出资及股权结构情况如下（单位：万元）：</w:t>
      </w:r>
    </w:p>
    <w:p>
      <w:pPr>
        <w:spacing w:line="240" w:lineRule="auto" w:before="12"/>
        <w:rPr>
          <w:rFonts w:ascii="宋体" w:hAnsi="宋体" w:cs="宋体" w:eastAsia="宋体" w:hint="default"/>
          <w:sz w:val="19"/>
          <w:szCs w:val="19"/>
        </w:rPr>
      </w:pPr>
    </w:p>
    <w:tbl>
      <w:tblPr>
        <w:tblW w:w="0" w:type="auto"/>
        <w:jc w:val="left"/>
        <w:tblInd w:w="1126" w:type="dxa"/>
        <w:tblLayout w:type="fixed"/>
        <w:tblCellMar>
          <w:top w:w="0" w:type="dxa"/>
          <w:left w:w="0" w:type="dxa"/>
          <w:bottom w:w="0" w:type="dxa"/>
          <w:right w:w="0" w:type="dxa"/>
        </w:tblCellMar>
        <w:tblLook w:val="01E0"/>
      </w:tblPr>
      <w:tblGrid>
        <w:gridCol w:w="754"/>
        <w:gridCol w:w="1108"/>
        <w:gridCol w:w="1434"/>
        <w:gridCol w:w="921"/>
        <w:gridCol w:w="678"/>
        <w:gridCol w:w="1188"/>
        <w:gridCol w:w="1449"/>
        <w:gridCol w:w="1192"/>
      </w:tblGrid>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2,971.4586</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36.16</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17</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陈涛</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34.3264</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0.42</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1,583.4186</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19.27</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18</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张旭</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25.1010</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0.31</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757.9680</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9.22</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19</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迂永信</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24.9943</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0.30</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602.5994</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7.33</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贺飞</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22.3451</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0.27</w:t>
            </w:r>
          </w:p>
        </w:tc>
      </w:tr>
      <w:tr>
        <w:trPr>
          <w:trHeight w:val="348"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风险投资</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503.6039</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6.13</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21</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符家荣</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16.1921</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0.20</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302.5882</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3.68</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22</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聂武河</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15.6621</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0.19</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191.0047</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2.32</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23</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孙佳伟</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3.0000</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0.04</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8</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琚存旭</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162.1597</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1.97</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24</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葛瑆</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3.1246</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0.04</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9</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高维</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82.5798</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马明政</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3.0000</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0.04</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严旭东</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68.0069</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0.83</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26</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王乐天</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5.0000</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0.06</w:t>
            </w:r>
          </w:p>
        </w:tc>
      </w:tr>
      <w:tr>
        <w:trPr>
          <w:trHeight w:val="348"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11</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常满祥</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58.2916</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0.71</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27</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王玉华</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3.0000</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0.04</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12</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邓胜明</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48.5764</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0.59</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28</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天一投资</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200.0000</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2.43</w:t>
            </w:r>
          </w:p>
        </w:tc>
      </w:tr>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13</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肖湘</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40.8042</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0.50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29</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信创融</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150.0000</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1.83</w:t>
            </w:r>
          </w:p>
        </w:tc>
      </w:tr>
      <w:tr>
        <w:trPr>
          <w:trHeight w:val="348"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14</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37.3287</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0.45</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30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先元投资</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100.0000</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1.22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6" w:type="dxa"/>
        <w:tblLayout w:type="fixed"/>
        <w:tblCellMar>
          <w:top w:w="0" w:type="dxa"/>
          <w:left w:w="0" w:type="dxa"/>
          <w:bottom w:w="0" w:type="dxa"/>
          <w:right w:w="0" w:type="dxa"/>
        </w:tblCellMar>
        <w:tblLook w:val="01E0"/>
      </w:tblPr>
      <w:tblGrid>
        <w:gridCol w:w="754"/>
        <w:gridCol w:w="1108"/>
        <w:gridCol w:w="1434"/>
        <w:gridCol w:w="921"/>
        <w:gridCol w:w="678"/>
        <w:gridCol w:w="1188"/>
        <w:gridCol w:w="1449"/>
        <w:gridCol w:w="1192"/>
      </w:tblGrid>
      <w:tr>
        <w:trPr>
          <w:trHeight w:val="347"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15</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何晋章</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37.3287</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0.45</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31</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联学教育</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130.0000</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1.58</w:t>
            </w:r>
          </w:p>
        </w:tc>
      </w:tr>
      <w:tr>
        <w:trPr>
          <w:trHeight w:val="348" w:hRule="exact"/>
        </w:trPr>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16</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徐迪</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34.5370</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0.42</w:t>
            </w:r>
          </w:p>
        </w:tc>
        <w:tc>
          <w:tcPr>
            <w:tcW w:w="678"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8,218.0000</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0"/>
        <w:rPr>
          <w:rFonts w:ascii="宋体" w:hAnsi="宋体" w:cs="宋体" w:eastAsia="宋体" w:hint="default"/>
          <w:sz w:val="15"/>
          <w:szCs w:val="15"/>
        </w:rPr>
      </w:pPr>
    </w:p>
    <w:p>
      <w:pPr>
        <w:pStyle w:val="BodyText"/>
        <w:spacing w:line="300" w:lineRule="auto" w:before="44"/>
        <w:ind w:right="1130" w:firstLine="360"/>
        <w:jc w:val="both"/>
      </w:pPr>
      <w:r>
        <w:rPr>
          <w:spacing w:val="-2"/>
        </w:rPr>
        <w:t>（</w:t>
      </w:r>
      <w:r>
        <w:rPr>
          <w:rFonts w:ascii="Times New Roman" w:hAnsi="Times New Roman" w:cs="Times New Roman" w:eastAsia="Times New Roman" w:hint="default"/>
          <w:spacing w:val="-2"/>
        </w:rPr>
        <w:t>10</w:t>
      </w:r>
      <w:r>
        <w:rPr>
          <w:spacing w:val="-2"/>
        </w:rPr>
        <w:t>）根据《证券公司代办股份转让系统中关村科技园区非上市股份有限公司股份报价转让试点办法（暂行）》中有关</w:t>
      </w:r>
      <w:r>
        <w:rPr/>
        <w:t> </w:t>
      </w:r>
      <w:r>
        <w:rPr>
          <w:spacing w:val="-2"/>
        </w:rPr>
        <w:t>股份限售的新规定，本公司对符合条件的挂牌前股份进行了股份解除限售，自</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日起可以在代办股份转让系统进行</w:t>
      </w:r>
      <w:r>
        <w:rPr>
          <w:spacing w:val="-58"/>
        </w:rPr>
        <w:t> </w:t>
      </w:r>
      <w:r>
        <w:rPr/>
        <w:t>报价转让。至此本公司除根据《公司法》第一百四十二条规定：</w:t>
      </w:r>
      <w:r>
        <w:rPr>
          <w:rFonts w:ascii="Times New Roman" w:hAnsi="Times New Roman" w:cs="Times New Roman" w:eastAsia="Times New Roman" w:hint="default"/>
        </w:rPr>
        <w:t>“</w:t>
      </w:r>
      <w:r>
        <w:rPr/>
        <w:t>公司董事、监事、高级管理人员在任职期间每年转让的股</w:t>
      </w:r>
      <w:r>
        <w:rPr>
          <w:spacing w:val="-76"/>
        </w:rPr>
        <w:t> </w:t>
      </w:r>
      <w:r>
        <w:rPr>
          <w:spacing w:val="-76"/>
        </w:rPr>
      </w:r>
      <w:r>
        <w:rPr/>
        <w:t>份不得超过其所持有本公司股份总数的百分之二十五</w:t>
      </w:r>
      <w:r>
        <w:rPr>
          <w:rFonts w:ascii="Times New Roman" w:hAnsi="Times New Roman" w:cs="Times New Roman" w:eastAsia="Times New Roman" w:hint="default"/>
        </w:rPr>
        <w:t>”</w:t>
      </w:r>
      <w:r>
        <w:rPr/>
        <w:t>之规定需要限售的高管股份外，其余股东持有股份没有关于股份限售</w:t>
      </w:r>
      <w:r>
        <w:rPr>
          <w:spacing w:val="-76"/>
        </w:rPr>
        <w:t> </w:t>
      </w:r>
      <w:r>
        <w:rPr>
          <w:spacing w:val="-76"/>
        </w:rPr>
      </w:r>
      <w:r>
        <w:rPr/>
        <w:t>的其他承诺。</w:t>
      </w:r>
    </w:p>
    <w:p>
      <w:pPr>
        <w:spacing w:line="240" w:lineRule="auto" w:before="10"/>
        <w:rPr>
          <w:rFonts w:ascii="宋体" w:hAnsi="宋体" w:cs="宋体" w:eastAsia="宋体" w:hint="default"/>
          <w:sz w:val="20"/>
          <w:szCs w:val="20"/>
        </w:rPr>
      </w:pPr>
    </w:p>
    <w:p>
      <w:pPr>
        <w:pStyle w:val="BodyText"/>
        <w:spacing w:line="300" w:lineRule="auto"/>
        <w:ind w:left="1134" w:right="1132" w:firstLine="360"/>
        <w:jc w:val="both"/>
      </w:pPr>
      <w:r>
        <w:rPr/>
        <w:t>（</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43"/>
        </w:rPr>
        <w:t> </w:t>
      </w:r>
      <w:r>
        <w:rPr/>
        <w:t>月，经中国证监会《关于核准北京合纵科技股份有限公司股票在全国中小企业股份转让系统公开转让 的批复》（证监许可</w:t>
      </w:r>
      <w:r>
        <w:rPr>
          <w:rFonts w:ascii="Times New Roman" w:hAnsi="Times New Roman" w:cs="Times New Roman" w:eastAsia="Times New Roman" w:hint="default"/>
        </w:rPr>
        <w:t>[2013]383</w:t>
      </w:r>
      <w:r>
        <w:rPr>
          <w:rFonts w:ascii="Times New Roman" w:hAnsi="Times New Roman" w:cs="Times New Roman" w:eastAsia="Times New Roman" w:hint="default"/>
          <w:spacing w:val="19"/>
        </w:rPr>
        <w:t> </w:t>
      </w:r>
      <w:r>
        <w:rPr/>
        <w:t>号）和全国中小企业股份转让系统有限责任公司《关于同意北京合纵科技股份有限公司股票 在全国中小企业股份转让系统挂牌的函》（股转系统函</w:t>
      </w:r>
      <w:r>
        <w:rPr>
          <w:rFonts w:ascii="Times New Roman" w:hAnsi="Times New Roman" w:cs="Times New Roman" w:eastAsia="Times New Roman" w:hint="default"/>
        </w:rPr>
        <w:t>[2013]128</w:t>
      </w:r>
      <w:r>
        <w:rPr>
          <w:rFonts w:ascii="Times New Roman" w:hAnsi="Times New Roman" w:cs="Times New Roman" w:eastAsia="Times New Roman" w:hint="default"/>
          <w:spacing w:val="20"/>
        </w:rPr>
        <w:t> </w:t>
      </w:r>
      <w:r>
        <w:rPr/>
        <w:t>号）的批准，本公司股票在全国中小企业股份转让系统公 开转让，并将本公司纳入非上市公众公司监管。</w:t>
      </w:r>
    </w:p>
    <w:p>
      <w:pPr>
        <w:spacing w:line="240" w:lineRule="auto" w:before="10"/>
        <w:rPr>
          <w:rFonts w:ascii="宋体" w:hAnsi="宋体" w:cs="宋体" w:eastAsia="宋体" w:hint="default"/>
          <w:sz w:val="20"/>
          <w:szCs w:val="20"/>
        </w:rPr>
      </w:pPr>
    </w:p>
    <w:p>
      <w:pPr>
        <w:pStyle w:val="BodyText"/>
        <w:spacing w:line="300" w:lineRule="auto"/>
        <w:ind w:right="821" w:firstLine="360"/>
        <w:jc w:val="left"/>
      </w:pP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月，根据中国证监会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[2015]959</w:t>
      </w:r>
      <w:r>
        <w:rPr/>
        <w:t>号</w:t>
      </w:r>
      <w:r>
        <w:rPr>
          <w:rFonts w:ascii="Times New Roman" w:hAnsi="Times New Roman" w:cs="Times New Roman" w:eastAsia="Times New Roman" w:hint="default"/>
        </w:rPr>
        <w:t>”</w:t>
      </w:r>
      <w:r>
        <w:rPr/>
        <w:t>文《关于核准北京合纵科技股份有限公司首次公开发行股票 </w:t>
      </w:r>
      <w:r>
        <w:rPr>
          <w:spacing w:val="-2"/>
        </w:rPr>
        <w:t>的批复》的核准，本公司获准向社会公开发售人民币普通股股票不超过</w:t>
      </w:r>
      <w:r>
        <w:rPr>
          <w:rFonts w:ascii="Times New Roman" w:hAnsi="Times New Roman" w:cs="Times New Roman" w:eastAsia="Times New Roman" w:hint="default"/>
          <w:spacing w:val="-2"/>
        </w:rPr>
        <w:t>2,740.00</w:t>
      </w:r>
      <w:r>
        <w:rPr>
          <w:spacing w:val="-2"/>
        </w:rPr>
        <w:t>万股，每股面值人民币</w:t>
      </w:r>
      <w:r>
        <w:rPr>
          <w:rFonts w:ascii="Times New Roman" w:hAnsi="Times New Roman" w:cs="Times New Roman" w:eastAsia="Times New Roman" w:hint="default"/>
          <w:spacing w:val="-2"/>
        </w:rPr>
        <w:t>1</w:t>
      </w:r>
      <w:r>
        <w:rPr>
          <w:spacing w:val="-2"/>
        </w:rPr>
        <w:t>元。本公司实际发行</w:t>
      </w:r>
      <w:r>
        <w:rPr>
          <w:spacing w:val="-58"/>
        </w:rPr>
        <w:t> </w:t>
      </w:r>
      <w:r>
        <w:rPr>
          <w:spacing w:val="-58"/>
        </w:rPr>
      </w:r>
      <w:r>
        <w:rPr/>
        <w:t>人民币普通股股票</w:t>
      </w:r>
      <w:r>
        <w:rPr>
          <w:rFonts w:ascii="Times New Roman" w:hAnsi="Times New Roman" w:cs="Times New Roman" w:eastAsia="Times New Roman" w:hint="default"/>
        </w:rPr>
        <w:t>2,704.50</w:t>
      </w:r>
      <w:r>
        <w:rPr/>
        <w:t>万股，其中发行新股</w:t>
      </w:r>
      <w:r>
        <w:rPr>
          <w:rFonts w:ascii="Times New Roman" w:hAnsi="Times New Roman" w:cs="Times New Roman" w:eastAsia="Times New Roman" w:hint="default"/>
        </w:rPr>
        <w:t>2,600.00</w:t>
      </w:r>
      <w:r>
        <w:rPr/>
        <w:t>万股，老股东公开发售其所持股份</w:t>
      </w:r>
      <w:r>
        <w:rPr>
          <w:rFonts w:ascii="Times New Roman" w:hAnsi="Times New Roman" w:cs="Times New Roman" w:eastAsia="Times New Roman" w:hint="default"/>
        </w:rPr>
        <w:t>104.50</w:t>
      </w:r>
      <w:r>
        <w:rPr/>
        <w:t>万股。公司发行新股增加股 本人民币</w:t>
      </w:r>
      <w:r>
        <w:rPr>
          <w:rFonts w:ascii="Times New Roman" w:hAnsi="Times New Roman" w:cs="Times New Roman" w:eastAsia="Times New Roman" w:hint="default"/>
        </w:rPr>
        <w:t>2,600.00</w:t>
      </w:r>
      <w:r>
        <w:rPr/>
        <w:t>万元，变更后的注册资本为人民币</w:t>
      </w:r>
      <w:r>
        <w:rPr>
          <w:rFonts w:ascii="Times New Roman" w:hAnsi="Times New Roman" w:cs="Times New Roman" w:eastAsia="Times New Roman" w:hint="default"/>
        </w:rPr>
        <w:t>10,818.00</w:t>
      </w:r>
      <w:r>
        <w:rPr/>
        <w:t>万元。经深圳证券交易所《关于北京合纵科技股份有限公司人</w:t>
      </w:r>
      <w:r>
        <w:rPr>
          <w:spacing w:val="-85"/>
        </w:rPr>
        <w:t> </w:t>
      </w:r>
      <w:r>
        <w:rPr>
          <w:spacing w:val="-85"/>
        </w:rPr>
      </w:r>
      <w:r>
        <w:rPr>
          <w:spacing w:val="-1"/>
        </w:rPr>
        <w:t>民币普通股股票上市的通知》（深圳上</w:t>
      </w:r>
      <w:r>
        <w:rPr>
          <w:rFonts w:ascii="Times New Roman" w:hAnsi="Times New Roman" w:cs="Times New Roman" w:eastAsia="Times New Roman" w:hint="default"/>
          <w:spacing w:val="-1"/>
        </w:rPr>
        <w:t>[2015]257</w:t>
      </w:r>
      <w:r>
        <w:rPr>
          <w:spacing w:val="-1"/>
        </w:rPr>
        <w:t>号）同意，本公司发行的人民币普通股股票在深圳证券交易所创业板上市，</w:t>
      </w:r>
      <w:r>
        <w:rPr>
          <w:spacing w:val="-56"/>
        </w:rPr>
        <w:t> </w:t>
      </w:r>
      <w:r>
        <w:rPr>
          <w:spacing w:val="-56"/>
        </w:rPr>
      </w:r>
      <w:r>
        <w:rPr/>
        <w:t>其中公开发行的</w:t>
      </w:r>
      <w:r>
        <w:rPr>
          <w:rFonts w:ascii="Times New Roman" w:hAnsi="Times New Roman" w:cs="Times New Roman" w:eastAsia="Times New Roman" w:hint="default"/>
        </w:rPr>
        <w:t>2,600.00</w:t>
      </w:r>
      <w:r>
        <w:rPr/>
        <w:t>万股股票于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日起上市交易，老股东公开发售的</w:t>
      </w:r>
      <w:r>
        <w:rPr>
          <w:rFonts w:ascii="Times New Roman" w:hAnsi="Times New Roman" w:cs="Times New Roman" w:eastAsia="Times New Roman" w:hint="default"/>
        </w:rPr>
        <w:t>104.50</w:t>
      </w:r>
      <w:r>
        <w:rPr/>
        <w:t>万股股份自本公司上市之日起锁定 </w:t>
      </w:r>
      <w:r>
        <w:rPr>
          <w:rFonts w:ascii="Times New Roman" w:hAnsi="Times New Roman" w:cs="Times New Roman" w:eastAsia="Times New Roman" w:hint="default"/>
        </w:rPr>
        <w:t>12</w:t>
      </w:r>
      <w:r>
        <w:rPr/>
        <w:t>个月后上市交易。</w:t>
      </w:r>
    </w:p>
    <w:p>
      <w:pPr>
        <w:pStyle w:val="BodyText"/>
        <w:spacing w:line="240" w:lineRule="auto" w:before="13"/>
        <w:ind w:left="1493" w:right="821"/>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日，本公司股本总额</w:t>
      </w:r>
      <w:r>
        <w:rPr>
          <w:rFonts w:ascii="Times New Roman" w:hAnsi="Times New Roman" w:cs="Times New Roman" w:eastAsia="Times New Roman" w:hint="default"/>
        </w:rPr>
        <w:t>108,180,000.00</w:t>
      </w:r>
      <w:r>
        <w:rPr/>
        <w:t>元，股本及股权结构情况如下：</w:t>
      </w:r>
    </w:p>
    <w:p>
      <w:pPr>
        <w:spacing w:line="240" w:lineRule="auto" w:before="5"/>
        <w:rPr>
          <w:rFonts w:ascii="宋体" w:hAnsi="宋体" w:cs="宋体" w:eastAsia="宋体" w:hint="default"/>
          <w:sz w:val="22"/>
          <w:szCs w:val="22"/>
        </w:rPr>
      </w:pPr>
    </w:p>
    <w:tbl>
      <w:tblPr>
        <w:tblW w:w="0" w:type="auto"/>
        <w:jc w:val="left"/>
        <w:tblInd w:w="1126" w:type="dxa"/>
        <w:tblLayout w:type="fixed"/>
        <w:tblCellMar>
          <w:top w:w="0" w:type="dxa"/>
          <w:left w:w="0" w:type="dxa"/>
          <w:bottom w:w="0" w:type="dxa"/>
          <w:right w:w="0" w:type="dxa"/>
        </w:tblCellMar>
        <w:tblLook w:val="01E0"/>
      </w:tblPr>
      <w:tblGrid>
        <w:gridCol w:w="905"/>
        <w:gridCol w:w="2848"/>
        <w:gridCol w:w="1862"/>
        <w:gridCol w:w="1757"/>
        <w:gridCol w:w="1350"/>
      </w:tblGrid>
      <w:tr>
        <w:trPr>
          <w:trHeight w:val="347" w:hRule="exact"/>
        </w:trPr>
        <w:tc>
          <w:tcPr>
            <w:tcW w:w="37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股份数额</w:t>
            </w:r>
            <w:r>
              <w:rPr>
                <w:rFonts w:ascii="宋体" w:hAnsi="宋体" w:cs="宋体" w:eastAsia="宋体" w:hint="default"/>
                <w:sz w:val="18"/>
                <w:szCs w:val="18"/>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股本金额</w:t>
            </w:r>
            <w:r>
              <w:rPr>
                <w:rFonts w:ascii="宋体" w:hAnsi="宋体" w:cs="宋体" w:eastAsia="宋体" w:hint="default"/>
                <w:sz w:val="18"/>
                <w:szCs w:val="18"/>
              </w:rPr>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7" w:hRule="exact"/>
        </w:trPr>
        <w:tc>
          <w:tcPr>
            <w:tcW w:w="37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无限售条件的流通股</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26,000,000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26,000,000.00</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24.03</w:t>
            </w:r>
          </w:p>
        </w:tc>
      </w:tr>
      <w:tr>
        <w:trPr>
          <w:trHeight w:val="347" w:hRule="exact"/>
        </w:trPr>
        <w:tc>
          <w:tcPr>
            <w:tcW w:w="905"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36"/>
                <w:sz w:val="18"/>
                <w:szCs w:val="18"/>
              </w:rPr>
              <w:t>有限售</w:t>
            </w:r>
            <w:r>
              <w:rPr>
                <w:rFonts w:ascii="宋体" w:hAnsi="宋体" w:cs="宋体" w:eastAsia="宋体" w:hint="default"/>
                <w:spacing w:val="-34"/>
                <w:sz w:val="18"/>
                <w:szCs w:val="18"/>
              </w:rPr>
              <w:t> </w:t>
            </w:r>
            <w:r>
              <w:rPr>
                <w:rFonts w:ascii="宋体" w:hAnsi="宋体" w:cs="宋体" w:eastAsia="宋体" w:hint="default"/>
                <w:sz w:val="18"/>
                <w:szCs w:val="18"/>
              </w:rPr>
              <w:t>条</w:t>
            </w:r>
            <w:r>
              <w:rPr>
                <w:rFonts w:ascii="宋体" w:hAnsi="宋体" w:cs="宋体" w:eastAsia="宋体" w:hint="default"/>
                <w:sz w:val="18"/>
                <w:szCs w:val="18"/>
              </w:rPr>
              <w:t> </w:t>
            </w:r>
            <w:r>
              <w:rPr>
                <w:rFonts w:ascii="宋体" w:hAnsi="宋体" w:cs="宋体" w:eastAsia="宋体" w:hint="default"/>
                <w:spacing w:val="36"/>
                <w:sz w:val="18"/>
                <w:szCs w:val="18"/>
              </w:rPr>
              <w:t>件的流</w:t>
            </w:r>
            <w:r>
              <w:rPr>
                <w:rFonts w:ascii="宋体" w:hAnsi="宋体" w:cs="宋体" w:eastAsia="宋体" w:hint="default"/>
                <w:spacing w:val="-34"/>
                <w:sz w:val="18"/>
                <w:szCs w:val="18"/>
              </w:rPr>
              <w:t> </w:t>
            </w:r>
            <w:r>
              <w:rPr>
                <w:rFonts w:ascii="宋体" w:hAnsi="宋体" w:cs="宋体" w:eastAsia="宋体" w:hint="default"/>
                <w:sz w:val="18"/>
                <w:szCs w:val="18"/>
              </w:rPr>
              <w:t>通</w:t>
            </w:r>
            <w:r>
              <w:rPr>
                <w:rFonts w:ascii="宋体" w:hAnsi="宋体" w:cs="宋体" w:eastAsia="宋体" w:hint="default"/>
                <w:sz w:val="18"/>
                <w:szCs w:val="18"/>
              </w:rPr>
              <w:t> 股</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、高管股份</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60,453,801</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60,453,801.00</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55.88</w:t>
            </w:r>
          </w:p>
        </w:tc>
      </w:tr>
      <w:tr>
        <w:trPr>
          <w:trHeight w:val="347" w:hRule="exact"/>
        </w:trPr>
        <w:tc>
          <w:tcPr>
            <w:tcW w:w="905" w:type="dxa"/>
            <w:vMerge/>
            <w:tcBorders>
              <w:left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21,726,199</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21,726,199.00</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20.08</w:t>
            </w:r>
          </w:p>
        </w:tc>
      </w:tr>
      <w:tr>
        <w:trPr>
          <w:trHeight w:val="348" w:hRule="exact"/>
        </w:trPr>
        <w:tc>
          <w:tcPr>
            <w:tcW w:w="905" w:type="dxa"/>
            <w:vMerge/>
            <w:tcBorders>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有限售条件流通股合计</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82,180,000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82,180,000.00</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75.97</w:t>
            </w:r>
          </w:p>
        </w:tc>
      </w:tr>
      <w:tr>
        <w:trPr>
          <w:trHeight w:val="347" w:hRule="exact"/>
        </w:trPr>
        <w:tc>
          <w:tcPr>
            <w:tcW w:w="37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总股份</w:t>
            </w:r>
            <w:r>
              <w:rPr>
                <w:rFonts w:ascii="宋体" w:hAnsi="宋体" w:cs="宋体" w:eastAsia="宋体" w:hint="default"/>
                <w:sz w:val="18"/>
                <w:szCs w:val="18"/>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108,180,000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108,180,000.00</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0"/>
        <w:rPr>
          <w:rFonts w:ascii="宋体" w:hAnsi="宋体" w:cs="宋体" w:eastAsia="宋体" w:hint="default"/>
          <w:sz w:val="15"/>
          <w:szCs w:val="15"/>
        </w:rPr>
      </w:pPr>
    </w:p>
    <w:p>
      <w:pPr>
        <w:pStyle w:val="BodyText"/>
        <w:spacing w:line="532" w:lineRule="auto" w:before="44"/>
        <w:ind w:left="1494" w:right="5982"/>
        <w:jc w:val="left"/>
      </w:pPr>
      <w:r>
        <w:rPr/>
        <w:t>本公司企业法人营业执照注册号为：</w:t>
      </w:r>
      <w:r>
        <w:rPr>
          <w:rFonts w:ascii="Times New Roman" w:hAnsi="Times New Roman" w:cs="Times New Roman" w:eastAsia="Times New Roman" w:hint="default"/>
        </w:rPr>
        <w:t>110000004679691</w:t>
      </w:r>
      <w:r>
        <w:rPr/>
        <w:t>。 法定代表人：刘泽刚。</w:t>
      </w:r>
    </w:p>
    <w:p>
      <w:pPr>
        <w:pStyle w:val="BodyText"/>
        <w:spacing w:line="240" w:lineRule="auto" w:before="97"/>
        <w:ind w:left="1494" w:right="821"/>
        <w:jc w:val="left"/>
      </w:pPr>
      <w:r>
        <w:rPr/>
        <w:t>注册地址：北京市海淀区上地三街</w:t>
      </w:r>
      <w:r>
        <w:rPr>
          <w:rFonts w:ascii="Times New Roman" w:hAnsi="Times New Roman" w:cs="Times New Roman" w:eastAsia="Times New Roman" w:hint="default"/>
        </w:rPr>
        <w:t>9  </w:t>
      </w:r>
      <w:r>
        <w:rPr/>
        <w:t>号（嘉华大厦）</w:t>
      </w:r>
      <w:r>
        <w:rPr>
          <w:rFonts w:ascii="Times New Roman" w:hAnsi="Times New Roman" w:cs="Times New Roman" w:eastAsia="Times New Roman" w:hint="default"/>
        </w:rPr>
        <w:t>D  </w:t>
      </w:r>
      <w:r>
        <w:rPr/>
        <w:t>座</w:t>
      </w:r>
      <w:r>
        <w:rPr>
          <w:rFonts w:ascii="Times New Roman" w:hAnsi="Times New Roman" w:cs="Times New Roman" w:eastAsia="Times New Roman" w:hint="default"/>
        </w:rPr>
        <w:t>1211</w:t>
      </w:r>
      <w:r>
        <w:rPr/>
        <w:t>、</w:t>
      </w:r>
      <w:r>
        <w:rPr>
          <w:rFonts w:ascii="Times New Roman" w:hAnsi="Times New Roman" w:cs="Times New Roman" w:eastAsia="Times New Roman" w:hint="default"/>
        </w:rPr>
        <w:t>1212</w:t>
      </w:r>
      <w:r>
        <w:rPr>
          <w:rFonts w:ascii="Times New Roman" w:hAnsi="Times New Roman" w:cs="Times New Roman" w:eastAsia="Times New Roman" w:hint="default"/>
          <w:spacing w:val="-11"/>
        </w:rPr>
        <w:t> </w:t>
      </w:r>
      <w:r>
        <w:rPr/>
        <w:t>。</w:t>
      </w:r>
    </w:p>
    <w:p>
      <w:pPr>
        <w:pStyle w:val="BodyText"/>
        <w:spacing w:line="540" w:lineRule="atLeast" w:before="12"/>
        <w:ind w:left="1493" w:right="821" w:hanging="70"/>
        <w:jc w:val="left"/>
      </w:pPr>
      <w:r>
        <w:rPr>
          <w:rFonts w:ascii="Times New Roman" w:hAnsi="Times New Roman" w:cs="Times New Roman" w:eastAsia="Times New Roman" w:hint="default"/>
        </w:rPr>
        <w:t>2.</w:t>
      </w:r>
      <w:r>
        <w:rPr/>
        <w:t>经营范围 </w:t>
      </w:r>
      <w:r>
        <w:rPr>
          <w:spacing w:val="-2"/>
        </w:rPr>
        <w:t>本公司经批准的经营范围：技术咨询、技术开发、技术服务、技术推广、技术转让；专业承包；建设工程项目管理；销</w:t>
      </w:r>
    </w:p>
    <w:p>
      <w:pPr>
        <w:pStyle w:val="BodyText"/>
        <w:spacing w:line="316" w:lineRule="auto" w:before="76"/>
        <w:ind w:right="821"/>
        <w:jc w:val="left"/>
      </w:pPr>
      <w:r>
        <w:rPr>
          <w:spacing w:val="-2"/>
        </w:rPr>
        <w:t>售电子产品、机械设备、建筑材料、五金交电、化工产品（不含危险化学品及一类易制毒化学品）；货物进出口、代理进出</w:t>
      </w:r>
      <w:r>
        <w:rPr>
          <w:spacing w:val="-67"/>
        </w:rPr>
        <w:t> </w:t>
      </w:r>
      <w:r>
        <w:rPr>
          <w:spacing w:val="-67"/>
        </w:rPr>
      </w:r>
      <w:r>
        <w:rPr/>
        <w:t>口、技术进出口；机械设备维修</w:t>
      </w:r>
      <w:r>
        <w:rPr>
          <w:rFonts w:ascii="Times New Roman" w:hAnsi="Times New Roman" w:cs="Times New Roman" w:eastAsia="Times New Roman" w:hint="default"/>
        </w:rPr>
        <w:t>(</w:t>
      </w:r>
      <w:r>
        <w:rPr/>
        <w:t>不含汽车维修</w:t>
      </w:r>
      <w:r>
        <w:rPr>
          <w:rFonts w:ascii="Times New Roman" w:hAnsi="Times New Roman" w:cs="Times New Roman" w:eastAsia="Times New Roman" w:hint="default"/>
        </w:rPr>
        <w:t>)</w:t>
      </w:r>
      <w:r>
        <w:rPr/>
        <w:t>；产品设计；经纪贸易咨询；生产电气设备。</w:t>
      </w:r>
    </w:p>
    <w:p>
      <w:pPr>
        <w:pStyle w:val="BodyText"/>
        <w:spacing w:line="552" w:lineRule="exact" w:before="8"/>
        <w:ind w:left="1493" w:right="821" w:hanging="70"/>
        <w:jc w:val="left"/>
      </w:pPr>
      <w:r>
        <w:rPr>
          <w:rFonts w:ascii="Times New Roman" w:hAnsi="Times New Roman" w:cs="Times New Roman" w:eastAsia="Times New Roman" w:hint="default"/>
        </w:rPr>
        <w:t>3.</w:t>
      </w:r>
      <w:r>
        <w:rPr/>
        <w:t>主要产品 </w:t>
      </w:r>
      <w:r>
        <w:rPr>
          <w:spacing w:val="-3"/>
        </w:rPr>
        <w:t>本公司是从事配电及控制设备制造及相关技术服务的高科技企业。本公司主营业务是面向国内电力网络、市政建设、铁</w:t>
      </w:r>
      <w:r>
        <w:rPr/>
      </w:r>
    </w:p>
    <w:p>
      <w:pPr>
        <w:pStyle w:val="BodyText"/>
        <w:spacing w:line="241" w:lineRule="exact"/>
        <w:ind w:right="821"/>
        <w:jc w:val="left"/>
      </w:pPr>
      <w:r>
        <w:rPr>
          <w:spacing w:val="-5"/>
        </w:rPr>
        <w:t>路、城市轨道交通等诸多领域，生产和销售户外中高压（</w:t>
      </w:r>
      <w:r>
        <w:rPr>
          <w:rFonts w:ascii="Times New Roman" w:hAnsi="Times New Roman" w:cs="Times New Roman" w:eastAsia="Times New Roman" w:hint="default"/>
          <w:spacing w:val="-5"/>
        </w:rPr>
        <w:t>12</w:t>
      </w:r>
      <w:r>
        <w:rPr>
          <w:spacing w:val="-5"/>
        </w:rPr>
        <w:t>～</w:t>
      </w:r>
      <w:r>
        <w:rPr>
          <w:rFonts w:ascii="Times New Roman" w:hAnsi="Times New Roman" w:cs="Times New Roman" w:eastAsia="Times New Roman" w:hint="default"/>
          <w:spacing w:val="-5"/>
        </w:rPr>
        <w:t>40.5kV</w:t>
      </w:r>
      <w:r>
        <w:rPr>
          <w:spacing w:val="-5"/>
        </w:rPr>
        <w:t>）配电和控制设备，主要产品包括环网柜、柱上开关（户</w:t>
      </w:r>
    </w:p>
    <w:p>
      <w:pPr>
        <w:spacing w:after="0" w:line="241" w:lineRule="exact"/>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both"/>
      </w:pPr>
      <w:r>
        <w:rPr/>
        <w:t>外开关）、箱式变电站、电缆附件、变压器、其他开关类等，共计六大类二十个系列产品。</w:t>
      </w:r>
    </w:p>
    <w:p>
      <w:pPr>
        <w:pStyle w:val="BodyText"/>
        <w:spacing w:line="540" w:lineRule="atLeast" w:before="25"/>
        <w:ind w:left="1493" w:right="821" w:hanging="70"/>
        <w:jc w:val="left"/>
      </w:pPr>
      <w:r>
        <w:rPr>
          <w:rFonts w:ascii="Times New Roman" w:hAnsi="Times New Roman" w:cs="Times New Roman" w:eastAsia="Times New Roman" w:hint="default"/>
        </w:rPr>
        <w:t>4.</w:t>
      </w:r>
      <w:r>
        <w:rPr/>
        <w:t>基本组织架构 </w:t>
      </w:r>
      <w:r>
        <w:rPr>
          <w:spacing w:val="-2"/>
        </w:rPr>
        <w:t>本公司按照相关法律规定，建立了较为完善的公司法人治理结构，设立了股东大会、董事会和监事会，制定了相应的议</w:t>
      </w:r>
    </w:p>
    <w:p>
      <w:pPr>
        <w:pStyle w:val="BodyText"/>
        <w:spacing w:line="316" w:lineRule="auto" w:before="77"/>
        <w:ind w:right="1132"/>
        <w:jc w:val="both"/>
      </w:pPr>
      <w:r>
        <w:rPr>
          <w:spacing w:val="-2"/>
        </w:rPr>
        <w:t>事规则。本公司根据相关法律、法规及规范性文件和公司章程的要求，结合本公司的实际情况，设立了人力资源中心、财务</w:t>
      </w:r>
      <w:r>
        <w:rPr>
          <w:spacing w:val="-66"/>
        </w:rPr>
        <w:t> </w:t>
      </w:r>
      <w:r>
        <w:rPr>
          <w:spacing w:val="-66"/>
        </w:rPr>
      </w:r>
      <w:r>
        <w:rPr>
          <w:spacing w:val="-2"/>
        </w:rPr>
        <w:t>中心、采购委员会、营销服务中心、非电事业部等职能部门；本公司的子公司包括北京合纵实科电力科技有限公司、北京合</w:t>
      </w:r>
      <w:r>
        <w:rPr>
          <w:spacing w:val="-66"/>
        </w:rPr>
        <w:t> </w:t>
      </w:r>
      <w:r>
        <w:rPr>
          <w:spacing w:val="-66"/>
        </w:rPr>
      </w:r>
      <w:r>
        <w:rPr>
          <w:spacing w:val="-2"/>
        </w:rPr>
        <w:t>纵畅达金属制品有限责任公司、北京合纵开创电气技术有限公司、北京合纵科沃尔电力科技有限公司和天津合纵电力设备有</w:t>
      </w:r>
      <w:r>
        <w:rPr>
          <w:spacing w:val="-64"/>
        </w:rPr>
        <w:t> </w:t>
      </w:r>
      <w:r>
        <w:rPr>
          <w:spacing w:val="-64"/>
        </w:rPr>
      </w:r>
      <w:r>
        <w:rPr/>
        <w:t>限公司。</w:t>
      </w:r>
    </w:p>
    <w:p>
      <w:pPr>
        <w:spacing w:line="240" w:lineRule="auto" w:before="10"/>
        <w:rPr>
          <w:rFonts w:ascii="宋体" w:hAnsi="宋体" w:cs="宋体" w:eastAsia="宋体" w:hint="default"/>
          <w:sz w:val="19"/>
          <w:szCs w:val="19"/>
        </w:rPr>
      </w:pPr>
    </w:p>
    <w:p>
      <w:pPr>
        <w:pStyle w:val="BodyText"/>
        <w:spacing w:line="316" w:lineRule="auto"/>
        <w:ind w:right="1132" w:firstLine="360"/>
        <w:jc w:val="both"/>
      </w:pPr>
      <w:r>
        <w:rPr>
          <w:spacing w:val="-2"/>
        </w:rPr>
        <w:t>本公司合并财务报表范围包括北京合纵实科电力科技有限公司、北京合纵畅达金属制品有限责任公司、北京合纵开创电</w:t>
      </w:r>
      <w:r>
        <w:rPr/>
        <w:t> </w:t>
      </w:r>
      <w:r>
        <w:rPr>
          <w:spacing w:val="-2"/>
        </w:rPr>
        <w:t>气技术有限公司、北京合纵科沃尔电力科技有限公司和天津合纵电力设备有限公司五家子公司。与上年相比，本年因投资设</w:t>
      </w:r>
      <w:r>
        <w:rPr>
          <w:spacing w:val="-66"/>
        </w:rPr>
        <w:t> </w:t>
      </w:r>
      <w:r>
        <w:rPr>
          <w:spacing w:val="-66"/>
        </w:rPr>
      </w:r>
      <w:r>
        <w:rPr/>
        <w:t>立增加了天津合纵电力设备有限公司。</w:t>
      </w:r>
    </w:p>
    <w:p>
      <w:pPr>
        <w:spacing w:line="240" w:lineRule="auto" w:before="10"/>
        <w:rPr>
          <w:rFonts w:ascii="宋体" w:hAnsi="宋体" w:cs="宋体" w:eastAsia="宋体" w:hint="default"/>
          <w:sz w:val="19"/>
          <w:szCs w:val="19"/>
        </w:rPr>
      </w:pPr>
    </w:p>
    <w:p>
      <w:pPr>
        <w:pStyle w:val="BodyText"/>
        <w:spacing w:line="240" w:lineRule="auto"/>
        <w:ind w:left="1493" w:right="821"/>
        <w:jc w:val="left"/>
      </w:pPr>
      <w:r>
        <w:rPr/>
        <w:t>详见本附注</w:t>
      </w:r>
      <w:r>
        <w:rPr>
          <w:rFonts w:ascii="Times New Roman" w:hAnsi="Times New Roman" w:cs="Times New Roman" w:eastAsia="Times New Roman" w:hint="default"/>
        </w:rPr>
        <w:t>“</w:t>
      </w:r>
      <w:r>
        <w:rPr/>
        <w:t>七、合并范围的变化</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及本附注</w:t>
      </w:r>
      <w:r>
        <w:rPr>
          <w:rFonts w:ascii="Times New Roman" w:hAnsi="Times New Roman" w:cs="Times New Roman" w:eastAsia="Times New Roman" w:hint="default"/>
        </w:rPr>
        <w:t>“</w:t>
      </w:r>
      <w:r>
        <w:rPr/>
        <w:t>八、在其他主体中的权益</w:t>
      </w:r>
      <w:r>
        <w:rPr>
          <w:rFonts w:ascii="Times New Roman" w:hAnsi="Times New Roman" w:cs="Times New Roman" w:eastAsia="Times New Roman" w:hint="default"/>
        </w:rPr>
        <w:t>”</w:t>
      </w:r>
      <w:r>
        <w:rPr/>
        <w:t>相关内容。</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四、财务报表的编制基础" w:id="157"/>
      <w:bookmarkEnd w:id="15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58"/>
      <w:bookmarkEnd w:id="15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本集团财务报表以持续经营为基础，根据实际发生的交易和事项，按照财政部颁布的《企业会计准则》及相关规定，并</w:t>
      </w:r>
      <w:r>
        <w:rPr/>
        <w:t> 基于本附注</w:t>
      </w:r>
      <w:r>
        <w:rPr>
          <w:rFonts w:ascii="Times New Roman" w:hAnsi="Times New Roman" w:cs="Times New Roman" w:eastAsia="Times New Roman" w:hint="default"/>
        </w:rPr>
        <w:t>“</w:t>
      </w:r>
      <w:r>
        <w:rPr/>
        <w:t>四、重要会计政策及会计估计</w:t>
      </w:r>
      <w:r>
        <w:rPr>
          <w:rFonts w:ascii="Times New Roman" w:hAnsi="Times New Roman" w:cs="Times New Roman" w:eastAsia="Times New Roman" w:hint="default"/>
        </w:rPr>
        <w:t>”</w:t>
      </w:r>
      <w:r>
        <w:rPr/>
        <w:t>所述会计政策和会计估计编制。</w:t>
      </w:r>
    </w:p>
    <w:p>
      <w:pPr>
        <w:spacing w:line="240" w:lineRule="auto" w:before="0"/>
        <w:rPr>
          <w:rFonts w:ascii="宋体" w:hAnsi="宋体" w:cs="宋体" w:eastAsia="宋体" w:hint="default"/>
          <w:sz w:val="21"/>
          <w:szCs w:val="21"/>
        </w:rPr>
      </w:pPr>
    </w:p>
    <w:p>
      <w:pPr>
        <w:pStyle w:val="Heading3"/>
        <w:spacing w:line="240" w:lineRule="auto"/>
        <w:ind w:left="1134" w:right="0"/>
        <w:jc w:val="both"/>
        <w:rPr>
          <w:b w:val="0"/>
          <w:bCs w:val="0"/>
        </w:rPr>
      </w:pPr>
      <w:bookmarkStart w:name="2、持续经营" w:id="159"/>
      <w:bookmarkEnd w:id="15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654" w:right="821"/>
        <w:jc w:val="left"/>
      </w:pPr>
      <w:r>
        <w:rPr/>
        <w:t>本集团不存在导致对报告期末起</w:t>
      </w:r>
      <w:r>
        <w:rPr>
          <w:rFonts w:ascii="Times New Roman" w:hAnsi="Times New Roman" w:cs="Times New Roman" w:eastAsia="Times New Roman" w:hint="default"/>
        </w:rPr>
        <w:t>12</w:t>
      </w:r>
      <w:r>
        <w:rPr/>
        <w:t>个月内的持续经营假设产生重大疑虑的的事项或情况。</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五、重要会计政策及会计估计" w:id="160"/>
      <w:bookmarkEnd w:id="160"/>
      <w:r>
        <w:rPr>
          <w:b w:val="0"/>
          <w:bCs w:val="0"/>
        </w:rPr>
      </w:r>
      <w:r>
        <w:rPr/>
        <w:t>五、重要会计政策及会计估计</w:t>
      </w:r>
      <w:r>
        <w:rPr>
          <w:b w:val="0"/>
          <w:bCs w:val="0"/>
        </w:rPr>
      </w:r>
    </w:p>
    <w:p>
      <w:pPr>
        <w:pStyle w:val="BodyText"/>
        <w:spacing w:line="550" w:lineRule="atLeast" w:before="33"/>
        <w:ind w:left="1480" w:right="821" w:hanging="347"/>
        <w:jc w:val="left"/>
      </w:pPr>
      <w:r>
        <w:rPr/>
        <w:t>具体会计政策和会计估计提示： </w:t>
      </w:r>
      <w:r>
        <w:rPr>
          <w:spacing w:val="-2"/>
        </w:rPr>
        <w:t>具体会计政策和会计估计提示：本集团根据实际生产经营特点制定的具体会计政策和会计估计包括营业周期、应收款项</w:t>
      </w:r>
    </w:p>
    <w:p>
      <w:pPr>
        <w:pStyle w:val="BodyText"/>
        <w:spacing w:line="316" w:lineRule="auto" w:before="75"/>
        <w:ind w:right="821"/>
        <w:jc w:val="left"/>
      </w:pPr>
      <w:r>
        <w:rPr>
          <w:spacing w:val="-2"/>
        </w:rPr>
        <w:t>坏账准备的确认和计量、发出存货计量、固定资产分类及折旧方法、无形资产摊销、研发费用资本化条件、收入确认和计量</w:t>
      </w:r>
      <w:r>
        <w:rPr>
          <w:spacing w:val="-66"/>
        </w:rPr>
        <w:t> </w:t>
      </w:r>
      <w:r>
        <w:rPr>
          <w:spacing w:val="-66"/>
        </w:rPr>
      </w:r>
      <w:r>
        <w:rPr/>
        <w:t>等。</w:t>
      </w:r>
    </w:p>
    <w:p>
      <w:pPr>
        <w:spacing w:line="240" w:lineRule="auto" w:before="7"/>
        <w:rPr>
          <w:rFonts w:ascii="宋体" w:hAnsi="宋体" w:cs="宋体" w:eastAsia="宋体" w:hint="default"/>
          <w:sz w:val="22"/>
          <w:szCs w:val="22"/>
        </w:rPr>
      </w:pPr>
    </w:p>
    <w:p>
      <w:pPr>
        <w:pStyle w:val="Heading3"/>
        <w:spacing w:line="240" w:lineRule="auto"/>
        <w:ind w:left="1134" w:right="0"/>
        <w:jc w:val="both"/>
        <w:rPr>
          <w:b w:val="0"/>
          <w:bCs w:val="0"/>
        </w:rPr>
      </w:pPr>
      <w:bookmarkStart w:name="1、遵循企业会计准则的声明" w:id="161"/>
      <w:bookmarkEnd w:id="16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3" w:firstLine="440"/>
        <w:jc w:val="both"/>
      </w:pPr>
      <w:r>
        <w:rPr/>
        <w:t>本公司编制的财务报表符合企业会计准则的要求，真实、完整地反映了本公司及本集团的财务状况、经营成果和现金 流量等有关信息。</w:t>
      </w:r>
    </w:p>
    <w:p>
      <w:pPr>
        <w:spacing w:line="240" w:lineRule="auto" w:before="7"/>
        <w:rPr>
          <w:rFonts w:ascii="宋体" w:hAnsi="宋体" w:cs="宋体" w:eastAsia="宋体" w:hint="default"/>
          <w:sz w:val="22"/>
          <w:szCs w:val="22"/>
        </w:rPr>
      </w:pPr>
    </w:p>
    <w:p>
      <w:pPr>
        <w:pStyle w:val="Heading3"/>
        <w:spacing w:line="240" w:lineRule="auto"/>
        <w:ind w:left="1134" w:right="0"/>
        <w:jc w:val="both"/>
        <w:rPr>
          <w:b w:val="0"/>
          <w:bCs w:val="0"/>
        </w:rPr>
      </w:pPr>
      <w:bookmarkStart w:name="2、会计期间" w:id="162"/>
      <w:bookmarkEnd w:id="16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821"/>
        <w:jc w:val="left"/>
      </w:pPr>
      <w:r>
        <w:rPr/>
        <w:t>本集团的会计期间为公历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821"/>
        <w:jc w:val="left"/>
        <w:rPr>
          <w:b w:val="0"/>
          <w:bCs w:val="0"/>
        </w:rPr>
      </w:pPr>
      <w:bookmarkStart w:name="3、营业周期" w:id="163"/>
      <w:bookmarkEnd w:id="16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821"/>
        <w:jc w:val="left"/>
      </w:pPr>
      <w:r>
        <w:rPr/>
        <w:t>本集团的营业周期为</w:t>
      </w:r>
      <w:r>
        <w:rPr>
          <w:rFonts w:ascii="Times New Roman" w:hAnsi="Times New Roman" w:cs="Times New Roman" w:eastAsia="Times New Roman" w:hint="default"/>
        </w:rPr>
        <w:t>12</w:t>
      </w:r>
      <w:r>
        <w:rPr/>
        <w:t>个月。</w:t>
      </w:r>
    </w:p>
    <w:p>
      <w:pPr>
        <w:spacing w:line="240" w:lineRule="auto" w:before="12"/>
        <w:rPr>
          <w:rFonts w:ascii="宋体" w:hAnsi="宋体" w:cs="宋体" w:eastAsia="宋体" w:hint="default"/>
          <w:sz w:val="25"/>
          <w:szCs w:val="25"/>
        </w:rPr>
      </w:pPr>
    </w:p>
    <w:p>
      <w:pPr>
        <w:pStyle w:val="Heading3"/>
        <w:spacing w:line="240" w:lineRule="auto"/>
        <w:ind w:right="821"/>
        <w:jc w:val="left"/>
        <w:rPr>
          <w:b w:val="0"/>
          <w:bCs w:val="0"/>
        </w:rPr>
      </w:pPr>
      <w:bookmarkStart w:name="4、记账本位币" w:id="164"/>
      <w:bookmarkEnd w:id="16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821"/>
        <w:jc w:val="left"/>
      </w:pPr>
      <w:r>
        <w:rPr/>
        <w:t>本集团以人民币为记账本位币。</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5、同一控制下和非同一控制下企业合并的会计处理方法" w:id="165"/>
      <w:bookmarkEnd w:id="16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2" w:firstLine="360"/>
        <w:jc w:val="both"/>
      </w:pPr>
      <w:r>
        <w:rPr>
          <w:spacing w:val="-2"/>
        </w:rPr>
        <w:t>本集团作为合并方，在同一控制下企业合并中取得的资产和负债，在合并日按被合并方在最终控制方合并报表中的账面</w:t>
      </w:r>
      <w:r>
        <w:rPr/>
        <w:t> </w:t>
      </w:r>
      <w:r>
        <w:rPr>
          <w:spacing w:val="-4"/>
        </w:rPr>
        <w:t>价值计量。取得的净资产账面价值与支付的合并对价账面价值的差额，调整资本公积；资本公积不足冲减的，调整留存收益。</w:t>
      </w:r>
    </w:p>
    <w:p>
      <w:pPr>
        <w:spacing w:line="240" w:lineRule="auto" w:before="10"/>
        <w:rPr>
          <w:rFonts w:ascii="宋体" w:hAnsi="宋体" w:cs="宋体" w:eastAsia="宋体" w:hint="default"/>
          <w:sz w:val="19"/>
          <w:szCs w:val="19"/>
        </w:rPr>
      </w:pPr>
    </w:p>
    <w:p>
      <w:pPr>
        <w:pStyle w:val="BodyText"/>
        <w:spacing w:line="316" w:lineRule="auto"/>
        <w:ind w:right="821" w:firstLine="360"/>
        <w:jc w:val="left"/>
      </w:pPr>
      <w:r>
        <w:rPr>
          <w:spacing w:val="-2"/>
        </w:rPr>
        <w:t>在非同一控制下企业合并中取得的被购买方可辨认资产、负债及或有负债在收购日以公允价值计量。合并成本为本集团</w:t>
      </w:r>
      <w:r>
        <w:rPr/>
        <w:t> </w:t>
      </w:r>
      <w:r>
        <w:rPr>
          <w:spacing w:val="-2"/>
        </w:rPr>
        <w:t>在购买日为取得对被购买方的控制权而支付的现金或非现金资产、发行或承担的负债、发行的权益性证券等的公允价值以及</w:t>
      </w:r>
      <w:r>
        <w:rPr>
          <w:spacing w:val="-64"/>
        </w:rPr>
        <w:t> </w:t>
      </w:r>
      <w:r>
        <w:rPr>
          <w:spacing w:val="-64"/>
        </w:rPr>
      </w:r>
      <w:r>
        <w:rPr>
          <w:spacing w:val="-4"/>
        </w:rPr>
        <w:t>在企业合并中发生的各项直接相关费用之和（通过多次交易分步实现的企业合并，其合并成本为每一单项交易的成本之和）。</w:t>
      </w:r>
      <w:r>
        <w:rPr>
          <w:spacing w:val="-44"/>
        </w:rPr>
        <w:t> </w:t>
      </w:r>
      <w:r>
        <w:rPr>
          <w:spacing w:val="-44"/>
        </w:rPr>
      </w:r>
      <w:r>
        <w:rPr>
          <w:spacing w:val="-2"/>
        </w:rPr>
        <w:t>合并成本大于合并中取得的被购买方可辨认净资产公允价值份额的差额，确认为商誉；合并成本小于合并中取得的被购买方</w:t>
      </w:r>
      <w:r>
        <w:rPr>
          <w:spacing w:val="-63"/>
        </w:rPr>
        <w:t> </w:t>
      </w:r>
      <w:r>
        <w:rPr>
          <w:spacing w:val="-63"/>
        </w:rPr>
      </w:r>
      <w:r>
        <w:rPr>
          <w:spacing w:val="-2"/>
        </w:rPr>
        <w:t>可辨认净资产公允价值份额的，首先对合并中取得的各项可辨认资产、负债及或有负债的公允价值、以及合并对价的非现金</w:t>
      </w:r>
      <w:r>
        <w:rPr>
          <w:spacing w:val="-66"/>
        </w:rPr>
        <w:t> </w:t>
      </w:r>
      <w:r>
        <w:rPr>
          <w:spacing w:val="-66"/>
        </w:rPr>
      </w:r>
      <w:r>
        <w:rPr>
          <w:spacing w:val="-2"/>
        </w:rPr>
        <w:t>资产或发行的权益性证券等的公允价值进行复核，经复核后，合并成本仍小于合并中取得的被购买方可辨认净资产公允价值</w:t>
      </w:r>
      <w:r>
        <w:rPr>
          <w:spacing w:val="-64"/>
        </w:rPr>
        <w:t> </w:t>
      </w:r>
      <w:r>
        <w:rPr>
          <w:spacing w:val="-64"/>
        </w:rPr>
      </w:r>
      <w:r>
        <w:rPr/>
        <w:t>份额的，将其差额计入合并当期营业外收入。</w:t>
      </w:r>
    </w:p>
    <w:p>
      <w:pPr>
        <w:spacing w:line="240" w:lineRule="auto" w:before="7"/>
        <w:rPr>
          <w:rFonts w:ascii="宋体" w:hAnsi="宋体" w:cs="宋体" w:eastAsia="宋体" w:hint="default"/>
          <w:sz w:val="22"/>
          <w:szCs w:val="22"/>
        </w:rPr>
      </w:pPr>
    </w:p>
    <w:p>
      <w:pPr>
        <w:pStyle w:val="Heading3"/>
        <w:spacing w:line="240" w:lineRule="auto"/>
        <w:ind w:right="821"/>
        <w:jc w:val="left"/>
        <w:rPr>
          <w:b w:val="0"/>
          <w:bCs w:val="0"/>
        </w:rPr>
      </w:pPr>
      <w:bookmarkStart w:name="6、合并财务报表的编制方法" w:id="166"/>
      <w:bookmarkEnd w:id="16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532" w:lineRule="auto"/>
        <w:ind w:left="1494" w:right="5712"/>
        <w:jc w:val="left"/>
      </w:pPr>
      <w:r>
        <w:rPr/>
        <w:t>（</w:t>
      </w:r>
      <w:r>
        <w:rPr>
          <w:rFonts w:ascii="Times New Roman" w:hAnsi="Times New Roman" w:cs="Times New Roman" w:eastAsia="Times New Roman" w:hint="default"/>
        </w:rPr>
        <w:t>1</w:t>
      </w:r>
      <w:r>
        <w:rPr/>
        <w:t>）合并范围的确定原则： 本集团将拥有实际控制权的子公司纳入合并财务报表范围。</w:t>
      </w:r>
    </w:p>
    <w:p>
      <w:pPr>
        <w:pStyle w:val="BodyText"/>
        <w:spacing w:line="532" w:lineRule="auto" w:before="97"/>
        <w:ind w:left="1493" w:right="6253"/>
        <w:jc w:val="left"/>
      </w:pPr>
      <w:r>
        <w:rPr/>
        <w:t>（</w:t>
      </w:r>
      <w:r>
        <w:rPr>
          <w:rFonts w:ascii="Times New Roman" w:hAnsi="Times New Roman" w:cs="Times New Roman" w:eastAsia="Times New Roman" w:hint="default"/>
        </w:rPr>
        <w:t>2</w:t>
      </w:r>
      <w:r>
        <w:rPr/>
        <w:t>）合并财务报表所采用的会计方法 本集团将所有控制的子公司纳入合并财务报表范围。</w:t>
      </w:r>
    </w:p>
    <w:p>
      <w:pPr>
        <w:pStyle w:val="BodyText"/>
        <w:spacing w:line="316" w:lineRule="auto" w:before="97"/>
        <w:ind w:left="1134" w:right="1131" w:firstLine="360"/>
        <w:jc w:val="both"/>
      </w:pPr>
      <w:r>
        <w:rPr>
          <w:spacing w:val="-2"/>
        </w:rPr>
        <w:t>在编制合并财务报表时，子公司与本公司采用的会计政策或会计期间不一致的，按照本公司的会计政策或会计期间对子</w:t>
      </w:r>
      <w:r>
        <w:rPr/>
        <w:t> 公司财务报表进行必要的调整。</w:t>
      </w:r>
    </w:p>
    <w:p>
      <w:pPr>
        <w:spacing w:line="240" w:lineRule="auto" w:before="10"/>
        <w:rPr>
          <w:rFonts w:ascii="宋体" w:hAnsi="宋体" w:cs="宋体" w:eastAsia="宋体" w:hint="default"/>
          <w:sz w:val="19"/>
          <w:szCs w:val="19"/>
        </w:rPr>
      </w:pPr>
    </w:p>
    <w:p>
      <w:pPr>
        <w:pStyle w:val="BodyText"/>
        <w:spacing w:line="309" w:lineRule="auto"/>
        <w:ind w:right="1130" w:firstLine="360"/>
        <w:jc w:val="both"/>
      </w:pPr>
      <w:r>
        <w:rPr>
          <w:spacing w:val="-2"/>
        </w:rPr>
        <w:t>合并范围内的所有重大内部交易、往来余额及未实现利润在合并报表编制时予以抵销。子公司的所有者权益中不属于母</w:t>
      </w:r>
      <w:r>
        <w:rPr/>
        <w:t> 公司的份额以及当期净损益、其他综合收益及综合收益总额中属于少数股东权益的份额，分别在合并财务报表</w:t>
      </w:r>
      <w:r>
        <w:rPr>
          <w:rFonts w:ascii="Times New Roman" w:hAnsi="Times New Roman" w:cs="Times New Roman" w:eastAsia="Times New Roman" w:hint="default"/>
        </w:rPr>
        <w:t>“</w:t>
      </w:r>
      <w:r>
        <w:rPr/>
        <w:t>少数股东权</w:t>
      </w:r>
      <w:r>
        <w:rPr>
          <w:spacing w:val="-74"/>
        </w:rPr>
        <w:t> </w:t>
      </w:r>
      <w:r>
        <w:rPr>
          <w:spacing w:val="-74"/>
        </w:rPr>
      </w:r>
      <w:r>
        <w:rPr/>
        <w:t>益、少数股东损益、归属于少数股东的其他综合收益及归属于少数股东的综合收益总额</w:t>
      </w:r>
      <w:r>
        <w:rPr>
          <w:rFonts w:ascii="Times New Roman" w:hAnsi="Times New Roman" w:cs="Times New Roman" w:eastAsia="Times New Roman" w:hint="default"/>
        </w:rPr>
        <w:t>”</w:t>
      </w:r>
      <w:r>
        <w:rPr/>
        <w:t>项目列示。</w:t>
      </w:r>
    </w:p>
    <w:p>
      <w:pPr>
        <w:spacing w:line="240" w:lineRule="auto" w:before="9"/>
        <w:rPr>
          <w:rFonts w:ascii="宋体" w:hAnsi="宋体" w:cs="宋体" w:eastAsia="宋体" w:hint="default"/>
          <w:sz w:val="18"/>
          <w:szCs w:val="18"/>
        </w:rPr>
      </w:pPr>
    </w:p>
    <w:p>
      <w:pPr>
        <w:pStyle w:val="BodyText"/>
        <w:spacing w:line="316" w:lineRule="auto"/>
        <w:ind w:right="1132" w:firstLine="360"/>
        <w:jc w:val="both"/>
      </w:pPr>
      <w:r>
        <w:rPr>
          <w:spacing w:val="-2"/>
        </w:rPr>
        <w:t>对于同一控制下企业合并取得的子公司，其经营成果和现金流量自合并当期期初纳入合并财务报表。编制比较合并财务</w:t>
      </w:r>
      <w:r>
        <w:rPr/>
        <w:t> 报表时，对上年财务报表的相关项目进行调整，视同合并后形成的报告主体自最终控制方开始控制时点起一直存在。</w:t>
      </w:r>
    </w:p>
    <w:p>
      <w:pPr>
        <w:spacing w:line="240" w:lineRule="auto" w:before="10"/>
        <w:rPr>
          <w:rFonts w:ascii="宋体" w:hAnsi="宋体" w:cs="宋体" w:eastAsia="宋体" w:hint="default"/>
          <w:sz w:val="19"/>
          <w:szCs w:val="19"/>
        </w:rPr>
      </w:pPr>
    </w:p>
    <w:p>
      <w:pPr>
        <w:pStyle w:val="BodyText"/>
        <w:spacing w:line="319" w:lineRule="auto"/>
        <w:ind w:right="1132" w:firstLine="360"/>
        <w:jc w:val="both"/>
      </w:pPr>
      <w:r>
        <w:rPr>
          <w:spacing w:val="-2"/>
        </w:rPr>
        <w:t>对于非同一控制下企业合并取得子公司，经营成果和现金流量自本集团取得控制权之日起纳入合并财务报表。在编制合</w:t>
      </w:r>
      <w:r>
        <w:rPr/>
        <w:t> 并财务报表时，以购买日确定的各项可辨认资产、负债及或有负债的公允价值为基础对子公司的财务报表进行调整。</w:t>
      </w:r>
    </w:p>
    <w:p>
      <w:pPr>
        <w:spacing w:line="240" w:lineRule="auto" w:before="8"/>
        <w:rPr>
          <w:rFonts w:ascii="宋体" w:hAnsi="宋体" w:cs="宋体" w:eastAsia="宋体" w:hint="default"/>
          <w:sz w:val="19"/>
          <w:szCs w:val="19"/>
        </w:rPr>
      </w:pPr>
    </w:p>
    <w:p>
      <w:pPr>
        <w:pStyle w:val="BodyText"/>
        <w:spacing w:line="316" w:lineRule="auto"/>
        <w:ind w:right="1132" w:firstLine="360"/>
        <w:jc w:val="both"/>
      </w:pPr>
      <w:r>
        <w:rPr>
          <w:spacing w:val="-2"/>
        </w:rPr>
        <w:t>本集团在不丧失控制权的情况下部分处置对子公司的长期股权投资，在合并财务报表中，处置价款与处置长期股权投资</w:t>
      </w:r>
      <w:r>
        <w:rPr/>
        <w:t> </w:t>
      </w:r>
      <w:r>
        <w:rPr>
          <w:spacing w:val="-2"/>
        </w:rPr>
        <w:t>相对应享有子公司自购买日或合并日开始持续计算的净资产份额之间的差额，调整资本溢价或股本溢价，资本公积不足冲减</w:t>
      </w:r>
      <w:r>
        <w:rPr>
          <w:spacing w:val="-64"/>
        </w:rPr>
        <w:t> </w:t>
      </w:r>
      <w:r>
        <w:rPr>
          <w:spacing w:val="-64"/>
        </w:rPr>
      </w:r>
      <w:r>
        <w:rPr/>
        <w:t>的，调整留存收益。</w:t>
      </w:r>
    </w:p>
    <w:p>
      <w:pPr>
        <w:spacing w:after="0" w:line="316" w:lineRule="auto"/>
        <w:jc w:val="both"/>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6" w:lineRule="auto" w:before="44"/>
        <w:ind w:right="1132" w:firstLine="360"/>
        <w:jc w:val="both"/>
      </w:pPr>
      <w:r>
        <w:rPr>
          <w:spacing w:val="-2"/>
        </w:rPr>
        <w:t>本集团因处置部分股权投资等原因丧失了对被投资方的控制权的，在编制合并财务报表时，对于剩余股权，按照其在丧</w:t>
      </w:r>
      <w:r>
        <w:rPr/>
        <w:t> </w:t>
      </w:r>
      <w:r>
        <w:rPr>
          <w:spacing w:val="-2"/>
        </w:rPr>
        <w:t>失控制权日的公允价值进行重新计量。处置股权取得的对价与剩余股权公允价值之和，减去按原持股比例计算应享有原有子</w:t>
      </w:r>
      <w:r>
        <w:rPr>
          <w:spacing w:val="-64"/>
        </w:rPr>
        <w:t> </w:t>
      </w:r>
      <w:r>
        <w:rPr>
          <w:spacing w:val="-64"/>
        </w:rPr>
      </w:r>
      <w:r>
        <w:rPr>
          <w:spacing w:val="-2"/>
        </w:rPr>
        <w:t>公司自购买日或合并日开始持续计算的净资产的份额之间的差额，计入丧失控制权当期的投资损益，同时冲减商誉。与原有</w:t>
      </w:r>
      <w:r>
        <w:rPr>
          <w:spacing w:val="-66"/>
        </w:rPr>
        <w:t> </w:t>
      </w:r>
      <w:r>
        <w:rPr>
          <w:spacing w:val="-66"/>
        </w:rPr>
      </w:r>
      <w:r>
        <w:rPr/>
        <w:t>子公司股权投资相关的其他综合收益等，在丧失控制权时转为当期投资损益。</w:t>
      </w:r>
    </w:p>
    <w:p>
      <w:pPr>
        <w:spacing w:line="240" w:lineRule="auto" w:before="7"/>
        <w:rPr>
          <w:rFonts w:ascii="宋体" w:hAnsi="宋体" w:cs="宋体" w:eastAsia="宋体" w:hint="default"/>
          <w:sz w:val="22"/>
          <w:szCs w:val="22"/>
        </w:rPr>
      </w:pPr>
    </w:p>
    <w:p>
      <w:pPr>
        <w:pStyle w:val="Heading3"/>
        <w:spacing w:line="240" w:lineRule="auto"/>
        <w:ind w:right="821"/>
        <w:jc w:val="left"/>
        <w:rPr>
          <w:b w:val="0"/>
          <w:bCs w:val="0"/>
        </w:rPr>
      </w:pPr>
      <w:bookmarkStart w:name="7、合营安排分类及共同经营会计处理方法" w:id="167"/>
      <w:bookmarkEnd w:id="16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440"/>
        <w:jc w:val="both"/>
      </w:pPr>
      <w:r>
        <w:rPr>
          <w:spacing w:val="2"/>
        </w:rPr>
        <w:t>本集团现金流量表之现金指库存现金以及可以随时用于支付的存款。现金流量表之现金等价物指持有期限不超过</w:t>
      </w:r>
      <w:r>
        <w:rPr>
          <w:rFonts w:ascii="Times New Roman" w:hAnsi="Times New Roman" w:cs="Times New Roman" w:eastAsia="Times New Roman" w:hint="default"/>
          <w:spacing w:val="2"/>
        </w:rPr>
        <w:t>3</w:t>
      </w:r>
      <w:r>
        <w:rPr>
          <w:spacing w:val="2"/>
        </w:rPr>
        <w:t>个</w:t>
      </w:r>
      <w:r>
        <w:rPr/>
        <w:t> 月、流动性强、易于转换为已知金额现金且价值变动风险很小的投资。</w:t>
      </w:r>
    </w:p>
    <w:p>
      <w:pPr>
        <w:spacing w:line="240" w:lineRule="auto" w:before="6"/>
        <w:rPr>
          <w:rFonts w:ascii="宋体" w:hAnsi="宋体" w:cs="宋体" w:eastAsia="宋体" w:hint="default"/>
          <w:sz w:val="23"/>
          <w:szCs w:val="23"/>
        </w:rPr>
      </w:pPr>
    </w:p>
    <w:p>
      <w:pPr>
        <w:pStyle w:val="Heading3"/>
        <w:spacing w:line="240" w:lineRule="auto"/>
        <w:ind w:right="821"/>
        <w:jc w:val="left"/>
        <w:rPr>
          <w:b w:val="0"/>
          <w:bCs w:val="0"/>
        </w:rPr>
      </w:pPr>
      <w:bookmarkStart w:name="8、现金及现金等价物的确定标准" w:id="168"/>
      <w:bookmarkEnd w:id="16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本集团外币交易按交易发生日的即期汇率将外币金额折算为人民币金额。于资产负债表日，外币货币性项目采用资产负</w:t>
      </w:r>
      <w:r>
        <w:rPr/>
        <w:t> </w:t>
      </w:r>
      <w:r>
        <w:rPr>
          <w:spacing w:val="-2"/>
        </w:rPr>
        <w:t>债表日的即期汇率折算为人民币，所产生的折算差额除了为购建或生产符合资本化条件的资产而借入的外币专门借款产生的</w:t>
      </w:r>
      <w:r>
        <w:rPr>
          <w:spacing w:val="-64"/>
        </w:rPr>
        <w:t> </w:t>
      </w:r>
      <w:r>
        <w:rPr>
          <w:spacing w:val="-64"/>
        </w:rPr>
      </w:r>
      <w:r>
        <w:rPr>
          <w:spacing w:val="-2"/>
        </w:rPr>
        <w:t>汇兑差额按资本化的原则处理外，直接计入当期损益。以公允价值计量的外币非货币性项目，采用公允价值确定日的即期汇</w:t>
      </w:r>
      <w:r>
        <w:rPr>
          <w:spacing w:val="-66"/>
        </w:rPr>
        <w:t> </w:t>
      </w:r>
      <w:r>
        <w:rPr>
          <w:spacing w:val="-66"/>
        </w:rPr>
      </w:r>
      <w:r>
        <w:rPr>
          <w:spacing w:val="-2"/>
        </w:rPr>
        <w:t>率折算为人民币，所产生的折算差额，作为公允价值变动直接计入当期损益。以历史成本计量的外币非货币性项目，仍采用</w:t>
      </w:r>
      <w:r>
        <w:rPr>
          <w:spacing w:val="-66"/>
        </w:rPr>
        <w:t> </w:t>
      </w:r>
      <w:r>
        <w:rPr>
          <w:spacing w:val="-66"/>
        </w:rPr>
      </w:r>
      <w:r>
        <w:rPr/>
        <w:t>交易发生日的即期汇率折算，不改变其人民币金额。</w:t>
      </w:r>
    </w:p>
    <w:p>
      <w:pPr>
        <w:spacing w:line="240" w:lineRule="auto" w:before="7"/>
        <w:rPr>
          <w:rFonts w:ascii="宋体" w:hAnsi="宋体" w:cs="宋体" w:eastAsia="宋体" w:hint="default"/>
          <w:sz w:val="22"/>
          <w:szCs w:val="22"/>
        </w:rPr>
      </w:pPr>
    </w:p>
    <w:p>
      <w:pPr>
        <w:pStyle w:val="Heading3"/>
        <w:spacing w:line="240" w:lineRule="auto"/>
        <w:ind w:right="821"/>
        <w:jc w:val="left"/>
        <w:rPr>
          <w:b w:val="0"/>
          <w:bCs w:val="0"/>
        </w:rPr>
      </w:pPr>
      <w:bookmarkStart w:name="9、外币业务和外币报表折算" w:id="169"/>
      <w:bookmarkEnd w:id="16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本集团成为金融工具合同的一方时确认一项金融资产或金融负债。</w:t>
      </w:r>
    </w:p>
    <w:p>
      <w:pPr>
        <w:spacing w:line="240" w:lineRule="auto" w:before="2"/>
        <w:rPr>
          <w:rFonts w:ascii="宋体" w:hAnsi="宋体" w:cs="宋体" w:eastAsia="宋体" w:hint="default"/>
          <w:sz w:val="24"/>
          <w:szCs w:val="24"/>
        </w:rPr>
      </w:pPr>
    </w:p>
    <w:p>
      <w:pPr>
        <w:pStyle w:val="BodyText"/>
        <w:spacing w:line="420" w:lineRule="auto"/>
        <w:ind w:left="1494" w:right="7242" w:hanging="70"/>
        <w:jc w:val="left"/>
      </w:pPr>
      <w:r>
        <w:rPr/>
        <w:t>（</w:t>
      </w:r>
      <w:r>
        <w:rPr>
          <w:rFonts w:ascii="宋体" w:hAnsi="宋体" w:cs="宋体" w:eastAsia="宋体" w:hint="default"/>
        </w:rPr>
        <w:t>1</w:t>
      </w:r>
      <w:r>
        <w:rPr/>
        <w:t>）金融资产 </w:t>
      </w:r>
      <w:r>
        <w:rPr>
          <w:rFonts w:ascii="宋体" w:hAnsi="宋体" w:cs="宋体" w:eastAsia="宋体" w:hint="default"/>
        </w:rPr>
        <w:t>1</w:t>
      </w:r>
      <w:r>
        <w:rPr/>
        <w:t>）金融资产分类、确认依据和计量方法</w:t>
      </w:r>
    </w:p>
    <w:p>
      <w:pPr>
        <w:spacing w:line="240" w:lineRule="auto" w:before="11"/>
        <w:rPr>
          <w:rFonts w:ascii="宋体" w:hAnsi="宋体" w:cs="宋体" w:eastAsia="宋体" w:hint="default"/>
          <w:sz w:val="13"/>
          <w:szCs w:val="13"/>
        </w:rPr>
      </w:pPr>
    </w:p>
    <w:p>
      <w:pPr>
        <w:pStyle w:val="BodyText"/>
        <w:spacing w:line="316" w:lineRule="auto"/>
        <w:ind w:left="1134" w:right="1132" w:firstLine="360"/>
        <w:jc w:val="both"/>
      </w:pPr>
      <w:r>
        <w:rPr>
          <w:spacing w:val="-2"/>
        </w:rPr>
        <w:t>金融资产在初始确认时划分为以公允价值计量且其变动计入当期损益的金融资产、持有至到期投资、应收款项以及可供</w:t>
      </w:r>
      <w:r>
        <w:rPr/>
        <w:t> 出售金融资产。以常规方式买卖金融资产，按交易日会计进行确认和终止确认。本公司的金融资产全部为</w:t>
      </w:r>
      <w:r>
        <w:rPr>
          <w:rFonts w:ascii="宋体" w:hAnsi="宋体" w:cs="宋体" w:eastAsia="宋体" w:hint="default"/>
        </w:rPr>
        <w:t>-</w:t>
      </w:r>
      <w:r>
        <w:rPr/>
        <w:t>应收款项。</w:t>
      </w:r>
    </w:p>
    <w:p>
      <w:pPr>
        <w:pStyle w:val="BodyText"/>
        <w:spacing w:line="316" w:lineRule="auto" w:before="119"/>
        <w:ind w:right="1132" w:firstLine="360"/>
        <w:jc w:val="both"/>
      </w:pPr>
      <w:r>
        <w:rPr>
          <w:spacing w:val="-2"/>
        </w:rPr>
        <w:t>应收款项，是指在活跃市场中没有报价，回收金额固定或可确定的非衍生金融资产。本集团划分为应收款项的金融资产</w:t>
      </w:r>
      <w:r>
        <w:rPr/>
        <w:t> 包括货币资金、应收票据、应收账款、其他应收款等。</w:t>
      </w:r>
    </w:p>
    <w:p>
      <w:pPr>
        <w:spacing w:line="240" w:lineRule="auto" w:before="10"/>
        <w:rPr>
          <w:rFonts w:ascii="宋体" w:hAnsi="宋体" w:cs="宋体" w:eastAsia="宋体" w:hint="default"/>
          <w:sz w:val="19"/>
          <w:szCs w:val="19"/>
        </w:rPr>
      </w:pPr>
    </w:p>
    <w:p>
      <w:pPr>
        <w:pStyle w:val="BodyText"/>
        <w:spacing w:line="316" w:lineRule="auto"/>
        <w:ind w:left="1134" w:right="1131" w:firstLine="360"/>
        <w:jc w:val="both"/>
      </w:pPr>
      <w:r>
        <w:rPr>
          <w:spacing w:val="-2"/>
        </w:rPr>
        <w:t>应收款项采用实际利率法，按摊余成本进行后续计量。在终止确认、发生减值或摊销时产生的利得或损失，计入当期损</w:t>
      </w:r>
      <w:r>
        <w:rPr/>
        <w:t> 益。</w:t>
      </w:r>
    </w:p>
    <w:p>
      <w:pPr>
        <w:pStyle w:val="BodyText"/>
        <w:spacing w:line="552" w:lineRule="exact" w:before="27"/>
        <w:ind w:left="1494" w:right="821"/>
        <w:jc w:val="left"/>
      </w:pPr>
      <w:r>
        <w:rPr>
          <w:rFonts w:ascii="宋体" w:hAnsi="宋体" w:cs="宋体" w:eastAsia="宋体" w:hint="default"/>
        </w:rPr>
        <w:t>2</w:t>
      </w:r>
      <w:r>
        <w:rPr/>
        <w:t>）金融资产转移的确认依据和计量方法 </w:t>
      </w:r>
      <w:r>
        <w:rPr>
          <w:spacing w:val="-2"/>
        </w:rPr>
        <w:t>金融资产满足下列条件之一的，予以终止确认：①收取该金融资产现金流量的合同权利终止；②该金融资产已转移，且</w:t>
      </w:r>
    </w:p>
    <w:p>
      <w:pPr>
        <w:pStyle w:val="BodyText"/>
        <w:spacing w:line="316" w:lineRule="auto"/>
        <w:ind w:left="1134" w:right="1114"/>
        <w:jc w:val="left"/>
      </w:pPr>
      <w:r>
        <w:rPr/>
        <w:t>本集团将金融资产所有权上几乎所有的风险和报酬转移给转入方；</w:t>
      </w:r>
      <w:r>
        <w:rPr>
          <w:spacing w:val="8"/>
        </w:rPr>
        <w:t> </w:t>
      </w:r>
      <w:r>
        <w:rPr/>
        <w:t>③该金融资产已转移，虽然本集团既没有转移也没有保</w:t>
      </w:r>
      <w:r>
        <w:rPr/>
        <w:t> 留金融资产所有权上几乎所有的风险和报酬，但是放弃了对该金融资产控制。</w:t>
      </w:r>
    </w:p>
    <w:p>
      <w:pPr>
        <w:spacing w:line="240" w:lineRule="auto" w:before="10"/>
        <w:rPr>
          <w:rFonts w:ascii="宋体" w:hAnsi="宋体" w:cs="宋体" w:eastAsia="宋体" w:hint="default"/>
          <w:sz w:val="19"/>
          <w:szCs w:val="19"/>
        </w:rPr>
      </w:pPr>
    </w:p>
    <w:p>
      <w:pPr>
        <w:pStyle w:val="BodyText"/>
        <w:spacing w:line="316" w:lineRule="auto"/>
        <w:ind w:left="1134" w:right="1132" w:firstLine="360"/>
        <w:jc w:val="both"/>
      </w:pPr>
      <w:r>
        <w:rPr>
          <w:spacing w:val="-2"/>
        </w:rPr>
        <w:t>企业既没有转移也没有保留金融资产所有权上几乎所有的风险和报酬，且未放弃对该金融资产控制的，则按照其继续涉</w:t>
      </w:r>
      <w:r>
        <w:rPr/>
        <w:t> 入所转移金融资产的程度确认有关金融资产，并相应确认有关负债。</w:t>
      </w:r>
    </w:p>
    <w:p>
      <w:pPr>
        <w:spacing w:line="240" w:lineRule="auto" w:before="11"/>
        <w:rPr>
          <w:rFonts w:ascii="宋体" w:hAnsi="宋体" w:cs="宋体" w:eastAsia="宋体" w:hint="default"/>
          <w:sz w:val="19"/>
          <w:szCs w:val="19"/>
        </w:rPr>
      </w:pPr>
    </w:p>
    <w:p>
      <w:pPr>
        <w:pStyle w:val="BodyText"/>
        <w:spacing w:line="316" w:lineRule="auto"/>
        <w:ind w:left="1134" w:right="1132" w:firstLine="360"/>
        <w:jc w:val="both"/>
      </w:pPr>
      <w:r>
        <w:rPr>
          <w:spacing w:val="-2"/>
        </w:rPr>
        <w:t>金融资产整体转移满足终止确认条件的，将所转移金融资产的账面价值，与因转移而收到的对价及原计入其他综合收益</w:t>
      </w:r>
      <w:r>
        <w:rPr/>
        <w:t> 的公允价值变动累计额之和的差额计入当期损益。</w:t>
      </w:r>
    </w:p>
    <w:p>
      <w:pPr>
        <w:pStyle w:val="BodyText"/>
        <w:spacing w:line="240" w:lineRule="auto" w:before="119"/>
        <w:ind w:left="1494" w:right="821"/>
        <w:jc w:val="left"/>
      </w:pPr>
      <w:r>
        <w:rPr/>
        <w:t>金融资产部分转移满足终止确认条件的，将所转移金融资产整体的账面价值，在终止确认部分和未终止确认部分之间，</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6" w:lineRule="auto" w:before="44"/>
        <w:ind w:right="821"/>
        <w:jc w:val="left"/>
      </w:pPr>
      <w:r>
        <w:rPr>
          <w:spacing w:val="-2"/>
        </w:rPr>
        <w:t>按照各自的相对公允价值进行分摊，并将因转移而收到的对价及应分摊至终止确认部分的原计入其他综合收益的公允价值变</w:t>
      </w:r>
      <w:r>
        <w:rPr>
          <w:spacing w:val="-64"/>
        </w:rPr>
        <w:t> </w:t>
      </w:r>
      <w:r>
        <w:rPr>
          <w:spacing w:val="-64"/>
        </w:rPr>
      </w:r>
      <w:r>
        <w:rPr/>
        <w:t>动累计额之和，与分摊的前述账面金额的差额计入当期损益。</w:t>
      </w:r>
    </w:p>
    <w:p>
      <w:pPr>
        <w:spacing w:line="240" w:lineRule="auto" w:before="10"/>
        <w:rPr>
          <w:rFonts w:ascii="宋体" w:hAnsi="宋体" w:cs="宋体" w:eastAsia="宋体" w:hint="default"/>
          <w:sz w:val="19"/>
          <w:szCs w:val="19"/>
        </w:rPr>
      </w:pPr>
    </w:p>
    <w:p>
      <w:pPr>
        <w:pStyle w:val="BodyText"/>
        <w:spacing w:line="420" w:lineRule="auto"/>
        <w:ind w:left="1494" w:right="821"/>
        <w:jc w:val="left"/>
      </w:pPr>
      <w:r>
        <w:rPr>
          <w:rFonts w:ascii="宋体" w:hAnsi="宋体" w:cs="宋体" w:eastAsia="宋体" w:hint="default"/>
        </w:rPr>
        <w:t>3</w:t>
      </w:r>
      <w:r>
        <w:rPr/>
        <w:t>）金融资产减值的测试方法及会计处理方法 </w:t>
      </w:r>
      <w:r>
        <w:rPr>
          <w:spacing w:val="-4"/>
        </w:rPr>
        <w:t>本集团于资产负债表日对金融资产的账面价值进行检查，如果有客观证据表明某项金融资产发生减值的，计提减值准备。</w:t>
      </w:r>
    </w:p>
    <w:p>
      <w:pPr>
        <w:spacing w:line="240" w:lineRule="auto" w:before="10"/>
        <w:rPr>
          <w:rFonts w:ascii="宋体" w:hAnsi="宋体" w:cs="宋体" w:eastAsia="宋体" w:hint="default"/>
          <w:sz w:val="13"/>
          <w:szCs w:val="13"/>
        </w:rPr>
      </w:pPr>
    </w:p>
    <w:p>
      <w:pPr>
        <w:pStyle w:val="BodyText"/>
        <w:spacing w:line="316" w:lineRule="auto"/>
        <w:ind w:right="1130" w:firstLine="360"/>
        <w:jc w:val="both"/>
      </w:pPr>
      <w:r>
        <w:rPr>
          <w:spacing w:val="-2"/>
        </w:rPr>
        <w:t>以摊余成本计量的金融资产发生减值时，按预计未来现金流量</w:t>
      </w:r>
      <w:r>
        <w:rPr>
          <w:rFonts w:ascii="宋体" w:hAnsi="宋体" w:cs="宋体" w:eastAsia="宋体" w:hint="default"/>
          <w:spacing w:val="-2"/>
        </w:rPr>
        <w:t>(</w:t>
      </w:r>
      <w:r>
        <w:rPr>
          <w:spacing w:val="-2"/>
        </w:rPr>
        <w:t>不包括尚未发生的未来信用损失</w:t>
      </w:r>
      <w:r>
        <w:rPr>
          <w:rFonts w:ascii="宋体" w:hAnsi="宋体" w:cs="宋体" w:eastAsia="宋体" w:hint="default"/>
          <w:spacing w:val="-2"/>
        </w:rPr>
        <w:t>)</w:t>
      </w:r>
      <w:r>
        <w:rPr>
          <w:spacing w:val="-2"/>
        </w:rPr>
        <w:t>现值低于账面价值的差</w:t>
      </w:r>
      <w:r>
        <w:rPr/>
        <w:t> </w:t>
      </w:r>
      <w:r>
        <w:rPr>
          <w:spacing w:val="-2"/>
        </w:rPr>
        <w:t>额，计提减值准备。如果有客观证据表明该金融资产价值已恢复，且客观上与确认该损失后发生的事项有关，原确认的减值</w:t>
      </w:r>
      <w:r>
        <w:rPr>
          <w:spacing w:val="-66"/>
        </w:rPr>
        <w:t> </w:t>
      </w:r>
      <w:r>
        <w:rPr>
          <w:spacing w:val="-66"/>
        </w:rPr>
      </w:r>
      <w:r>
        <w:rPr/>
        <w:t>损失予以转回，计入当期损益。</w:t>
      </w:r>
    </w:p>
    <w:p>
      <w:pPr>
        <w:spacing w:line="240" w:lineRule="auto" w:before="10"/>
        <w:rPr>
          <w:rFonts w:ascii="宋体" w:hAnsi="宋体" w:cs="宋体" w:eastAsia="宋体" w:hint="default"/>
          <w:sz w:val="19"/>
          <w:szCs w:val="19"/>
        </w:rPr>
      </w:pPr>
    </w:p>
    <w:p>
      <w:pPr>
        <w:pStyle w:val="BodyText"/>
        <w:spacing w:line="561" w:lineRule="auto"/>
        <w:ind w:left="1494" w:right="7242"/>
        <w:jc w:val="left"/>
      </w:pPr>
      <w:r>
        <w:rPr/>
        <w:t>（</w:t>
      </w:r>
      <w:r>
        <w:rPr>
          <w:rFonts w:ascii="宋体" w:hAnsi="宋体" w:cs="宋体" w:eastAsia="宋体" w:hint="default"/>
        </w:rPr>
        <w:t>2</w:t>
      </w:r>
      <w:r>
        <w:rPr/>
        <w:t>）金融负债 </w:t>
      </w:r>
      <w:r>
        <w:rPr>
          <w:rFonts w:ascii="宋体" w:hAnsi="宋体" w:cs="宋体" w:eastAsia="宋体" w:hint="default"/>
        </w:rPr>
        <w:t>1</w:t>
      </w:r>
      <w:r>
        <w:rPr/>
        <w:t>）金融负债分类、确认依据和计量方法</w:t>
      </w:r>
    </w:p>
    <w:p>
      <w:pPr>
        <w:pStyle w:val="BodyText"/>
        <w:spacing w:line="316" w:lineRule="auto" w:before="75"/>
        <w:ind w:left="1134" w:right="821" w:firstLine="465"/>
        <w:jc w:val="left"/>
      </w:pPr>
      <w:r>
        <w:rPr>
          <w:spacing w:val="-1"/>
        </w:rPr>
        <w:t>金融负债于初始确认时分类为以公允价值计量且其变动计入当期损益的金融负债和其他金融负债。本集团的金融负债</w:t>
      </w:r>
      <w:r>
        <w:rPr/>
        <w:t> 为其他金融负债。</w:t>
      </w:r>
    </w:p>
    <w:p>
      <w:pPr>
        <w:spacing w:line="240" w:lineRule="auto" w:before="10"/>
        <w:rPr>
          <w:rFonts w:ascii="宋体" w:hAnsi="宋体" w:cs="宋体" w:eastAsia="宋体" w:hint="default"/>
          <w:sz w:val="19"/>
          <w:szCs w:val="19"/>
        </w:rPr>
      </w:pPr>
    </w:p>
    <w:p>
      <w:pPr>
        <w:pStyle w:val="BodyText"/>
        <w:spacing w:line="561" w:lineRule="auto"/>
        <w:ind w:left="1494" w:right="5427" w:firstLine="105"/>
        <w:jc w:val="left"/>
      </w:pPr>
      <w:r>
        <w:rPr/>
        <w:t>其他金融负债采用实际利率法，按照摊余成本进行后续计量。 </w:t>
      </w:r>
      <w:r>
        <w:rPr>
          <w:rFonts w:ascii="宋体" w:hAnsi="宋体" w:cs="宋体" w:eastAsia="宋体" w:hint="default"/>
        </w:rPr>
        <w:t>2</w:t>
      </w:r>
      <w:r>
        <w:rPr/>
        <w:t>）金融负债终止确认条件</w:t>
      </w:r>
    </w:p>
    <w:p>
      <w:pPr>
        <w:pStyle w:val="BodyText"/>
        <w:spacing w:line="316" w:lineRule="auto" w:before="75"/>
        <w:ind w:left="1134" w:right="821" w:firstLine="465"/>
        <w:jc w:val="left"/>
      </w:pPr>
      <w:r>
        <w:rPr>
          <w:spacing w:val="-1"/>
        </w:rPr>
        <w:t>当金融负债的现时义务全部或部分已经解除时，终止确认该金融负债或义务已解除的部分。终止确认部分的账面价值</w:t>
      </w:r>
      <w:r>
        <w:rPr/>
        <w:t> 与支付的对价之间的差额，计入当期损益。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left="1134" w:right="821"/>
        <w:jc w:val="left"/>
        <w:rPr>
          <w:b w:val="0"/>
          <w:bCs w:val="0"/>
        </w:rPr>
      </w:pPr>
      <w:bookmarkStart w:name="10、金融工具" w:id="170"/>
      <w:bookmarkEnd w:id="17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360"/>
        <w:jc w:val="both"/>
      </w:pPr>
      <w:r>
        <w:rPr>
          <w:spacing w:val="-2"/>
        </w:rPr>
        <w:t>本集团在资产负债表日对应收款项账面价值进行检查，对存在债务单位撤销、破产、资不抵债、现金流量严重不足、发</w:t>
      </w:r>
      <w:r>
        <w:rPr/>
        <w:t> </w:t>
      </w:r>
      <w:r>
        <w:rPr>
          <w:spacing w:val="-2"/>
        </w:rPr>
        <w:t>生严重自然灾害等导致停产而在可预见的时间内无法偿付债务等；其他确凿证据表明确实无法收回或收回的可能性不大的应</w:t>
      </w:r>
      <w:r>
        <w:rPr>
          <w:spacing w:val="-64"/>
        </w:rPr>
        <w:t> </w:t>
      </w:r>
      <w:r>
        <w:rPr>
          <w:spacing w:val="-64"/>
        </w:rPr>
      </w:r>
      <w:r>
        <w:rPr/>
        <w:t>收款项，计提坏账准备。</w:t>
      </w:r>
    </w:p>
    <w:p>
      <w:pPr>
        <w:spacing w:line="240" w:lineRule="auto" w:before="10"/>
        <w:rPr>
          <w:rFonts w:ascii="宋体" w:hAnsi="宋体" w:cs="宋体" w:eastAsia="宋体" w:hint="default"/>
          <w:sz w:val="19"/>
          <w:szCs w:val="19"/>
        </w:rPr>
      </w:pPr>
    </w:p>
    <w:p>
      <w:pPr>
        <w:pStyle w:val="BodyText"/>
        <w:spacing w:line="316" w:lineRule="auto"/>
        <w:ind w:left="1134" w:right="1131" w:firstLine="360"/>
        <w:jc w:val="both"/>
      </w:pPr>
      <w:r>
        <w:rPr>
          <w:spacing w:val="-2"/>
        </w:rPr>
        <w:t>对可能发生的坏账损失采用备抵法核算，期末单独或按组合进行减值测试，计提坏账准备，计入当期损益。应收款项中</w:t>
      </w:r>
      <w:r>
        <w:rPr/>
        <w:t> </w:t>
      </w:r>
      <w:r>
        <w:rPr>
          <w:spacing w:val="-2"/>
        </w:rPr>
        <w:t>与关联公司的往来一般不计提坏账准备。对于有确凿证据表明确实无法收回的应收款项，经本集团按规定程序批准后列作坏</w:t>
      </w:r>
      <w:r>
        <w:rPr>
          <w:spacing w:val="-64"/>
        </w:rPr>
        <w:t> </w:t>
      </w:r>
      <w:r>
        <w:rPr>
          <w:spacing w:val="-64"/>
        </w:rPr>
      </w:r>
      <w:r>
        <w:rPr/>
        <w:t>账损失，冲销提取的坏账准备。</w:t>
      </w:r>
    </w:p>
    <w:p>
      <w:pPr>
        <w:spacing w:line="240" w:lineRule="auto" w:before="10"/>
        <w:rPr>
          <w:rFonts w:ascii="宋体" w:hAnsi="宋体" w:cs="宋体" w:eastAsia="宋体" w:hint="default"/>
          <w:sz w:val="19"/>
          <w:szCs w:val="19"/>
        </w:rPr>
      </w:pPr>
    </w:p>
    <w:p>
      <w:pPr>
        <w:pStyle w:val="BodyText"/>
        <w:spacing w:line="240" w:lineRule="auto"/>
        <w:ind w:left="1575" w:right="821"/>
        <w:jc w:val="left"/>
      </w:pPr>
      <w:r>
        <w:rPr/>
        <w:t>（</w:t>
      </w:r>
      <w:r>
        <w:rPr>
          <w:rFonts w:ascii="Times New Roman" w:hAnsi="Times New Roman" w:cs="Times New Roman" w:eastAsia="Times New Roman" w:hint="default"/>
        </w:rPr>
        <w:t>1</w:t>
      </w:r>
      <w:r>
        <w:rPr/>
        <w:t>）单项金额重大并单项计提坏账准备的应收款项</w:t>
      </w:r>
    </w:p>
    <w:p>
      <w:pPr>
        <w:spacing w:line="240" w:lineRule="auto" w:before="4"/>
        <w:rPr>
          <w:rFonts w:ascii="宋体" w:hAnsi="宋体" w:cs="宋体" w:eastAsia="宋体" w:hint="default"/>
          <w:sz w:val="22"/>
          <w:szCs w:val="22"/>
        </w:rPr>
      </w:pPr>
    </w:p>
    <w:tbl>
      <w:tblPr>
        <w:tblW w:w="0" w:type="auto"/>
        <w:jc w:val="left"/>
        <w:tblInd w:w="1126" w:type="dxa"/>
        <w:tblLayout w:type="fixed"/>
        <w:tblCellMar>
          <w:top w:w="0" w:type="dxa"/>
          <w:left w:w="0" w:type="dxa"/>
          <w:bottom w:w="0" w:type="dxa"/>
          <w:right w:w="0" w:type="dxa"/>
        </w:tblCellMar>
        <w:tblLook w:val="01E0"/>
      </w:tblPr>
      <w:tblGrid>
        <w:gridCol w:w="3908"/>
        <w:gridCol w:w="4707"/>
      </w:tblGrid>
      <w:tr>
        <w:trPr>
          <w:trHeight w:val="34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Times New Roman" w:hAnsi="Times New Roman" w:cs="Times New Roman" w:eastAsia="Times New Roman" w:hint="default"/>
                <w:sz w:val="18"/>
                <w:szCs w:val="18"/>
              </w:rPr>
              <w:t>100</w:t>
            </w:r>
            <w:r>
              <w:rPr>
                <w:rFonts w:ascii="宋体" w:hAnsi="宋体" w:cs="宋体" w:eastAsia="宋体" w:hint="default"/>
                <w:sz w:val="18"/>
                <w:szCs w:val="18"/>
              </w:rPr>
              <w:t>万元的应收款项视为重大应收款项</w:t>
            </w: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r>
    </w:tbl>
    <w:p>
      <w:pPr>
        <w:spacing w:line="240" w:lineRule="auto" w:before="10"/>
        <w:rPr>
          <w:rFonts w:ascii="宋体" w:hAnsi="宋体" w:cs="宋体" w:eastAsia="宋体" w:hint="default"/>
          <w:sz w:val="15"/>
          <w:szCs w:val="15"/>
        </w:rPr>
      </w:pPr>
    </w:p>
    <w:p>
      <w:pPr>
        <w:pStyle w:val="BodyText"/>
        <w:spacing w:line="240" w:lineRule="auto" w:before="44"/>
        <w:ind w:left="1575" w:right="821"/>
        <w:jc w:val="left"/>
      </w:pPr>
      <w:r>
        <w:rPr/>
        <w:t>（</w:t>
      </w:r>
      <w:r>
        <w:rPr>
          <w:rFonts w:ascii="Times New Roman" w:hAnsi="Times New Roman" w:cs="Times New Roman" w:eastAsia="Times New Roman" w:hint="default"/>
        </w:rPr>
        <w:t>2</w:t>
      </w:r>
      <w:r>
        <w:rPr/>
        <w:t>）按组合计提坏账准备应收款项</w:t>
      </w:r>
    </w:p>
    <w:p>
      <w:pPr>
        <w:spacing w:line="240" w:lineRule="auto" w:before="5"/>
        <w:rPr>
          <w:rFonts w:ascii="宋体" w:hAnsi="宋体" w:cs="宋体" w:eastAsia="宋体" w:hint="default"/>
          <w:sz w:val="22"/>
          <w:szCs w:val="22"/>
        </w:rPr>
      </w:pPr>
    </w:p>
    <w:tbl>
      <w:tblPr>
        <w:tblW w:w="0" w:type="auto"/>
        <w:jc w:val="left"/>
        <w:tblInd w:w="1126" w:type="dxa"/>
        <w:tblLayout w:type="fixed"/>
        <w:tblCellMar>
          <w:top w:w="0" w:type="dxa"/>
          <w:left w:w="0" w:type="dxa"/>
          <w:bottom w:w="0" w:type="dxa"/>
          <w:right w:w="0" w:type="dxa"/>
        </w:tblCellMar>
        <w:tblLook w:val="01E0"/>
      </w:tblPr>
      <w:tblGrid>
        <w:gridCol w:w="3829"/>
        <w:gridCol w:w="4678"/>
      </w:tblGrid>
      <w:tr>
        <w:trPr>
          <w:trHeight w:val="347" w:hRule="exact"/>
        </w:trPr>
        <w:tc>
          <w:tcPr>
            <w:tcW w:w="85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以应收款项的账龄为信用风险特征划分组合</w:t>
            </w:r>
          </w:p>
        </w:tc>
      </w:tr>
      <w:tr>
        <w:trPr>
          <w:trHeight w:val="3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以关联方往来款划分组合</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6" w:type="dxa"/>
        <w:tblLayout w:type="fixed"/>
        <w:tblCellMar>
          <w:top w:w="0" w:type="dxa"/>
          <w:left w:w="0" w:type="dxa"/>
          <w:bottom w:w="0" w:type="dxa"/>
          <w:right w:w="0" w:type="dxa"/>
        </w:tblCellMar>
        <w:tblLook w:val="01E0"/>
      </w:tblPr>
      <w:tblGrid>
        <w:gridCol w:w="3829"/>
        <w:gridCol w:w="4678"/>
      </w:tblGrid>
      <w:tr>
        <w:trPr>
          <w:trHeight w:val="347" w:hRule="exact"/>
        </w:trPr>
        <w:tc>
          <w:tcPr>
            <w:tcW w:w="85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3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w:t>
            </w:r>
          </w:p>
        </w:tc>
      </w:tr>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与交易对象关系</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其他方法计提坏账准备</w:t>
            </w:r>
          </w:p>
        </w:tc>
      </w:tr>
    </w:tbl>
    <w:p>
      <w:pPr>
        <w:spacing w:line="240" w:lineRule="auto" w:before="10"/>
        <w:rPr>
          <w:rFonts w:ascii="宋体" w:hAnsi="宋体" w:cs="宋体" w:eastAsia="宋体" w:hint="default"/>
          <w:sz w:val="15"/>
          <w:szCs w:val="15"/>
        </w:rPr>
      </w:pPr>
    </w:p>
    <w:p>
      <w:pPr>
        <w:pStyle w:val="BodyText"/>
        <w:spacing w:line="240" w:lineRule="auto" w:before="44"/>
        <w:ind w:left="1575" w:right="821"/>
        <w:jc w:val="left"/>
      </w:pPr>
      <w:r>
        <w:rPr>
          <w:rFonts w:ascii="Times New Roman" w:hAnsi="Times New Roman" w:cs="Times New Roman" w:eastAsia="Times New Roman" w:hint="default"/>
        </w:rPr>
        <w:t>1</w:t>
      </w:r>
      <w:r>
        <w:rPr/>
        <w:t>）采用账龄分析法的应收款项坏账准备计提比例如下：</w:t>
      </w:r>
    </w:p>
    <w:p>
      <w:pPr>
        <w:spacing w:line="240" w:lineRule="auto" w:before="4"/>
        <w:rPr>
          <w:rFonts w:ascii="宋体" w:hAnsi="宋体" w:cs="宋体" w:eastAsia="宋体" w:hint="default"/>
          <w:sz w:val="22"/>
          <w:szCs w:val="22"/>
        </w:rPr>
      </w:pPr>
    </w:p>
    <w:tbl>
      <w:tblPr>
        <w:tblW w:w="0" w:type="auto"/>
        <w:jc w:val="left"/>
        <w:tblInd w:w="1126" w:type="dxa"/>
        <w:tblLayout w:type="fixed"/>
        <w:tblCellMar>
          <w:top w:w="0" w:type="dxa"/>
          <w:left w:w="0" w:type="dxa"/>
          <w:bottom w:w="0" w:type="dxa"/>
          <w:right w:w="0" w:type="dxa"/>
        </w:tblCellMar>
        <w:tblLook w:val="01E0"/>
      </w:tblPr>
      <w:tblGrid>
        <w:gridCol w:w="2524"/>
        <w:gridCol w:w="3110"/>
        <w:gridCol w:w="2856"/>
      </w:tblGrid>
      <w:tr>
        <w:trPr>
          <w:trHeight w:val="347" w:hRule="exact"/>
        </w:trPr>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r>
              <w:rPr>
                <w:rFonts w:ascii="宋体" w:hAnsi="宋体" w:cs="宋体" w:eastAsia="宋体" w:hint="default"/>
                <w:sz w:val="18"/>
                <w:szCs w:val="18"/>
              </w:rPr>
              <w:t>）</w:t>
            </w:r>
          </w:p>
        </w:tc>
        <w:tc>
          <w:tcPr>
            <w:tcW w:w="2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47" w:hRule="exact"/>
        </w:trPr>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3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5</w:t>
            </w:r>
          </w:p>
        </w:tc>
        <w:tc>
          <w:tcPr>
            <w:tcW w:w="2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5</w:t>
            </w:r>
          </w:p>
        </w:tc>
      </w:tr>
      <w:tr>
        <w:trPr>
          <w:trHeight w:val="347" w:hRule="exact"/>
        </w:trPr>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3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10</w:t>
            </w:r>
          </w:p>
        </w:tc>
        <w:tc>
          <w:tcPr>
            <w:tcW w:w="2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10</w:t>
            </w:r>
          </w:p>
        </w:tc>
      </w:tr>
      <w:tr>
        <w:trPr>
          <w:trHeight w:val="348" w:hRule="exact"/>
        </w:trPr>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3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w:t>
            </w:r>
          </w:p>
        </w:tc>
        <w:tc>
          <w:tcPr>
            <w:tcW w:w="2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w:t>
            </w:r>
          </w:p>
        </w:tc>
      </w:tr>
      <w:tr>
        <w:trPr>
          <w:trHeight w:val="347" w:hRule="exact"/>
        </w:trPr>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年</w:t>
            </w:r>
          </w:p>
        </w:tc>
        <w:tc>
          <w:tcPr>
            <w:tcW w:w="3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sz w:val="18"/>
              </w:rPr>
              <w:t>50</w:t>
            </w:r>
          </w:p>
        </w:tc>
        <w:tc>
          <w:tcPr>
            <w:tcW w:w="2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50</w:t>
            </w:r>
          </w:p>
        </w:tc>
      </w:tr>
      <w:tr>
        <w:trPr>
          <w:trHeight w:val="347" w:hRule="exact"/>
        </w:trPr>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年</w:t>
            </w:r>
          </w:p>
        </w:tc>
        <w:tc>
          <w:tcPr>
            <w:tcW w:w="3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80</w:t>
            </w:r>
          </w:p>
        </w:tc>
        <w:tc>
          <w:tcPr>
            <w:tcW w:w="2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80</w:t>
            </w:r>
          </w:p>
        </w:tc>
      </w:tr>
      <w:tr>
        <w:trPr>
          <w:trHeight w:val="348" w:hRule="exact"/>
        </w:trPr>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3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100</w:t>
            </w:r>
          </w:p>
        </w:tc>
        <w:tc>
          <w:tcPr>
            <w:tcW w:w="2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100</w:t>
            </w:r>
          </w:p>
        </w:tc>
      </w:tr>
    </w:tbl>
    <w:p>
      <w:pPr>
        <w:spacing w:line="240" w:lineRule="auto" w:before="10"/>
        <w:rPr>
          <w:rFonts w:ascii="宋体" w:hAnsi="宋体" w:cs="宋体" w:eastAsia="宋体" w:hint="default"/>
          <w:sz w:val="15"/>
          <w:szCs w:val="15"/>
        </w:rPr>
      </w:pPr>
    </w:p>
    <w:p>
      <w:pPr>
        <w:pStyle w:val="BodyText"/>
        <w:spacing w:line="240" w:lineRule="auto" w:before="44"/>
        <w:ind w:left="1575" w:right="821"/>
        <w:jc w:val="left"/>
      </w:pPr>
      <w:r>
        <w:rPr>
          <w:rFonts w:ascii="Times New Roman" w:hAnsi="Times New Roman" w:cs="Times New Roman" w:eastAsia="Times New Roman" w:hint="default"/>
        </w:rPr>
        <w:t>2</w:t>
      </w:r>
      <w:r>
        <w:rPr/>
        <w:t>）采用其他方法的应收款项坏账准备计提：</w:t>
      </w:r>
    </w:p>
    <w:p>
      <w:pPr>
        <w:spacing w:line="240" w:lineRule="auto" w:before="4"/>
        <w:rPr>
          <w:rFonts w:ascii="宋体" w:hAnsi="宋体" w:cs="宋体" w:eastAsia="宋体" w:hint="default"/>
          <w:sz w:val="22"/>
          <w:szCs w:val="22"/>
        </w:rPr>
      </w:pPr>
    </w:p>
    <w:tbl>
      <w:tblPr>
        <w:tblW w:w="0" w:type="auto"/>
        <w:jc w:val="left"/>
        <w:tblInd w:w="1126" w:type="dxa"/>
        <w:tblLayout w:type="fixed"/>
        <w:tblCellMar>
          <w:top w:w="0" w:type="dxa"/>
          <w:left w:w="0" w:type="dxa"/>
          <w:bottom w:w="0" w:type="dxa"/>
          <w:right w:w="0" w:type="dxa"/>
        </w:tblCellMar>
        <w:tblLook w:val="01E0"/>
      </w:tblPr>
      <w:tblGrid>
        <w:gridCol w:w="3684"/>
        <w:gridCol w:w="4822"/>
      </w:tblGrid>
      <w:tr>
        <w:trPr>
          <w:trHeight w:val="347" w:hRule="exact"/>
        </w:trPr>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与交易对象关系</w:t>
            </w:r>
          </w:p>
        </w:tc>
        <w:tc>
          <w:tcPr>
            <w:tcW w:w="4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关联方应收款项不计提坏账准备</w:t>
            </w:r>
          </w:p>
        </w:tc>
      </w:tr>
    </w:tbl>
    <w:p>
      <w:pPr>
        <w:spacing w:line="240" w:lineRule="auto" w:before="10"/>
        <w:rPr>
          <w:rFonts w:ascii="宋体" w:hAnsi="宋体" w:cs="宋体" w:eastAsia="宋体" w:hint="default"/>
          <w:sz w:val="15"/>
          <w:szCs w:val="15"/>
        </w:rPr>
      </w:pPr>
    </w:p>
    <w:p>
      <w:pPr>
        <w:pStyle w:val="BodyText"/>
        <w:spacing w:line="240" w:lineRule="auto" w:before="44"/>
        <w:ind w:left="1575" w:right="821"/>
        <w:jc w:val="left"/>
      </w:pPr>
      <w:r>
        <w:rPr/>
        <w:t>（</w:t>
      </w:r>
      <w:r>
        <w:rPr>
          <w:rFonts w:ascii="Times New Roman" w:hAnsi="Times New Roman" w:cs="Times New Roman" w:eastAsia="Times New Roman" w:hint="default"/>
        </w:rPr>
        <w:t>3</w:t>
      </w:r>
      <w:r>
        <w:rPr/>
        <w:t>）单项金额虽不重大但单项计提坏账准备的应收款项</w:t>
      </w:r>
    </w:p>
    <w:p>
      <w:pPr>
        <w:spacing w:line="240" w:lineRule="auto" w:before="4"/>
        <w:rPr>
          <w:rFonts w:ascii="宋体" w:hAnsi="宋体" w:cs="宋体" w:eastAsia="宋体" w:hint="default"/>
          <w:sz w:val="22"/>
          <w:szCs w:val="22"/>
        </w:rPr>
      </w:pPr>
    </w:p>
    <w:tbl>
      <w:tblPr>
        <w:tblW w:w="0" w:type="auto"/>
        <w:jc w:val="left"/>
        <w:tblInd w:w="1126" w:type="dxa"/>
        <w:tblLayout w:type="fixed"/>
        <w:tblCellMar>
          <w:top w:w="0" w:type="dxa"/>
          <w:left w:w="0" w:type="dxa"/>
          <w:bottom w:w="0" w:type="dxa"/>
          <w:right w:w="0" w:type="dxa"/>
        </w:tblCellMar>
        <w:tblLook w:val="01E0"/>
      </w:tblPr>
      <w:tblGrid>
        <w:gridCol w:w="3682"/>
        <w:gridCol w:w="4825"/>
      </w:tblGrid>
      <w:tr>
        <w:trPr>
          <w:trHeight w:val="659" w:hRule="exact"/>
        </w:trPr>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8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单项金额不重大且按照组合计提坏账准备不能反映其风险特</w:t>
            </w:r>
            <w:r>
              <w:rPr>
                <w:rFonts w:ascii="宋体" w:hAnsi="宋体" w:cs="宋体" w:eastAsia="宋体" w:hint="default"/>
                <w:sz w:val="18"/>
                <w:szCs w:val="18"/>
              </w:rPr>
              <w:t> 征的应收款项</w:t>
            </w:r>
          </w:p>
        </w:tc>
      </w:tr>
      <w:tr>
        <w:trPr>
          <w:trHeight w:val="660" w:hRule="exact"/>
        </w:trPr>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8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根据其未来现金流量现值低于其账面价值的差额，计提坏账准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134" w:right="821"/>
        <w:jc w:val="left"/>
        <w:rPr>
          <w:b w:val="0"/>
          <w:bCs w:val="0"/>
        </w:rPr>
      </w:pPr>
      <w:bookmarkStart w:name="11、应收款项" w:id="171"/>
      <w:bookmarkEnd w:id="17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821"/>
        <w:jc w:val="left"/>
        <w:rPr>
          <w:b w:val="0"/>
          <w:bCs w:val="0"/>
        </w:rPr>
      </w:pPr>
      <w:bookmarkStart w:name="（1）单项金额重大并单独计提坏账准备的应收款项" w:id="172"/>
      <w:bookmarkEnd w:id="17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821"/>
        <w:jc w:val="left"/>
        <w:rPr>
          <w:b w:val="0"/>
          <w:bCs w:val="0"/>
        </w:rPr>
      </w:pPr>
      <w:bookmarkStart w:name="（2）按信用风险特征组合计提坏账准备的应收款项" w:id="173"/>
      <w:bookmarkEnd w:id="17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信用风险特征组合计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821"/>
        <w:jc w:val="left"/>
      </w:pPr>
      <w:r>
        <w:rPr/>
        <w:t>组合中，采用账龄分析法计提坏账准备的：</w:t>
      </w:r>
    </w:p>
    <w:p>
      <w:pPr>
        <w:pStyle w:val="BodyText"/>
        <w:spacing w:line="240" w:lineRule="auto" w:before="117"/>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821"/>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21"/>
        <w:jc w:val="left"/>
        <w:rPr>
          <w:b w:val="0"/>
          <w:bCs w:val="0"/>
        </w:rPr>
      </w:pPr>
      <w:bookmarkStart w:name="（3）单项金额不重大但单独计提坏账准备的应收款项" w:id="174"/>
      <w:bookmarkEnd w:id="17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both"/>
        <w:rPr>
          <w:b w:val="0"/>
          <w:bCs w:val="0"/>
        </w:rPr>
      </w:pPr>
      <w:bookmarkStart w:name="12、存货" w:id="175"/>
      <w:bookmarkEnd w:id="175"/>
      <w:r>
        <w:rPr>
          <w:b w:val="0"/>
          <w:bCs w:val="0"/>
        </w:rPr>
      </w:r>
      <w:r>
        <w:rPr>
          <w:rFonts w:ascii="Times New Roman" w:hAnsi="Times New Roman" w:cs="Times New Roman" w:eastAsia="Times New Roman" w:hint="default"/>
        </w:rPr>
        <w:t>12</w:t>
      </w:r>
      <w:r>
        <w:rPr/>
        <w:t>、存货</w:t>
      </w:r>
      <w:r>
        <w:rPr>
          <w:b w:val="0"/>
          <w:bCs w:val="0"/>
        </w:rPr>
      </w:r>
    </w:p>
    <w:p>
      <w:pPr>
        <w:pStyle w:val="BodyText"/>
        <w:spacing w:line="550" w:lineRule="atLeast" w:before="32"/>
        <w:ind w:left="1494" w:right="821"/>
        <w:jc w:val="left"/>
      </w:pPr>
      <w:r>
        <w:rPr/>
        <w:t>本集团存货主要包括原材料、在产品、产成品和发出商品等。 </w:t>
      </w:r>
      <w:r>
        <w:rPr>
          <w:spacing w:val="-2"/>
        </w:rPr>
        <w:t>存货实行永续盘存制，存货在取得时按实际成本计价；领用或发出存货，采用加权平均法确定其实际成本。低值易耗品</w:t>
      </w:r>
    </w:p>
    <w:p>
      <w:pPr>
        <w:pStyle w:val="BodyText"/>
        <w:spacing w:line="240" w:lineRule="auto" w:before="77"/>
        <w:ind w:left="1134" w:right="0"/>
        <w:jc w:val="both"/>
      </w:pPr>
      <w:r>
        <w:rPr/>
        <w:t>采用五五摊销法进行摊销，包装物采用一次摊销法摊销。</w:t>
      </w:r>
    </w:p>
    <w:p>
      <w:pPr>
        <w:spacing w:line="240" w:lineRule="auto" w:before="2"/>
        <w:rPr>
          <w:rFonts w:ascii="宋体" w:hAnsi="宋体" w:cs="宋体" w:eastAsia="宋体" w:hint="default"/>
          <w:sz w:val="24"/>
          <w:szCs w:val="24"/>
        </w:rPr>
      </w:pPr>
    </w:p>
    <w:p>
      <w:pPr>
        <w:pStyle w:val="BodyText"/>
        <w:spacing w:line="316" w:lineRule="auto"/>
        <w:ind w:left="1134" w:right="1032" w:firstLine="360"/>
        <w:jc w:val="left"/>
      </w:pPr>
      <w:r>
        <w:rPr/>
        <w:t>期末存货按成本与可变现净值孰低原则计价，对于存货因遭受毁损、全部或部分陈旧过时或销售价格低于成本等原因， </w:t>
      </w:r>
      <w:r>
        <w:rPr>
          <w:spacing w:val="-2"/>
        </w:rPr>
        <w:t>预计其成本不可收回的部分，提取存货跌价准备。库存商品及大宗原材料的存货跌价准备按单个存货项目的成本高于其可变</w:t>
      </w:r>
      <w:r>
        <w:rPr>
          <w:spacing w:val="-64"/>
        </w:rPr>
        <w:t> </w:t>
      </w:r>
      <w:r>
        <w:rPr>
          <w:spacing w:val="-64"/>
        </w:rPr>
      </w:r>
      <w:r>
        <w:rPr/>
        <w:t>现净值的差额提取；其他数量繁多、单价较低的原辅材料按类别提取存货跌价准备。</w:t>
      </w:r>
    </w:p>
    <w:p>
      <w:pPr>
        <w:spacing w:line="240" w:lineRule="auto" w:before="10"/>
        <w:rPr>
          <w:rFonts w:ascii="宋体" w:hAnsi="宋体" w:cs="宋体" w:eastAsia="宋体" w:hint="default"/>
          <w:sz w:val="19"/>
          <w:szCs w:val="19"/>
        </w:rPr>
      </w:pPr>
    </w:p>
    <w:p>
      <w:pPr>
        <w:pStyle w:val="BodyText"/>
        <w:spacing w:line="316" w:lineRule="auto"/>
        <w:ind w:right="1130" w:firstLine="360"/>
        <w:jc w:val="both"/>
      </w:pPr>
      <w:r>
        <w:rPr>
          <w:spacing w:val="-2"/>
        </w:rPr>
        <w:t>库存商品、在产品和用于出售的材料等直接用于出售的商品存货，其可变现净值按该存货的估计售价减去估计的销售费</w:t>
      </w:r>
      <w:r>
        <w:rPr/>
        <w:t> </w:t>
      </w:r>
      <w:r>
        <w:rPr>
          <w:spacing w:val="-2"/>
        </w:rPr>
        <w:t>用和相关税费后的金额确定；用于生产而持有的材料存货，其可变现净值按所生产的产成品的估计售价减去至完工时估计将</w:t>
      </w:r>
      <w:r>
        <w:rPr>
          <w:spacing w:val="-64"/>
        </w:rPr>
        <w:t> </w:t>
      </w:r>
      <w:r>
        <w:rPr>
          <w:spacing w:val="-64"/>
        </w:rPr>
      </w:r>
      <w:r>
        <w:rPr/>
        <w:t>要发生的成本、估计的销售费用和相关税费后的金额确定。</w:t>
      </w:r>
    </w:p>
    <w:p>
      <w:pPr>
        <w:spacing w:line="240" w:lineRule="auto" w:before="7"/>
        <w:rPr>
          <w:rFonts w:ascii="宋体" w:hAnsi="宋体" w:cs="宋体" w:eastAsia="宋体" w:hint="default"/>
          <w:sz w:val="22"/>
          <w:szCs w:val="22"/>
        </w:rPr>
      </w:pPr>
    </w:p>
    <w:p>
      <w:pPr>
        <w:pStyle w:val="Heading3"/>
        <w:spacing w:line="240" w:lineRule="auto"/>
        <w:ind w:left="1134" w:right="0"/>
        <w:jc w:val="both"/>
        <w:rPr>
          <w:b w:val="0"/>
          <w:bCs w:val="0"/>
        </w:rPr>
      </w:pPr>
      <w:bookmarkStart w:name="13、划分为持有待售资产" w:id="176"/>
      <w:bookmarkEnd w:id="176"/>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14、长期股权投资" w:id="177"/>
      <w:bookmarkEnd w:id="177"/>
      <w:r>
        <w:rPr>
          <w:b w:val="0"/>
          <w:bCs w:val="0"/>
        </w:rPr>
      </w:r>
      <w:r>
        <w:rPr>
          <w:rFonts w:ascii="Times New Roman" w:hAnsi="Times New Roman" w:cs="Times New Roman" w:eastAsia="Times New Roman" w:hint="default"/>
        </w:rPr>
        <w:t>14</w:t>
      </w:r>
      <w:r>
        <w:rPr/>
        <w:t>、长期股权投资</w:t>
      </w:r>
      <w:r>
        <w:rPr>
          <w:b w:val="0"/>
          <w:bCs w:val="0"/>
        </w:rPr>
      </w:r>
    </w:p>
    <w:p>
      <w:pPr>
        <w:pStyle w:val="BodyText"/>
        <w:spacing w:line="410" w:lineRule="atLeast" w:before="172"/>
        <w:ind w:left="1480" w:right="821" w:firstLine="13"/>
        <w:jc w:val="left"/>
      </w:pPr>
      <w:r>
        <w:rPr/>
        <w:t>本集团长期股权投资全部是对子公司的投资。 </w:t>
      </w:r>
      <w:r>
        <w:rPr>
          <w:spacing w:val="-2"/>
        </w:rPr>
        <w:t>对被投资单位形成控制的，为本集团的子公司。通过同一控制下的企业合并取得的长期股权投资，在合并日按照取得被</w:t>
      </w:r>
    </w:p>
    <w:p>
      <w:pPr>
        <w:pStyle w:val="BodyText"/>
        <w:spacing w:line="319" w:lineRule="auto" w:before="76"/>
        <w:ind w:left="1134" w:right="1131"/>
        <w:jc w:val="both"/>
      </w:pPr>
      <w:r>
        <w:rPr>
          <w:spacing w:val="-2"/>
        </w:rPr>
        <w:t>合并方在最终控制方合并报表中净资产的账面价值的份额作为长期股权投资的初始投资成本。被合并方在合并日的净资产账</w:t>
      </w:r>
      <w:r>
        <w:rPr>
          <w:spacing w:val="-64"/>
        </w:rPr>
        <w:t> </w:t>
      </w:r>
      <w:r>
        <w:rPr>
          <w:spacing w:val="-64"/>
        </w:rPr>
      </w:r>
      <w:r>
        <w:rPr>
          <w:spacing w:val="-2"/>
        </w:rPr>
        <w:t>面价值为负数的，长期股权投资成本按零确定。通过非同一控制下的企业合并取得的长期股权投资，以合并成本作为初始投</w:t>
      </w:r>
      <w:r>
        <w:rPr>
          <w:spacing w:val="-66"/>
        </w:rPr>
        <w:t> </w:t>
      </w:r>
      <w:r>
        <w:rPr>
          <w:spacing w:val="-66"/>
        </w:rPr>
      </w:r>
      <w:r>
        <w:rPr/>
        <w:t>资成本。</w:t>
      </w:r>
    </w:p>
    <w:p>
      <w:pPr>
        <w:pStyle w:val="BodyText"/>
        <w:spacing w:line="316" w:lineRule="auto" w:before="118"/>
        <w:ind w:left="1134" w:right="821" w:firstLine="355"/>
        <w:jc w:val="left"/>
      </w:pPr>
      <w:r>
        <w:rPr>
          <w:spacing w:val="-4"/>
        </w:rPr>
        <w:t>除上述通过企业合并取得的长期股权投资外，以支付现金取得的长期股权投资，按照实际支付的购买价款作为投资成本；</w:t>
      </w:r>
      <w:r>
        <w:rPr/>
        <w:t> </w:t>
      </w:r>
      <w:r>
        <w:rPr>
          <w:spacing w:val="-2"/>
        </w:rPr>
        <w:t>以发行权益性证券取得的长期股权投资，按照发行权益性证券的公允价值作为投资成本；投资者投入的长期股权投资，按照</w:t>
      </w:r>
    </w:p>
    <w:p>
      <w:pPr>
        <w:spacing w:after="0" w:line="316"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420" w:lineRule="auto" w:before="44"/>
        <w:ind w:left="1480" w:right="7333" w:hanging="347"/>
        <w:jc w:val="left"/>
      </w:pPr>
      <w:r>
        <w:rPr/>
        <w:t>投资合同或协议约定的价值作为投资成本； 本集团对子公司投资采用成本法核算。</w:t>
      </w:r>
    </w:p>
    <w:p>
      <w:pPr>
        <w:spacing w:line="240" w:lineRule="auto" w:before="10"/>
        <w:rPr>
          <w:rFonts w:ascii="宋体" w:hAnsi="宋体" w:cs="宋体" w:eastAsia="宋体" w:hint="default"/>
          <w:sz w:val="13"/>
          <w:szCs w:val="13"/>
        </w:rPr>
      </w:pPr>
    </w:p>
    <w:p>
      <w:pPr>
        <w:pStyle w:val="BodyText"/>
        <w:spacing w:line="319" w:lineRule="auto"/>
        <w:ind w:right="821" w:firstLine="360"/>
        <w:jc w:val="left"/>
      </w:pPr>
      <w:r>
        <w:rPr>
          <w:spacing w:val="-2"/>
        </w:rPr>
        <w:t>后续计量采用成本法核算的长期股权投资，在追加投资时，按照追加投资支付的成本额公允价值及发生的相关交易费用</w:t>
      </w:r>
      <w:r>
        <w:rPr/>
        <w:t> 增加长期股权投资成本的账面价值。被投资单位宣告分派的现金股利或利润，按照应享有的金额确认为当期投资收益。 处置长期股权投资，其账面价值与实际取得价款的差额，计入当期投资收益。</w:t>
      </w:r>
    </w:p>
    <w:p>
      <w:pPr>
        <w:spacing w:line="240" w:lineRule="auto" w:before="5"/>
        <w:rPr>
          <w:rFonts w:ascii="宋体" w:hAnsi="宋体" w:cs="宋体" w:eastAsia="宋体" w:hint="default"/>
          <w:sz w:val="22"/>
          <w:szCs w:val="22"/>
        </w:rPr>
      </w:pPr>
    </w:p>
    <w:p>
      <w:pPr>
        <w:pStyle w:val="Heading3"/>
        <w:spacing w:line="240" w:lineRule="auto"/>
        <w:ind w:right="821"/>
        <w:jc w:val="left"/>
        <w:rPr>
          <w:b w:val="0"/>
          <w:bCs w:val="0"/>
        </w:rPr>
      </w:pPr>
      <w:bookmarkStart w:name="15、投资性房地产" w:id="178"/>
      <w:bookmarkEnd w:id="17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821"/>
        <w:jc w:val="left"/>
      </w:pPr>
      <w:r>
        <w:rPr/>
        <w:t>不适用</w:t>
      </w:r>
    </w:p>
    <w:p>
      <w:pPr>
        <w:spacing w:line="240" w:lineRule="auto" w:before="11"/>
        <w:rPr>
          <w:rFonts w:ascii="宋体" w:hAnsi="宋体" w:cs="宋体" w:eastAsia="宋体" w:hint="default"/>
          <w:sz w:val="26"/>
          <w:szCs w:val="26"/>
        </w:rPr>
      </w:pPr>
    </w:p>
    <w:p>
      <w:pPr>
        <w:pStyle w:val="Heading3"/>
        <w:spacing w:line="240" w:lineRule="auto"/>
        <w:ind w:left="1134" w:right="821"/>
        <w:jc w:val="left"/>
        <w:rPr>
          <w:b w:val="0"/>
          <w:bCs w:val="0"/>
        </w:rPr>
      </w:pPr>
      <w:bookmarkStart w:name="16、固定资产" w:id="179"/>
      <w:bookmarkEnd w:id="17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821"/>
        <w:jc w:val="left"/>
        <w:rPr>
          <w:b w:val="0"/>
          <w:bCs w:val="0"/>
        </w:rPr>
      </w:pPr>
      <w:bookmarkStart w:name="（1）确认条件" w:id="180"/>
      <w:bookmarkEnd w:id="18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33" w:firstLine="360"/>
        <w:jc w:val="both"/>
      </w:pPr>
      <w:r>
        <w:rPr>
          <w:spacing w:val="-2"/>
        </w:rPr>
        <w:t>本集团固定资产是指同时具有以下特征：即为生产商品、提供劳务、出租（不包括出租的房屋及建筑物）或经营管理而</w:t>
      </w:r>
      <w:r>
        <w:rPr/>
        <w:t> </w:t>
      </w:r>
      <w:r>
        <w:rPr>
          <w:spacing w:val="-2"/>
        </w:rPr>
        <w:t>持有，使用期限超过一年的有形资产；同时与该固定资产有关的经济利益很可能流入公司，该固定资产的成本能够可靠地计</w:t>
      </w:r>
      <w:r>
        <w:rPr>
          <w:spacing w:val="-66"/>
        </w:rPr>
        <w:t> </w:t>
      </w:r>
      <w:r>
        <w:rPr>
          <w:spacing w:val="-66"/>
        </w:rPr>
      </w:r>
      <w:r>
        <w:rPr/>
        <w:t>量。</w:t>
      </w:r>
    </w:p>
    <w:p>
      <w:pPr>
        <w:pStyle w:val="BodyText"/>
        <w:spacing w:line="319" w:lineRule="auto" w:before="55"/>
        <w:ind w:left="1134" w:right="1032" w:firstLine="360"/>
        <w:jc w:val="left"/>
      </w:pPr>
      <w:r>
        <w:rPr>
          <w:spacing w:val="-2"/>
        </w:rPr>
        <w:t>固定资产包括房屋建筑物、机器设备、运输设备、办公设备及其他，按其取得时的成本作为入账的价值，其中，外购的</w:t>
      </w:r>
      <w:r>
        <w:rPr/>
        <w:t> </w:t>
      </w:r>
      <w:r>
        <w:rPr>
          <w:spacing w:val="-2"/>
        </w:rPr>
        <w:t>固定资产成本包括买价和进口关税等相关税费，以及为使固定资产达到预定可使用状态前所发生的可直接归属于该资产的其</w:t>
      </w:r>
      <w:r>
        <w:rPr>
          <w:spacing w:val="-64"/>
        </w:rPr>
        <w:t> </w:t>
      </w:r>
      <w:r>
        <w:rPr>
          <w:spacing w:val="-64"/>
        </w:rPr>
      </w:r>
      <w:r>
        <w:rPr>
          <w:spacing w:val="-4"/>
        </w:rPr>
        <w:t>他支出；自行建造固定资产的成本，由建造该项资产达到预定可使用状态前所发生的必要支出构成；投资者投入的固定资产，</w:t>
      </w:r>
      <w:r>
        <w:rPr>
          <w:spacing w:val="-44"/>
        </w:rPr>
        <w:t> </w:t>
      </w:r>
      <w:r>
        <w:rPr>
          <w:spacing w:val="-44"/>
        </w:rPr>
      </w:r>
      <w:r>
        <w:rPr/>
        <w:t>按投资合同或协议约定的价值作为入账价值，但合同或协议约定价值不公允的按公允价值入账；融资租赁租入的固定资产， 按租赁开始日租赁资产公允价值与最低租赁付款额现值两者中较低者作为入账价值。</w:t>
      </w:r>
    </w:p>
    <w:p>
      <w:pPr>
        <w:pStyle w:val="BodyText"/>
        <w:spacing w:line="319" w:lineRule="auto" w:before="55"/>
        <w:ind w:right="821" w:firstLine="360"/>
        <w:jc w:val="left"/>
      </w:pPr>
      <w:r>
        <w:rPr>
          <w:spacing w:val="-2"/>
        </w:rPr>
        <w:t>与固定资产有关的后续支出，包括修理支出、更新改造支出等，符合固定资产确认条件的，计入固定资产成本，对于被</w:t>
      </w:r>
      <w:r>
        <w:rPr/>
        <w:t> 替换的部分，终止确认其账面价值；不符合固定资产确认条件的，于发生时计入当期损益。</w:t>
      </w:r>
    </w:p>
    <w:p>
      <w:pPr>
        <w:pStyle w:val="BodyText"/>
        <w:spacing w:line="319" w:lineRule="auto" w:before="56"/>
        <w:ind w:right="821" w:firstLine="360"/>
        <w:jc w:val="left"/>
      </w:pPr>
      <w:r>
        <w:rPr>
          <w:spacing w:val="-2"/>
        </w:rPr>
        <w:t>除已提足折旧仍继续使用的固定资产外，本集团对所有固定资产计提折旧。计提折旧时采用平均年限法，并根据用途分</w:t>
      </w:r>
      <w:r>
        <w:rPr/>
        <w:t> 别计入相关资产的成本或当期费用。</w:t>
      </w:r>
    </w:p>
    <w:p>
      <w:pPr>
        <w:pStyle w:val="BodyText"/>
        <w:spacing w:line="319" w:lineRule="auto" w:before="55"/>
        <w:ind w:right="821" w:firstLine="360"/>
        <w:jc w:val="left"/>
      </w:pPr>
      <w:r>
        <w:rPr>
          <w:spacing w:val="-2"/>
        </w:rPr>
        <w:t>本集团于每年年度终了，对固定资产的预计使用寿命、预计净残值和折旧方法进行复核，如发生改变，则作为会计估计</w:t>
      </w:r>
      <w:r>
        <w:rPr/>
        <w:t> 变更处理。</w:t>
      </w:r>
    </w:p>
    <w:p>
      <w:pPr>
        <w:pStyle w:val="BodyText"/>
        <w:spacing w:line="319" w:lineRule="auto" w:before="55"/>
        <w:ind w:right="821" w:firstLine="360"/>
        <w:jc w:val="left"/>
      </w:pPr>
      <w:r>
        <w:rPr>
          <w:spacing w:val="-2"/>
        </w:rPr>
        <w:t>当固定资产被处置、或者预期通过使用或处置不能产生经济利益时，终止确认该固定资产。固定资产出售、转让、报废</w:t>
      </w:r>
      <w:r>
        <w:rPr/>
        <w:t> 或毁损的处置收入扣除其账面价值和相关税费后的金额计入当期损益。</w:t>
      </w:r>
    </w:p>
    <w:p>
      <w:pPr>
        <w:spacing w:line="240" w:lineRule="auto" w:before="4"/>
        <w:rPr>
          <w:rFonts w:ascii="宋体" w:hAnsi="宋体" w:cs="宋体" w:eastAsia="宋体" w:hint="default"/>
          <w:sz w:val="22"/>
          <w:szCs w:val="22"/>
        </w:rPr>
      </w:pPr>
    </w:p>
    <w:p>
      <w:pPr>
        <w:pStyle w:val="Heading3"/>
        <w:spacing w:line="240" w:lineRule="auto"/>
        <w:ind w:right="821"/>
        <w:jc w:val="left"/>
        <w:rPr>
          <w:b w:val="0"/>
          <w:bCs w:val="0"/>
        </w:rPr>
      </w:pPr>
      <w:bookmarkStart w:name="（2）折旧方法" w:id="181"/>
      <w:bookmarkEnd w:id="18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11.88</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19-31.67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821"/>
        <w:jc w:val="left"/>
        <w:rPr>
          <w:b w:val="0"/>
          <w:bCs w:val="0"/>
        </w:rPr>
      </w:pPr>
      <w:bookmarkStart w:name="（3）融资租入固定资产的认定依据、计价和折旧方法" w:id="182"/>
      <w:bookmarkEnd w:id="18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0"/>
        <w:rPr>
          <w:rFonts w:ascii="宋体" w:hAnsi="宋体" w:cs="宋体" w:eastAsia="宋体" w:hint="default"/>
          <w:sz w:val="26"/>
          <w:szCs w:val="26"/>
        </w:rPr>
      </w:pPr>
    </w:p>
    <w:p>
      <w:pPr>
        <w:pStyle w:val="Heading3"/>
        <w:spacing w:line="240" w:lineRule="auto"/>
        <w:ind w:left="903" w:right="9276"/>
        <w:jc w:val="center"/>
        <w:rPr>
          <w:b w:val="0"/>
          <w:bCs w:val="0"/>
        </w:rPr>
      </w:pPr>
      <w:bookmarkStart w:name="17、在建工程" w:id="183"/>
      <w:bookmarkEnd w:id="18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134" w:right="1131" w:firstLine="360"/>
        <w:jc w:val="both"/>
      </w:pPr>
      <w:r>
        <w:rPr>
          <w:spacing w:val="-2"/>
        </w:rPr>
        <w:t>在建工程按实际发生的成本计量。自营工程按直接材料、直接工资、直接施工费等计量；出包工程按应支付的工程价款</w:t>
      </w:r>
      <w:r>
        <w:rPr/>
        <w:t> </w:t>
      </w:r>
      <w:r>
        <w:rPr>
          <w:spacing w:val="-2"/>
        </w:rPr>
        <w:t>等计量；设备安装工程按所安装设备的价值、安装费用、工程试运转等所发生的支出等确定工程成本。在建工程成本还包括</w:t>
      </w:r>
      <w:r>
        <w:rPr>
          <w:spacing w:val="-66"/>
        </w:rPr>
        <w:t> </w:t>
      </w:r>
      <w:r>
        <w:rPr>
          <w:spacing w:val="-66"/>
        </w:rPr>
      </w:r>
      <w:r>
        <w:rPr/>
        <w:t>应当资本化的借款费用和汇兑损益。</w:t>
      </w:r>
    </w:p>
    <w:p>
      <w:pPr>
        <w:spacing w:line="240" w:lineRule="auto" w:before="10"/>
        <w:rPr>
          <w:rFonts w:ascii="宋体" w:hAnsi="宋体" w:cs="宋体" w:eastAsia="宋体" w:hint="default"/>
          <w:sz w:val="19"/>
          <w:szCs w:val="19"/>
        </w:rPr>
      </w:pPr>
    </w:p>
    <w:p>
      <w:pPr>
        <w:pStyle w:val="BodyText"/>
        <w:spacing w:line="316" w:lineRule="auto"/>
        <w:ind w:left="1134" w:right="1131" w:firstLine="360"/>
        <w:jc w:val="both"/>
      </w:pPr>
      <w:r>
        <w:rPr>
          <w:spacing w:val="-2"/>
        </w:rPr>
        <w:t>在建工程在达到预定可使用状态之日起，根据工程预算、造价或工程实际成本等，按估计的价值结转固定资产，次月起</w:t>
      </w:r>
      <w:r>
        <w:rPr/>
        <w:t> 开始计提折旧，待办理了竣工决算手续后再对固定资产原值差异作调整。</w:t>
      </w:r>
    </w:p>
    <w:p>
      <w:pPr>
        <w:spacing w:line="240" w:lineRule="auto" w:before="7"/>
        <w:rPr>
          <w:rFonts w:ascii="宋体" w:hAnsi="宋体" w:cs="宋体" w:eastAsia="宋体" w:hint="default"/>
          <w:sz w:val="22"/>
          <w:szCs w:val="22"/>
        </w:rPr>
      </w:pPr>
    </w:p>
    <w:p>
      <w:pPr>
        <w:pStyle w:val="Heading3"/>
        <w:spacing w:line="240" w:lineRule="auto"/>
        <w:ind w:left="903" w:right="9276"/>
        <w:jc w:val="center"/>
        <w:rPr>
          <w:b w:val="0"/>
          <w:bCs w:val="0"/>
        </w:rPr>
      </w:pPr>
      <w:bookmarkStart w:name="18、借款费用" w:id="184"/>
      <w:bookmarkEnd w:id="18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32" w:firstLine="360"/>
        <w:jc w:val="left"/>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t>所必要的购建或生产活动已经开始时，开始资本化；当购建或生产符合资本化条件的资产达到预定可使用或可销售状态时， 停止资本化。其余借款费用在发生当期确认为费用。</w:t>
      </w:r>
    </w:p>
    <w:p>
      <w:pPr>
        <w:spacing w:line="240" w:lineRule="auto" w:before="10"/>
        <w:rPr>
          <w:rFonts w:ascii="宋体" w:hAnsi="宋体" w:cs="宋体" w:eastAsia="宋体" w:hint="default"/>
          <w:sz w:val="19"/>
          <w:szCs w:val="19"/>
        </w:rPr>
      </w:pPr>
    </w:p>
    <w:p>
      <w:pPr>
        <w:pStyle w:val="BodyText"/>
        <w:spacing w:line="316" w:lineRule="auto"/>
        <w:ind w:left="1134" w:right="1131" w:firstLine="360"/>
        <w:jc w:val="both"/>
      </w:pPr>
      <w:r>
        <w:rPr>
          <w:spacing w:val="-2"/>
        </w:rPr>
        <w:t>专门借款当期实际发生的利息费用，扣除尚未动用的借款资金存入银行取得的利息收入或进行暂时性投资取得的投资收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益后的金额予以资本化；一般借款根据累计资产支出超过专门借款部分的资产支出加权平均数乘以所占用一般借款的加权平</w:t>
      </w:r>
      <w:r>
        <w:rPr>
          <w:spacing w:val="-64"/>
        </w:rPr>
        <w:t> </w:t>
      </w:r>
      <w:r>
        <w:rPr>
          <w:spacing w:val="-64"/>
        </w:rPr>
      </w:r>
      <w:r>
        <w:rPr/>
        <w:t>均利率，确定资本化金额。</w:t>
      </w:r>
    </w:p>
    <w:p>
      <w:pPr>
        <w:spacing w:line="240" w:lineRule="auto" w:before="11"/>
        <w:rPr>
          <w:rFonts w:ascii="宋体" w:hAnsi="宋体" w:cs="宋体" w:eastAsia="宋体" w:hint="default"/>
          <w:sz w:val="19"/>
          <w:szCs w:val="19"/>
        </w:rPr>
      </w:pPr>
    </w:p>
    <w:p>
      <w:pPr>
        <w:pStyle w:val="BodyText"/>
        <w:spacing w:line="300" w:lineRule="auto"/>
        <w:ind w:left="1134" w:right="1130" w:firstLine="360"/>
        <w:jc w:val="both"/>
      </w:pPr>
      <w:r>
        <w:rPr/>
        <w:t>符合资本化条件的资产，是指需要经过相当长时间（通常指</w:t>
      </w:r>
      <w:r>
        <w:rPr>
          <w:rFonts w:ascii="Times New Roman" w:hAnsi="Times New Roman" w:cs="Times New Roman" w:eastAsia="Times New Roman" w:hint="default"/>
        </w:rPr>
        <w:t>1</w:t>
      </w:r>
      <w:r>
        <w:rPr/>
        <w:t>年以上）的购建或者生产活动才能达到预定可使用或者可 销售状态的固定资产、投资性房地产和存货等资产。</w:t>
      </w:r>
    </w:p>
    <w:p>
      <w:pPr>
        <w:spacing w:line="240" w:lineRule="auto" w:before="10"/>
        <w:rPr>
          <w:rFonts w:ascii="宋体" w:hAnsi="宋体" w:cs="宋体" w:eastAsia="宋体" w:hint="default"/>
          <w:sz w:val="20"/>
          <w:szCs w:val="20"/>
        </w:rPr>
      </w:pPr>
    </w:p>
    <w:p>
      <w:pPr>
        <w:pStyle w:val="BodyText"/>
        <w:spacing w:line="300" w:lineRule="auto"/>
        <w:ind w:right="1129" w:firstLine="360"/>
        <w:jc w:val="both"/>
      </w:pPr>
      <w:r>
        <w:rPr/>
        <w:t>如果符合资本化条件的资产在购建或者生产过程中发生非正常中断、且中断时间连续超过</w:t>
      </w:r>
      <w:r>
        <w:rPr>
          <w:rFonts w:ascii="Times New Roman" w:hAnsi="Times New Roman" w:cs="Times New Roman" w:eastAsia="Times New Roman" w:hint="default"/>
        </w:rPr>
        <w:t>3</w:t>
      </w:r>
      <w:r>
        <w:rPr/>
        <w:t>个月，暂停借款费用的资本 化，直至资产的购建或生产活动重新开始。</w:t>
      </w:r>
    </w:p>
    <w:p>
      <w:pPr>
        <w:spacing w:line="240" w:lineRule="auto" w:before="6"/>
        <w:rPr>
          <w:rFonts w:ascii="宋体" w:hAnsi="宋体" w:cs="宋体" w:eastAsia="宋体" w:hint="default"/>
          <w:sz w:val="23"/>
          <w:szCs w:val="23"/>
        </w:rPr>
      </w:pPr>
    </w:p>
    <w:p>
      <w:pPr>
        <w:pStyle w:val="Heading3"/>
        <w:spacing w:line="240" w:lineRule="auto"/>
        <w:ind w:left="903" w:right="9276"/>
        <w:jc w:val="center"/>
        <w:rPr>
          <w:b w:val="0"/>
          <w:bCs w:val="0"/>
        </w:rPr>
      </w:pPr>
      <w:bookmarkStart w:name="19、生物资产" w:id="185"/>
      <w:bookmarkEnd w:id="185"/>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903" w:right="9276"/>
        <w:jc w:val="center"/>
        <w:rPr>
          <w:b w:val="0"/>
          <w:bCs w:val="0"/>
        </w:rPr>
      </w:pPr>
      <w:bookmarkStart w:name="20、油气资产" w:id="186"/>
      <w:bookmarkEnd w:id="186"/>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903" w:right="9276"/>
        <w:jc w:val="center"/>
        <w:rPr>
          <w:b w:val="0"/>
          <w:bCs w:val="0"/>
        </w:rPr>
      </w:pPr>
      <w:bookmarkStart w:name="21、无形资产" w:id="187"/>
      <w:bookmarkEnd w:id="187"/>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821"/>
        <w:jc w:val="left"/>
        <w:rPr>
          <w:b w:val="0"/>
          <w:bCs w:val="0"/>
        </w:rPr>
      </w:pPr>
      <w:bookmarkStart w:name="（1）计价方法、使用寿命、减值测试" w:id="188"/>
      <w:bookmarkEnd w:id="18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134" w:right="1041" w:firstLine="360"/>
        <w:jc w:val="both"/>
      </w:pPr>
      <w:r>
        <w:rPr>
          <w:spacing w:val="-4"/>
        </w:rPr>
        <w:t>本集团无形资产包括土地使用权、软件、专利技术和非专利技术等，按取得时的实际成本计量，其中，购入的无形资产，</w:t>
      </w:r>
      <w:r>
        <w:rPr/>
        <w:t> 按实际支付的价款和相关的其他支出作为实际成本；投资者投入的无形资产，按投资合同或协议约定的价值确定实际成本， 但合同或协议约定价值不公允的，按公允价值确定实际成本。</w:t>
      </w:r>
    </w:p>
    <w:p>
      <w:pPr>
        <w:pStyle w:val="BodyText"/>
        <w:spacing w:line="240" w:lineRule="auto" w:before="19"/>
        <w:ind w:left="1494" w:right="821"/>
        <w:jc w:val="left"/>
      </w:pPr>
      <w:r>
        <w:rPr/>
        <w:t>土地使用权从出让起始日起，按其出让年限平均摊销；软件、专利技术和非专利技术按预计使用年限、合同规定的受益</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6" w:lineRule="auto" w:before="44"/>
        <w:ind w:left="1493" w:right="821" w:hanging="360"/>
        <w:jc w:val="left"/>
      </w:pPr>
      <w:r>
        <w:rPr/>
        <w:t>年限和法律规定的有效年限三者中最短者分期平均摊销。摊销金额按其受益对象计入相关资产成本和当期损益。 </w:t>
      </w:r>
      <w:r>
        <w:rPr>
          <w:spacing w:val="-2"/>
        </w:rPr>
        <w:t>对使用寿命有限的无形资产的预计使用寿命及摊销方法于每年年度终了进行复核，如发生改变，则作为会计估计变更处</w:t>
      </w:r>
    </w:p>
    <w:p>
      <w:pPr>
        <w:pStyle w:val="BodyText"/>
        <w:spacing w:line="240" w:lineRule="auto" w:before="19"/>
        <w:ind w:right="821"/>
        <w:jc w:val="left"/>
      </w:pPr>
      <w:r>
        <w:rPr/>
        <w:t>理。</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2）内部研究开发支出会计政策" w:id="189"/>
      <w:bookmarkEnd w:id="18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821" w:firstLine="360"/>
        <w:jc w:val="left"/>
      </w:pPr>
      <w:r>
        <w:rPr>
          <w:spacing w:val="-2"/>
        </w:rPr>
        <w:t>本集团内部研究开发项目支出根据其性质以及研发活动最终形成无形资产是否具有较大不确定性，分为研究阶段支出和</w:t>
      </w:r>
      <w:r>
        <w:rPr/>
        <w:t> 开发阶段支出。</w:t>
      </w:r>
    </w:p>
    <w:p>
      <w:pPr>
        <w:pStyle w:val="BodyText"/>
        <w:spacing w:line="316" w:lineRule="auto" w:before="19"/>
        <w:ind w:right="821" w:firstLine="360"/>
        <w:jc w:val="left"/>
      </w:pPr>
      <w:r>
        <w:rPr>
          <w:spacing w:val="-2"/>
        </w:rPr>
        <w:t>自行研究开发的无形资产，其研究阶段的支出，于发生时计入当期损益；其开发阶段的支出，同时满足下列条件的，确</w:t>
      </w:r>
      <w:r>
        <w:rPr/>
        <w:t> 认为无形资产：</w:t>
      </w:r>
    </w:p>
    <w:p>
      <w:pPr>
        <w:pStyle w:val="BodyText"/>
        <w:spacing w:line="240" w:lineRule="auto" w:before="19"/>
        <w:ind w:left="1493" w:right="821"/>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1493" w:right="821"/>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40" w:lineRule="auto" w:before="63"/>
        <w:ind w:left="1494" w:right="821"/>
        <w:jc w:val="left"/>
      </w:pPr>
      <w:r>
        <w:rPr/>
        <w:t>（</w:t>
      </w:r>
      <w:r>
        <w:rPr>
          <w:rFonts w:ascii="Times New Roman" w:hAnsi="Times New Roman" w:cs="Times New Roman" w:eastAsia="Times New Roman" w:hint="default"/>
        </w:rPr>
        <w:t>3</w:t>
      </w:r>
      <w:r>
        <w:rPr/>
        <w:t>）运用该无形资产生产的产品存在市场或无形资产自身存在市场；</w:t>
      </w:r>
    </w:p>
    <w:p>
      <w:pPr>
        <w:pStyle w:val="BodyText"/>
        <w:spacing w:line="240" w:lineRule="auto" w:before="63"/>
        <w:ind w:left="1493" w:right="821"/>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1494" w:right="821"/>
        <w:jc w:val="left"/>
      </w:pPr>
      <w:r>
        <w:rPr/>
        <w:t>（</w:t>
      </w: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不满足上述条件的开发阶段的支出，于发生时计入当期损益。前期已计入损益的开发支出不在以后期间确认为资产。已</w:t>
      </w:r>
    </w:p>
    <w:p>
      <w:pPr>
        <w:pStyle w:val="BodyText"/>
        <w:spacing w:line="240" w:lineRule="auto" w:before="31"/>
        <w:ind w:left="1134" w:right="821"/>
        <w:jc w:val="left"/>
      </w:pPr>
      <w:r>
        <w:rPr/>
        <w:t>资本化的开发阶段的支出在资产负债表上列示为开发支出，自该项目达到预定可使用状态之日起转为无形资产。</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22、长期资产减值" w:id="190"/>
      <w:bookmarkEnd w:id="190"/>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1" w:firstLine="360"/>
        <w:jc w:val="both"/>
      </w:pPr>
      <w:r>
        <w:rPr>
          <w:spacing w:val="-2"/>
        </w:rPr>
        <w:t>本集团于每一资产负债表日对长期股权投资、固定资产、在建工程、使用寿命有限的无形资产等项目进行检查，当存在</w:t>
      </w:r>
      <w:r>
        <w:rPr/>
        <w:t> </w:t>
      </w:r>
      <w:r>
        <w:rPr>
          <w:spacing w:val="-2"/>
        </w:rPr>
        <w:t>下列迹象时，表明资产可能发生了减值，本公司将进行减值测试。难以对单项资产的可收回金额进行测试的，以该资产所属</w:t>
      </w:r>
      <w:r>
        <w:rPr>
          <w:spacing w:val="-66"/>
        </w:rPr>
        <w:t> </w:t>
      </w:r>
      <w:r>
        <w:rPr>
          <w:spacing w:val="-66"/>
        </w:rPr>
      </w:r>
      <w:r>
        <w:rPr/>
        <w:t>的资产组或资产组组合为基础测试。</w:t>
      </w:r>
    </w:p>
    <w:p>
      <w:pPr>
        <w:spacing w:line="240" w:lineRule="auto" w:before="8"/>
        <w:rPr>
          <w:rFonts w:ascii="宋体" w:hAnsi="宋体" w:cs="宋体" w:eastAsia="宋体" w:hint="default"/>
          <w:sz w:val="19"/>
          <w:szCs w:val="19"/>
        </w:rPr>
      </w:pPr>
    </w:p>
    <w:p>
      <w:pPr>
        <w:pStyle w:val="BodyText"/>
        <w:spacing w:line="316" w:lineRule="auto"/>
        <w:ind w:left="1134" w:right="1130" w:firstLine="360"/>
        <w:jc w:val="both"/>
      </w:pPr>
      <w:r>
        <w:rPr>
          <w:spacing w:val="-2"/>
        </w:rPr>
        <w:t>减值测试后，若该资产的账面价值超过其可收回金额，其差额确认为减值损失，上述资产的减值损失一经确认，在以后</w:t>
      </w:r>
      <w:r>
        <w:rPr/>
        <w:t> </w:t>
      </w:r>
      <w:r>
        <w:rPr>
          <w:spacing w:val="-2"/>
        </w:rPr>
        <w:t>会计期间不予转回。资产的可收回金额是指资产的公允价值减去处置费用后的净额与资产预计未来现金流量的现值两者之间</w:t>
      </w:r>
      <w:r>
        <w:rPr>
          <w:spacing w:val="-64"/>
        </w:rPr>
        <w:t> </w:t>
      </w:r>
      <w:r>
        <w:rPr>
          <w:spacing w:val="-64"/>
        </w:rPr>
      </w:r>
      <w:r>
        <w:rPr/>
        <w:t>的较高者。</w:t>
      </w:r>
    </w:p>
    <w:p>
      <w:pPr>
        <w:spacing w:line="240" w:lineRule="auto" w:before="10"/>
        <w:rPr>
          <w:rFonts w:ascii="宋体" w:hAnsi="宋体" w:cs="宋体" w:eastAsia="宋体" w:hint="default"/>
          <w:sz w:val="19"/>
          <w:szCs w:val="19"/>
        </w:rPr>
      </w:pPr>
    </w:p>
    <w:p>
      <w:pPr>
        <w:pStyle w:val="BodyText"/>
        <w:spacing w:line="240" w:lineRule="auto"/>
        <w:ind w:left="1494" w:right="821"/>
        <w:jc w:val="left"/>
      </w:pPr>
      <w:r>
        <w:rPr/>
        <w:t>出现减值的迹象如下：</w:t>
      </w:r>
    </w:p>
    <w:p>
      <w:pPr>
        <w:spacing w:line="240" w:lineRule="auto" w:before="2"/>
        <w:rPr>
          <w:rFonts w:ascii="宋体" w:hAnsi="宋体" w:cs="宋体" w:eastAsia="宋体" w:hint="default"/>
          <w:sz w:val="24"/>
          <w:szCs w:val="24"/>
        </w:rPr>
      </w:pPr>
    </w:p>
    <w:p>
      <w:pPr>
        <w:pStyle w:val="BodyText"/>
        <w:spacing w:line="240" w:lineRule="auto"/>
        <w:ind w:left="1494" w:right="821"/>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spacing w:line="240" w:lineRule="auto" w:before="2"/>
        <w:rPr>
          <w:rFonts w:ascii="宋体" w:hAnsi="宋体" w:cs="宋体" w:eastAsia="宋体" w:hint="default"/>
          <w:sz w:val="23"/>
          <w:szCs w:val="23"/>
        </w:rPr>
      </w:pPr>
    </w:p>
    <w:p>
      <w:pPr>
        <w:pStyle w:val="BodyText"/>
        <w:spacing w:line="300" w:lineRule="auto"/>
        <w:ind w:left="1134" w:right="1122" w:firstLine="360"/>
        <w:jc w:val="left"/>
      </w:pPr>
      <w:r>
        <w:rPr/>
        <w:t>（</w:t>
      </w:r>
      <w:r>
        <w:rPr>
          <w:rFonts w:ascii="Times New Roman" w:hAnsi="Times New Roman" w:cs="Times New Roman" w:eastAsia="Times New Roman" w:hint="default"/>
        </w:rPr>
        <w:t>2</w:t>
      </w:r>
      <w:r>
        <w:rPr/>
        <w:t>）公司经营所处的经济、技术或者法律等环境以及资产所处的市场在当期或者将在近期发生重大变化，从而对公司 产生不利影响。</w:t>
      </w:r>
    </w:p>
    <w:p>
      <w:pPr>
        <w:spacing w:line="240" w:lineRule="auto" w:before="10"/>
        <w:rPr>
          <w:rFonts w:ascii="宋体" w:hAnsi="宋体" w:cs="宋体" w:eastAsia="宋体" w:hint="default"/>
          <w:sz w:val="20"/>
          <w:szCs w:val="20"/>
        </w:rPr>
      </w:pPr>
    </w:p>
    <w:p>
      <w:pPr>
        <w:pStyle w:val="BodyText"/>
        <w:spacing w:line="300" w:lineRule="auto"/>
        <w:ind w:left="1134" w:right="1122" w:firstLine="360"/>
        <w:jc w:val="left"/>
      </w:pPr>
      <w:r>
        <w:rPr/>
        <w:t>（</w:t>
      </w:r>
      <w:r>
        <w:rPr>
          <w:rFonts w:ascii="Times New Roman" w:hAnsi="Times New Roman" w:cs="Times New Roman" w:eastAsia="Times New Roman" w:hint="default"/>
        </w:rPr>
        <w:t>3</w:t>
      </w:r>
      <w:r>
        <w:rPr/>
        <w:t>）市场利率或者其他市场投资报酬率在当期已经提高，从而影响公司计算资产预计未来现金流量现值的折现率，导 致资产可收回金额大幅度降低。</w:t>
      </w:r>
    </w:p>
    <w:p>
      <w:pPr>
        <w:spacing w:line="240" w:lineRule="auto" w:before="10"/>
        <w:rPr>
          <w:rFonts w:ascii="宋体" w:hAnsi="宋体" w:cs="宋体" w:eastAsia="宋体" w:hint="default"/>
          <w:sz w:val="20"/>
          <w:szCs w:val="20"/>
        </w:rPr>
      </w:pPr>
    </w:p>
    <w:p>
      <w:pPr>
        <w:pStyle w:val="BodyText"/>
        <w:spacing w:line="240" w:lineRule="auto"/>
        <w:ind w:left="1494" w:right="821"/>
        <w:jc w:val="left"/>
      </w:pPr>
      <w:r>
        <w:rPr/>
        <w:t>（</w:t>
      </w:r>
      <w:r>
        <w:rPr>
          <w:rFonts w:ascii="Times New Roman" w:hAnsi="Times New Roman" w:cs="Times New Roman" w:eastAsia="Times New Roman" w:hint="default"/>
        </w:rPr>
        <w:t>4</w:t>
      </w:r>
      <w:r>
        <w:rPr/>
        <w:t>）有证据表明资产已经陈旧过时或者其实体已经损坏。</w:t>
      </w:r>
    </w:p>
    <w:p>
      <w:pPr>
        <w:spacing w:line="240" w:lineRule="auto" w:before="2"/>
        <w:rPr>
          <w:rFonts w:ascii="宋体" w:hAnsi="宋体" w:cs="宋体" w:eastAsia="宋体" w:hint="default"/>
          <w:sz w:val="23"/>
          <w:szCs w:val="23"/>
        </w:rPr>
      </w:pPr>
    </w:p>
    <w:p>
      <w:pPr>
        <w:pStyle w:val="BodyText"/>
        <w:spacing w:line="240" w:lineRule="auto"/>
        <w:ind w:left="1494" w:right="821"/>
        <w:jc w:val="left"/>
      </w:pPr>
      <w:r>
        <w:rPr/>
        <w:t>（</w:t>
      </w:r>
      <w:r>
        <w:rPr>
          <w:rFonts w:ascii="Times New Roman" w:hAnsi="Times New Roman" w:cs="Times New Roman" w:eastAsia="Times New Roman" w:hint="default"/>
        </w:rPr>
        <w:t>5</w:t>
      </w:r>
      <w:r>
        <w:rPr/>
        <w:t>）资产已经或者将被闲置、终止使用或者计划提前处置。</w:t>
      </w:r>
    </w:p>
    <w:p>
      <w:pPr>
        <w:spacing w:line="240" w:lineRule="auto" w:before="2"/>
        <w:rPr>
          <w:rFonts w:ascii="宋体" w:hAnsi="宋体" w:cs="宋体" w:eastAsia="宋体" w:hint="default"/>
          <w:sz w:val="23"/>
          <w:szCs w:val="23"/>
        </w:rPr>
      </w:pPr>
    </w:p>
    <w:p>
      <w:pPr>
        <w:pStyle w:val="BodyText"/>
        <w:spacing w:line="300" w:lineRule="auto"/>
        <w:ind w:left="1134" w:right="1122" w:firstLine="360"/>
        <w:jc w:val="left"/>
      </w:pPr>
      <w:r>
        <w:rPr/>
        <w:t>（</w:t>
      </w:r>
      <w:r>
        <w:rPr>
          <w:rFonts w:ascii="Times New Roman" w:hAnsi="Times New Roman" w:cs="Times New Roman" w:eastAsia="Times New Roman" w:hint="default"/>
        </w:rPr>
        <w:t>6</w:t>
      </w:r>
      <w:r>
        <w:rPr/>
        <w:t>）公司内部报告的证据表明资产的经济绩效已经低于或者将低于预期，如资产所创造的净现金流量或者实现的营业 利润（或者亏损）远远低于（或者高于）预计金额等。</w:t>
      </w:r>
    </w:p>
    <w:p>
      <w:pPr>
        <w:pStyle w:val="BodyText"/>
        <w:spacing w:line="240" w:lineRule="auto" w:before="132"/>
        <w:ind w:left="1494" w:right="821"/>
        <w:jc w:val="left"/>
      </w:pPr>
      <w:r>
        <w:rPr/>
        <w:t>（</w:t>
      </w:r>
      <w:r>
        <w:rPr>
          <w:rFonts w:ascii="Times New Roman" w:hAnsi="Times New Roman" w:cs="Times New Roman" w:eastAsia="Times New Roman" w:hint="default"/>
        </w:rPr>
        <w:t>7</w:t>
      </w:r>
      <w:r>
        <w:rPr/>
        <w:t>）其他表明资产可能已经发生减值的迹象。</w:t>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821"/>
        <w:jc w:val="left"/>
        <w:rPr>
          <w:b w:val="0"/>
          <w:bCs w:val="0"/>
        </w:rPr>
      </w:pPr>
      <w:bookmarkStart w:name="23、长期待摊费用" w:id="191"/>
      <w:bookmarkEnd w:id="191"/>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134" w:right="1130" w:firstLine="360"/>
        <w:jc w:val="both"/>
      </w:pPr>
      <w:r>
        <w:rPr>
          <w:spacing w:val="-1"/>
        </w:rPr>
        <w:t>本集团长期待摊费用是指已经支出，但应由当期及以后各期承担的摊销期限在</w:t>
      </w:r>
      <w:r>
        <w:rPr>
          <w:rFonts w:ascii="Times New Roman" w:hAnsi="Times New Roman" w:cs="Times New Roman" w:eastAsia="Times New Roman" w:hint="default"/>
          <w:spacing w:val="-1"/>
        </w:rPr>
        <w:t>1</w:t>
      </w:r>
      <w:r>
        <w:rPr>
          <w:spacing w:val="-1"/>
        </w:rPr>
        <w:t>年以上</w:t>
      </w:r>
      <w:r>
        <w:rPr>
          <w:rFonts w:ascii="Times New Roman" w:hAnsi="Times New Roman" w:cs="Times New Roman" w:eastAsia="Times New Roman" w:hint="default"/>
          <w:spacing w:val="-1"/>
        </w:rPr>
        <w:t>(</w:t>
      </w:r>
      <w:r>
        <w:rPr>
          <w:spacing w:val="-1"/>
        </w:rPr>
        <w:t>不含</w:t>
      </w:r>
      <w:r>
        <w:rPr>
          <w:rFonts w:ascii="Times New Roman" w:hAnsi="Times New Roman" w:cs="Times New Roman" w:eastAsia="Times New Roman" w:hint="default"/>
          <w:spacing w:val="-1"/>
        </w:rPr>
        <w:t>1</w:t>
      </w:r>
      <w:r>
        <w:rPr>
          <w:spacing w:val="-1"/>
        </w:rPr>
        <w:t>年</w:t>
      </w:r>
      <w:r>
        <w:rPr>
          <w:rFonts w:ascii="Times New Roman" w:hAnsi="Times New Roman" w:cs="Times New Roman" w:eastAsia="Times New Roman" w:hint="default"/>
          <w:spacing w:val="-1"/>
        </w:rPr>
        <w:t>)</w:t>
      </w:r>
      <w:r>
        <w:rPr>
          <w:spacing w:val="-1"/>
        </w:rPr>
        <w:t>的各项费用，该等费用</w:t>
      </w:r>
      <w:r>
        <w:rPr/>
        <w:t> </w:t>
      </w:r>
      <w:r>
        <w:rPr>
          <w:spacing w:val="-2"/>
        </w:rPr>
        <w:t>在受益期内平均摊销。如果长期待摊费用项目不能使以后会计期间受益，则将尚未摊销的该项目的摊余价值全部转入当期损</w:t>
      </w:r>
      <w:r>
        <w:rPr>
          <w:spacing w:val="-63"/>
        </w:rPr>
        <w:t> </w:t>
      </w:r>
      <w:r>
        <w:rPr>
          <w:spacing w:val="-63"/>
        </w:rPr>
      </w:r>
      <w:r>
        <w:rPr/>
        <w:t>益。</w:t>
      </w:r>
    </w:p>
    <w:p>
      <w:pPr>
        <w:spacing w:line="240" w:lineRule="auto" w:before="12"/>
        <w:rPr>
          <w:rFonts w:ascii="宋体" w:hAnsi="宋体" w:cs="宋体" w:eastAsia="宋体" w:hint="default"/>
          <w:sz w:val="22"/>
          <w:szCs w:val="22"/>
        </w:rPr>
      </w:pPr>
    </w:p>
    <w:p>
      <w:pPr>
        <w:pStyle w:val="Heading3"/>
        <w:spacing w:line="240" w:lineRule="auto"/>
        <w:ind w:left="1134" w:right="821"/>
        <w:jc w:val="left"/>
        <w:rPr>
          <w:b w:val="0"/>
          <w:bCs w:val="0"/>
        </w:rPr>
      </w:pPr>
      <w:bookmarkStart w:name="24、职工薪酬" w:id="192"/>
      <w:bookmarkEnd w:id="192"/>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821"/>
        <w:jc w:val="left"/>
        <w:rPr>
          <w:b w:val="0"/>
          <w:bCs w:val="0"/>
        </w:rPr>
      </w:pPr>
      <w:bookmarkStart w:name="（1）短期薪酬的会计处理方法" w:id="193"/>
      <w:bookmarkEnd w:id="19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3" w:firstLine="360"/>
        <w:jc w:val="both"/>
      </w:pPr>
      <w:r>
        <w:rPr>
          <w:spacing w:val="-2"/>
        </w:rPr>
        <w:t>短期薪酬主要包括职工工资、奖金、津贴和补贴、职工福利费、社会保险费及住房公积金、工会经费和职工教育经费等</w:t>
      </w:r>
      <w:r>
        <w:rPr/>
        <w:t> </w:t>
      </w:r>
      <w:r>
        <w:rPr>
          <w:spacing w:val="-2"/>
        </w:rPr>
        <w:t>与获得职工提供的服务相关的支出，在职工提供服务的会计期间，将实际发生的短期薪酬确认为负债，并按照受益对象计入</w:t>
      </w:r>
      <w:r>
        <w:rPr>
          <w:spacing w:val="-66"/>
        </w:rPr>
        <w:t> </w:t>
      </w:r>
      <w:r>
        <w:rPr>
          <w:spacing w:val="-66"/>
        </w:rPr>
      </w:r>
      <w:r>
        <w:rPr/>
        <w:t>当期损益或相关资产成本。因解除与职工的劳动关系而给予的补偿，计入当期损益。</w:t>
      </w:r>
    </w:p>
    <w:p>
      <w:pPr>
        <w:spacing w:line="240" w:lineRule="auto" w:before="4"/>
        <w:rPr>
          <w:rFonts w:ascii="宋体" w:hAnsi="宋体" w:cs="宋体" w:eastAsia="宋体" w:hint="default"/>
          <w:sz w:val="22"/>
          <w:szCs w:val="22"/>
        </w:rPr>
      </w:pPr>
    </w:p>
    <w:p>
      <w:pPr>
        <w:pStyle w:val="Heading3"/>
        <w:spacing w:line="240" w:lineRule="auto"/>
        <w:ind w:right="821"/>
        <w:jc w:val="left"/>
        <w:rPr>
          <w:b w:val="0"/>
          <w:bCs w:val="0"/>
        </w:rPr>
      </w:pPr>
      <w:bookmarkStart w:name="（2）离职后福利的会计处理方法" w:id="194"/>
      <w:bookmarkEnd w:id="19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离职后福利主要包括基本养老保险费和失业保险费等，按照公司承担的风险和义务，分类为设定提存计划。对于设定提</w:t>
      </w:r>
      <w:r>
        <w:rPr/>
        <w:t> </w:t>
      </w:r>
      <w:r>
        <w:rPr>
          <w:spacing w:val="-2"/>
        </w:rPr>
        <w:t>存计划在根据在资产负债表日为换取职工在会计期间提供的服务而向单独主体缴存的提存金确认为负债，并按照受益对象计</w:t>
      </w:r>
      <w:r>
        <w:rPr>
          <w:spacing w:val="-64"/>
        </w:rPr>
        <w:t> </w:t>
      </w:r>
      <w:r>
        <w:rPr>
          <w:spacing w:val="-64"/>
        </w:rPr>
      </w:r>
      <w:r>
        <w:rPr/>
        <w:t>入当期损益或相关资产成本。</w:t>
      </w:r>
    </w:p>
    <w:p>
      <w:pPr>
        <w:spacing w:line="240" w:lineRule="auto" w:before="7"/>
        <w:rPr>
          <w:rFonts w:ascii="宋体" w:hAnsi="宋体" w:cs="宋体" w:eastAsia="宋体" w:hint="default"/>
          <w:sz w:val="22"/>
          <w:szCs w:val="22"/>
        </w:rPr>
      </w:pPr>
    </w:p>
    <w:p>
      <w:pPr>
        <w:pStyle w:val="Heading3"/>
        <w:spacing w:line="240" w:lineRule="auto"/>
        <w:ind w:right="821"/>
        <w:jc w:val="left"/>
        <w:rPr>
          <w:b w:val="0"/>
          <w:bCs w:val="0"/>
        </w:rPr>
      </w:pPr>
      <w:bookmarkStart w:name="（3）辞退福利的会计处理方法" w:id="195"/>
      <w:bookmarkEnd w:id="19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3" w:right="821"/>
        <w:jc w:val="left"/>
      </w:pPr>
      <w:r>
        <w:rPr/>
        <w:t>辞退福利是由于解除与职工的劳动关系而给予的补偿，计入当期损益。</w:t>
      </w:r>
    </w:p>
    <w:p>
      <w:pPr>
        <w:spacing w:line="240" w:lineRule="auto" w:before="11"/>
        <w:rPr>
          <w:rFonts w:ascii="宋体" w:hAnsi="宋体" w:cs="宋体" w:eastAsia="宋体" w:hint="default"/>
          <w:sz w:val="26"/>
          <w:szCs w:val="26"/>
        </w:rPr>
      </w:pPr>
    </w:p>
    <w:p>
      <w:pPr>
        <w:pStyle w:val="Heading3"/>
        <w:spacing w:line="240" w:lineRule="auto"/>
        <w:ind w:right="821"/>
        <w:jc w:val="left"/>
        <w:rPr>
          <w:b w:val="0"/>
          <w:bCs w:val="0"/>
        </w:rPr>
      </w:pPr>
      <w:bookmarkStart w:name="（4）其他长期职工福利的会计处理方法" w:id="196"/>
      <w:bookmarkEnd w:id="19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25、预计负债" w:id="197"/>
      <w:bookmarkEnd w:id="19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26、股份支付" w:id="198"/>
      <w:bookmarkEnd w:id="19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27、优先股、永续债等其他金融工具" w:id="199"/>
      <w:bookmarkEnd w:id="19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28、收入" w:id="200"/>
      <w:bookmarkEnd w:id="200"/>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360"/>
        <w:jc w:val="both"/>
      </w:pPr>
      <w:r>
        <w:rPr>
          <w:spacing w:val="-2"/>
        </w:rPr>
        <w:t>本集团主要销售产品为环网柜、柱上开关（户外开关）、箱式变电站、电缆附件、变压器、其他开关类。上述产品销售</w:t>
      </w:r>
      <w:r>
        <w:rPr/>
        <w:t> </w:t>
      </w:r>
      <w:r>
        <w:rPr>
          <w:spacing w:val="-2"/>
        </w:rPr>
        <w:t>收入的确认基本原则：本集团已将产品所有权上的主要风险和报酬转移给购货方；本集团既没有保留通常与所有权相联系的</w:t>
      </w:r>
      <w:r>
        <w:rPr>
          <w:spacing w:val="-64"/>
        </w:rPr>
        <w:t> </w:t>
      </w:r>
      <w:r>
        <w:rPr>
          <w:spacing w:val="-64"/>
        </w:rPr>
      </w:r>
      <w:r>
        <w:rPr>
          <w:spacing w:val="-2"/>
        </w:rPr>
        <w:t>继续管理权，也没有对已售出的产品实施有效控制；收入的金额能够可靠地计量；相关的经济利益很可能流入企业；相关的</w:t>
      </w:r>
    </w:p>
    <w:p>
      <w:pPr>
        <w:spacing w:after="0" w:line="316" w:lineRule="auto"/>
        <w:jc w:val="both"/>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16" w:lineRule="auto" w:before="44"/>
        <w:ind w:right="1131"/>
        <w:jc w:val="both"/>
      </w:pPr>
      <w:r>
        <w:rPr>
          <w:spacing w:val="-2"/>
        </w:rPr>
        <w:t>已发生或将发生的成本能够可靠的计量。在具体业务中，本集团一般按合同约定的期限内，将产品运至买方指定地点，并安</w:t>
      </w:r>
      <w:r>
        <w:rPr>
          <w:spacing w:val="-66"/>
        </w:rPr>
        <w:t> </w:t>
      </w:r>
      <w:r>
        <w:rPr>
          <w:spacing w:val="-66"/>
        </w:rPr>
      </w:r>
      <w:r>
        <w:rPr>
          <w:spacing w:val="-2"/>
        </w:rPr>
        <w:t>装测试、正常运行后确认收入，但如果在合同中明确规定为到货后开箱验收合格后，可支付除质保金以外的全部货款，即以</w:t>
      </w:r>
      <w:r>
        <w:rPr>
          <w:spacing w:val="-66"/>
        </w:rPr>
        <w:t> </w:t>
      </w:r>
      <w:r>
        <w:rPr>
          <w:spacing w:val="-66"/>
        </w:rPr>
      </w:r>
      <w:r>
        <w:rPr>
          <w:spacing w:val="-2"/>
        </w:rPr>
        <w:t>开箱验收合格后确认收入；其他小型配件类产品（如指示器和电缆附件）单独销售时一般以客户收到产品并验收合格后即确</w:t>
      </w:r>
      <w:r>
        <w:rPr>
          <w:spacing w:val="-65"/>
        </w:rPr>
        <w:t> </w:t>
      </w:r>
      <w:r>
        <w:rPr>
          <w:spacing w:val="-65"/>
        </w:rPr>
      </w:r>
      <w:r>
        <w:rPr/>
        <w:t>认收入。</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9、政府补助" w:id="201"/>
      <w:bookmarkEnd w:id="201"/>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2" w:firstLine="360"/>
        <w:jc w:val="both"/>
      </w:pPr>
      <w:r>
        <w:rPr>
          <w:spacing w:val="-2"/>
        </w:rPr>
        <w:t>政府补助在本集团能够满足其所附的条件以及能够收到时予以确认。政府补助为货币性资产的，按照实际收到的金额计</w:t>
      </w:r>
      <w:r>
        <w:rPr/>
        <w:t> </w:t>
      </w:r>
      <w:r>
        <w:rPr>
          <w:spacing w:val="-2"/>
        </w:rPr>
        <w:t>量，对于按照固定的定额标准拨付的补助，按照应收的金额计量；政府补助为非货币性资产的，按照公允价值计量，公允价</w:t>
      </w:r>
      <w:r>
        <w:rPr>
          <w:spacing w:val="-66"/>
        </w:rPr>
        <w:t> </w:t>
      </w:r>
      <w:r>
        <w:rPr>
          <w:spacing w:val="-66"/>
        </w:rPr>
      </w:r>
      <w:r>
        <w:rPr/>
        <w:t>值不能可靠取得的，按照名义金额</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计量。</w:t>
      </w:r>
    </w:p>
    <w:p>
      <w:pPr>
        <w:spacing w:line="240" w:lineRule="auto" w:before="3"/>
        <w:rPr>
          <w:rFonts w:ascii="宋体" w:hAnsi="宋体" w:cs="宋体" w:eastAsia="宋体" w:hint="default"/>
          <w:sz w:val="18"/>
          <w:szCs w:val="18"/>
        </w:rPr>
      </w:pPr>
    </w:p>
    <w:p>
      <w:pPr>
        <w:pStyle w:val="BodyText"/>
        <w:spacing w:line="240" w:lineRule="auto"/>
        <w:ind w:left="1494" w:right="821"/>
        <w:jc w:val="left"/>
      </w:pPr>
      <w:r>
        <w:rPr/>
        <w:t>本集团的政府补助分为与资产相关的政府补助和与收益相关的政府补助。</w:t>
      </w:r>
    </w:p>
    <w:p>
      <w:pPr>
        <w:spacing w:line="240" w:lineRule="auto" w:before="12"/>
        <w:rPr>
          <w:rFonts w:ascii="宋体" w:hAnsi="宋体" w:cs="宋体" w:eastAsia="宋体" w:hint="default"/>
          <w:sz w:val="26"/>
          <w:szCs w:val="26"/>
        </w:rPr>
      </w:pPr>
    </w:p>
    <w:p>
      <w:pPr>
        <w:pStyle w:val="Heading3"/>
        <w:spacing w:line="240" w:lineRule="auto"/>
        <w:ind w:left="1134" w:right="0"/>
        <w:jc w:val="both"/>
        <w:rPr>
          <w:b w:val="0"/>
          <w:bCs w:val="0"/>
        </w:rPr>
      </w:pPr>
      <w:bookmarkStart w:name="（1）与资产相关的政府补助判断依据及会计处理方法" w:id="202"/>
      <w:bookmarkEnd w:id="20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2833"/>
        <w:jc w:val="left"/>
      </w:pPr>
      <w:r>
        <w:rPr/>
        <w:t>与资产相关的政府补助，是指本公司取得的、用于购建或以其他方式形成长期资产的政府补助； 与资产相关的政府补助确认为递延收益，并在相关资产使用寿命内平均分配计入当期损益。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与收益相关的政府补助判断依据及会计处理方法" w:id="203"/>
      <w:bookmarkEnd w:id="20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3" w:firstLine="360"/>
        <w:jc w:val="both"/>
      </w:pPr>
      <w:r>
        <w:rPr>
          <w:spacing w:val="-2"/>
        </w:rPr>
        <w:t>与收益相关的政府补助，是指除与资产相关的政府补助之外的政府补助。如果政府文件中未明确规定补助对象，本公司</w:t>
      </w:r>
      <w:r>
        <w:rPr/>
        <w:t> 按照上述原则进行判断。</w:t>
      </w:r>
    </w:p>
    <w:p>
      <w:pPr>
        <w:pStyle w:val="BodyText"/>
        <w:spacing w:line="319" w:lineRule="auto" w:before="19"/>
        <w:ind w:left="1134" w:right="1133" w:firstLine="360"/>
        <w:jc w:val="both"/>
      </w:pPr>
      <w:r>
        <w:rPr>
          <w:spacing w:val="-2"/>
        </w:rPr>
        <w:t>与收益相关的政府补助，用于补偿以后期间的相关费用或损失的，确认为递延收益，并在确认相关费用的期间计入当期</w:t>
      </w:r>
      <w:r>
        <w:rPr/>
        <w:t> 损益；用于补偿已发生的相关费用或损失的，直接计入当期损益。</w:t>
      </w:r>
    </w:p>
    <w:p>
      <w:pPr>
        <w:spacing w:line="240" w:lineRule="auto" w:before="5"/>
        <w:rPr>
          <w:rFonts w:ascii="宋体" w:hAnsi="宋体" w:cs="宋体" w:eastAsia="宋体" w:hint="default"/>
          <w:sz w:val="22"/>
          <w:szCs w:val="22"/>
        </w:rPr>
      </w:pPr>
    </w:p>
    <w:p>
      <w:pPr>
        <w:pStyle w:val="Heading3"/>
        <w:spacing w:line="240" w:lineRule="auto"/>
        <w:ind w:left="1134" w:right="0"/>
        <w:jc w:val="both"/>
        <w:rPr>
          <w:b w:val="0"/>
          <w:bCs w:val="0"/>
        </w:rPr>
      </w:pPr>
      <w:bookmarkStart w:name="30、递延所得税资产/递延所得税负债" w:id="204"/>
      <w:bookmarkEnd w:id="20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递延所得税资产和递延所得税负债根据资产和负债的计税基础与其账面价值的差额</w:t>
      </w:r>
      <w:r>
        <w:rPr>
          <w:rFonts w:ascii="宋体" w:hAnsi="宋体" w:cs="宋体" w:eastAsia="宋体" w:hint="default"/>
          <w:spacing w:val="-2"/>
        </w:rPr>
        <w:t>(</w:t>
      </w:r>
      <w:r>
        <w:rPr>
          <w:spacing w:val="-2"/>
        </w:rPr>
        <w:t>暂时性差异</w:t>
      </w:r>
      <w:r>
        <w:rPr>
          <w:rFonts w:ascii="宋体" w:hAnsi="宋体" w:cs="宋体" w:eastAsia="宋体" w:hint="default"/>
          <w:spacing w:val="-2"/>
        </w:rPr>
        <w:t>)</w:t>
      </w:r>
      <w:r>
        <w:rPr>
          <w:spacing w:val="-2"/>
        </w:rPr>
        <w:t>计算确认。对于按照税</w:t>
      </w:r>
      <w:r>
        <w:rPr/>
        <w:t> </w:t>
      </w:r>
      <w:r>
        <w:rPr>
          <w:spacing w:val="-2"/>
        </w:rPr>
        <w:t>法规定能够于以后年度抵减应纳税所得额的可抵扣亏损和税款抵减，视同暂时性差异确认相应的递延所得税资产。于资产负</w:t>
      </w:r>
      <w:r>
        <w:rPr>
          <w:spacing w:val="-64"/>
        </w:rPr>
        <w:t> </w:t>
      </w:r>
      <w:r>
        <w:rPr>
          <w:spacing w:val="-64"/>
        </w:rPr>
      </w:r>
      <w:r>
        <w:rPr/>
        <w:t>债表日，递延所得税资产和递延所得税负债，按照预期收回该资产或清偿该负债期间的适用税率计量。</w:t>
      </w:r>
    </w:p>
    <w:p>
      <w:pPr>
        <w:spacing w:line="240" w:lineRule="auto" w:before="10"/>
        <w:rPr>
          <w:rFonts w:ascii="宋体" w:hAnsi="宋体" w:cs="宋体" w:eastAsia="宋体" w:hint="default"/>
          <w:sz w:val="19"/>
          <w:szCs w:val="19"/>
        </w:rPr>
      </w:pPr>
    </w:p>
    <w:p>
      <w:pPr>
        <w:pStyle w:val="BodyText"/>
        <w:spacing w:line="316" w:lineRule="auto"/>
        <w:ind w:right="1131" w:firstLine="360"/>
        <w:jc w:val="both"/>
      </w:pPr>
      <w:r>
        <w:rPr/>
        <w:t>本集团以很可能取得用来抵扣可抵扣暂时性差异的应纳税所得额为限，确认由可抵扣暂时性差异产生的递延所得税资 </w:t>
      </w:r>
      <w:r>
        <w:rPr>
          <w:spacing w:val="-2"/>
        </w:rPr>
        <w:t>产。对已确认的递延所得税资产，当预计到未来期间很可能无法获得足够的应纳税所得额用以抵扣递延所得税资产时，应当</w:t>
      </w:r>
      <w:r>
        <w:rPr>
          <w:spacing w:val="-65"/>
        </w:rPr>
        <w:t> </w:t>
      </w:r>
      <w:r>
        <w:rPr>
          <w:spacing w:val="-65"/>
        </w:rPr>
      </w:r>
      <w:r>
        <w:rPr/>
        <w:t>减记递延所得税资产的账面价值。在很可能获得足够的应纳税所得额时，减记的金额予以转回。</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31、租赁" w:id="205"/>
      <w:bookmarkEnd w:id="205"/>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1）经营租赁的会计处理方法" w:id="206"/>
      <w:bookmarkEnd w:id="20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3" w:firstLine="290"/>
        <w:jc w:val="both"/>
      </w:pPr>
      <w:r>
        <w:rPr>
          <w:spacing w:val="-1"/>
        </w:rPr>
        <w:t>经营租赁是指除融资租赁以外的其他租赁。本集团作为承租方的租金在租赁期内的各个期间按直线法计入相关资产成本</w:t>
      </w:r>
      <w:r>
        <w:rPr/>
        <w:t> 或当期损益，本集团作为出租方的租金收入在租赁期内的各个期间按直线法确认为收入。</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融资租赁的会计处理方法" w:id="207"/>
      <w:bookmarkEnd w:id="20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24" w:right="821"/>
        <w:jc w:val="left"/>
      </w:pPr>
      <w:r>
        <w:rPr/>
        <w:t>融资租赁是指实质上转移了与资产所有权有关的全部风险和报酬的租赁。</w:t>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821"/>
        <w:jc w:val="left"/>
        <w:rPr>
          <w:b w:val="0"/>
          <w:bCs w:val="0"/>
        </w:rPr>
      </w:pPr>
      <w:bookmarkStart w:name="32、其他重要的会计政策和会计估计" w:id="208"/>
      <w:bookmarkEnd w:id="208"/>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33、重要会计政策和会计估计变更" w:id="209"/>
      <w:bookmarkEnd w:id="209"/>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重要会计政策变更" w:id="210"/>
      <w:bookmarkEnd w:id="21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21"/>
        <w:jc w:val="left"/>
        <w:rPr>
          <w:b w:val="0"/>
          <w:bCs w:val="0"/>
        </w:rPr>
      </w:pPr>
      <w:bookmarkStart w:name="（2）重要会计估计变更" w:id="211"/>
      <w:bookmarkEnd w:id="21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21"/>
        <w:jc w:val="left"/>
        <w:rPr>
          <w:b w:val="0"/>
          <w:bCs w:val="0"/>
        </w:rPr>
      </w:pPr>
      <w:bookmarkStart w:name="34、其他" w:id="212"/>
      <w:bookmarkEnd w:id="212"/>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2"/>
        <w:rPr>
          <w:rFonts w:ascii="宋体" w:hAnsi="宋体" w:cs="宋体" w:eastAsia="宋体" w:hint="default"/>
          <w:sz w:val="25"/>
          <w:szCs w:val="25"/>
        </w:rPr>
      </w:pPr>
    </w:p>
    <w:p>
      <w:pPr>
        <w:pStyle w:val="Heading2"/>
        <w:spacing w:line="240" w:lineRule="auto"/>
        <w:ind w:left="1134" w:right="821"/>
        <w:jc w:val="left"/>
        <w:rPr>
          <w:b w:val="0"/>
          <w:bCs w:val="0"/>
        </w:rPr>
      </w:pPr>
      <w:bookmarkStart w:name="六、税项" w:id="213"/>
      <w:bookmarkEnd w:id="213"/>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821"/>
        <w:jc w:val="left"/>
        <w:rPr>
          <w:b w:val="0"/>
          <w:bCs w:val="0"/>
        </w:rPr>
      </w:pPr>
      <w:bookmarkStart w:name="1、主要税种及税率" w:id="214"/>
      <w:bookmarkEnd w:id="21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销售收入</w:t>
            </w:r>
            <w:r>
              <w:rPr>
                <w:rFonts w:ascii="Times New Roman" w:hAnsi="Times New Roman" w:cs="Times New Roman" w:eastAsia="Times New Roman" w:hint="default"/>
                <w:sz w:val="18"/>
                <w:szCs w:val="18"/>
              </w:rPr>
              <w:t>/</w:t>
            </w:r>
            <w:r>
              <w:rPr>
                <w:rFonts w:ascii="宋体" w:hAnsi="宋体" w:cs="宋体" w:eastAsia="宋体" w:hint="default"/>
                <w:sz w:val="18"/>
                <w:szCs w:val="18"/>
              </w:rPr>
              <w:t>技术服务收入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不动产租赁收入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房产原值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bl>
    <w:p>
      <w:pPr>
        <w:pStyle w:val="BodyText"/>
        <w:spacing w:line="240" w:lineRule="auto" w:before="51"/>
        <w:ind w:left="1134" w:right="821"/>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北京合纵实科电力科技有限公司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北京合纵畅达金属制品有限责任公司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北京合纵开创电气技术有限公司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北京合纵科沃尔电力科技有限公司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天津合纵电力设备有限公司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821"/>
        <w:jc w:val="left"/>
        <w:rPr>
          <w:b w:val="0"/>
          <w:bCs w:val="0"/>
        </w:rPr>
      </w:pPr>
      <w:bookmarkStart w:name="2、税收优惠" w:id="215"/>
      <w:bookmarkEnd w:id="21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360"/>
        <w:jc w:val="both"/>
      </w:pPr>
      <w:r>
        <w:rPr>
          <w:rFonts w:ascii="Times New Roman" w:hAnsi="Times New Roman" w:cs="Times New Roman" w:eastAsia="Times New Roman" w:hint="default"/>
          <w:spacing w:val="-2"/>
        </w:rPr>
        <w:t>1</w:t>
      </w:r>
      <w:r>
        <w:rPr>
          <w:spacing w:val="-2"/>
        </w:rPr>
        <w:t>、本公司位于国家级高新技术产业开发区北京中关村科技园，为高新技术企业，</w:t>
      </w:r>
      <w:r>
        <w:rPr>
          <w:spacing w:val="1"/>
        </w:rPr>
        <w:t> </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30</w:t>
      </w:r>
      <w:r>
        <w:rPr>
          <w:spacing w:val="-1"/>
        </w:rPr>
        <w:t>日本公司取得了编号为</w:t>
      </w:r>
      <w:r>
        <w:rPr/>
        <w:t> </w:t>
      </w:r>
      <w:r>
        <w:rPr>
          <w:rFonts w:ascii="Times New Roman" w:hAnsi="Times New Roman" w:cs="Times New Roman" w:eastAsia="Times New Roman" w:hint="default"/>
        </w:rPr>
        <w:t>GR201411001557</w:t>
      </w:r>
      <w:r>
        <w:rPr/>
        <w:t>号的《高新技术企业证书》，有效期三年。</w:t>
      </w:r>
      <w:r>
        <w:rPr>
          <w:rFonts w:ascii="Times New Roman" w:hAnsi="Times New Roman" w:cs="Times New Roman" w:eastAsia="Times New Roman" w:hint="default"/>
        </w:rPr>
        <w:t>2014</w:t>
      </w:r>
      <w:r>
        <w:rPr/>
        <w:t>年度和</w:t>
      </w:r>
      <w:r>
        <w:rPr>
          <w:rFonts w:ascii="Times New Roman" w:hAnsi="Times New Roman" w:cs="Times New Roman" w:eastAsia="Times New Roman" w:hint="default"/>
        </w:rPr>
        <w:t>2015</w:t>
      </w:r>
      <w:r>
        <w:rPr/>
        <w:t>年度企业所得税税率均为</w:t>
      </w:r>
      <w:r>
        <w:rPr>
          <w:rFonts w:ascii="Times New Roman" w:hAnsi="Times New Roman" w:cs="Times New Roman" w:eastAsia="Times New Roman" w:hint="default"/>
        </w:rPr>
        <w:t>15%</w:t>
      </w:r>
      <w:r>
        <w:rPr/>
        <w:t>。</w:t>
      </w:r>
    </w:p>
    <w:p>
      <w:pPr>
        <w:pStyle w:val="BodyText"/>
        <w:spacing w:line="300" w:lineRule="auto" w:before="13"/>
        <w:ind w:right="1131" w:firstLine="360"/>
        <w:jc w:val="both"/>
      </w:pPr>
      <w:r>
        <w:rPr>
          <w:rFonts w:ascii="Times New Roman" w:hAnsi="Times New Roman" w:cs="Times New Roman" w:eastAsia="Times New Roman" w:hint="default"/>
          <w:spacing w:val="-1"/>
        </w:rPr>
        <w:t>2</w:t>
      </w:r>
      <w:r>
        <w:rPr>
          <w:spacing w:val="-1"/>
        </w:rPr>
        <w:t>、本公司之子公司北京合纵实科电力科技有限公司于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30</w:t>
      </w:r>
      <w:r>
        <w:rPr>
          <w:spacing w:val="-1"/>
        </w:rPr>
        <w:t>日取得了编号为</w:t>
      </w:r>
      <w:r>
        <w:rPr>
          <w:rFonts w:ascii="Times New Roman" w:hAnsi="Times New Roman" w:cs="Times New Roman" w:eastAsia="Times New Roman" w:hint="default"/>
          <w:spacing w:val="-1"/>
        </w:rPr>
        <w:t>GF201211001894</w:t>
      </w:r>
      <w:r>
        <w:rPr>
          <w:spacing w:val="-1"/>
        </w:rPr>
        <w:t>号的《高新技术企</w:t>
      </w:r>
      <w:r>
        <w:rPr/>
        <w:t> </w:t>
      </w:r>
      <w:r>
        <w:rPr>
          <w:spacing w:val="-2"/>
        </w:rPr>
        <w:t>业证书》，有效期三年，</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27</w:t>
      </w:r>
      <w:r>
        <w:rPr>
          <w:spacing w:val="-2"/>
        </w:rPr>
        <w:t>日北京市密云县国家税务局第二税务所对实科公司出具减、免税批准通知书。</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9"/>
        </w:rPr>
        <w:t> </w:t>
      </w:r>
      <w:r>
        <w:rPr/>
        <w:t>月</w:t>
      </w:r>
      <w:r>
        <w:rPr>
          <w:rFonts w:ascii="Times New Roman" w:hAnsi="Times New Roman" w:cs="Times New Roman" w:eastAsia="Times New Roman" w:hint="default"/>
        </w:rPr>
        <w:t>21</w:t>
      </w:r>
      <w:r>
        <w:rPr/>
        <w:t>日重新取得了编号为</w:t>
      </w:r>
      <w:r>
        <w:rPr>
          <w:rFonts w:ascii="Times New Roman" w:hAnsi="Times New Roman" w:cs="Times New Roman" w:eastAsia="Times New Roman" w:hint="default"/>
        </w:rPr>
        <w:t>GR201511000206</w:t>
      </w:r>
      <w:r>
        <w:rPr/>
        <w:t>号的《高新技术企业证书》，有效期三年。</w:t>
      </w:r>
      <w:r>
        <w:rPr>
          <w:rFonts w:ascii="Times New Roman" w:hAnsi="Times New Roman" w:cs="Times New Roman" w:eastAsia="Times New Roman" w:hint="default"/>
        </w:rPr>
        <w:t>2014</w:t>
      </w:r>
      <w:r>
        <w:rPr/>
        <w:t>年度和</w:t>
      </w:r>
      <w:r>
        <w:rPr>
          <w:rFonts w:ascii="Times New Roman" w:hAnsi="Times New Roman" w:cs="Times New Roman" w:eastAsia="Times New Roman" w:hint="default"/>
        </w:rPr>
        <w:t>2015</w:t>
      </w:r>
      <w:r>
        <w:rPr/>
        <w:t>年度企业所得税税率</w:t>
      </w:r>
      <w:r>
        <w:rPr>
          <w:spacing w:val="-67"/>
        </w:rPr>
        <w:t> </w:t>
      </w:r>
      <w:r>
        <w:rPr>
          <w:spacing w:val="-67"/>
        </w:rPr>
      </w:r>
      <w:r>
        <w:rPr/>
        <w:t>均为</w:t>
      </w:r>
      <w:r>
        <w:rPr>
          <w:rFonts w:ascii="Times New Roman" w:hAnsi="Times New Roman" w:cs="Times New Roman" w:eastAsia="Times New Roman" w:hint="default"/>
        </w:rPr>
        <w:t>15%</w:t>
      </w:r>
      <w:r>
        <w:rPr/>
        <w:t>。</w:t>
      </w:r>
    </w:p>
    <w:p>
      <w:pPr>
        <w:pStyle w:val="BodyText"/>
        <w:spacing w:line="300" w:lineRule="auto" w:before="13"/>
        <w:ind w:right="1131" w:firstLine="360"/>
        <w:jc w:val="both"/>
      </w:pPr>
      <w:r>
        <w:rPr>
          <w:rFonts w:ascii="Times New Roman" w:hAnsi="Times New Roman" w:cs="Times New Roman" w:eastAsia="Times New Roman" w:hint="default"/>
          <w:spacing w:val="-2"/>
        </w:rPr>
        <w:t>3</w:t>
      </w:r>
      <w:r>
        <w:rPr>
          <w:spacing w:val="-2"/>
        </w:rPr>
        <w:t>、本公司之子公司北京合纵科沃尔电力科技有限公司于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日取得了编号为</w:t>
      </w:r>
      <w:r>
        <w:rPr>
          <w:rFonts w:ascii="Times New Roman" w:hAnsi="Times New Roman" w:cs="Times New Roman" w:eastAsia="Times New Roman" w:hint="default"/>
          <w:spacing w:val="-2"/>
        </w:rPr>
        <w:t>GR201411000298</w:t>
      </w:r>
      <w:r>
        <w:rPr>
          <w:spacing w:val="-2"/>
        </w:rPr>
        <w:t>号的《高新技术</w:t>
      </w:r>
      <w:r>
        <w:rPr/>
        <w:t> 企业证书》，有效期三年。</w:t>
      </w:r>
      <w:r>
        <w:rPr>
          <w:rFonts w:ascii="Times New Roman" w:hAnsi="Times New Roman" w:cs="Times New Roman" w:eastAsia="Times New Roman" w:hint="default"/>
        </w:rPr>
        <w:t>2014</w:t>
      </w:r>
      <w:r>
        <w:rPr/>
        <w:t>年度和</w:t>
      </w:r>
      <w:r>
        <w:rPr>
          <w:rFonts w:ascii="Times New Roman" w:hAnsi="Times New Roman" w:cs="Times New Roman" w:eastAsia="Times New Roman" w:hint="default"/>
        </w:rPr>
        <w:t>2015</w:t>
      </w:r>
      <w:r>
        <w:rPr/>
        <w:t>年度企业所得税税率均为</w:t>
      </w:r>
      <w:r>
        <w:rPr>
          <w:rFonts w:ascii="Times New Roman" w:hAnsi="Times New Roman" w:cs="Times New Roman" w:eastAsia="Times New Roman" w:hint="default"/>
        </w:rPr>
        <w:t>15%</w:t>
      </w:r>
      <w:r>
        <w:rPr/>
        <w:t>。</w:t>
      </w:r>
    </w:p>
    <w:p>
      <w:pPr>
        <w:spacing w:line="240" w:lineRule="auto" w:before="1"/>
        <w:rPr>
          <w:rFonts w:ascii="宋体" w:hAnsi="宋体" w:cs="宋体" w:eastAsia="宋体" w:hint="default"/>
          <w:sz w:val="22"/>
          <w:szCs w:val="22"/>
        </w:rPr>
      </w:pPr>
    </w:p>
    <w:p>
      <w:pPr>
        <w:pStyle w:val="Heading3"/>
        <w:spacing w:line="240" w:lineRule="auto"/>
        <w:ind w:right="821"/>
        <w:jc w:val="left"/>
        <w:rPr>
          <w:b w:val="0"/>
          <w:bCs w:val="0"/>
        </w:rPr>
      </w:pPr>
      <w:bookmarkStart w:name="3、其他" w:id="216"/>
      <w:bookmarkEnd w:id="216"/>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无。</w:t>
      </w:r>
    </w:p>
    <w:p>
      <w:pPr>
        <w:spacing w:line="240" w:lineRule="auto" w:before="2"/>
        <w:rPr>
          <w:rFonts w:ascii="宋体" w:hAnsi="宋体" w:cs="宋体" w:eastAsia="宋体" w:hint="default"/>
          <w:sz w:val="25"/>
          <w:szCs w:val="25"/>
        </w:rPr>
      </w:pPr>
    </w:p>
    <w:p>
      <w:pPr>
        <w:pStyle w:val="Heading2"/>
        <w:spacing w:line="240" w:lineRule="auto"/>
        <w:ind w:right="821"/>
        <w:jc w:val="left"/>
        <w:rPr>
          <w:b w:val="0"/>
          <w:bCs w:val="0"/>
        </w:rPr>
      </w:pPr>
      <w:bookmarkStart w:name="七、合并财务报表项目注释" w:id="217"/>
      <w:bookmarkEnd w:id="217"/>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货币资金" w:id="218"/>
      <w:bookmarkEnd w:id="21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48,414.89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1,013,016.90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230,933,456.41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184,328,555.34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139,600,294.80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94,808,174.58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370,582,166.10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280,149,746.82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134" w:right="821"/>
        <w:jc w:val="left"/>
        <w:rPr>
          <w:b w:val="0"/>
          <w:bCs w:val="0"/>
        </w:rPr>
      </w:pPr>
      <w:bookmarkStart w:name="2、以公允价值计量且其变动计入当期损益的金融资产" w:id="219"/>
      <w:bookmarkEnd w:id="219"/>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39"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3、衍生金融资产" w:id="220"/>
      <w:bookmarkEnd w:id="22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21"/>
        <w:jc w:val="left"/>
        <w:rPr>
          <w:b w:val="0"/>
          <w:bCs w:val="0"/>
        </w:rPr>
      </w:pPr>
      <w:bookmarkStart w:name="4、应收票据" w:id="221"/>
      <w:bookmarkEnd w:id="221"/>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21"/>
        <w:jc w:val="left"/>
        <w:rPr>
          <w:b w:val="0"/>
          <w:bCs w:val="0"/>
        </w:rPr>
      </w:pPr>
      <w:bookmarkStart w:name="（1）应收票据分类列示" w:id="222"/>
      <w:bookmarkEnd w:id="22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16,565,397.00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16,565,397.00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2）期末公司已质押的应收票据" w:id="223"/>
      <w:bookmarkEnd w:id="223"/>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51"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3）期末公司已背书或贴现且在资产负债表日尚未到期的应收票据" w:id="224"/>
      <w:bookmarkEnd w:id="22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26,229,584.00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26,229,584.00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4）期末公司因出票人未履约而将其转应收账款的票据" w:id="225"/>
      <w:bookmarkEnd w:id="225"/>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51" w:right="821"/>
        <w:jc w:val="left"/>
      </w:pPr>
      <w:r>
        <w:rPr/>
        <w:t>不适用。</w:t>
      </w:r>
    </w:p>
    <w:p>
      <w:pPr>
        <w:spacing w:after="0" w:line="240" w:lineRule="auto"/>
        <w:jc w:val="left"/>
        <w:sectPr>
          <w:footerReference w:type="default" r:id="rId26"/>
          <w:pgSz w:w="11910" w:h="16840"/>
          <w:pgMar w:footer="979" w:header="877" w:top="1100" w:bottom="1160" w:left="0" w:right="0"/>
        </w:sectPr>
      </w:pPr>
    </w:p>
    <w:p>
      <w:pPr>
        <w:spacing w:line="240" w:lineRule="auto" w:before="13"/>
        <w:rPr>
          <w:rFonts w:ascii="宋体" w:hAnsi="宋体" w:cs="宋体" w:eastAsia="宋体" w:hint="default"/>
          <w:sz w:val="23"/>
          <w:szCs w:val="23"/>
        </w:rPr>
      </w:pPr>
    </w:p>
    <w:p>
      <w:pPr>
        <w:pStyle w:val="Heading3"/>
        <w:spacing w:line="240" w:lineRule="auto"/>
        <w:ind w:left="240" w:right="0"/>
        <w:jc w:val="left"/>
        <w:rPr>
          <w:b w:val="0"/>
          <w:bCs w:val="0"/>
        </w:rPr>
      </w:pPr>
      <w:r>
        <w:rPr/>
        <w:pict>
          <v:group style="position:absolute;margin-left:70.5pt;margin-top:-.39635pt;width:701pt;height:.1pt;mso-position-horizontal-relative:page;mso-position-vertical-relative:paragraph;z-index:1624" coordorigin="1410,-8" coordsize="14020,2">
            <v:shape style="position:absolute;left:1410;top:-8;width:14020;height:2" coordorigin="1410,-8" coordsize="14020,0" path="m1410,-8l15430,-8e" filled="false" stroked="true" strokeweight=".72pt" strokecolor="#000000">
              <v:path arrowok="t"/>
            </v:shape>
            <w10:wrap type="none"/>
          </v:group>
        </w:pict>
      </w:r>
      <w:bookmarkStart w:name="5、应收账款" w:id="226"/>
      <w:bookmarkEnd w:id="226"/>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40" w:right="0"/>
        <w:jc w:val="left"/>
        <w:rPr>
          <w:b w:val="0"/>
          <w:bCs w:val="0"/>
        </w:rPr>
      </w:pPr>
      <w:bookmarkStart w:name="（1）应收账款分类披露" w:id="227"/>
      <w:bookmarkEnd w:id="227"/>
      <w:r>
        <w:rPr>
          <w:b w:val="0"/>
          <w:bCs w:val="0"/>
        </w:rPr>
      </w:r>
      <w:r>
        <w:rPr>
          <w:w w:val="95"/>
        </w:rPr>
        <w:t>（</w:t>
      </w:r>
      <w:r>
        <w:rPr>
          <w:rFonts w:ascii="Times New Roman" w:hAnsi="Times New Roman" w:cs="Times New Roman" w:eastAsia="Times New Roman" w:hint="default"/>
          <w:w w:val="95"/>
        </w:rPr>
        <w:t>1</w:t>
      </w:r>
      <w:r>
        <w:rPr>
          <w:w w:val="95"/>
        </w:rPr>
        <w:t>）应收账款分类披露</w:t>
      </w:r>
      <w:r>
        <w:rPr>
          <w:b w:val="0"/>
          <w:bCs w:val="0"/>
        </w:rPr>
      </w:r>
    </w:p>
    <w:p>
      <w:pPr>
        <w:pStyle w:val="BodyText"/>
        <w:spacing w:line="240" w:lineRule="auto" w:before="15"/>
        <w:ind w:left="240" w:right="0"/>
        <w:jc w:val="left"/>
      </w:pPr>
      <w:r>
        <w:rPr/>
        <w:br w:type="column"/>
      </w:r>
      <w:r>
        <w:rPr/>
        <w:t>北京合纵科技股份有限公司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27"/>
          <w:footerReference w:type="default" r:id="rId28"/>
          <w:pgSz w:w="16840" w:h="11910" w:orient="landscape"/>
          <w:pgMar w:header="0" w:footer="0" w:top="800" w:bottom="0" w:left="1200" w:right="0"/>
          <w:cols w:num="2" w:equalWidth="0">
            <w:col w:w="2453" w:space="7638"/>
            <w:col w:w="5549"/>
          </w:cols>
        </w:sectPr>
      </w:pPr>
    </w:p>
    <w:p>
      <w:pPr>
        <w:spacing w:line="240" w:lineRule="auto" w:before="3"/>
        <w:rPr>
          <w:rFonts w:ascii="宋体" w:hAnsi="宋体" w:cs="宋体" w:eastAsia="宋体" w:hint="default"/>
          <w:sz w:val="23"/>
          <w:szCs w:val="23"/>
        </w:rPr>
      </w:pPr>
    </w:p>
    <w:p>
      <w:pPr>
        <w:pStyle w:val="BodyText"/>
        <w:spacing w:line="240" w:lineRule="auto" w:before="44"/>
        <w:ind w:left="0" w:right="1535"/>
        <w:jc w:val="right"/>
      </w:pPr>
      <w:r>
        <w:rPr/>
        <w:t>单位： 元</w:t>
      </w:r>
    </w:p>
    <w:p>
      <w:pPr>
        <w:spacing w:line="240" w:lineRule="auto" w:before="1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112"/>
        <w:gridCol w:w="1571"/>
        <w:gridCol w:w="991"/>
        <w:gridCol w:w="1277"/>
        <w:gridCol w:w="991"/>
        <w:gridCol w:w="1419"/>
        <w:gridCol w:w="1417"/>
        <w:gridCol w:w="992"/>
        <w:gridCol w:w="1417"/>
        <w:gridCol w:w="1277"/>
        <w:gridCol w:w="1559"/>
      </w:tblGrid>
      <w:tr>
        <w:trPr>
          <w:trHeight w:val="403" w:hRule="exact"/>
        </w:trPr>
        <w:tc>
          <w:tcPr>
            <w:tcW w:w="1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62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66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1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5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12" w:type="dxa"/>
            <w:vMerge/>
            <w:tcBorders>
              <w:left w:val="single" w:sz="4" w:space="0" w:color="000000"/>
              <w:bottom w:val="nil" w:sz="6" w:space="0" w:color="auto"/>
              <w:right w:val="single" w:sz="4" w:space="0" w:color="000000"/>
            </w:tcBorders>
            <w:shd w:val="clear" w:color="auto" w:fill="D2D2D2"/>
          </w:tcPr>
          <w:p>
            <w:pPr/>
          </w:p>
        </w:tc>
        <w:tc>
          <w:tcPr>
            <w:tcW w:w="2562" w:type="dxa"/>
            <w:gridSpan w:val="2"/>
            <w:vMerge/>
            <w:tcBorders>
              <w:left w:val="single" w:sz="4" w:space="0" w:color="000000"/>
              <w:bottom w:val="single" w:sz="4" w:space="0" w:color="000000"/>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410" w:type="dxa"/>
            <w:gridSpan w:val="2"/>
            <w:vMerge/>
            <w:tcBorders>
              <w:left w:val="single" w:sz="4" w:space="0" w:color="000000"/>
              <w:bottom w:val="single" w:sz="4" w:space="0" w:color="000000"/>
              <w:right w:val="single" w:sz="4" w:space="0" w:color="000000"/>
            </w:tcBorders>
            <w:shd w:val="clear" w:color="auto" w:fill="D2D2D2"/>
          </w:tcPr>
          <w:p>
            <w:pPr/>
          </w:p>
        </w:tc>
        <w:tc>
          <w:tcPr>
            <w:tcW w:w="2694" w:type="dxa"/>
            <w:gridSpan w:val="2"/>
            <w:vMerge/>
            <w:tcBorders>
              <w:left w:val="single" w:sz="4" w:space="0" w:color="000000"/>
              <w:bottom w:val="single" w:sz="4" w:space="0" w:color="000000"/>
              <w:right w:val="single" w:sz="4" w:space="0" w:color="000000"/>
            </w:tcBorders>
            <w:shd w:val="clear" w:color="auto" w:fill="D2D2D2"/>
          </w:tcPr>
          <w:p>
            <w:pP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7" w:hRule="exact"/>
        </w:trPr>
        <w:tc>
          <w:tcPr>
            <w:tcW w:w="1112" w:type="dxa"/>
            <w:vMerge w:val="restart"/>
            <w:tcBorders>
              <w:top w:val="nil" w:sz="6" w:space="0" w:color="auto"/>
              <w:left w:val="single" w:sz="4" w:space="0" w:color="000000"/>
              <w:right w:val="single" w:sz="4" w:space="0" w:color="000000"/>
            </w:tcBorders>
            <w:shd w:val="clear" w:color="auto" w:fill="D2D2D2"/>
          </w:tcPr>
          <w:p>
            <w:pP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19"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5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12"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38"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88"/>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588,391,147.68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41,536,656.97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7.06%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546,854,490.71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401,388,054.15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29,554,290.81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7.36%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371,833,763.34</w:t>
            </w:r>
          </w:p>
        </w:tc>
      </w:tr>
      <w:tr>
        <w:trPr>
          <w:trHeight w:val="1650"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8"/>
              <w:jc w:val="both"/>
              <w:rPr>
                <w:rFonts w:ascii="宋体" w:hAnsi="宋体" w:cs="宋体" w:eastAsia="宋体" w:hint="default"/>
                <w:sz w:val="18"/>
                <w:szCs w:val="18"/>
              </w:rPr>
            </w:pPr>
            <w:r>
              <w:rPr>
                <w:rFonts w:ascii="宋体" w:hAnsi="宋体" w:cs="宋体" w:eastAsia="宋体" w:hint="default"/>
                <w:sz w:val="18"/>
                <w:szCs w:val="18"/>
              </w:rPr>
              <w:t>单项金额不 重大但单独 计提坏账准 备的应收账 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955,662.42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955,662.42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588,391,147.68</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41,536,656.97</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546,854,490.71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402,343,716.57</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30,509,953.23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371,833,763.34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0" w:right="1436"/>
        <w:jc w:val="right"/>
        <w:rPr>
          <w:rFonts w:ascii="Times New Roman" w:hAnsi="Times New Roman" w:cs="Times New Roman" w:eastAsia="Times New Roman" w:hint="default"/>
        </w:rPr>
      </w:pPr>
      <w:r>
        <w:rPr/>
        <w:pict>
          <v:shape style="position:absolute;margin-left:201.919983pt;margin-top:18.122345pt;width:640pt;height:42pt;mso-position-horizontal-relative:page;mso-position-vertical-relative:paragraph;z-index:1648" type="#_x0000_t75" stroked="false">
            <v:imagedata r:id="rId29" o:title=""/>
          </v:shape>
        </w:pict>
      </w:r>
      <w:r>
        <w:rPr>
          <w:rFonts w:ascii="Times New Roman"/>
        </w:rPr>
        <w:t>101</w:t>
      </w:r>
    </w:p>
    <w:p>
      <w:pPr>
        <w:spacing w:after="0" w:line="240" w:lineRule="auto"/>
        <w:jc w:val="right"/>
        <w:rPr>
          <w:rFonts w:ascii="Times New Roman" w:hAnsi="Times New Roman" w:cs="Times New Roman" w:eastAsia="Times New Roman" w:hint="default"/>
        </w:rPr>
        <w:sectPr>
          <w:type w:val="continuous"/>
          <w:pgSz w:w="16840" w:h="11910" w:orient="landscape"/>
          <w:pgMar w:top="1060" w:bottom="1160" w:left="1200" w:right="0"/>
        </w:sectPr>
      </w:pPr>
    </w:p>
    <w:p>
      <w:pPr>
        <w:spacing w:line="240" w:lineRule="auto" w:before="0"/>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footerReference w:type="default" r:id="rId30"/>
          <w:pgSz w:w="11910" w:h="16840"/>
          <w:pgMar w:footer="979" w:header="0" w:top="1100" w:bottom="1160" w:left="0" w:right="0"/>
          <w:pgNumType w:start="102"/>
        </w:sectPr>
      </w:pPr>
    </w:p>
    <w:p>
      <w:pPr>
        <w:pStyle w:val="BodyText"/>
        <w:spacing w:line="240" w:lineRule="auto" w:before="44"/>
        <w:ind w:right="-19"/>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205"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8"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5"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508,350,597.76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25,417,529.89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56,677,840.24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5,667,784.02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10,654,356.90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2,130,871.38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8,256,230.50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4,128,115.25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1,298,829.25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1,039,063.40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3,153,293.03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3,153,293.03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588,391,147.68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41,536,656.97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7"/>
          <w:szCs w:val="27"/>
        </w:rPr>
      </w:pPr>
    </w:p>
    <w:p>
      <w:pPr>
        <w:pStyle w:val="BodyText"/>
        <w:spacing w:line="240" w:lineRule="auto" w:before="44"/>
        <w:ind w:left="1134" w:right="821"/>
        <w:jc w:val="left"/>
      </w:pPr>
      <w:r>
        <w:rPr/>
        <w:t>组合中，采用余额百分比法计提坏账准备的应收账款：</w:t>
      </w:r>
    </w:p>
    <w:p>
      <w:pPr>
        <w:pStyle w:val="BodyText"/>
        <w:spacing w:line="33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3"/>
        <w:rPr>
          <w:rFonts w:ascii="宋体" w:hAnsi="宋体" w:cs="宋体" w:eastAsia="宋体" w:hint="default"/>
          <w:sz w:val="21"/>
          <w:szCs w:val="21"/>
        </w:rPr>
      </w:pPr>
    </w:p>
    <w:p>
      <w:pPr>
        <w:pStyle w:val="Heading3"/>
        <w:spacing w:line="240" w:lineRule="auto"/>
        <w:ind w:right="821"/>
        <w:jc w:val="left"/>
        <w:rPr>
          <w:b w:val="0"/>
          <w:bCs w:val="0"/>
        </w:rPr>
      </w:pPr>
      <w:bookmarkStart w:name="（2）本期计提、收回或转回的坏账准备情况" w:id="228"/>
      <w:bookmarkEnd w:id="22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821"/>
        <w:jc w:val="left"/>
      </w:pPr>
      <w:r>
        <w:rPr/>
        <w:t>本期计提坏账准备金额</w:t>
      </w:r>
      <w:r>
        <w:rPr>
          <w:spacing w:val="-49"/>
        </w:rPr>
        <w:t> </w:t>
      </w:r>
      <w:r>
        <w:rPr>
          <w:rFonts w:ascii="Times New Roman" w:hAnsi="Times New Roman" w:cs="Times New Roman" w:eastAsia="Times New Roman" w:hint="default"/>
        </w:rPr>
        <w:t>11,026,703.74</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line="240" w:lineRule="auto" w:before="10"/>
        <w:rPr>
          <w:rFonts w:ascii="宋体" w:hAnsi="宋体" w:cs="宋体" w:eastAsia="宋体" w:hint="default"/>
          <w:sz w:val="25"/>
          <w:szCs w:val="25"/>
        </w:rPr>
      </w:pPr>
    </w:p>
    <w:p>
      <w:pPr>
        <w:pStyle w:val="Heading3"/>
        <w:spacing w:line="240" w:lineRule="auto"/>
        <w:ind w:right="821"/>
        <w:jc w:val="left"/>
        <w:rPr>
          <w:b w:val="0"/>
          <w:bCs w:val="0"/>
        </w:rPr>
      </w:pPr>
      <w:bookmarkStart w:name="（3）本期实际核销的应收账款情况" w:id="229"/>
      <w:bookmarkEnd w:id="22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51"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4）按欠款方归集的期末余额前五名的应收账款情况" w:id="230"/>
      <w:bookmarkEnd w:id="23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550"/>
        <w:jc w:val="right"/>
      </w:pPr>
      <w:r>
        <w:rPr/>
        <w:t>单位：元</w:t>
      </w:r>
    </w:p>
    <w:p>
      <w:pPr>
        <w:spacing w:line="240" w:lineRule="auto" w:before="5"/>
        <w:rPr>
          <w:rFonts w:ascii="宋体" w:hAnsi="宋体" w:cs="宋体" w:eastAsia="宋体" w:hint="default"/>
          <w:sz w:val="23"/>
          <w:szCs w:val="23"/>
        </w:rPr>
      </w:pPr>
    </w:p>
    <w:tbl>
      <w:tblPr>
        <w:tblW w:w="0" w:type="auto"/>
        <w:jc w:val="left"/>
        <w:tblInd w:w="1126" w:type="dxa"/>
        <w:tblLayout w:type="fixed"/>
        <w:tblCellMar>
          <w:top w:w="0" w:type="dxa"/>
          <w:left w:w="0" w:type="dxa"/>
          <w:bottom w:w="0" w:type="dxa"/>
          <w:right w:w="0" w:type="dxa"/>
        </w:tblCellMar>
        <w:tblLook w:val="01E0"/>
      </w:tblPr>
      <w:tblGrid>
        <w:gridCol w:w="2848"/>
        <w:gridCol w:w="1488"/>
        <w:gridCol w:w="1194"/>
        <w:gridCol w:w="1750"/>
        <w:gridCol w:w="1324"/>
      </w:tblGrid>
      <w:tr>
        <w:trPr>
          <w:trHeight w:val="659"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91" w:right="57"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占应收账款年末余额 合计数的比例</w:t>
            </w:r>
            <w:r>
              <w:rPr>
                <w:rFonts w:ascii="Times New Roman" w:hAnsi="Times New Roman" w:cs="Times New Roman" w:eastAsia="Times New Roman" w:hint="default"/>
                <w:sz w:val="18"/>
                <w:szCs w:val="18"/>
              </w:rPr>
              <w:t>(%)</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63" w:right="23" w:hanging="540"/>
              <w:jc w:val="left"/>
              <w:rPr>
                <w:rFonts w:ascii="宋体" w:hAnsi="宋体" w:cs="宋体" w:eastAsia="宋体" w:hint="default"/>
                <w:sz w:val="18"/>
                <w:szCs w:val="18"/>
              </w:rPr>
            </w:pPr>
            <w:r>
              <w:rPr>
                <w:rFonts w:ascii="宋体" w:hAnsi="宋体" w:cs="宋体" w:eastAsia="宋体" w:hint="default"/>
                <w:sz w:val="18"/>
                <w:szCs w:val="18"/>
              </w:rPr>
              <w:t>坏账准备年末余 额</w:t>
            </w:r>
          </w:p>
        </w:tc>
      </w:tr>
      <w:tr>
        <w:trPr>
          <w:trHeight w:val="347"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江苏省电力公司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52,084,703.17</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8.85</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2,604,235.16</w:t>
            </w:r>
          </w:p>
        </w:tc>
      </w:tr>
      <w:tr>
        <w:trPr>
          <w:trHeight w:val="347"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国网河南省电力公司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26,739,472.46</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4.54</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1,336,973.62</w:t>
            </w:r>
          </w:p>
        </w:tc>
      </w:tr>
      <w:tr>
        <w:trPr>
          <w:trHeight w:val="347"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国网湖北省电力公司物资公司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20,294,061.59</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3.45</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1,014,703.08</w:t>
            </w:r>
          </w:p>
        </w:tc>
      </w:tr>
      <w:tr>
        <w:trPr>
          <w:trHeight w:val="347"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国网河北省电力公司物资分公司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20,291,413.43</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3.44</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1,014,570.67</w:t>
            </w:r>
          </w:p>
        </w:tc>
      </w:tr>
      <w:tr>
        <w:trPr>
          <w:trHeight w:val="348"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国网湖南省电力公司物资公司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17,607,657.89</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2.99</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880,382.89</w:t>
            </w:r>
          </w:p>
        </w:tc>
      </w:tr>
      <w:tr>
        <w:trPr>
          <w:trHeight w:val="347" w:hRule="exact"/>
        </w:trPr>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137,017,308.54</w:t>
            </w:r>
          </w:p>
        </w:tc>
        <w:tc>
          <w:tcPr>
            <w:tcW w:w="1194"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23.27</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6,850,865.42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821"/>
        <w:jc w:val="left"/>
        <w:rPr>
          <w:b w:val="0"/>
          <w:bCs w:val="0"/>
        </w:rPr>
      </w:pPr>
      <w:bookmarkStart w:name="（5）因金融资产转移而终止确认的应收账款" w:id="231"/>
      <w:bookmarkEnd w:id="23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6）转移应收账款且继续涉入形成的资产、负债金额" w:id="232"/>
      <w:bookmarkEnd w:id="23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6、预付款项" w:id="233"/>
      <w:bookmarkEnd w:id="233"/>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预付款项按账龄列示" w:id="234"/>
      <w:bookmarkEnd w:id="23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12,793,450.13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14,730,302.78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4,747,902.00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629,365.83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56,468.18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17,541,352.13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15,416,136.79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532" w:lineRule="auto" w:before="51"/>
        <w:ind w:left="1494" w:right="5894" w:hanging="36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一年以上的预付账款主要为预付技术转让费。</w:t>
      </w:r>
    </w:p>
    <w:p>
      <w:pPr>
        <w:pStyle w:val="Heading3"/>
        <w:spacing w:line="240" w:lineRule="auto" w:before="131"/>
        <w:ind w:left="1134" w:right="821"/>
        <w:jc w:val="left"/>
        <w:rPr>
          <w:b w:val="0"/>
          <w:bCs w:val="0"/>
        </w:rPr>
      </w:pPr>
      <w:bookmarkStart w:name="（2）按预付对象归集的期末余额前五名的预付款情况" w:id="235"/>
      <w:bookmarkEnd w:id="23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2615"/>
        <w:jc w:val="right"/>
      </w:pPr>
      <w:r>
        <w:rPr/>
        <w:t>单位：元</w:t>
      </w:r>
    </w:p>
    <w:p>
      <w:pPr>
        <w:spacing w:line="240" w:lineRule="auto" w:before="5"/>
        <w:rPr>
          <w:rFonts w:ascii="宋体" w:hAnsi="宋体" w:cs="宋体" w:eastAsia="宋体" w:hint="default"/>
          <w:sz w:val="23"/>
          <w:szCs w:val="23"/>
        </w:rPr>
      </w:pPr>
    </w:p>
    <w:tbl>
      <w:tblPr>
        <w:tblW w:w="0" w:type="auto"/>
        <w:jc w:val="left"/>
        <w:tblInd w:w="1126" w:type="dxa"/>
        <w:tblLayout w:type="fixed"/>
        <w:tblCellMar>
          <w:top w:w="0" w:type="dxa"/>
          <w:left w:w="0" w:type="dxa"/>
          <w:bottom w:w="0" w:type="dxa"/>
          <w:right w:w="0" w:type="dxa"/>
        </w:tblCellMar>
        <w:tblLook w:val="01E0"/>
      </w:tblPr>
      <w:tblGrid>
        <w:gridCol w:w="3700"/>
        <w:gridCol w:w="1701"/>
        <w:gridCol w:w="1559"/>
        <w:gridCol w:w="1575"/>
      </w:tblGrid>
      <w:tr>
        <w:trPr>
          <w:trHeight w:val="660" w:hRule="exact"/>
        </w:trPr>
        <w:tc>
          <w:tcPr>
            <w:tcW w:w="3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4" w:right="13"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占预付款项年末余 额合计数的比例</w:t>
            </w:r>
            <w:r>
              <w:rPr>
                <w:rFonts w:ascii="Times New Roman" w:hAnsi="Times New Roman" w:cs="Times New Roman" w:eastAsia="Times New Roman" w:hint="default"/>
                <w:sz w:val="18"/>
                <w:szCs w:val="18"/>
              </w:rPr>
              <w:t>(%)</w:t>
            </w:r>
          </w:p>
        </w:tc>
      </w:tr>
      <w:tr>
        <w:trPr>
          <w:trHeight w:val="347" w:hRule="exact"/>
        </w:trPr>
        <w:tc>
          <w:tcPr>
            <w:tcW w:w="3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天津智电科技有限公司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4,580,000.00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26.11</w:t>
            </w:r>
          </w:p>
        </w:tc>
      </w:tr>
      <w:tr>
        <w:trPr>
          <w:trHeight w:val="347" w:hRule="exact"/>
        </w:trPr>
        <w:tc>
          <w:tcPr>
            <w:tcW w:w="3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中电英大（北京）国家贸易有限公司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17.10</w:t>
            </w:r>
          </w:p>
        </w:tc>
      </w:tr>
      <w:tr>
        <w:trPr>
          <w:trHeight w:val="347" w:hRule="exact"/>
        </w:trPr>
        <w:tc>
          <w:tcPr>
            <w:tcW w:w="3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北京温塔热力有限公司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2,370,757.74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13.52</w:t>
            </w:r>
          </w:p>
        </w:tc>
      </w:tr>
      <w:tr>
        <w:trPr>
          <w:trHeight w:val="347" w:hRule="exact"/>
        </w:trPr>
        <w:tc>
          <w:tcPr>
            <w:tcW w:w="3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中电联星光（北京）影视传媒有限公司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1,701,396.35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9.70</w:t>
            </w:r>
          </w:p>
        </w:tc>
      </w:tr>
      <w:tr>
        <w:trPr>
          <w:trHeight w:val="347" w:hRule="exact"/>
        </w:trPr>
        <w:tc>
          <w:tcPr>
            <w:tcW w:w="3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上海快业特电气股份有限公司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859,350.00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4.90</w:t>
            </w:r>
          </w:p>
        </w:tc>
      </w:tr>
      <w:tr>
        <w:trPr>
          <w:trHeight w:val="348" w:hRule="exact"/>
        </w:trPr>
        <w:tc>
          <w:tcPr>
            <w:tcW w:w="3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12,511,504.09</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71.33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799" w:right="9276"/>
        <w:jc w:val="center"/>
        <w:rPr>
          <w:b w:val="0"/>
          <w:bCs w:val="0"/>
        </w:rPr>
      </w:pPr>
      <w:bookmarkStart w:name="7、应收利息" w:id="236"/>
      <w:bookmarkEnd w:id="236"/>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after="0" w:line="240" w:lineRule="auto"/>
        <w:jc w:val="center"/>
        <w:sectPr>
          <w:pgSz w:w="11910" w:h="16840"/>
          <w:pgMar w:header="0"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left="799" w:right="9276"/>
        <w:jc w:val="center"/>
        <w:rPr>
          <w:b w:val="0"/>
          <w:bCs w:val="0"/>
        </w:rPr>
      </w:pPr>
      <w:bookmarkStart w:name="8、应收股利" w:id="237"/>
      <w:bookmarkEnd w:id="237"/>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after="0" w:line="240" w:lineRule="auto"/>
        <w:jc w:val="center"/>
        <w:sectPr>
          <w:pgSz w:w="11910" w:h="16840"/>
          <w:pgMar w:header="0" w:footer="979" w:top="1100" w:bottom="1160" w:left="0" w:right="0"/>
        </w:sectPr>
      </w:pPr>
    </w:p>
    <w:p>
      <w:pPr>
        <w:spacing w:line="240" w:lineRule="auto" w:before="13"/>
        <w:rPr>
          <w:rFonts w:ascii="宋体" w:hAnsi="宋体" w:cs="宋体" w:eastAsia="宋体" w:hint="default"/>
          <w:sz w:val="23"/>
          <w:szCs w:val="23"/>
        </w:rPr>
      </w:pPr>
    </w:p>
    <w:p>
      <w:pPr>
        <w:pStyle w:val="Heading3"/>
        <w:spacing w:line="240" w:lineRule="auto"/>
        <w:ind w:left="140" w:right="0"/>
        <w:jc w:val="left"/>
        <w:rPr>
          <w:b w:val="0"/>
          <w:bCs w:val="0"/>
        </w:rPr>
      </w:pPr>
      <w:r>
        <w:rPr/>
        <w:pict>
          <v:group style="position:absolute;margin-left:70.5pt;margin-top:-.39635pt;width:701pt;height:.1pt;mso-position-horizontal-relative:page;mso-position-vertical-relative:paragraph;z-index:1672" coordorigin="1410,-8" coordsize="14020,2">
            <v:shape style="position:absolute;left:1410;top:-8;width:14020;height:2" coordorigin="1410,-8" coordsize="14020,0" path="m1410,-8l15430,-8e" filled="false" stroked="true" strokeweight=".72pt" strokecolor="#000000">
              <v:path arrowok="t"/>
            </v:shape>
            <w10:wrap type="none"/>
          </v:group>
        </w:pict>
      </w:r>
      <w:bookmarkStart w:name="9、其他应收款" w:id="238"/>
      <w:bookmarkEnd w:id="238"/>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39" w:right="0"/>
        <w:jc w:val="left"/>
        <w:rPr>
          <w:b w:val="0"/>
          <w:bCs w:val="0"/>
        </w:rPr>
      </w:pPr>
      <w:bookmarkStart w:name="（1）其他应收款分类披露" w:id="239"/>
      <w:bookmarkEnd w:id="239"/>
      <w:r>
        <w:rPr>
          <w:b w:val="0"/>
          <w:bCs w:val="0"/>
        </w:rPr>
      </w:r>
      <w:r>
        <w:rPr>
          <w:w w:val="95"/>
        </w:rPr>
        <w:t>（</w:t>
      </w:r>
      <w:r>
        <w:rPr>
          <w:rFonts w:ascii="Times New Roman" w:hAnsi="Times New Roman" w:cs="Times New Roman" w:eastAsia="Times New Roman" w:hint="default"/>
          <w:w w:val="95"/>
        </w:rPr>
        <w:t>1</w:t>
      </w:r>
      <w:r>
        <w:rPr>
          <w:w w:val="95"/>
        </w:rPr>
        <w:t>）其他应收款分类披露</w:t>
      </w:r>
      <w:r>
        <w:rPr>
          <w:b w:val="0"/>
          <w:bCs w:val="0"/>
        </w:rPr>
      </w:r>
    </w:p>
    <w:p>
      <w:pPr>
        <w:pStyle w:val="BodyText"/>
        <w:spacing w:line="240" w:lineRule="auto" w:before="15"/>
        <w:ind w:left="140" w:right="0"/>
        <w:jc w:val="left"/>
      </w:pPr>
      <w:r>
        <w:rPr/>
        <w:br w:type="column"/>
      </w:r>
      <w:r>
        <w:rPr/>
        <w:t>北京合纵科技股份有限公司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31"/>
          <w:footerReference w:type="default" r:id="rId32"/>
          <w:pgSz w:w="16840" w:h="11910" w:orient="landscape"/>
          <w:pgMar w:header="0" w:footer="0" w:top="800" w:bottom="0" w:left="1300" w:right="0"/>
          <w:cols w:num="2" w:equalWidth="0">
            <w:col w:w="2563" w:space="7528"/>
            <w:col w:w="5449"/>
          </w:cols>
        </w:sectPr>
      </w:pPr>
    </w:p>
    <w:p>
      <w:pPr>
        <w:spacing w:line="240" w:lineRule="auto" w:before="3"/>
        <w:rPr>
          <w:rFonts w:ascii="宋体" w:hAnsi="宋体" w:cs="宋体" w:eastAsia="宋体" w:hint="default"/>
          <w:sz w:val="23"/>
          <w:szCs w:val="23"/>
        </w:rPr>
      </w:pPr>
    </w:p>
    <w:p>
      <w:pPr>
        <w:pStyle w:val="BodyText"/>
        <w:spacing w:line="240" w:lineRule="auto" w:before="44"/>
        <w:ind w:left="0" w:right="1535"/>
        <w:jc w:val="right"/>
      </w:pPr>
      <w:r>
        <w:rPr/>
        <w:t>单位： 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407"/>
        <w:gridCol w:w="1559"/>
        <w:gridCol w:w="992"/>
        <w:gridCol w:w="1134"/>
        <w:gridCol w:w="851"/>
        <w:gridCol w:w="1418"/>
        <w:gridCol w:w="1276"/>
        <w:gridCol w:w="992"/>
        <w:gridCol w:w="1134"/>
        <w:gridCol w:w="1276"/>
        <w:gridCol w:w="1844"/>
      </w:tblGrid>
      <w:tr>
        <w:trPr>
          <w:trHeight w:val="403"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52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4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25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407" w:type="dxa"/>
            <w:vMerge/>
            <w:tcBorders>
              <w:left w:val="single" w:sz="4" w:space="0" w:color="000000"/>
              <w:bottom w:val="nil" w:sz="6" w:space="0" w:color="auto"/>
              <w:right w:val="single" w:sz="4" w:space="0" w:color="000000"/>
            </w:tcBorders>
            <w:shd w:val="clear" w:color="auto" w:fill="D2D2D2"/>
          </w:tcPr>
          <w:p>
            <w:pPr/>
          </w:p>
        </w:tc>
        <w:tc>
          <w:tcPr>
            <w:tcW w:w="2551"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2410" w:type="dxa"/>
            <w:gridSpan w:val="2"/>
            <w:vMerge/>
            <w:tcBorders>
              <w:left w:val="single" w:sz="4" w:space="0" w:color="000000"/>
              <w:bottom w:val="single" w:sz="4" w:space="0" w:color="000000"/>
              <w:right w:val="single" w:sz="4" w:space="0" w:color="000000"/>
            </w:tcBorders>
            <w:shd w:val="clear" w:color="auto" w:fill="D2D2D2"/>
          </w:tcPr>
          <w:p>
            <w:pPr/>
          </w:p>
        </w:tc>
        <w:tc>
          <w:tcPr>
            <w:tcW w:w="1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7" w:hRule="exact"/>
        </w:trPr>
        <w:tc>
          <w:tcPr>
            <w:tcW w:w="1407" w:type="dxa"/>
            <w:vMerge w:val="restart"/>
            <w:tcBorders>
              <w:top w:val="nil" w:sz="6" w:space="0" w:color="auto"/>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18"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44"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407"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24"/>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28,382,097.11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1,531,859.95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5.40%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26,850,237.16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20,891,704.98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1,615,822.72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7.73%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19,275,882.26</w:t>
            </w:r>
          </w:p>
        </w:tc>
      </w:tr>
      <w:tr>
        <w:trPr>
          <w:trHeight w:val="403"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28,382,097.11</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1,531,859.95</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26,850,237.16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20,891,704.98</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1,615,822.72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19,275,882.26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76"/>
        <w:ind w:left="0" w:right="1436"/>
        <w:jc w:val="right"/>
        <w:rPr>
          <w:rFonts w:ascii="Times New Roman" w:hAnsi="Times New Roman" w:cs="Times New Roman" w:eastAsia="Times New Roman" w:hint="default"/>
        </w:rPr>
      </w:pPr>
      <w:r>
        <w:rPr/>
        <w:pict>
          <v:shape style="position:absolute;margin-left:201.919983pt;margin-top:21.922344pt;width:640pt;height:42pt;mso-position-horizontal-relative:page;mso-position-vertical-relative:paragraph;z-index:1696" type="#_x0000_t75" stroked="false">
            <v:imagedata r:id="rId29" o:title=""/>
          </v:shape>
        </w:pict>
      </w:r>
      <w:r>
        <w:rPr>
          <w:rFonts w:ascii="Times New Roman"/>
        </w:rPr>
        <w:t>105</w:t>
      </w:r>
    </w:p>
    <w:p>
      <w:pPr>
        <w:spacing w:after="0" w:line="240" w:lineRule="auto"/>
        <w:jc w:val="right"/>
        <w:rPr>
          <w:rFonts w:ascii="Times New Roman" w:hAnsi="Times New Roman" w:cs="Times New Roman" w:eastAsia="Times New Roman" w:hint="default"/>
        </w:rPr>
        <w:sectPr>
          <w:type w:val="continuous"/>
          <w:pgSz w:w="16840" w:h="11910" w:orient="landscape"/>
          <w:pgMar w:top="1060" w:bottom="1160" w:left="1300" w:right="0"/>
        </w:sectPr>
      </w:pPr>
    </w:p>
    <w:p>
      <w:pPr>
        <w:spacing w:line="240" w:lineRule="auto" w:before="0"/>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footerReference w:type="default" r:id="rId33"/>
          <w:pgSz w:w="11910" w:h="16840"/>
          <w:pgMar w:footer="979" w:header="0" w:top="1100" w:bottom="1160" w:left="0" w:right="0"/>
          <w:pgNumType w:start="106"/>
        </w:sectPr>
      </w:pPr>
    </w:p>
    <w:p>
      <w:pPr>
        <w:pStyle w:val="BodyText"/>
        <w:spacing w:line="240" w:lineRule="auto" w:before="44"/>
        <w:ind w:right="-19"/>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205"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9"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5"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27,160,840.31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1,356,438.81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688,302.32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68,830.24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532,954.48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106,590.90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28,382,097.11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1,531,859.95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7"/>
          <w:szCs w:val="27"/>
        </w:rPr>
      </w:pPr>
    </w:p>
    <w:p>
      <w:pPr>
        <w:pStyle w:val="BodyText"/>
        <w:spacing w:line="240" w:lineRule="auto" w:before="44"/>
        <w:ind w:left="1134" w:right="821"/>
        <w:jc w:val="left"/>
      </w:pPr>
      <w:r>
        <w:rPr/>
        <w:t>组合中，采用余额百分比法计提坏账准备的其他应收款：</w:t>
      </w:r>
    </w:p>
    <w:p>
      <w:pPr>
        <w:pStyle w:val="BodyText"/>
        <w:spacing w:line="338"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21"/>
        <w:jc w:val="left"/>
        <w:rPr>
          <w:b w:val="0"/>
          <w:bCs w:val="0"/>
        </w:rPr>
      </w:pPr>
      <w:bookmarkStart w:name="（2）本期计提、收回或转回的坏账准备情况" w:id="240"/>
      <w:bookmarkEnd w:id="24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821"/>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83,962.77</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821"/>
        <w:jc w:val="left"/>
        <w:rPr>
          <w:b w:val="0"/>
          <w:bCs w:val="0"/>
        </w:rPr>
      </w:pPr>
      <w:bookmarkStart w:name="（3）本期实际核销的其他应收款情况" w:id="241"/>
      <w:bookmarkEnd w:id="24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351"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4）其他应收款按款项性质分类情况" w:id="242"/>
      <w:bookmarkEnd w:id="24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28,382,097.11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20,891,704.98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28,382,097.11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20,891,704.98</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5）按欠款方归集的期末余额前五名的其他应收款情况" w:id="243"/>
      <w:bookmarkEnd w:id="24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国网福建招标有限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3,140,000.00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4" w:right="0"/>
              <w:jc w:val="left"/>
              <w:rPr>
                <w:rFonts w:ascii="Times New Roman" w:hAnsi="Times New Roman" w:cs="Times New Roman" w:eastAsia="Times New Roman" w:hint="default"/>
                <w:sz w:val="18"/>
                <w:szCs w:val="18"/>
              </w:rPr>
            </w:pPr>
            <w:r>
              <w:rPr>
                <w:rFonts w:ascii="Times New Roman"/>
                <w:sz w:val="18"/>
              </w:rPr>
              <w:t>11.06%</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安徽皖电招标有限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国网四川招标有限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湖南湘能创业招标 代理有限公司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5.11%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河南电力物资公司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9,744,000.00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34.33%</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6）涉及政府补助的应收款项" w:id="244"/>
      <w:bookmarkEnd w:id="24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81" w:right="9276"/>
        <w:jc w:val="center"/>
      </w:pPr>
      <w:r>
        <w:rPr/>
        <w:t>无。</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7）因金融资产转移而终止确认的其他应收款" w:id="245"/>
      <w:bookmarkEnd w:id="245"/>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81" w:right="9276"/>
        <w:jc w:val="center"/>
      </w:pPr>
      <w:r>
        <w:rPr/>
        <w:t>无。</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8）转移其他应收款且继续涉入形成的资产、负债金额" w:id="246"/>
      <w:bookmarkEnd w:id="246"/>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81" w:right="9276"/>
        <w:jc w:val="center"/>
      </w:pPr>
      <w:r>
        <w:rPr/>
        <w:t>无。</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10、存货" w:id="247"/>
      <w:bookmarkEnd w:id="247"/>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821"/>
        <w:jc w:val="left"/>
        <w:rPr>
          <w:b w:val="0"/>
          <w:bCs w:val="0"/>
        </w:rPr>
      </w:pPr>
      <w:bookmarkStart w:name="（1）存货分类" w:id="248"/>
      <w:bookmarkEnd w:id="24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62" w:type="dxa"/>
        <w:tblLayout w:type="fixed"/>
        <w:tblCellMar>
          <w:top w:w="0" w:type="dxa"/>
          <w:left w:w="0" w:type="dxa"/>
          <w:bottom w:w="0" w:type="dxa"/>
          <w:right w:w="0" w:type="dxa"/>
        </w:tblCellMar>
        <w:tblLook w:val="01E0"/>
      </w:tblPr>
      <w:tblGrid>
        <w:gridCol w:w="1242"/>
        <w:gridCol w:w="1494"/>
        <w:gridCol w:w="1200"/>
        <w:gridCol w:w="1534"/>
        <w:gridCol w:w="1586"/>
        <w:gridCol w:w="1148"/>
        <w:gridCol w:w="1367"/>
      </w:tblGrid>
      <w:tr>
        <w:trPr>
          <w:trHeight w:val="206" w:hRule="exact"/>
        </w:trPr>
        <w:tc>
          <w:tcPr>
            <w:tcW w:w="124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2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2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228"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242" w:type="dxa"/>
            <w:vMerge/>
            <w:tcBorders>
              <w:left w:val="single" w:sz="4" w:space="0" w:color="000000"/>
              <w:bottom w:val="nil" w:sz="6" w:space="0" w:color="auto"/>
              <w:right w:val="single" w:sz="4" w:space="0" w:color="000000"/>
            </w:tcBorders>
            <w:shd w:val="clear" w:color="auto" w:fill="D2D2D2"/>
          </w:tcPr>
          <w:p>
            <w:pPr/>
          </w:p>
        </w:tc>
        <w:tc>
          <w:tcPr>
            <w:tcW w:w="1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0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2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4"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534"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67,903,638.45</w:t>
            </w:r>
          </w:p>
        </w:tc>
        <w:tc>
          <w:tcPr>
            <w:tcW w:w="120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67,903,638.45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73,833,141.60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73,833,141.60</w:t>
            </w:r>
          </w:p>
        </w:tc>
      </w:tr>
      <w:tr>
        <w:trPr>
          <w:trHeight w:val="402" w:hRule="exact"/>
        </w:trPr>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33,543,901.21</w:t>
            </w:r>
          </w:p>
        </w:tc>
        <w:tc>
          <w:tcPr>
            <w:tcW w:w="120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33,543,901.21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26,409,323.96</w:t>
            </w:r>
          </w:p>
        </w:tc>
        <w:tc>
          <w:tcPr>
            <w:tcW w:w="11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26,409,323.96</w:t>
            </w:r>
          </w:p>
        </w:tc>
      </w:tr>
      <w:tr>
        <w:trPr>
          <w:trHeight w:val="402" w:hRule="exact"/>
        </w:trPr>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29,866,314.28</w:t>
            </w:r>
          </w:p>
        </w:tc>
        <w:tc>
          <w:tcPr>
            <w:tcW w:w="120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29,866,314.28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35,861,197.81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90,101.07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35,771,096.74</w:t>
            </w:r>
          </w:p>
        </w:tc>
      </w:tr>
      <w:tr>
        <w:trPr>
          <w:trHeight w:val="40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36,098,231.52</w:t>
            </w:r>
          </w:p>
        </w:tc>
        <w:tc>
          <w:tcPr>
            <w:tcW w:w="120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36,098,231.52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43,498,654.06</w:t>
            </w:r>
          </w:p>
        </w:tc>
        <w:tc>
          <w:tcPr>
            <w:tcW w:w="11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43,498,654.06</w:t>
            </w:r>
          </w:p>
        </w:tc>
      </w:tr>
      <w:tr>
        <w:trPr>
          <w:trHeight w:val="40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189,846.87</w:t>
            </w:r>
          </w:p>
        </w:tc>
        <w:tc>
          <w:tcPr>
            <w:tcW w:w="120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189,846.87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470,479.31</w:t>
            </w:r>
          </w:p>
        </w:tc>
        <w:tc>
          <w:tcPr>
            <w:tcW w:w="11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470,479.31</w:t>
            </w:r>
          </w:p>
        </w:tc>
      </w:tr>
      <w:tr>
        <w:trPr>
          <w:trHeight w:val="402" w:hRule="exact"/>
        </w:trPr>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b/>
                <w:w w:val="95"/>
                <w:sz w:val="18"/>
              </w:rPr>
              <w:t>167,601,932.33</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b/>
                <w:w w:val="95"/>
                <w:sz w:val="18"/>
              </w:rPr>
              <w:t>167,601,932.33</w:t>
            </w:r>
            <w:r>
              <w:rPr>
                <w:rFonts w:ascii="宋体"/>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180,072,796.74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90,101.07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179,982,695.67</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2）存货跌价准备" w:id="249"/>
      <w:bookmarkEnd w:id="24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90,101.07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90,101.07</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90,101.07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90,101.07</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3）存货期末余额含有借款费用资本化金额的说明" w:id="250"/>
      <w:bookmarkEnd w:id="25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无。</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4）期末建造合同形成的已完工未结算资产情况" w:id="251"/>
      <w:bookmarkEnd w:id="25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无。</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11、划分为持有待售的资产" w:id="252"/>
      <w:bookmarkEnd w:id="252"/>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12、一年内到期的非流动资产" w:id="253"/>
      <w:bookmarkEnd w:id="253"/>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13、其他流动资产" w:id="254"/>
      <w:bookmarkEnd w:id="254"/>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1,024,254.88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664,510.43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538,706.00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1,562,960.88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664,510.43</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14、可供出售金融资产" w:id="255"/>
      <w:bookmarkEnd w:id="255"/>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15、持有至到期投资" w:id="256"/>
      <w:bookmarkEnd w:id="256"/>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14" w:right="9276"/>
        <w:jc w:val="center"/>
        <w:rPr>
          <w:b w:val="0"/>
          <w:bCs w:val="0"/>
        </w:rPr>
      </w:pPr>
      <w:bookmarkStart w:name="16、长期应收款" w:id="257"/>
      <w:bookmarkEnd w:id="257"/>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17、长期股权投资" w:id="258"/>
      <w:bookmarkEnd w:id="258"/>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after="0" w:line="240" w:lineRule="auto"/>
        <w:jc w:val="center"/>
        <w:sectPr>
          <w:pgSz w:w="11910" w:h="16840"/>
          <w:pgMar w:header="0"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821"/>
        <w:jc w:val="left"/>
        <w:rPr>
          <w:b w:val="0"/>
          <w:bCs w:val="0"/>
        </w:rPr>
      </w:pPr>
      <w:bookmarkStart w:name="18、投资性房地产" w:id="259"/>
      <w:bookmarkEnd w:id="259"/>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821"/>
        <w:jc w:val="left"/>
        <w:rPr>
          <w:b w:val="0"/>
          <w:bCs w:val="0"/>
        </w:rPr>
      </w:pPr>
      <w:bookmarkStart w:name="（1）采用成本计量模式的投资性房地产" w:id="260"/>
      <w:bookmarkEnd w:id="26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21"/>
        <w:jc w:val="left"/>
        <w:rPr>
          <w:b w:val="0"/>
          <w:bCs w:val="0"/>
        </w:rPr>
      </w:pPr>
      <w:bookmarkStart w:name="（2）采用公允价值计量模式的投资性房地产" w:id="261"/>
      <w:bookmarkEnd w:id="26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21"/>
        <w:jc w:val="left"/>
        <w:rPr>
          <w:b w:val="0"/>
          <w:bCs w:val="0"/>
        </w:rPr>
      </w:pPr>
      <w:bookmarkStart w:name="（3）未办妥产权证书的投资性房地产情况" w:id="262"/>
      <w:bookmarkEnd w:id="262"/>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19、固定资产" w:id="263"/>
      <w:bookmarkEnd w:id="263"/>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821"/>
        <w:jc w:val="left"/>
        <w:rPr>
          <w:b w:val="0"/>
          <w:bCs w:val="0"/>
        </w:rPr>
      </w:pPr>
      <w:bookmarkStart w:name="（1）固定资产情况" w:id="264"/>
      <w:bookmarkEnd w:id="26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41,878,294.47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38,426,011.46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8,287,358.07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10,729,191.16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99,320,855.16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14,917,818.95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1,406,170.36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2,154,366.03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18,478,355.34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9,796,680.89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1,406,170.36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2,154,366.03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13,357,217.28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5,121,138.06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5,121,138.06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212,380.54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965,309.00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926,830.83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2,104,520.37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212,380.54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965,309.00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926,830.83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2,104,520.37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41,878,294.47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53,131,449.87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8,728,219.43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11,956,726.36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115,694,690.13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7,347,638.67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14,562,822.66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3,744,879.49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5,391,660.91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31,047,001.73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1,130,338.70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5,462,474.72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927,081.47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2,018,623.47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9,538,518.36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1,130,338.70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5,462,474.72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927,081.47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2,018,623.47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9,538,518.36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173,363.15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721,985.42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879,342.13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1,774,690.70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173,363.15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721,985.42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879,342.13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1,774,690.70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8,477,977.37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19,851,934.23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3,949,975.54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6,530,942.25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38,810,829.39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33,400,317.10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33,258,875.64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4,778,243.89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5,425,784.11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76,863,220.74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34,530,655.80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23,842,548.80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4,542,478.58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5,337,530.25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68,253,213.43</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2）暂时闲置的固定资产情况" w:id="265"/>
      <w:bookmarkEnd w:id="265"/>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794"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3）通过融资租赁租入的固定资产情况" w:id="266"/>
      <w:bookmarkEnd w:id="266"/>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794"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4）通过经营租赁租出的固定资产" w:id="267"/>
      <w:bookmarkEnd w:id="267"/>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94"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5）未办妥产权证书的固定资产情况" w:id="268"/>
      <w:bookmarkEnd w:id="268"/>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794"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20、在建工程" w:id="269"/>
      <w:bookmarkEnd w:id="269"/>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821"/>
        <w:jc w:val="left"/>
        <w:rPr>
          <w:b w:val="0"/>
          <w:bCs w:val="0"/>
        </w:rPr>
      </w:pPr>
      <w:bookmarkStart w:name="（1）在建工程情况" w:id="270"/>
      <w:bookmarkEnd w:id="27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云腾路厂房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113,216,631.85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113,216,631.85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16,908,503.13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16,908,503.13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智能环网柜开关 生产线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5,491,066.00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5,491,066.00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天津基建项目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89,639,425.38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89,639,425.38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202,856,057.23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202,856,057.23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22,399,569.13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22,399,569.13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3"/>
        <w:rPr>
          <w:rFonts w:ascii="Times New Roman" w:hAnsi="Times New Roman" w:cs="Times New Roman" w:eastAsia="Times New Roman" w:hint="default"/>
          <w:sz w:val="27"/>
          <w:szCs w:val="27"/>
        </w:rPr>
      </w:pPr>
    </w:p>
    <w:p>
      <w:pPr>
        <w:pStyle w:val="Heading3"/>
        <w:spacing w:line="240" w:lineRule="auto"/>
        <w:ind w:left="820" w:right="0"/>
        <w:jc w:val="left"/>
        <w:rPr>
          <w:b w:val="0"/>
          <w:bCs w:val="0"/>
        </w:rPr>
      </w:pPr>
      <w:r>
        <w:rPr/>
        <w:pict>
          <v:group style="position:absolute;margin-left:70.5pt;margin-top:-.39635pt;width:701pt;height:.1pt;mso-position-horizontal-relative:page;mso-position-vertical-relative:paragraph;z-index:1720" coordorigin="1410,-8" coordsize="14020,2">
            <v:shape style="position:absolute;left:1410;top:-8;width:14020;height:2" coordorigin="1410,-8" coordsize="14020,0" path="m1410,-8l15430,-8e" filled="false" stroked="true" strokeweight=".72pt" strokecolor="#000000">
              <v:path arrowok="t"/>
            </v:shape>
            <w10:wrap type="none"/>
          </v:group>
        </w:pict>
      </w:r>
      <w:bookmarkStart w:name="（2）重要在建工程项目本期变动情况" w:id="271"/>
      <w:bookmarkEnd w:id="271"/>
      <w:r>
        <w:rPr>
          <w:b w:val="0"/>
          <w:bCs w:val="0"/>
        </w:rPr>
      </w:r>
      <w:r>
        <w:rPr>
          <w:w w:val="95"/>
        </w:rPr>
        <w:t>（</w:t>
      </w:r>
      <w:r>
        <w:rPr>
          <w:rFonts w:ascii="Times New Roman" w:hAnsi="Times New Roman" w:cs="Times New Roman" w:eastAsia="Times New Roman" w:hint="default"/>
          <w:w w:val="95"/>
        </w:rPr>
        <w:t>2</w:t>
      </w:r>
      <w:r>
        <w:rPr>
          <w:w w:val="95"/>
        </w:rPr>
        <w:t>）重要在建工程项目本期变动情况</w:t>
      </w:r>
      <w:r>
        <w:rPr>
          <w:b w:val="0"/>
          <w:bCs w:val="0"/>
        </w:rPr>
      </w:r>
    </w:p>
    <w:p>
      <w:pPr>
        <w:pStyle w:val="BodyText"/>
        <w:spacing w:line="240" w:lineRule="auto" w:before="15"/>
        <w:ind w:left="820" w:right="0"/>
        <w:jc w:val="left"/>
      </w:pPr>
      <w:r>
        <w:rPr/>
        <w:br w:type="column"/>
      </w:r>
      <w:r>
        <w:rPr/>
        <w:t>北京合纵科技股份有限公司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34"/>
          <w:footerReference w:type="default" r:id="rId35"/>
          <w:pgSz w:w="16840" w:h="11910" w:orient="landscape"/>
          <w:pgMar w:header="0" w:footer="0" w:top="800" w:bottom="0" w:left="620" w:right="0"/>
          <w:cols w:num="2" w:equalWidth="0">
            <w:col w:w="4296" w:space="5795"/>
            <w:col w:w="6129"/>
          </w:cols>
        </w:sectPr>
      </w:pPr>
    </w:p>
    <w:p>
      <w:pPr>
        <w:spacing w:line="240" w:lineRule="auto" w:before="3"/>
        <w:rPr>
          <w:rFonts w:ascii="宋体" w:hAnsi="宋体" w:cs="宋体" w:eastAsia="宋体" w:hint="default"/>
          <w:sz w:val="23"/>
          <w:szCs w:val="23"/>
        </w:rPr>
      </w:pPr>
    </w:p>
    <w:p>
      <w:pPr>
        <w:pStyle w:val="BodyText"/>
        <w:spacing w:line="240" w:lineRule="auto" w:before="44"/>
        <w:ind w:left="0" w:right="1535"/>
        <w:jc w:val="right"/>
      </w:pPr>
      <w:r>
        <w:rPr/>
        <w:t>单位： 元</w:t>
      </w:r>
    </w:p>
    <w:p>
      <w:pPr>
        <w:spacing w:line="240" w:lineRule="auto" w:before="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277"/>
        <w:gridCol w:w="1276"/>
        <w:gridCol w:w="1134"/>
        <w:gridCol w:w="1276"/>
        <w:gridCol w:w="1134"/>
        <w:gridCol w:w="992"/>
        <w:gridCol w:w="1276"/>
        <w:gridCol w:w="1134"/>
        <w:gridCol w:w="709"/>
        <w:gridCol w:w="992"/>
        <w:gridCol w:w="991"/>
        <w:gridCol w:w="1134"/>
        <w:gridCol w:w="1277"/>
      </w:tblGrid>
      <w:tr>
        <w:trPr>
          <w:trHeight w:val="102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1" w:right="110"/>
              <w:jc w:val="left"/>
              <w:rPr>
                <w:rFonts w:ascii="宋体" w:hAnsi="宋体" w:cs="宋体" w:eastAsia="宋体" w:hint="default"/>
                <w:sz w:val="18"/>
                <w:szCs w:val="18"/>
              </w:rPr>
            </w:pPr>
            <w:r>
              <w:rPr>
                <w:rFonts w:ascii="宋体" w:hAnsi="宋体" w:cs="宋体" w:eastAsia="宋体" w:hint="default"/>
                <w:sz w:val="18"/>
                <w:szCs w:val="18"/>
              </w:rPr>
              <w:t>本期转入固 定资产金额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1" w:right="38" w:hanging="180"/>
              <w:jc w:val="left"/>
              <w:rPr>
                <w:rFonts w:ascii="宋体" w:hAnsi="宋体" w:cs="宋体" w:eastAsia="宋体" w:hint="default"/>
                <w:sz w:val="18"/>
                <w:szCs w:val="18"/>
              </w:rPr>
            </w:pPr>
            <w:r>
              <w:rPr>
                <w:rFonts w:ascii="宋体" w:hAnsi="宋体" w:cs="宋体" w:eastAsia="宋体" w:hint="default"/>
                <w:sz w:val="18"/>
                <w:szCs w:val="18"/>
              </w:rPr>
              <w:t>本期其他减 少金额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0"/>
              <w:jc w:val="center"/>
              <w:rPr>
                <w:rFonts w:ascii="宋体" w:hAnsi="宋体" w:cs="宋体" w:eastAsia="宋体" w:hint="default"/>
                <w:sz w:val="18"/>
                <w:szCs w:val="18"/>
              </w:rPr>
            </w:pPr>
            <w:r>
              <w:rPr>
                <w:rFonts w:ascii="宋体" w:hAnsi="宋体" w:cs="宋体" w:eastAsia="宋体" w:hint="default"/>
                <w:sz w:val="18"/>
                <w:szCs w:val="18"/>
              </w:rPr>
              <w:t>工程累计投 入占预算比 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0" w:right="41" w:hanging="90"/>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38"/>
              <w:jc w:val="center"/>
              <w:rPr>
                <w:rFonts w:ascii="宋体" w:hAnsi="宋体" w:cs="宋体" w:eastAsia="宋体" w:hint="default"/>
                <w:sz w:val="18"/>
                <w:szCs w:val="18"/>
              </w:rPr>
            </w:pPr>
            <w:r>
              <w:rPr>
                <w:rFonts w:ascii="宋体" w:hAnsi="宋体" w:cs="宋体" w:eastAsia="宋体" w:hint="default"/>
                <w:sz w:val="18"/>
                <w:szCs w:val="18"/>
              </w:rPr>
              <w:t>其中：本期 利息资本化 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92" w:right="111" w:hanging="180"/>
              <w:jc w:val="left"/>
              <w:rPr>
                <w:rFonts w:ascii="宋体" w:hAnsi="宋体" w:cs="宋体" w:eastAsia="宋体" w:hint="default"/>
                <w:sz w:val="18"/>
                <w:szCs w:val="18"/>
              </w:rPr>
            </w:pPr>
            <w:r>
              <w:rPr>
                <w:rFonts w:ascii="宋体" w:hAnsi="宋体" w:cs="宋体" w:eastAsia="宋体" w:hint="default"/>
                <w:sz w:val="18"/>
                <w:szCs w:val="18"/>
              </w:rPr>
              <w:t>本期利息资 本化率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3"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云腾路厂房</w:t>
            </w:r>
            <w:r>
              <w:rPr>
                <w:rFonts w:ascii="Times New Roman" w:hAnsi="Times New Roman" w:cs="Times New Roman" w:eastAsia="Times New Roman" w:hint="default"/>
                <w:sz w:val="18"/>
                <w:szCs w:val="18"/>
              </w:rPr>
              <w:t>*1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16,908,503.13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96,308,128.72</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center"/>
              <w:rPr>
                <w:rFonts w:ascii="Times New Roman" w:hAnsi="Times New Roman" w:cs="Times New Roman" w:eastAsia="Times New Roman" w:hint="default"/>
                <w:sz w:val="18"/>
                <w:szCs w:val="18"/>
              </w:rPr>
            </w:pPr>
            <w:r>
              <w:rPr>
                <w:rFonts w:ascii="Times New Roman"/>
                <w:sz w:val="18"/>
              </w:rPr>
              <w:t>113,216,631.85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5" w:right="0"/>
              <w:jc w:val="left"/>
              <w:rPr>
                <w:rFonts w:ascii="Times New Roman" w:hAnsi="Times New Roman" w:cs="Times New Roman" w:eastAsia="Times New Roman" w:hint="default"/>
                <w:sz w:val="18"/>
                <w:szCs w:val="18"/>
              </w:rPr>
            </w:pPr>
            <w:r>
              <w:rPr>
                <w:rFonts w:ascii="Times New Roman"/>
                <w:sz w:val="18"/>
              </w:rPr>
              <w:t>87.09%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87.09%</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募股资金</w:t>
            </w:r>
          </w:p>
        </w:tc>
      </w:tr>
      <w:tr>
        <w:trPr>
          <w:trHeight w:val="71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2"/>
              <w:jc w:val="left"/>
              <w:rPr>
                <w:rFonts w:ascii="宋体" w:hAnsi="宋体" w:cs="宋体" w:eastAsia="宋体" w:hint="default"/>
                <w:sz w:val="18"/>
                <w:szCs w:val="18"/>
              </w:rPr>
            </w:pPr>
            <w:r>
              <w:rPr>
                <w:rFonts w:ascii="宋体" w:hAnsi="宋体" w:cs="宋体" w:eastAsia="宋体" w:hint="default"/>
                <w:sz w:val="18"/>
                <w:szCs w:val="18"/>
              </w:rPr>
              <w:t>智能环网柜开 关生产线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5,491,066.00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3,154.70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5,121,138.06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373,082.64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85.35%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募股资金</w:t>
            </w:r>
          </w:p>
        </w:tc>
      </w:tr>
      <w:tr>
        <w:trPr>
          <w:trHeight w:val="40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天津基建项目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342,230,800.00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156,079,575.38</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center"/>
              <w:rPr>
                <w:rFonts w:ascii="Times New Roman" w:hAnsi="Times New Roman" w:cs="Times New Roman" w:eastAsia="Times New Roman" w:hint="default"/>
                <w:sz w:val="18"/>
                <w:szCs w:val="18"/>
              </w:rPr>
            </w:pPr>
            <w:r>
              <w:rPr>
                <w:rFonts w:ascii="Times New Roman"/>
                <w:sz w:val="18"/>
              </w:rPr>
              <w:t>89,639,425.38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5" w:right="0"/>
              <w:jc w:val="left"/>
              <w:rPr>
                <w:rFonts w:ascii="Times New Roman" w:hAnsi="Times New Roman" w:cs="Times New Roman" w:eastAsia="Times New Roman" w:hint="default"/>
                <w:sz w:val="18"/>
                <w:szCs w:val="18"/>
              </w:rPr>
            </w:pPr>
            <w:r>
              <w:rPr>
                <w:rFonts w:ascii="Times New Roman"/>
                <w:sz w:val="18"/>
              </w:rPr>
              <w:t>45.61%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45.61%</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478,230,800.00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22,399,569.13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252,390,858.80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5,121,138.06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373,082.64</w:t>
            </w:r>
          </w:p>
        </w:tc>
        <w:tc>
          <w:tcPr>
            <w:tcW w:w="127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left="102" w:right="0"/>
              <w:jc w:val="center"/>
              <w:rPr>
                <w:rFonts w:ascii="Times New Roman" w:hAnsi="Times New Roman" w:cs="Times New Roman" w:eastAsia="Times New Roman" w:hint="default"/>
                <w:sz w:val="18"/>
                <w:szCs w:val="18"/>
              </w:rPr>
            </w:pPr>
            <w:r>
              <w:rPr>
                <w:rFonts w:ascii="Times New Roman"/>
                <w:sz w:val="18"/>
              </w:rPr>
              <w:t>202,856,057.23</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01" w:right="0"/>
              <w:jc w:val="lef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76"/>
        <w:ind w:left="0" w:right="1436"/>
        <w:jc w:val="right"/>
        <w:rPr>
          <w:rFonts w:ascii="Times New Roman" w:hAnsi="Times New Roman" w:cs="Times New Roman" w:eastAsia="Times New Roman" w:hint="default"/>
        </w:rPr>
      </w:pPr>
      <w:r>
        <w:rPr/>
        <w:pict>
          <v:shape style="position:absolute;margin-left:201.919983pt;margin-top:21.922344pt;width:640pt;height:42pt;mso-position-horizontal-relative:page;mso-position-vertical-relative:paragraph;z-index:1744" type="#_x0000_t75" stroked="false">
            <v:imagedata r:id="rId29" o:title=""/>
          </v:shape>
        </w:pict>
      </w:r>
      <w:r>
        <w:rPr>
          <w:rFonts w:ascii="Times New Roman"/>
          <w:spacing w:val="-3"/>
        </w:rPr>
        <w:t>112</w:t>
      </w:r>
    </w:p>
    <w:p>
      <w:pPr>
        <w:spacing w:after="0" w:line="240" w:lineRule="auto"/>
        <w:jc w:val="right"/>
        <w:rPr>
          <w:rFonts w:ascii="Times New Roman" w:hAnsi="Times New Roman" w:cs="Times New Roman" w:eastAsia="Times New Roman" w:hint="default"/>
        </w:rPr>
        <w:sectPr>
          <w:type w:val="continuous"/>
          <w:pgSz w:w="16840" w:h="11910" w:orient="landscape"/>
          <w:pgMar w:top="1060" w:bottom="1160" w:left="62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821"/>
        <w:jc w:val="left"/>
        <w:rPr>
          <w:b w:val="0"/>
          <w:bCs w:val="0"/>
        </w:rPr>
      </w:pPr>
      <w:bookmarkStart w:name="（3）本期计提在建工程减值准备情况" w:id="272"/>
      <w:bookmarkEnd w:id="27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794"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21、工程物资" w:id="273"/>
      <w:bookmarkEnd w:id="273"/>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22、固定资产清理" w:id="274"/>
      <w:bookmarkEnd w:id="274"/>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23、生产性生物资产" w:id="275"/>
      <w:bookmarkEnd w:id="275"/>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采用成本计量模式的生产性生物资产" w:id="276"/>
      <w:bookmarkEnd w:id="276"/>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21"/>
        <w:jc w:val="left"/>
        <w:rPr>
          <w:b w:val="0"/>
          <w:bCs w:val="0"/>
        </w:rPr>
      </w:pPr>
      <w:bookmarkStart w:name="（2）采用公允价值计量模式的生产性生物资产" w:id="277"/>
      <w:bookmarkEnd w:id="277"/>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21"/>
        <w:jc w:val="left"/>
        <w:rPr>
          <w:b w:val="0"/>
          <w:bCs w:val="0"/>
        </w:rPr>
      </w:pPr>
      <w:bookmarkStart w:name="24、油气资产" w:id="278"/>
      <w:bookmarkEnd w:id="278"/>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21"/>
        <w:jc w:val="left"/>
        <w:rPr>
          <w:b w:val="0"/>
          <w:bCs w:val="0"/>
        </w:rPr>
      </w:pPr>
      <w:bookmarkStart w:name="25、无形资产" w:id="279"/>
      <w:bookmarkEnd w:id="279"/>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821"/>
        <w:jc w:val="left"/>
        <w:rPr>
          <w:b w:val="0"/>
          <w:bCs w:val="0"/>
        </w:rPr>
      </w:pPr>
      <w:bookmarkStart w:name="（1）无形资产情况" w:id="280"/>
      <w:bookmarkEnd w:id="28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27,887,149.40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1,886,800.00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1,894,431.63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31,668,381.03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66,440,150.00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4,202,793.75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572,680.27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71,215,624.02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572,680.27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572,680.27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4,202,793.75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4,202,793.75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在建工程转入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66,440,150.00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66,440,150.00</w:t>
            </w:r>
          </w:p>
        </w:tc>
      </w:tr>
    </w:tbl>
    <w:p>
      <w:pPr>
        <w:spacing w:after="0" w:line="240" w:lineRule="auto"/>
        <w:jc w:val="right"/>
        <w:rPr>
          <w:rFonts w:ascii="Times New Roman" w:hAnsi="Times New Roman" w:cs="Times New Roman" w:eastAsia="Times New Roman" w:hint="default"/>
          <w:sz w:val="18"/>
          <w:szCs w:val="18"/>
        </w:rPr>
        <w:sectPr>
          <w:footerReference w:type="default" r:id="rId36"/>
          <w:pgSz w:w="11910" w:h="16840"/>
          <w:pgMar w:footer="979" w:header="0" w:top="1100" w:bottom="1160" w:left="0" w:right="0"/>
          <w:pgNumType w:start="113"/>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94,327,299.40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4,202,793.75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1,886,800.00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2,467,111.90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102,884,005.05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2,303,815.38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1,054,087.03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314,398.19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3,672,300.60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1,123,591.22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35,799.12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188,692.08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223,239.35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1,571,321.77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1,123,591.22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35,799.12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188,692.08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223,239.35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1,571,321.77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3,427,406.60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35,799.12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1,242,779.11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537,637.54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5,243,622.37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90,899,892.80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4,166,994.63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644,020.89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1,929,474.36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97,640,382.68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25,583,334.02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832,712.97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1,580,033.44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27,996,080.43</w:t>
            </w:r>
          </w:p>
        </w:tc>
      </w:tr>
    </w:tbl>
    <w:p>
      <w:pPr>
        <w:pStyle w:val="BodyText"/>
        <w:spacing w:line="240" w:lineRule="auto" w:before="51"/>
        <w:ind w:left="1134" w:right="821"/>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4.08%</w:t>
      </w:r>
      <w:r>
        <w:rPr/>
        <w:t>。</w:t>
      </w:r>
    </w:p>
    <w:p>
      <w:pPr>
        <w:spacing w:line="240" w:lineRule="auto" w:before="11"/>
        <w:rPr>
          <w:rFonts w:ascii="宋体" w:hAnsi="宋体" w:cs="宋体" w:eastAsia="宋体" w:hint="default"/>
          <w:sz w:val="25"/>
          <w:szCs w:val="25"/>
        </w:rPr>
      </w:pPr>
    </w:p>
    <w:p>
      <w:pPr>
        <w:pStyle w:val="Heading3"/>
        <w:spacing w:line="240" w:lineRule="auto"/>
        <w:ind w:right="821"/>
        <w:jc w:val="left"/>
        <w:rPr>
          <w:b w:val="0"/>
          <w:bCs w:val="0"/>
        </w:rPr>
      </w:pPr>
      <w:bookmarkStart w:name="（2）未办妥产权证书的土地使用权情况" w:id="281"/>
      <w:bookmarkEnd w:id="28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93" w:right="821"/>
        <w:jc w:val="left"/>
      </w:pPr>
      <w:r>
        <w:rPr/>
        <w:t>无。</w:t>
      </w:r>
    </w:p>
    <w:p>
      <w:pPr>
        <w:spacing w:after="0" w:line="240" w:lineRule="auto"/>
        <w:jc w:val="left"/>
        <w:sectPr>
          <w:pgSz w:w="11910" w:h="16840"/>
          <w:pgMar w:header="0" w:footer="979" w:top="1100" w:bottom="1160" w:left="0" w:right="0"/>
        </w:sectPr>
      </w:pPr>
    </w:p>
    <w:p>
      <w:pPr>
        <w:spacing w:line="240" w:lineRule="auto" w:before="9"/>
        <w:rPr>
          <w:rFonts w:ascii="宋体" w:hAnsi="宋体" w:cs="宋体" w:eastAsia="宋体" w:hint="default"/>
          <w:sz w:val="20"/>
          <w:szCs w:val="20"/>
        </w:rPr>
      </w:pPr>
      <w:r>
        <w:rPr/>
        <w:pict>
          <v:group style="position:absolute;margin-left:170.360001pt;margin-top:509.319977pt;width:42.1pt;height:27.95pt;mso-position-horizontal-relative:page;mso-position-vertical-relative:page;z-index:-780352" coordorigin="3407,10186" coordsize="842,559">
            <v:group style="position:absolute;left:3407;top:10186;width:842;height:156" coordorigin="3407,10186" coordsize="842,156">
              <v:shape style="position:absolute;left:3407;top:10186;width:842;height:156" coordorigin="3407,10186" coordsize="842,156" path="m3407,10342l4248,10342,4248,10186,3407,10186,3407,10342xe" filled="true" fillcolor="#ffffff" stroked="false">
                <v:path arrowok="t"/>
                <v:fill type="solid"/>
              </v:shape>
            </v:group>
            <v:group style="position:absolute;left:3419;top:10342;width:2;height:392" coordorigin="3419,10342" coordsize="2,392">
              <v:shape style="position:absolute;left:3419;top:10342;width:2;height:392" coordorigin="3419,10342" coordsize="0,392" path="m3419,10342l3419,10734e" filled="false" stroked="true" strokeweight="1.140pt" strokecolor="#ffffff">
                <v:path arrowok="t"/>
              </v:shape>
            </v:group>
            <v:group style="position:absolute;left:3430;top:10342;width:796;height:392" coordorigin="3430,10342" coordsize="796,392">
              <v:shape style="position:absolute;left:3430;top:10342;width:796;height:392" coordorigin="3430,10342" coordsize="796,392" path="m3430,10734l4226,10734,4226,10342,3430,10342,3430,10734xe" filled="true" fillcolor="#ffffff" stroked="false">
                <v:path arrowok="t"/>
                <v:fill type="solid"/>
              </v:shape>
            </v:group>
            <w10:wrap type="none"/>
          </v:group>
        </w:pict>
      </w:r>
    </w:p>
    <w:p>
      <w:pPr>
        <w:pStyle w:val="Heading3"/>
        <w:spacing w:line="240" w:lineRule="auto" w:before="35"/>
        <w:ind w:right="821"/>
        <w:jc w:val="left"/>
        <w:rPr>
          <w:b w:val="0"/>
          <w:bCs w:val="0"/>
        </w:rPr>
      </w:pPr>
      <w:bookmarkStart w:name="26、开发支出" w:id="282"/>
      <w:bookmarkEnd w:id="282"/>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268"/>
        <w:gridCol w:w="851"/>
        <w:gridCol w:w="1418"/>
        <w:gridCol w:w="709"/>
        <w:gridCol w:w="1700"/>
        <w:gridCol w:w="1277"/>
        <w:gridCol w:w="1417"/>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5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1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97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94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1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268" w:type="dxa"/>
            <w:vMerge/>
            <w:tcBorders>
              <w:left w:val="single" w:sz="4" w:space="0" w:color="000000"/>
              <w:bottom w:val="single" w:sz="4" w:space="0" w:color="000000"/>
              <w:right w:val="single" w:sz="4" w:space="0" w:color="000000"/>
            </w:tcBorders>
            <w:shd w:val="clear" w:color="auto" w:fill="D9D9D9"/>
          </w:tcPr>
          <w:p>
            <w:pPr/>
          </w:p>
        </w:tc>
        <w:tc>
          <w:tcPr>
            <w:tcW w:w="851" w:type="dxa"/>
            <w:vMerge/>
            <w:tcBorders>
              <w:left w:val="single" w:sz="4" w:space="0" w:color="000000"/>
              <w:bottom w:val="single" w:sz="4" w:space="0" w:color="000000"/>
              <w:right w:val="single" w:sz="4" w:space="0" w:color="000000"/>
            </w:tcBorders>
            <w:shd w:val="clear" w:color="auto" w:fill="D9D9D9"/>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14"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417" w:type="dxa"/>
            <w:vMerge/>
            <w:tcBorders>
              <w:left w:val="single" w:sz="4" w:space="0" w:color="000000"/>
              <w:bottom w:val="single" w:sz="4" w:space="0" w:color="000000"/>
              <w:right w:val="single" w:sz="4" w:space="0" w:color="000000"/>
            </w:tcBorders>
            <w:shd w:val="clear" w:color="auto" w:fill="D9D9D9"/>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自动化终端</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4,080,891.10</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4,080,891.10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TPS6D-12/630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环网柜研制</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3,889,774.78</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3,889,774.78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TPS2-12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环网柜</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3,481,776.19</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3,481,776.19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卷铁芯高过载变压器</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3,441,726.53</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3,441,726.53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成套开关设备</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3,326,155.01</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3,326,155.01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TPS7-12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环保型环网柜研制</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3,225,095.27</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3,225,095.27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TPS6-40.5/630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环网柜研制</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3,026,136.40</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3,026,136.40</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配电自动化终端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FTU/DTU</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研制</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2,553,364.89</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2,553,364.89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非晶合金铁芯高过载变压器</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2,398,316.01</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2,398,316.01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TPS6C-12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环网柜（欧式）</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897,175.32</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897,175.32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配网智能柱上开关研制</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2,409,824.24</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2,409,824.24</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TPS1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环网柜外观及联锁改 进</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314,132.30</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314,132.30</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TPS6</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外壳、钣金一体化设计</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498,263.97</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498,263.97</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TPS6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外壳耐候性技术研发</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424,378.38</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424,378.38</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ZW32-24/T630-25H</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型真空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断路器 样机试制</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128,205.13</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128,205.13</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112"/>
              <w:jc w:val="left"/>
              <w:rPr>
                <w:rFonts w:ascii="宋体" w:hAnsi="宋体" w:cs="宋体" w:eastAsia="宋体" w:hint="default"/>
                <w:sz w:val="18"/>
                <w:szCs w:val="18"/>
              </w:rPr>
            </w:pPr>
            <w:r>
              <w:rPr>
                <w:rFonts w:ascii="Times New Roman" w:hAnsi="Times New Roman" w:cs="Times New Roman" w:eastAsia="Times New Roman" w:hint="default"/>
                <w:sz w:val="18"/>
                <w:szCs w:val="18"/>
              </w:rPr>
              <w:t>TPS3C</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出口专用（国际市场</w:t>
            </w:r>
            <w:r>
              <w:rPr>
                <w:rFonts w:ascii="宋体" w:hAnsi="宋体" w:cs="宋体" w:eastAsia="宋体" w:hint="default"/>
                <w:sz w:val="18"/>
                <w:szCs w:val="18"/>
              </w:rPr>
              <w:t> 环网柜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512,820.59</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512,820.59</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叠铁芯高过载变压器</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3,091,072.32</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3,091,072.32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FZW28-12/M630-20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永磁型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真空负荷开关</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1,111,721.43</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1,111,721.43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VD9A/T630-20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真空断路器</w:t>
            </w:r>
            <w:r>
              <w:rPr>
                <w:rFonts w:ascii="宋体" w:hAnsi="宋体" w:cs="宋体" w:eastAsia="宋体" w:hint="default"/>
                <w:w w:val="99"/>
                <w:sz w:val="18"/>
                <w:szCs w:val="18"/>
              </w:rPr>
              <w:t> </w:t>
            </w:r>
            <w:r>
              <w:rPr>
                <w:rFonts w:ascii="宋体" w:hAnsi="宋体" w:cs="宋体" w:eastAsia="宋体" w:hint="default"/>
                <w:sz w:val="18"/>
                <w:szCs w:val="18"/>
              </w:rPr>
              <w:t>试验</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2,796,879.55</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2,796,879.55</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TPS1A-24/630-20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型环网柜</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的研制</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4,677,811.84</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4,677,811.84</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46,285,521.25</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4,202,793.75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11,762,316.00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30,320,411.50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821"/>
        <w:jc w:val="left"/>
        <w:rPr>
          <w:b w:val="0"/>
          <w:bCs w:val="0"/>
        </w:rPr>
      </w:pPr>
      <w:bookmarkStart w:name="27、商誉" w:id="283"/>
      <w:bookmarkEnd w:id="283"/>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24" w:right="821"/>
        <w:jc w:val="left"/>
      </w:pPr>
      <w:r>
        <w:rPr/>
        <w:t>不适用。</w:t>
      </w:r>
    </w:p>
    <w:p>
      <w:pPr>
        <w:spacing w:after="0" w:line="240" w:lineRule="auto"/>
        <w:jc w:val="left"/>
        <w:sectPr>
          <w:pgSz w:w="11910" w:h="16840"/>
          <w:pgMar w:header="0"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821"/>
        <w:jc w:val="left"/>
        <w:rPr>
          <w:b w:val="0"/>
          <w:bCs w:val="0"/>
        </w:rPr>
      </w:pPr>
      <w:bookmarkStart w:name="28、长期待摊费用" w:id="284"/>
      <w:bookmarkEnd w:id="284"/>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房屋装修改造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2,030,956.07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1,007,540.45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1,243,415.62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水电暖线路改造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100,334.52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75,208.58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55,125.94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地面维修改造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47,988.00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15,996.00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31,992.00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厂房绿化改造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64,916.70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18,999.96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45,916.74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2,244,195.29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1,117,744.99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1,376,450.30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left="1134" w:right="821"/>
        <w:jc w:val="left"/>
        <w:rPr>
          <w:b w:val="0"/>
          <w:bCs w:val="0"/>
        </w:rPr>
      </w:pPr>
      <w:bookmarkStart w:name="29、递延所得税资产/递延所得税负债" w:id="285"/>
      <w:bookmarkEnd w:id="285"/>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21"/>
        <w:jc w:val="left"/>
        <w:rPr>
          <w:b w:val="0"/>
          <w:bCs w:val="0"/>
        </w:rPr>
      </w:pPr>
      <w:bookmarkStart w:name="（1）未经抵销的递延所得税资产" w:id="286"/>
      <w:bookmarkEnd w:id="28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42,953,830.92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6,443,074.64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31,763,684.49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4,764,552.67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992,557.79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148,883.67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1,206,307.79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180,946.17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未实现内部利润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4,227,423.94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634,113.59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5,338,806.99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800,821.05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48,173,812.65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7,226,071.90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38,308,799.27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5,746,319.89</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2）未经抵销的递延所得税负债" w:id="287"/>
      <w:bookmarkEnd w:id="28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821"/>
        <w:jc w:val="left"/>
      </w:pPr>
      <w:r>
        <w:rPr/>
        <w:t>无。</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3）以抵销后净额列示的递延所得税资产或负债" w:id="288"/>
      <w:bookmarkEnd w:id="28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7,226,071.90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5,746,319.89</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4）未确认递延所得税资产明细" w:id="289"/>
      <w:bookmarkEnd w:id="28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114,686.00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3,176,541.31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2,599,932.45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2,099,640.06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2,714,618.45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5,276,181.37</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5）未确认递延所得税资产的可抵扣亏损将于以下年度到期" w:id="290"/>
      <w:bookmarkEnd w:id="29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562,265.27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136,078.28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136,078.28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228,843.96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228,843.96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1,172,452.55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1,172,452.55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1,062,557.66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2,599,932.45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2,099,640.06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8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821"/>
        <w:jc w:val="left"/>
        <w:rPr>
          <w:b w:val="0"/>
          <w:bCs w:val="0"/>
        </w:rPr>
      </w:pPr>
      <w:bookmarkStart w:name="30、其他非流动资产" w:id="291"/>
      <w:bookmarkEnd w:id="291"/>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469,500.00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134" w:right="821"/>
        <w:jc w:val="left"/>
        <w:rPr>
          <w:b w:val="0"/>
          <w:bCs w:val="0"/>
        </w:rPr>
      </w:pPr>
      <w:bookmarkStart w:name="31、短期借款" w:id="292"/>
      <w:bookmarkEnd w:id="292"/>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821"/>
        <w:jc w:val="left"/>
        <w:rPr>
          <w:b w:val="0"/>
          <w:bCs w:val="0"/>
        </w:rPr>
      </w:pPr>
      <w:bookmarkStart w:name="（1）短期借款分类" w:id="293"/>
      <w:bookmarkEnd w:id="29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r>
    </w:tbl>
    <w:p>
      <w:pPr>
        <w:pStyle w:val="BodyText"/>
        <w:spacing w:line="240" w:lineRule="auto" w:before="51"/>
        <w:ind w:left="1134" w:right="821"/>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left="1134" w:right="821"/>
        <w:jc w:val="left"/>
        <w:rPr>
          <w:b w:val="0"/>
          <w:bCs w:val="0"/>
        </w:rPr>
      </w:pPr>
      <w:bookmarkStart w:name="（2）已逾期未偿还的短期借款情况" w:id="294"/>
      <w:bookmarkEnd w:id="29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821"/>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0"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821"/>
        <w:jc w:val="left"/>
        <w:rPr>
          <w:b w:val="0"/>
          <w:bCs w:val="0"/>
        </w:rPr>
      </w:pPr>
      <w:bookmarkStart w:name="32、以公允价值计量且其变动计入当期损益的金融负债" w:id="295"/>
      <w:bookmarkEnd w:id="295"/>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33、衍生金融负债" w:id="296"/>
      <w:bookmarkEnd w:id="296"/>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21"/>
        <w:jc w:val="left"/>
        <w:rPr>
          <w:b w:val="0"/>
          <w:bCs w:val="0"/>
        </w:rPr>
      </w:pPr>
      <w:bookmarkStart w:name="34、应付票据" w:id="297"/>
      <w:bookmarkEnd w:id="297"/>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224,822,974.00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154,590,000.00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224,822,974.00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154,590,000.00</w:t>
            </w:r>
          </w:p>
        </w:tc>
      </w:tr>
    </w:tbl>
    <w:p>
      <w:pPr>
        <w:pStyle w:val="BodyText"/>
        <w:spacing w:line="240" w:lineRule="auto" w:before="51"/>
        <w:ind w:left="1134" w:right="821"/>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134" w:right="821"/>
        <w:jc w:val="left"/>
        <w:rPr>
          <w:b w:val="0"/>
          <w:bCs w:val="0"/>
        </w:rPr>
      </w:pPr>
      <w:bookmarkStart w:name="35、应付账款" w:id="298"/>
      <w:bookmarkEnd w:id="298"/>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821"/>
        <w:jc w:val="left"/>
        <w:rPr>
          <w:b w:val="0"/>
          <w:bCs w:val="0"/>
        </w:rPr>
      </w:pPr>
      <w:bookmarkStart w:name="（1）应付账款列示" w:id="299"/>
      <w:bookmarkEnd w:id="29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应付供应商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467,741,195.78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291,087,338.72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467,741,195.78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291,087,338.72</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2）账龄超过1年的重要应付账款" w:id="300"/>
      <w:bookmarkEnd w:id="30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北京潞电钱江变压器有限公司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9,740,378.84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寿光巨能电气有限公司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2,924,615.80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深圳市普瑞玛电气有限公司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1,302,191.41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南皮县昊海电气有限公司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898,457.00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南京恒星自动化设备有限公司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740,500.00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15,606,143.05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821"/>
        <w:jc w:val="left"/>
        <w:rPr>
          <w:b w:val="0"/>
          <w:bCs w:val="0"/>
        </w:rPr>
      </w:pPr>
      <w:bookmarkStart w:name="36、预收款项" w:id="301"/>
      <w:bookmarkEnd w:id="301"/>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821"/>
        <w:jc w:val="left"/>
        <w:rPr>
          <w:b w:val="0"/>
          <w:bCs w:val="0"/>
        </w:rPr>
      </w:pPr>
      <w:bookmarkStart w:name="（1）预收款项列示" w:id="302"/>
      <w:bookmarkEnd w:id="30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预收客户款项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10,321,058.03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14,540,632.52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10,321,058.03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14,540,632.52</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2）账龄超过1年的重要预收款项" w:id="303"/>
      <w:bookmarkEnd w:id="30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3）期末建造合同形成的已结算未完工项目情况" w:id="304"/>
      <w:bookmarkEnd w:id="30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37、应付职工薪酬" w:id="305"/>
      <w:bookmarkEnd w:id="305"/>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821"/>
        <w:jc w:val="left"/>
        <w:rPr>
          <w:b w:val="0"/>
          <w:bCs w:val="0"/>
        </w:rPr>
      </w:pPr>
      <w:bookmarkStart w:name="（1）应付职工薪酬列示" w:id="306"/>
      <w:bookmarkEnd w:id="30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10,832,847.13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126,279,406.37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122,260,180.16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14,852,073.34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8,037,789.54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7,532,760.08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505,811.46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10,833,629.13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134,317,195.91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129,792,940.24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15,357,884.80</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2）短期薪酬列示" w:id="307"/>
      <w:bookmarkEnd w:id="30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105,462,620.78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105,460,909.51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1,711.27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6,000,566.72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6,000,566.72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5,946,485.92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5,532,327.91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414,295.01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5,213,818.98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4,857,903.26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356,052.72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322,211.41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293,365.64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28,845.77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410,455.53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381,059.01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29,396.52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5,015,455.91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4,950,156.91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65,699.00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10,832,310.13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3,737,811.04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199,753.11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14,370,368.06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116,466.00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10,832,847.13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126,279,406.37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122,260,180.16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14,852,073.34</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3）设定提存计划列示" w:id="308"/>
      <w:bookmarkEnd w:id="30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7,665,154.96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7,187,250.67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478,686.29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372,634.58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345,509.41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27,125.17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8,037,789.54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7,532,760.08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505,811.46</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38、应交税费" w:id="309"/>
      <w:bookmarkEnd w:id="309"/>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25,946,341.44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16,568,276.76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37,725.00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37,725.00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5,464,012.93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8,319,629.78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391,799.92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381,392.25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1,839,325.20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1,456,094.39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839,678.48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670,737.60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434,492.31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321,871.70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1,901.90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34,955,277.18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27,755,727.48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left="1134" w:right="821"/>
        <w:jc w:val="left"/>
        <w:rPr>
          <w:b w:val="0"/>
          <w:bCs w:val="0"/>
        </w:rPr>
      </w:pPr>
      <w:bookmarkStart w:name="39、应付利息" w:id="310"/>
      <w:bookmarkEnd w:id="310"/>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77,833.34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131,533.33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77,833.34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131,533.33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821"/>
        <w:jc w:val="left"/>
        <w:rPr>
          <w:b w:val="0"/>
          <w:bCs w:val="0"/>
        </w:rPr>
      </w:pPr>
      <w:bookmarkStart w:name="40、应付股利" w:id="311"/>
      <w:bookmarkEnd w:id="311"/>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41、其他应付款" w:id="312"/>
      <w:bookmarkEnd w:id="312"/>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821"/>
        <w:jc w:val="left"/>
        <w:rPr>
          <w:b w:val="0"/>
          <w:bCs w:val="0"/>
        </w:rPr>
      </w:pPr>
      <w:bookmarkStart w:name="（1）按款项性质列示其他应付款" w:id="313"/>
      <w:bookmarkEnd w:id="31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2,198,133.63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预提运杂费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4,736,308.61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2,656,092.82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应付员工备用金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904,835.20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821,524.40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暖气费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215,255.31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454,897.48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1,912,327.17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951,125.23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11,758,819.11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4,425,680.74</w:t>
            </w:r>
          </w:p>
        </w:tc>
      </w:tr>
    </w:tbl>
    <w:p>
      <w:pPr>
        <w:spacing w:line="240" w:lineRule="auto" w:before="3"/>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2）账龄超过1年的重要其他应付款" w:id="314"/>
      <w:bookmarkEnd w:id="31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无。</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42、划分为持有待售的负债" w:id="315"/>
      <w:bookmarkEnd w:id="315"/>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43、一年内到期的非流动负债" w:id="316"/>
      <w:bookmarkEnd w:id="316"/>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44、其他流动负债" w:id="317"/>
      <w:bookmarkEnd w:id="31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45、长期借款" w:id="318"/>
      <w:bookmarkEnd w:id="31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after="0" w:line="240" w:lineRule="auto"/>
        <w:jc w:val="left"/>
        <w:sectPr>
          <w:pgSz w:w="11910" w:h="16840"/>
          <w:pgMar w:header="0"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left="903" w:right="9276"/>
        <w:jc w:val="center"/>
        <w:rPr>
          <w:b w:val="0"/>
          <w:bCs w:val="0"/>
        </w:rPr>
      </w:pPr>
      <w:bookmarkStart w:name="46、应付债券" w:id="319"/>
      <w:bookmarkEnd w:id="319"/>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14" w:right="9276"/>
        <w:jc w:val="center"/>
        <w:rPr>
          <w:b w:val="0"/>
          <w:bCs w:val="0"/>
        </w:rPr>
      </w:pPr>
      <w:bookmarkStart w:name="47、长期应付款" w:id="320"/>
      <w:bookmarkEnd w:id="320"/>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48、长期应付职工薪酬" w:id="321"/>
      <w:bookmarkEnd w:id="321"/>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14" w:right="9276"/>
        <w:jc w:val="center"/>
        <w:rPr>
          <w:b w:val="0"/>
          <w:bCs w:val="0"/>
        </w:rPr>
      </w:pPr>
      <w:bookmarkStart w:name="49、专项应付款" w:id="322"/>
      <w:bookmarkEnd w:id="322"/>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903" w:right="9276"/>
        <w:jc w:val="center"/>
        <w:rPr>
          <w:b w:val="0"/>
          <w:bCs w:val="0"/>
        </w:rPr>
      </w:pPr>
      <w:bookmarkStart w:name="50、预计负债" w:id="323"/>
      <w:bookmarkEnd w:id="323"/>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903" w:right="9276"/>
        <w:jc w:val="center"/>
        <w:rPr>
          <w:b w:val="0"/>
          <w:bCs w:val="0"/>
        </w:rPr>
      </w:pPr>
      <w:bookmarkStart w:name="51、递延收益" w:id="324"/>
      <w:bookmarkEnd w:id="324"/>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5,003,720.28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1,247,548.50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13,756,171.78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5,003,720.28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1,247,548.50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13,756,171.78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821"/>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智能化、小型化 城市电网生产基 地建设专项资金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1,206,307.79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213,750.00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992,557.79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北京市科学技术 委员会专项拨款</w:t>
            </w:r>
          </w:p>
          <w:p>
            <w:pPr>
              <w:pStyle w:val="TableParagraph"/>
              <w:spacing w:line="319" w:lineRule="auto" w:before="19"/>
              <w:ind w:left="22" w:right="72"/>
              <w:jc w:val="left"/>
              <w:rPr>
                <w:rFonts w:ascii="宋体" w:hAnsi="宋体" w:cs="宋体" w:eastAsia="宋体" w:hint="default"/>
                <w:sz w:val="18"/>
                <w:szCs w:val="18"/>
              </w:rPr>
            </w:pPr>
            <w:r>
              <w:rPr>
                <w:rFonts w:ascii="宋体" w:hAnsi="宋体" w:cs="宋体" w:eastAsia="宋体" w:hint="default"/>
                <w:sz w:val="18"/>
                <w:szCs w:val="18"/>
              </w:rPr>
              <w:t>（配网智能柱上 开关研制）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3,797,412.49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1,033,798.50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2,763,613.99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生产基地建设项 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5,003,720.28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1,247,548.50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13,756,171.78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821"/>
        <w:jc w:val="left"/>
        <w:rPr>
          <w:b w:val="0"/>
          <w:bCs w:val="0"/>
        </w:rPr>
      </w:pPr>
      <w:bookmarkStart w:name="52、其他非流动负债" w:id="325"/>
      <w:bookmarkEnd w:id="325"/>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53、股本" w:id="326"/>
      <w:bookmarkEnd w:id="326"/>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82,180,000.00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26,000,000.00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26,000,000.00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108,180,000.00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left="1134" w:right="821"/>
        <w:jc w:val="left"/>
        <w:rPr>
          <w:b w:val="0"/>
          <w:bCs w:val="0"/>
        </w:rPr>
      </w:pPr>
      <w:bookmarkStart w:name="54、其他权益工具" w:id="327"/>
      <w:bookmarkEnd w:id="327"/>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55、资本公积" w:id="328"/>
      <w:bookmarkEnd w:id="328"/>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19,168,322.59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218,150,496.48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237,318,819.07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357,302.60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357,302.60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19,525,625.19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218,150,496.48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237,676,121.67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134" w:right="821"/>
        <w:jc w:val="left"/>
        <w:rPr>
          <w:b w:val="0"/>
          <w:bCs w:val="0"/>
        </w:rPr>
      </w:pPr>
      <w:bookmarkStart w:name="56、库存股" w:id="329"/>
      <w:bookmarkEnd w:id="329"/>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57、其他综合收益" w:id="330"/>
      <w:bookmarkEnd w:id="330"/>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903" w:right="9276"/>
        <w:jc w:val="center"/>
        <w:rPr>
          <w:b w:val="0"/>
          <w:bCs w:val="0"/>
        </w:rPr>
      </w:pPr>
      <w:bookmarkStart w:name="58、专项储备" w:id="331"/>
      <w:bookmarkEnd w:id="331"/>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903" w:right="9276"/>
        <w:jc w:val="center"/>
        <w:rPr>
          <w:b w:val="0"/>
          <w:bCs w:val="0"/>
        </w:rPr>
      </w:pPr>
      <w:bookmarkStart w:name="59、盈余公积" w:id="332"/>
      <w:bookmarkEnd w:id="332"/>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28,506,412.90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4,937,856.68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33,444,269.58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28,506,412.90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4,937,856.68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33,444,269.58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134" w:right="821"/>
        <w:jc w:val="left"/>
        <w:rPr>
          <w:b w:val="0"/>
          <w:bCs w:val="0"/>
        </w:rPr>
      </w:pPr>
      <w:bookmarkStart w:name="60、未分配利润" w:id="333"/>
      <w:bookmarkEnd w:id="333"/>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287,334,009.32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234,597,720.95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87,495,468.10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75,285,176.63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4,937,856.68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6,112,888.26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16,436,000.00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16,436,000.00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353,455,620.74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287,334,009.32</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61、营业收入和营业成本" w:id="334"/>
      <w:bookmarkEnd w:id="334"/>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1,117,448,993.36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817,924,559.51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910,876,861.96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631,146,171.48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587,830.18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1,117,448,993.36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817,924,559.51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911,464,692.14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631,146,171.48</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62、营业税金及附加" w:id="335"/>
      <w:bookmarkEnd w:id="335"/>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113,504.78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95,332.49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3,084,943.00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2,652,130.59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1,468,635.59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1,273,536.31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979,083.74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849,030.87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2,348.43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5,648,515.54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4,870,030.26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134" w:right="821"/>
        <w:jc w:val="left"/>
        <w:rPr>
          <w:b w:val="0"/>
          <w:bCs w:val="0"/>
        </w:rPr>
      </w:pPr>
      <w:bookmarkStart w:name="63、销售费用" w:id="336"/>
      <w:bookmarkEnd w:id="336"/>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28,400,169.02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22,806,287.20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17,240,600.78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16,186,630.70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标书及中标服务费会员费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14,544,935.98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9,661,816.38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10,553,217.91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13,037,821.00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安装调试费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12,575,158.83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6,673,238.02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8,015,149.85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6,034,654.94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5,846,383.70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5,947,084.91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5,183,083.01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10,186,095.94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3,344,736.58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4,505,987.96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2,528,976.83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838,875.24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2,186,962.68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1,057,502.38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2,184,472.98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847,242.80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1,414,962.24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451,918.84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办事处驻外费用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1,016,294.39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1,185,040.70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1,899,626.43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1,538,551.26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116,934,731.21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100,958,748.27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134" w:right="821"/>
        <w:jc w:val="left"/>
        <w:rPr>
          <w:b w:val="0"/>
          <w:bCs w:val="0"/>
        </w:rPr>
      </w:pPr>
      <w:bookmarkStart w:name="64、管理费用" w:id="337"/>
      <w:bookmarkEnd w:id="337"/>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27,824,486.47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25,270,236.51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14,504,499.17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21,571,728.67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5,534,272.75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4,799,329.21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2,210,621.00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3,131,965.68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2,128,769.51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1,792,738.02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费用性税金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2,087,825.24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1,811,151.33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2,032,094.93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2,335,229.73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1,862,849.83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2,032,598.84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1,812,125.72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417,055.00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1,705,654.96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1,152,621.90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职工教育费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1,596,577.19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1,345,233.54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1,342,636.14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2,955,061.18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883,378.54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853,316.99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673,673.70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584,949.63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4,735,685.75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4,469,408.19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70,935,150.90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74,522,624.42</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65、财务费用" w:id="338"/>
      <w:bookmarkEnd w:id="338"/>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4,729,597.23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3,491,511.67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5,163,451.67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3,395,658.56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-903.80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969,092.74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672,546.66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银行借款担保费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2,026,815.75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1,119,867.58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2,561,513.30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1,889,171.15</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66、资产减值损失" w:id="339"/>
      <w:bookmarkEnd w:id="339"/>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10,942,740.97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8,870,404.93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10,942,740.97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8,870,404.93</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67、公允价值变动收益" w:id="340"/>
      <w:bookmarkEnd w:id="340"/>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68、投资收益" w:id="341"/>
      <w:bookmarkEnd w:id="341"/>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69、营业外收入" w:id="342"/>
      <w:bookmarkEnd w:id="342"/>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6"/>
        <w:gridCol w:w="2408"/>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8,124.98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8,124.98</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8,124.98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8,124.98</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6,843,608.50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4" w:right="0"/>
              <w:jc w:val="left"/>
              <w:rPr>
                <w:rFonts w:ascii="Times New Roman" w:hAnsi="Times New Roman" w:cs="Times New Roman" w:eastAsia="Times New Roman" w:hint="default"/>
                <w:sz w:val="18"/>
                <w:szCs w:val="18"/>
              </w:rPr>
            </w:pPr>
            <w:r>
              <w:rPr>
                <w:rFonts w:ascii="Times New Roman"/>
                <w:sz w:val="18"/>
              </w:rPr>
              <w:t>4,686,517.77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6,843,608.50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4,188.04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6,852,779.48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4,690,705.81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6,852,779.48</w:t>
            </w:r>
          </w:p>
        </w:tc>
      </w:tr>
    </w:tbl>
    <w:p>
      <w:pPr>
        <w:pStyle w:val="BodyText"/>
        <w:spacing w:line="240" w:lineRule="auto" w:before="51"/>
        <w:ind w:left="1134" w:right="821"/>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76"/>
        <w:gridCol w:w="1134"/>
        <w:gridCol w:w="568"/>
        <w:gridCol w:w="1701"/>
        <w:gridCol w:w="992"/>
        <w:gridCol w:w="710"/>
        <w:gridCol w:w="1064"/>
        <w:gridCol w:w="1062"/>
        <w:gridCol w:w="1063"/>
      </w:tblGrid>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 w:right="38"/>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9"/>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中关村科技园 区海淀园管理 委员会公租房 补贴款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98"/>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65,859.00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137,740.27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北京中关村科 技担保有限公 司利息补贴款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8"/>
              <w:jc w:val="both"/>
              <w:rPr>
                <w:rFonts w:ascii="宋体" w:hAnsi="宋体" w:cs="宋体" w:eastAsia="宋体" w:hint="default"/>
                <w:sz w:val="18"/>
                <w:szCs w:val="18"/>
              </w:rPr>
            </w:pPr>
            <w:r>
              <w:rPr>
                <w:rFonts w:ascii="宋体" w:hAnsi="宋体" w:cs="宋体" w:eastAsia="宋体" w:hint="default"/>
                <w:sz w:val="18"/>
                <w:szCs w:val="18"/>
              </w:rPr>
              <w:t>北京中关村 科技担保有 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992,250.00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522,019.99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国家知识产权 局北京代办处 的补贴款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8"/>
              <w:jc w:val="both"/>
              <w:rPr>
                <w:rFonts w:ascii="宋体" w:hAnsi="宋体" w:cs="宋体" w:eastAsia="宋体" w:hint="default"/>
                <w:sz w:val="18"/>
                <w:szCs w:val="18"/>
              </w:rPr>
            </w:pPr>
            <w:r>
              <w:rPr>
                <w:rFonts w:ascii="宋体" w:hAnsi="宋体" w:cs="宋体" w:eastAsia="宋体" w:hint="default"/>
                <w:sz w:val="18"/>
                <w:szCs w:val="18"/>
              </w:rPr>
              <w:t>国家知识产 权局北京代 办处</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中关村科技园 区海淀园管理 委员企业研发 中心研发投入 补贴专项资金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198"/>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46"/>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北京中关村企 业信用促进会 补贴款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8"/>
              <w:jc w:val="both"/>
              <w:rPr>
                <w:rFonts w:ascii="宋体" w:hAnsi="宋体" w:cs="宋体" w:eastAsia="宋体" w:hint="default"/>
                <w:sz w:val="18"/>
                <w:szCs w:val="18"/>
              </w:rPr>
            </w:pPr>
            <w:r>
              <w:rPr>
                <w:rFonts w:ascii="宋体" w:hAnsi="宋体" w:cs="宋体" w:eastAsia="宋体" w:hint="default"/>
                <w:sz w:val="18"/>
                <w:szCs w:val="18"/>
              </w:rPr>
              <w:t>北京中关村 企业信用促 进会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密云财政局经 济开发区财政 所补贴款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8"/>
              <w:jc w:val="both"/>
              <w:rPr>
                <w:rFonts w:ascii="宋体" w:hAnsi="宋体" w:cs="宋体" w:eastAsia="宋体" w:hint="default"/>
                <w:sz w:val="18"/>
                <w:szCs w:val="18"/>
              </w:rPr>
            </w:pPr>
            <w:r>
              <w:rPr>
                <w:rFonts w:ascii="宋体" w:hAnsi="宋体" w:cs="宋体" w:eastAsia="宋体" w:hint="default"/>
                <w:sz w:val="18"/>
                <w:szCs w:val="18"/>
              </w:rPr>
              <w:t>密云财政局 经济开发区 财政所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1,664,400.00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北京市科学技 术委员会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密云县科学技 术委员会拨款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密云县科学 技术委员会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中关村科技园 区管理委员会 支持资金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8"/>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1"/>
              <w:jc w:val="both"/>
              <w:rPr>
                <w:rFonts w:ascii="宋体" w:hAnsi="宋体" w:cs="宋体" w:eastAsia="宋体" w:hint="default"/>
                <w:sz w:val="18"/>
                <w:szCs w:val="18"/>
              </w:rPr>
            </w:pPr>
            <w:r>
              <w:rPr>
                <w:rFonts w:ascii="宋体" w:hAnsi="宋体" w:cs="宋体" w:eastAsia="宋体" w:hint="default"/>
                <w:sz w:val="18"/>
                <w:szCs w:val="18"/>
              </w:rPr>
              <w:t>北京市海淀区 人民政府办公 室培育期专项 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198"/>
              <w:jc w:val="left"/>
              <w:rPr>
                <w:rFonts w:ascii="宋体" w:hAnsi="宋体" w:cs="宋体" w:eastAsia="宋体" w:hint="default"/>
                <w:sz w:val="18"/>
                <w:szCs w:val="18"/>
              </w:rPr>
            </w:pPr>
            <w:r>
              <w:rPr>
                <w:rFonts w:ascii="宋体" w:hAnsi="宋体" w:cs="宋体" w:eastAsia="宋体" w:hint="default"/>
                <w:sz w:val="18"/>
                <w:szCs w:val="18"/>
              </w:rPr>
              <w:t>北京市海淀 区人民政府</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276"/>
        <w:gridCol w:w="1134"/>
        <w:gridCol w:w="568"/>
        <w:gridCol w:w="1701"/>
        <w:gridCol w:w="992"/>
        <w:gridCol w:w="710"/>
        <w:gridCol w:w="1064"/>
        <w:gridCol w:w="1062"/>
        <w:gridCol w:w="1063"/>
      </w:tblGrid>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北京市经济和 信息化委员会 中小企业创新 融资贴息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98"/>
              <w:jc w:val="both"/>
              <w:rPr>
                <w:rFonts w:ascii="宋体" w:hAnsi="宋体" w:cs="宋体" w:eastAsia="宋体" w:hint="default"/>
                <w:sz w:val="18"/>
                <w:szCs w:val="18"/>
              </w:rPr>
            </w:pPr>
            <w:r>
              <w:rPr>
                <w:rFonts w:ascii="宋体" w:hAnsi="宋体" w:cs="宋体" w:eastAsia="宋体" w:hint="default"/>
                <w:sz w:val="18"/>
                <w:szCs w:val="18"/>
              </w:rPr>
              <w:t>北京市经济 和信息化委 员会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北京市经济和 信息化委员会 第一批中小企 业发展专项资 金创新融资项 目补贴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198"/>
              <w:jc w:val="both"/>
              <w:rPr>
                <w:rFonts w:ascii="宋体" w:hAnsi="宋体" w:cs="宋体" w:eastAsia="宋体" w:hint="default"/>
                <w:sz w:val="18"/>
                <w:szCs w:val="18"/>
              </w:rPr>
            </w:pPr>
            <w:r>
              <w:rPr>
                <w:rFonts w:ascii="宋体" w:hAnsi="宋体" w:cs="宋体" w:eastAsia="宋体" w:hint="default"/>
                <w:sz w:val="18"/>
                <w:szCs w:val="18"/>
              </w:rPr>
              <w:t>北京市经济 和信息化委 员会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16"/>
              <w:jc w:val="both"/>
              <w:rPr>
                <w:rFonts w:ascii="宋体" w:hAnsi="宋体" w:cs="宋体" w:eastAsia="宋体" w:hint="default"/>
                <w:sz w:val="18"/>
                <w:szCs w:val="18"/>
              </w:rPr>
            </w:pPr>
            <w:r>
              <w:rPr>
                <w:rFonts w:ascii="宋体" w:hAnsi="宋体" w:cs="宋体" w:eastAsia="宋体" w:hint="default"/>
                <w:sz w:val="18"/>
                <w:szCs w:val="18"/>
              </w:rPr>
              <w:t>北京市科学技 术委员会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首都设计提升 计划补贴款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98"/>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密云社保返农 村劳动力补贴 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密云县人民 政府</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44,541.00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本地就业用工 返还鼓励款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密云县人民 政府</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36,810.00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密云县科学技 术委员会领军 人才项目资助 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98"/>
              <w:jc w:val="left"/>
              <w:rPr>
                <w:rFonts w:ascii="宋体" w:hAnsi="宋体" w:cs="宋体" w:eastAsia="宋体" w:hint="default"/>
                <w:sz w:val="18"/>
                <w:szCs w:val="18"/>
              </w:rPr>
            </w:pPr>
            <w:r>
              <w:rPr>
                <w:rFonts w:ascii="宋体" w:hAnsi="宋体" w:cs="宋体" w:eastAsia="宋体" w:hint="default"/>
                <w:sz w:val="18"/>
                <w:szCs w:val="18"/>
              </w:rPr>
              <w:t>密云县科学 技术委员会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中关村知识产 权促进局创新 能力资金等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中关村知识 产权促进局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密云科委授权 专利资助金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密云科委</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1,247,548.50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416,337.51</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6,843,608.50</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4,686,517.77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70、营业外支出" w:id="343"/>
      <w:bookmarkEnd w:id="343"/>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8"/>
        <w:gridCol w:w="2396"/>
        <w:gridCol w:w="2392"/>
        <w:gridCol w:w="2380"/>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98"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80"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40" w:right="0"/>
              <w:jc w:val="left"/>
              <w:rPr>
                <w:rFonts w:ascii="Times New Roman" w:hAnsi="Times New Roman" w:cs="Times New Roman" w:eastAsia="Times New Roman" w:hint="default"/>
                <w:sz w:val="18"/>
                <w:szCs w:val="18"/>
              </w:rPr>
            </w:pPr>
            <w:r>
              <w:rPr>
                <w:rFonts w:ascii="Times New Roman"/>
                <w:sz w:val="18"/>
              </w:rPr>
              <w:t>151,398.75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3,757,349.33</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151,398.75</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151,398.75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3,757,349.33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151,398.75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1,114.76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1,114.76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152,513.51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3,757,543.81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152,513.51</w:t>
            </w:r>
          </w:p>
        </w:tc>
      </w:tr>
    </w:tbl>
    <w:p>
      <w:pPr>
        <w:spacing w:line="240" w:lineRule="auto" w:before="3"/>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71、所得税费用" w:id="344"/>
      <w:bookmarkEnd w:id="344"/>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821"/>
        <w:jc w:val="left"/>
        <w:rPr>
          <w:b w:val="0"/>
          <w:bCs w:val="0"/>
        </w:rPr>
      </w:pPr>
      <w:bookmarkStart w:name="（1）所得税费用表" w:id="345"/>
      <w:bookmarkEnd w:id="34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13,470,731.03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16,034,842.08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-1,479,752.01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-907,700.67</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11,990,979.02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15,127,141.41</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2）会计利润与所得税费用调整过程" w:id="346"/>
      <w:bookmarkEnd w:id="34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99,202,047.90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14,880,307.19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338,271.92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-1,596,757.24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445,052.99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-467,343.81</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83,109.37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研发费加计扣除</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-1,691,661.40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11,990,979.02</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72、其他综合收益" w:id="347"/>
      <w:bookmarkEnd w:id="347"/>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4" w:right="821"/>
        <w:jc w:val="left"/>
      </w:pPr>
      <w:r>
        <w:rPr/>
        <w:t>无。</w:t>
      </w:r>
    </w:p>
    <w:p>
      <w:pPr>
        <w:spacing w:line="240" w:lineRule="auto" w:before="10"/>
        <w:rPr>
          <w:rFonts w:ascii="宋体" w:hAnsi="宋体" w:cs="宋体" w:eastAsia="宋体" w:hint="default"/>
          <w:sz w:val="26"/>
          <w:szCs w:val="26"/>
        </w:rPr>
      </w:pPr>
    </w:p>
    <w:p>
      <w:pPr>
        <w:pStyle w:val="Heading3"/>
        <w:spacing w:line="240" w:lineRule="auto"/>
        <w:ind w:left="1134" w:right="821"/>
        <w:jc w:val="left"/>
        <w:rPr>
          <w:b w:val="0"/>
          <w:bCs w:val="0"/>
        </w:rPr>
      </w:pPr>
      <w:bookmarkStart w:name="73、现金流量表项目" w:id="348"/>
      <w:bookmarkEnd w:id="348"/>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21"/>
        <w:jc w:val="left"/>
        <w:rPr>
          <w:b w:val="0"/>
          <w:bCs w:val="0"/>
        </w:rPr>
      </w:pPr>
      <w:bookmarkStart w:name="（1）收到的其他与经营活动有关的现金" w:id="349"/>
      <w:bookmarkEnd w:id="34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5,163,451.67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3,395,658.56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5,596,060.00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8,270,180.26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投标及履约保证金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22,275,900.36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545,517.32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34,940,929.35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20,137,838.82</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2）支付的其他与经营活动有关的现金" w:id="350"/>
      <w:bookmarkEnd w:id="35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管理业务费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51,169,011.75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73,854,679.65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研发试验费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14,336,464.90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11,598,427.88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19,668,829.83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11,774,540.01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7,834,476.73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2,783,912.51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银行汇票承兑、保函保证金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67,068,020.58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49,737,886.47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3,292,190.53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160,097,914.47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153,041,637.05</w:t>
            </w:r>
          </w:p>
        </w:tc>
      </w:tr>
    </w:tbl>
    <w:p>
      <w:pPr>
        <w:spacing w:line="240" w:lineRule="auto" w:before="3"/>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3）收到的其他与投资活动有关的现金" w:id="351"/>
      <w:bookmarkEnd w:id="35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无。</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4）支付的其他与投资活动有关的现金" w:id="352"/>
      <w:bookmarkEnd w:id="35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无。</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5）收到的其他与筹资活动有关的现金" w:id="353"/>
      <w:bookmarkEnd w:id="35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5,266,092.82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15,266,092.82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6）支付的其他与筹资活动有关的现金" w:id="354"/>
      <w:bookmarkEnd w:id="35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r>
        <w:rPr/>
        <w:pict>
          <v:group style="position:absolute;margin-left:223.339996pt;margin-top:438.789978pt;width:151.25pt;height:20.8pt;mso-position-horizontal-relative:page;mso-position-vertical-relative:page;z-index:-780328" coordorigin="4467,8776" coordsize="3025,416">
            <v:group style="position:absolute;left:4478;top:8787;width:2;height:393" coordorigin="4478,8787" coordsize="2,393">
              <v:shape style="position:absolute;left:4478;top:8787;width:2;height:393" coordorigin="4478,8787" coordsize="0,393" path="m4478,8787l4478,9180e" filled="false" stroked="true" strokeweight="1.140pt" strokecolor="#ffffff">
                <v:path arrowok="t"/>
              </v:shape>
            </v:group>
            <v:group style="position:absolute;left:4490;top:8787;width:3002;height:393" coordorigin="4490,8787" coordsize="3002,393">
              <v:shape style="position:absolute;left:4490;top:8787;width:3002;height:393" coordorigin="4490,8787" coordsize="3002,393" path="m4490,9180l7491,9180,7491,8787,4490,8787,4490,9180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银行借款担保费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2,026,815.75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1,119,867.58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上市中介费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2,026,815.75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1,449,867.58</w:t>
            </w:r>
          </w:p>
        </w:tc>
      </w:tr>
    </w:tbl>
    <w:p>
      <w:pPr>
        <w:spacing w:line="240" w:lineRule="auto" w:before="3"/>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74、现金流量表补充资料" w:id="355"/>
      <w:bookmarkEnd w:id="355"/>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现金流量表补充资料" w:id="356"/>
      <w:bookmarkEnd w:id="35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87,211,068.88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75,013,562.22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10,942,740.97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8,870,404.93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9,538,518.36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7,934,465.73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1,571,321.77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1,000,142.03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1,117,744.99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1,082,789.74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143,273.77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3,757,349.33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6,755,872.23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4,612,283.05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-1,479,752.01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-907,700.67</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8"/>
              <w:ind w:left="1595" w:right="0"/>
              <w:jc w:val="left"/>
              <w:rPr>
                <w:rFonts w:ascii="宋体" w:hAnsi="宋体" w:cs="宋体" w:eastAsia="宋体" w:hint="default"/>
                <w:sz w:val="22"/>
                <w:szCs w:val="22"/>
              </w:rPr>
            </w:pPr>
            <w:r>
              <w:rPr>
                <w:rFonts w:ascii="宋体"/>
                <w:sz w:val="22"/>
              </w:rPr>
              <w:t>12,380,763.34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-15,034,134.86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-256,547,166.28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-156,277,024.88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158,537,005.33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88,920,873.06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30,171,391.35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18,973,009.68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230,981,871.30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185,341,572.24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185,341,572.24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206,753,265.82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45,640,299.06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-21,411,693.58</w:t>
            </w:r>
          </w:p>
        </w:tc>
      </w:tr>
    </w:tbl>
    <w:p>
      <w:pPr>
        <w:spacing w:line="240" w:lineRule="auto" w:before="3"/>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2）本期支付的取得子公司的现金净额" w:id="357"/>
      <w:bookmarkEnd w:id="35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after="0" w:line="240" w:lineRule="auto"/>
        <w:jc w:val="left"/>
        <w:sectPr>
          <w:pgSz w:w="11910" w:h="16840"/>
          <w:pgMar w:header="0"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821"/>
        <w:jc w:val="left"/>
        <w:rPr>
          <w:b w:val="0"/>
          <w:bCs w:val="0"/>
        </w:rPr>
      </w:pPr>
      <w:bookmarkStart w:name="（3）本期收到的处置子公司的现金净额" w:id="358"/>
      <w:bookmarkEnd w:id="35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4）现金和现金等价物的构成" w:id="359"/>
      <w:bookmarkEnd w:id="35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230,981,871.30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185,341,572.24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48,414.89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1,013,016.90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230,933,456.41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184,328,555.34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230,981,871.30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185,341,572.24</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75、所有者权益变动表项目注释" w:id="360"/>
      <w:bookmarkEnd w:id="360"/>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无。</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76、所有权或使用权受到限制的资产" w:id="361"/>
      <w:bookmarkEnd w:id="361"/>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139,600,294.80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银行承兑保证金及保函保证金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5,391,086.11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银行借款抵押物</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144,991,380.91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77、外币货币性项目" w:id="362"/>
      <w:bookmarkEnd w:id="362"/>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外币货币性项目" w:id="363"/>
      <w:bookmarkEnd w:id="36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59" w:lineRule="auto"/>
        <w:ind w:right="821"/>
        <w:jc w:val="left"/>
        <w:rPr>
          <w:b w:val="0"/>
          <w:bCs w:val="0"/>
        </w:rPr>
      </w:pPr>
      <w:bookmarkStart w:name="（2）境外经营实体说明，包括对于重要的境外经营实体，应披露其境外主要经营地、记账" w:id="364"/>
      <w:bookmarkEnd w:id="36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1"/>
        </w:rPr>
        <w:t> </w:t>
      </w:r>
      <w:r>
        <w:rPr>
          <w:spacing w:val="-71"/>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21"/>
        <w:jc w:val="left"/>
        <w:rPr>
          <w:b w:val="0"/>
          <w:bCs w:val="0"/>
        </w:rPr>
      </w:pPr>
      <w:bookmarkStart w:name="78、套期" w:id="365"/>
      <w:bookmarkEnd w:id="365"/>
      <w:r>
        <w:rPr>
          <w:b w:val="0"/>
          <w:bCs w:val="0"/>
        </w:rPr>
      </w:r>
      <w:r>
        <w:rPr>
          <w:rFonts w:ascii="Times New Roman" w:hAnsi="Times New Roman" w:cs="Times New Roman" w:eastAsia="Times New Roman" w:hint="default"/>
        </w:rPr>
        <w:t>78</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940" w:right="9276"/>
        <w:jc w:val="center"/>
      </w:pPr>
      <w:r>
        <w:rPr/>
        <w:t>不适用。</w:t>
      </w:r>
    </w:p>
    <w:p>
      <w:pPr>
        <w:spacing w:after="0" w:line="240" w:lineRule="auto"/>
        <w:jc w:val="center"/>
        <w:sectPr>
          <w:pgSz w:w="11910" w:h="16840"/>
          <w:pgMar w:header="0"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bookmarkStart w:name="79、其他" w:id="366"/>
      <w:bookmarkEnd w:id="366"/>
      <w:r>
        <w:rPr>
          <w:b w:val="0"/>
          <w:bCs w:val="0"/>
        </w:rPr>
      </w:r>
      <w:r>
        <w:rPr>
          <w:rFonts w:ascii="Times New Roman" w:hAnsi="Times New Roman" w:cs="Times New Roman" w:eastAsia="Times New Roman" w:hint="default"/>
        </w:rPr>
        <w:t>79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both"/>
        <w:rPr>
          <w:b w:val="0"/>
          <w:bCs w:val="0"/>
        </w:rPr>
      </w:pPr>
      <w:bookmarkStart w:name="八、合并范围的变更" w:id="367"/>
      <w:bookmarkEnd w:id="367"/>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1、非同一控制下企业合并" w:id="368"/>
      <w:bookmarkEnd w:id="368"/>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0"/>
        <w:jc w:val="both"/>
        <w:rPr>
          <w:b w:val="0"/>
          <w:bCs w:val="0"/>
        </w:rPr>
      </w:pPr>
      <w:bookmarkStart w:name="2、同一控制下企业合并" w:id="369"/>
      <w:bookmarkEnd w:id="369"/>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0"/>
        <w:jc w:val="both"/>
        <w:rPr>
          <w:b w:val="0"/>
          <w:bCs w:val="0"/>
        </w:rPr>
      </w:pPr>
      <w:bookmarkStart w:name="3、反向购买" w:id="370"/>
      <w:bookmarkEnd w:id="37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0"/>
        <w:jc w:val="both"/>
        <w:rPr>
          <w:b w:val="0"/>
          <w:bCs w:val="0"/>
        </w:rPr>
      </w:pPr>
      <w:bookmarkStart w:name="4、处置子公司" w:id="371"/>
      <w:bookmarkEnd w:id="37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t>是否存在单次处置对子公司投资即丧失控制权的情形</w:t>
      </w:r>
    </w:p>
    <w:p>
      <w:pPr>
        <w:pStyle w:val="BodyText"/>
        <w:spacing w:line="338" w:lineRule="auto" w:before="117"/>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bookmarkStart w:name="5、其他原因的合并范围变动" w:id="372"/>
      <w:bookmarkEnd w:id="372"/>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3" w:right="821"/>
        <w:jc w:val="left"/>
      </w:pP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19</w:t>
      </w:r>
      <w:r>
        <w:rPr>
          <w:rFonts w:ascii="宋体" w:hAnsi="宋体" w:cs="宋体" w:eastAsia="宋体" w:hint="default"/>
          <w:spacing w:val="-53"/>
        </w:rPr>
        <w:t> </w:t>
      </w:r>
      <w:r>
        <w:rPr/>
        <w:t>日，本公司第三届董事会第十七次会议审议通过《关于公司对外设立全资子公司并购买土地建设生产基</w:t>
      </w:r>
    </w:p>
    <w:p>
      <w:pPr>
        <w:pStyle w:val="BodyText"/>
        <w:spacing w:line="316" w:lineRule="auto" w:before="76"/>
        <w:ind w:right="1132"/>
        <w:jc w:val="both"/>
      </w:pPr>
      <w:r>
        <w:rPr>
          <w:spacing w:val="-7"/>
        </w:rPr>
        <w:t>地的议案》，本公司投资人民币</w:t>
      </w:r>
      <w:r>
        <w:rPr>
          <w:spacing w:val="-16"/>
        </w:rPr>
        <w:t> </w:t>
      </w:r>
      <w:r>
        <w:rPr>
          <w:rFonts w:ascii="宋体" w:hAnsi="宋体" w:cs="宋体" w:eastAsia="宋体" w:hint="default"/>
        </w:rPr>
        <w:t>8,000</w:t>
      </w:r>
      <w:r>
        <w:rPr>
          <w:rFonts w:ascii="宋体" w:hAnsi="宋体" w:cs="宋体" w:eastAsia="宋体" w:hint="default"/>
          <w:spacing w:val="-16"/>
        </w:rPr>
        <w:t> </w:t>
      </w:r>
      <w:r>
        <w:rPr/>
        <w:t>万元设立天津合纵电力设备有限公司。天津合纵电力设备有限公司成立于</w:t>
      </w:r>
      <w:r>
        <w:rPr>
          <w:spacing w:val="-16"/>
        </w:rPr>
        <w:t> </w:t>
      </w:r>
      <w:r>
        <w:rPr>
          <w:rFonts w:ascii="宋体" w:hAnsi="宋体" w:cs="宋体" w:eastAsia="宋体" w:hint="default"/>
        </w:rPr>
        <w:t>2015</w:t>
      </w:r>
      <w:r>
        <w:rPr>
          <w:rFonts w:ascii="宋体" w:hAnsi="宋体" w:cs="宋体" w:eastAsia="宋体" w:hint="default"/>
          <w:spacing w:val="-16"/>
        </w:rPr>
        <w:t> </w:t>
      </w:r>
      <w:r>
        <w:rPr/>
        <w:t>年</w:t>
      </w:r>
      <w:r>
        <w:rPr>
          <w:spacing w:val="-16"/>
        </w:rPr>
        <w:t> </w:t>
      </w:r>
      <w:r>
        <w:rPr>
          <w:rFonts w:ascii="宋体" w:hAnsi="宋体" w:cs="宋体" w:eastAsia="宋体" w:hint="default"/>
        </w:rPr>
        <w:t>3 </w:t>
      </w:r>
      <w:r>
        <w:rPr/>
        <w:t>月</w:t>
      </w:r>
      <w:r>
        <w:rPr>
          <w:spacing w:val="-53"/>
        </w:rPr>
        <w:t> </w:t>
      </w:r>
      <w:r>
        <w:rPr>
          <w:rFonts w:ascii="宋体" w:hAnsi="宋体" w:cs="宋体" w:eastAsia="宋体" w:hint="default"/>
        </w:rPr>
        <w:t>9</w:t>
      </w:r>
      <w:r>
        <w:rPr>
          <w:rFonts w:ascii="宋体" w:hAnsi="宋体" w:cs="宋体" w:eastAsia="宋体" w:hint="default"/>
          <w:spacing w:val="-53"/>
        </w:rPr>
        <w:t> </w:t>
      </w:r>
      <w:r>
        <w:rPr>
          <w:spacing w:val="-7"/>
        </w:rPr>
        <w:t>日，注册资本</w:t>
      </w:r>
      <w:r>
        <w:rPr>
          <w:spacing w:val="-53"/>
        </w:rPr>
        <w:t> </w:t>
      </w:r>
      <w:r>
        <w:rPr>
          <w:rFonts w:ascii="宋体" w:hAnsi="宋体" w:cs="宋体" w:eastAsia="宋体" w:hint="default"/>
        </w:rPr>
        <w:t>8,000.00</w:t>
      </w:r>
      <w:r>
        <w:rPr>
          <w:rFonts w:ascii="宋体" w:hAnsi="宋体" w:cs="宋体" w:eastAsia="宋体" w:hint="default"/>
          <w:spacing w:val="-53"/>
        </w:rPr>
        <w:t> </w:t>
      </w:r>
      <w:r>
        <w:rPr/>
        <w:t>万元，注册资本出资已经北京中靖诚会计师事务所以中靖诚验字</w:t>
      </w:r>
      <w:r>
        <w:rPr>
          <w:rFonts w:ascii="宋体" w:hAnsi="宋体" w:cs="宋体" w:eastAsia="宋体" w:hint="default"/>
        </w:rPr>
        <w:t>[2015]</w:t>
      </w:r>
      <w:r>
        <w:rPr/>
        <w:t>第</w:t>
      </w:r>
      <w:r>
        <w:rPr>
          <w:spacing w:val="-53"/>
        </w:rPr>
        <w:t> </w:t>
      </w:r>
      <w:r>
        <w:rPr>
          <w:rFonts w:ascii="宋体" w:hAnsi="宋体" w:cs="宋体" w:eastAsia="宋体" w:hint="default"/>
        </w:rPr>
        <w:t>E-1981</w:t>
      </w:r>
      <w:r>
        <w:rPr>
          <w:rFonts w:ascii="宋体" w:hAnsi="宋体" w:cs="宋体" w:eastAsia="宋体" w:hint="default"/>
          <w:spacing w:val="-53"/>
        </w:rPr>
        <w:t> </w:t>
      </w:r>
      <w:r>
        <w:rPr/>
        <w:t>号验资报告审 验。</w:t>
      </w:r>
    </w:p>
    <w:p>
      <w:pPr>
        <w:spacing w:line="240" w:lineRule="auto" w:before="7"/>
        <w:rPr>
          <w:rFonts w:ascii="宋体" w:hAnsi="宋体" w:cs="宋体" w:eastAsia="宋体" w:hint="default"/>
          <w:sz w:val="22"/>
          <w:szCs w:val="22"/>
        </w:rPr>
      </w:pPr>
    </w:p>
    <w:p>
      <w:pPr>
        <w:pStyle w:val="Heading3"/>
        <w:spacing w:line="240" w:lineRule="auto"/>
        <w:ind w:left="1134" w:right="0"/>
        <w:jc w:val="both"/>
        <w:rPr>
          <w:b w:val="0"/>
          <w:bCs w:val="0"/>
        </w:rPr>
      </w:pPr>
      <w:bookmarkStart w:name="6、其他" w:id="373"/>
      <w:bookmarkEnd w:id="373"/>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4" w:right="821"/>
        <w:jc w:val="left"/>
      </w:pPr>
      <w:r>
        <w:rPr/>
        <w:t>无。</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九、在其他主体中的权益" w:id="374"/>
      <w:bookmarkEnd w:id="374"/>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在子公司中的权益" w:id="375"/>
      <w:bookmarkEnd w:id="37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企业集团的构成" w:id="376"/>
      <w:bookmarkEnd w:id="37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0"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北京合纵实科电 力科技有限公司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北京密云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北京密云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电力设备生产销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货币及非专利技 术</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北京合纵畅达金 属制品有限责任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北京密云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北京密云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钣金产品生产销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货币出资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北京合纵开创电 气技术有限公司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技术开发咨询服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货币及非专利技 术</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北京合纵科沃尔 电力科技有限公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开发生产配电设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货币出资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天津合纵电力设 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天津滨海新区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天津滨海新区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输配电设备生产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货币出资</w:t>
            </w:r>
          </w:p>
        </w:tc>
      </w:tr>
    </w:tbl>
    <w:p>
      <w:pPr>
        <w:pStyle w:val="BodyText"/>
        <w:spacing w:line="360" w:lineRule="auto" w:before="51"/>
        <w:ind w:right="2473"/>
        <w:jc w:val="left"/>
      </w:pPr>
      <w:r>
        <w:rPr/>
        <w:t>在子公司的持股比例不同于表决权比例的说明：无。 持有半数或以下表决权但仍控制被投资单位、以及持有半数以上表决权但不控制被投资单位的依据：无。 对于纳入合并范围的重要的结构化主体，控制的依据：无。</w:t>
      </w:r>
    </w:p>
    <w:p>
      <w:pPr>
        <w:pStyle w:val="BodyText"/>
        <w:spacing w:line="240" w:lineRule="auto" w:before="27"/>
        <w:ind w:left="1134" w:right="821"/>
        <w:jc w:val="left"/>
      </w:pPr>
      <w:r>
        <w:rPr/>
        <w:t>确定公司是代理人还是委托人的依据：无。</w:t>
      </w:r>
    </w:p>
    <w:p>
      <w:pPr>
        <w:spacing w:line="240" w:lineRule="auto" w:before="10"/>
        <w:rPr>
          <w:rFonts w:ascii="宋体" w:hAnsi="宋体" w:cs="宋体" w:eastAsia="宋体" w:hint="default"/>
          <w:sz w:val="26"/>
          <w:szCs w:val="26"/>
        </w:rPr>
      </w:pPr>
    </w:p>
    <w:p>
      <w:pPr>
        <w:pStyle w:val="Heading3"/>
        <w:spacing w:line="240" w:lineRule="auto"/>
        <w:ind w:right="821"/>
        <w:jc w:val="left"/>
        <w:rPr>
          <w:b w:val="0"/>
          <w:bCs w:val="0"/>
        </w:rPr>
      </w:pPr>
      <w:bookmarkStart w:name="（2）重要的非全资子公司" w:id="377"/>
      <w:bookmarkEnd w:id="37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5"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北京合纵畅达金属制品 有限责任公司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-519,278.05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-634,096.36</w:t>
            </w:r>
            <w:r>
              <w:rPr>
                <w:rFonts w:ascii="Times New Roman"/>
                <w:sz w:val="18"/>
              </w:rPr>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北京合纵开创电气技术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-133,700.22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1,414,181.14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北京合纵科沃尔电力科 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368,579.05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1,983,319.87</w:t>
            </w:r>
          </w:p>
        </w:tc>
      </w:tr>
    </w:tbl>
    <w:p>
      <w:pPr>
        <w:pStyle w:val="BodyText"/>
        <w:spacing w:line="240" w:lineRule="auto" w:before="51"/>
        <w:ind w:left="1134" w:right="821"/>
        <w:jc w:val="left"/>
      </w:pPr>
      <w:r>
        <w:rPr/>
        <w:t>子公司少数股东的持股比例不同于表决权比例的说明：无。</w:t>
      </w:r>
    </w:p>
    <w:p>
      <w:pPr>
        <w:spacing w:line="240" w:lineRule="auto" w:before="11"/>
        <w:rPr>
          <w:rFonts w:ascii="宋体" w:hAnsi="宋体" w:cs="宋体" w:eastAsia="宋体" w:hint="default"/>
          <w:sz w:val="26"/>
          <w:szCs w:val="26"/>
        </w:rPr>
      </w:pPr>
    </w:p>
    <w:p>
      <w:pPr>
        <w:pStyle w:val="Heading3"/>
        <w:spacing w:line="240" w:lineRule="auto"/>
        <w:ind w:left="1134" w:right="821"/>
        <w:jc w:val="left"/>
        <w:rPr>
          <w:b w:val="0"/>
          <w:bCs w:val="0"/>
        </w:rPr>
      </w:pPr>
      <w:bookmarkStart w:name="（3）重要非全资子公司的主要财务信息" w:id="378"/>
      <w:bookmarkEnd w:id="37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29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北京合 纵畅达 金属制 品有限</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990.21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179.34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1,169.55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1,296.36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1,296.36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1,003.30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240.41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1,243.71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1,266.68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1,266.68</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6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责任公 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北京合 纵开创 电气技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8.49</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北京合 纵科沃 尔电力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2,418.44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2,495.78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1,702.71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1,702.71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1,507.10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1,572.46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926.81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926.81</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北京合纵畅 达金属制品 有限责任公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2,652.83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2,991.95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北京合纵开 创电气技术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54.35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-24.94</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北京合纵科 沃尔电力科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2,641.60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3,037.90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-109.80</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4）使用企业集团资产和清偿企业集团债务的重大限制" w:id="379"/>
      <w:bookmarkEnd w:id="37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4" w:right="821"/>
        <w:jc w:val="left"/>
      </w:pPr>
      <w:r>
        <w:rPr/>
        <w:t>无。</w:t>
      </w:r>
    </w:p>
    <w:p>
      <w:pPr>
        <w:spacing w:line="240" w:lineRule="auto" w:before="10"/>
        <w:rPr>
          <w:rFonts w:ascii="宋体" w:hAnsi="宋体" w:cs="宋体" w:eastAsia="宋体" w:hint="default"/>
          <w:sz w:val="26"/>
          <w:szCs w:val="26"/>
        </w:rPr>
      </w:pPr>
    </w:p>
    <w:p>
      <w:pPr>
        <w:pStyle w:val="Heading3"/>
        <w:spacing w:line="240" w:lineRule="auto"/>
        <w:ind w:left="1134" w:right="821"/>
        <w:jc w:val="left"/>
        <w:rPr>
          <w:b w:val="0"/>
          <w:bCs w:val="0"/>
        </w:rPr>
      </w:pPr>
      <w:bookmarkStart w:name="（5）向纳入合并财务报表范围的结构化主体提供的财务支持或其他支持" w:id="380"/>
      <w:bookmarkEnd w:id="38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94" w:right="821"/>
        <w:jc w:val="left"/>
      </w:pPr>
      <w:r>
        <w:rPr/>
        <w:t>无。</w:t>
      </w:r>
    </w:p>
    <w:p>
      <w:pPr>
        <w:spacing w:line="240" w:lineRule="auto" w:before="10"/>
        <w:rPr>
          <w:rFonts w:ascii="宋体" w:hAnsi="宋体" w:cs="宋体" w:eastAsia="宋体" w:hint="default"/>
          <w:sz w:val="26"/>
          <w:szCs w:val="26"/>
        </w:rPr>
      </w:pPr>
    </w:p>
    <w:p>
      <w:pPr>
        <w:pStyle w:val="Heading3"/>
        <w:spacing w:line="240" w:lineRule="auto"/>
        <w:ind w:left="1134" w:right="821"/>
        <w:jc w:val="left"/>
        <w:rPr>
          <w:b w:val="0"/>
          <w:bCs w:val="0"/>
        </w:rPr>
      </w:pPr>
      <w:bookmarkStart w:name="2、在子公司的所有者权益份额发生变化且仍控制子公司的交易" w:id="381"/>
      <w:bookmarkEnd w:id="38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94" w:right="821"/>
        <w:jc w:val="left"/>
      </w:pPr>
      <w:r>
        <w:rPr/>
        <w:t>无。</w:t>
      </w:r>
    </w:p>
    <w:p>
      <w:pPr>
        <w:spacing w:line="240" w:lineRule="auto" w:before="11"/>
        <w:rPr>
          <w:rFonts w:ascii="宋体" w:hAnsi="宋体" w:cs="宋体" w:eastAsia="宋体" w:hint="default"/>
          <w:sz w:val="26"/>
          <w:szCs w:val="26"/>
        </w:rPr>
      </w:pPr>
    </w:p>
    <w:p>
      <w:pPr>
        <w:pStyle w:val="Heading3"/>
        <w:spacing w:line="240" w:lineRule="auto"/>
        <w:ind w:left="1134" w:right="821"/>
        <w:jc w:val="left"/>
        <w:rPr>
          <w:b w:val="0"/>
          <w:bCs w:val="0"/>
        </w:rPr>
      </w:pPr>
      <w:bookmarkStart w:name="3、在合营安排或联营企业中的权益" w:id="382"/>
      <w:bookmarkEnd w:id="38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4" w:right="821"/>
        <w:jc w:val="left"/>
      </w:pPr>
      <w:r>
        <w:rPr/>
        <w:t>无。</w:t>
      </w:r>
    </w:p>
    <w:p>
      <w:pPr>
        <w:spacing w:after="0" w:line="240" w:lineRule="auto"/>
        <w:jc w:val="left"/>
        <w:sectPr>
          <w:pgSz w:w="11910" w:h="16840"/>
          <w:pgMar w:header="0"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821"/>
        <w:jc w:val="left"/>
        <w:rPr>
          <w:b w:val="0"/>
          <w:bCs w:val="0"/>
        </w:rPr>
      </w:pPr>
      <w:bookmarkStart w:name="4、重要的共同经营" w:id="383"/>
      <w:bookmarkEnd w:id="383"/>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0"/>
        <w:rPr>
          <w:rFonts w:ascii="宋体" w:hAnsi="宋体" w:cs="宋体" w:eastAsia="宋体" w:hint="default"/>
          <w:sz w:val="26"/>
          <w:szCs w:val="26"/>
        </w:rPr>
      </w:pPr>
    </w:p>
    <w:p>
      <w:pPr>
        <w:pStyle w:val="Heading3"/>
        <w:spacing w:line="240" w:lineRule="auto"/>
        <w:ind w:right="821"/>
        <w:jc w:val="left"/>
        <w:rPr>
          <w:b w:val="0"/>
          <w:bCs w:val="0"/>
        </w:rPr>
      </w:pPr>
      <w:bookmarkStart w:name="5、在未纳入合并财务报表范围的结构化主体中的权益" w:id="384"/>
      <w:bookmarkEnd w:id="384"/>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0"/>
        <w:rPr>
          <w:rFonts w:ascii="宋体" w:hAnsi="宋体" w:cs="宋体" w:eastAsia="宋体" w:hint="default"/>
          <w:sz w:val="26"/>
          <w:szCs w:val="26"/>
        </w:rPr>
      </w:pPr>
    </w:p>
    <w:p>
      <w:pPr>
        <w:pStyle w:val="Heading3"/>
        <w:spacing w:line="240" w:lineRule="auto"/>
        <w:ind w:right="821"/>
        <w:jc w:val="left"/>
        <w:rPr>
          <w:b w:val="0"/>
          <w:bCs w:val="0"/>
        </w:rPr>
      </w:pPr>
      <w:bookmarkStart w:name="6、其他" w:id="385"/>
      <w:bookmarkEnd w:id="385"/>
      <w:r>
        <w:rPr>
          <w:b w:val="0"/>
          <w:bCs w:val="0"/>
        </w:rPr>
      </w: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
        <w:rPr>
          <w:rFonts w:ascii="宋体" w:hAnsi="宋体" w:cs="宋体" w:eastAsia="宋体" w:hint="default"/>
          <w:sz w:val="25"/>
          <w:szCs w:val="25"/>
        </w:rPr>
      </w:pPr>
    </w:p>
    <w:p>
      <w:pPr>
        <w:pStyle w:val="Heading2"/>
        <w:spacing w:line="240" w:lineRule="auto"/>
        <w:ind w:right="821"/>
        <w:jc w:val="left"/>
        <w:rPr>
          <w:b w:val="0"/>
          <w:bCs w:val="0"/>
        </w:rPr>
      </w:pPr>
      <w:bookmarkStart w:name="十、与金融工具相关的风险" w:id="386"/>
      <w:bookmarkEnd w:id="386"/>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821"/>
        <w:jc w:val="left"/>
        <w:rPr>
          <w:b w:val="0"/>
          <w:bCs w:val="0"/>
        </w:rPr>
      </w:pPr>
      <w:bookmarkStart w:name="十一、公允价值的披露" w:id="387"/>
      <w:bookmarkEnd w:id="387"/>
      <w:r>
        <w:rPr>
          <w:b w:val="0"/>
          <w:bCs w:val="0"/>
        </w:rPr>
      </w:r>
      <w:r>
        <w:rPr/>
        <w:t>十一、公允价值的披露</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821"/>
        <w:jc w:val="left"/>
        <w:rPr>
          <w:b w:val="0"/>
          <w:bCs w:val="0"/>
        </w:rPr>
      </w:pPr>
      <w:bookmarkStart w:name="十二、关联方及关联交易" w:id="388"/>
      <w:bookmarkEnd w:id="388"/>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本企业的母公司情况" w:id="389"/>
      <w:bookmarkEnd w:id="389"/>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0"/>
        <w:rPr>
          <w:rFonts w:ascii="宋体" w:hAnsi="宋体" w:cs="宋体" w:eastAsia="宋体" w:hint="default"/>
          <w:sz w:val="26"/>
          <w:szCs w:val="26"/>
        </w:rPr>
      </w:pPr>
    </w:p>
    <w:p>
      <w:pPr>
        <w:pStyle w:val="Heading3"/>
        <w:spacing w:line="240" w:lineRule="auto"/>
        <w:ind w:right="821"/>
        <w:jc w:val="left"/>
        <w:rPr>
          <w:b w:val="0"/>
          <w:bCs w:val="0"/>
        </w:rPr>
      </w:pPr>
      <w:bookmarkStart w:name="2、本企业的子公司情况" w:id="390"/>
      <w:bookmarkEnd w:id="390"/>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0"/>
        <w:rPr>
          <w:rFonts w:ascii="宋体" w:hAnsi="宋体" w:cs="宋体" w:eastAsia="宋体" w:hint="default"/>
          <w:sz w:val="26"/>
          <w:szCs w:val="26"/>
        </w:rPr>
      </w:pPr>
    </w:p>
    <w:p>
      <w:pPr>
        <w:pStyle w:val="Heading3"/>
        <w:spacing w:line="240" w:lineRule="auto"/>
        <w:ind w:right="821"/>
        <w:jc w:val="left"/>
        <w:rPr>
          <w:b w:val="0"/>
          <w:bCs w:val="0"/>
        </w:rPr>
      </w:pPr>
      <w:bookmarkStart w:name="3、本企业合营和联营企业情况" w:id="391"/>
      <w:bookmarkEnd w:id="391"/>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0"/>
        <w:rPr>
          <w:rFonts w:ascii="宋体" w:hAnsi="宋体" w:cs="宋体" w:eastAsia="宋体" w:hint="default"/>
          <w:sz w:val="26"/>
          <w:szCs w:val="26"/>
        </w:rPr>
      </w:pPr>
    </w:p>
    <w:p>
      <w:pPr>
        <w:pStyle w:val="Heading3"/>
        <w:spacing w:line="240" w:lineRule="auto"/>
        <w:ind w:right="821"/>
        <w:jc w:val="left"/>
        <w:rPr>
          <w:b w:val="0"/>
          <w:bCs w:val="0"/>
        </w:rPr>
      </w:pPr>
      <w:bookmarkStart w:name="4、其他关联方情况" w:id="392"/>
      <w:bookmarkEnd w:id="392"/>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0"/>
        <w:rPr>
          <w:rFonts w:ascii="宋体" w:hAnsi="宋体" w:cs="宋体" w:eastAsia="宋体" w:hint="default"/>
          <w:sz w:val="26"/>
          <w:szCs w:val="26"/>
        </w:rPr>
      </w:pPr>
    </w:p>
    <w:p>
      <w:pPr>
        <w:pStyle w:val="Heading3"/>
        <w:spacing w:line="240" w:lineRule="auto"/>
        <w:ind w:right="821"/>
        <w:jc w:val="left"/>
        <w:rPr>
          <w:b w:val="0"/>
          <w:bCs w:val="0"/>
        </w:rPr>
      </w:pPr>
      <w:bookmarkStart w:name="5、关联交易情况" w:id="393"/>
      <w:bookmarkEnd w:id="393"/>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21"/>
        <w:jc w:val="left"/>
        <w:rPr>
          <w:b w:val="0"/>
          <w:bCs w:val="0"/>
        </w:rPr>
      </w:pPr>
      <w:bookmarkStart w:name="（1）购销商品、提供和接受劳务的关联交易" w:id="394"/>
      <w:bookmarkEnd w:id="394"/>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3" w:right="821"/>
        <w:jc w:val="left"/>
      </w:pPr>
      <w:r>
        <w:rPr/>
        <w:t>无。</w:t>
      </w:r>
    </w:p>
    <w:p>
      <w:pPr>
        <w:spacing w:after="0" w:line="240" w:lineRule="auto"/>
        <w:jc w:val="left"/>
        <w:sectPr>
          <w:pgSz w:w="11910" w:h="16840"/>
          <w:pgMar w:header="0"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right="821"/>
        <w:jc w:val="left"/>
        <w:rPr>
          <w:b w:val="0"/>
          <w:bCs w:val="0"/>
        </w:rPr>
      </w:pPr>
      <w:bookmarkStart w:name="（2）关联受托管理/承包及委托管理/出包情况" w:id="395"/>
      <w:bookmarkEnd w:id="395"/>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0"/>
        <w:rPr>
          <w:rFonts w:ascii="宋体" w:hAnsi="宋体" w:cs="宋体" w:eastAsia="宋体" w:hint="default"/>
          <w:sz w:val="26"/>
          <w:szCs w:val="26"/>
        </w:rPr>
      </w:pPr>
    </w:p>
    <w:p>
      <w:pPr>
        <w:pStyle w:val="Heading3"/>
        <w:spacing w:line="240" w:lineRule="auto"/>
        <w:ind w:right="821"/>
        <w:jc w:val="left"/>
        <w:rPr>
          <w:b w:val="0"/>
          <w:bCs w:val="0"/>
        </w:rPr>
      </w:pPr>
      <w:bookmarkStart w:name="（3）关联租赁情况" w:id="396"/>
      <w:bookmarkEnd w:id="396"/>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0"/>
        <w:rPr>
          <w:rFonts w:ascii="宋体" w:hAnsi="宋体" w:cs="宋体" w:eastAsia="宋体" w:hint="default"/>
          <w:sz w:val="26"/>
          <w:szCs w:val="26"/>
        </w:rPr>
      </w:pPr>
    </w:p>
    <w:p>
      <w:pPr>
        <w:pStyle w:val="Heading3"/>
        <w:spacing w:line="240" w:lineRule="auto"/>
        <w:ind w:right="821"/>
        <w:jc w:val="left"/>
        <w:rPr>
          <w:b w:val="0"/>
          <w:bCs w:val="0"/>
        </w:rPr>
      </w:pPr>
      <w:bookmarkStart w:name="（4）关联担保情况" w:id="397"/>
      <w:bookmarkEnd w:id="397"/>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1"/>
        <w:rPr>
          <w:rFonts w:ascii="宋体" w:hAnsi="宋体" w:cs="宋体" w:eastAsia="宋体" w:hint="default"/>
          <w:sz w:val="26"/>
          <w:szCs w:val="26"/>
        </w:rPr>
      </w:pPr>
    </w:p>
    <w:p>
      <w:pPr>
        <w:pStyle w:val="Heading3"/>
        <w:spacing w:line="240" w:lineRule="auto"/>
        <w:ind w:right="821"/>
        <w:jc w:val="left"/>
        <w:rPr>
          <w:b w:val="0"/>
          <w:bCs w:val="0"/>
        </w:rPr>
      </w:pPr>
      <w:bookmarkStart w:name="（5）关联方资金拆借" w:id="398"/>
      <w:bookmarkEnd w:id="398"/>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1"/>
        <w:rPr>
          <w:rFonts w:ascii="宋体" w:hAnsi="宋体" w:cs="宋体" w:eastAsia="宋体" w:hint="default"/>
          <w:sz w:val="26"/>
          <w:szCs w:val="26"/>
        </w:rPr>
      </w:pPr>
    </w:p>
    <w:p>
      <w:pPr>
        <w:pStyle w:val="Heading3"/>
        <w:spacing w:line="240" w:lineRule="auto"/>
        <w:ind w:right="821"/>
        <w:jc w:val="left"/>
        <w:rPr>
          <w:b w:val="0"/>
          <w:bCs w:val="0"/>
        </w:rPr>
      </w:pPr>
      <w:bookmarkStart w:name="（6）关联方资产转让、债务重组情况" w:id="399"/>
      <w:bookmarkEnd w:id="399"/>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1"/>
        <w:rPr>
          <w:rFonts w:ascii="宋体" w:hAnsi="宋体" w:cs="宋体" w:eastAsia="宋体" w:hint="default"/>
          <w:sz w:val="26"/>
          <w:szCs w:val="26"/>
        </w:rPr>
      </w:pPr>
    </w:p>
    <w:p>
      <w:pPr>
        <w:pStyle w:val="Heading3"/>
        <w:spacing w:line="240" w:lineRule="auto"/>
        <w:ind w:right="821"/>
        <w:jc w:val="left"/>
        <w:rPr>
          <w:b w:val="0"/>
          <w:bCs w:val="0"/>
        </w:rPr>
      </w:pPr>
      <w:bookmarkStart w:name="（7）关键管理人员报酬" w:id="400"/>
      <w:bookmarkEnd w:id="400"/>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1"/>
        <w:rPr>
          <w:rFonts w:ascii="宋体" w:hAnsi="宋体" w:cs="宋体" w:eastAsia="宋体" w:hint="default"/>
          <w:sz w:val="26"/>
          <w:szCs w:val="26"/>
        </w:rPr>
      </w:pPr>
    </w:p>
    <w:p>
      <w:pPr>
        <w:pStyle w:val="Heading3"/>
        <w:spacing w:line="240" w:lineRule="auto"/>
        <w:ind w:right="821"/>
        <w:jc w:val="left"/>
        <w:rPr>
          <w:b w:val="0"/>
          <w:bCs w:val="0"/>
        </w:rPr>
      </w:pPr>
      <w:bookmarkStart w:name="（8）其他关联交易" w:id="401"/>
      <w:bookmarkEnd w:id="401"/>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3" w:right="821"/>
        <w:jc w:val="left"/>
      </w:pPr>
      <w:r>
        <w:rPr>
          <w:rFonts w:ascii="宋体" w:hAnsi="宋体" w:cs="宋体" w:eastAsia="宋体" w:hint="default"/>
        </w:rPr>
        <w:t>2014</w:t>
      </w:r>
      <w:r>
        <w:rPr>
          <w:rFonts w:ascii="宋体" w:hAnsi="宋体" w:cs="宋体" w:eastAsia="宋体" w:hint="default"/>
          <w:spacing w:val="-49"/>
        </w:rPr>
        <w:t> </w:t>
      </w:r>
      <w:r>
        <w:rPr/>
        <w:t>年</w:t>
      </w:r>
      <w:r>
        <w:rPr>
          <w:spacing w:val="-49"/>
        </w:rPr>
        <w:t> </w:t>
      </w:r>
      <w:r>
        <w:rPr>
          <w:rFonts w:ascii="宋体" w:hAnsi="宋体" w:cs="宋体" w:eastAsia="宋体" w:hint="default"/>
        </w:rPr>
        <w:t>6</w:t>
      </w:r>
      <w:r>
        <w:rPr>
          <w:rFonts w:ascii="宋体" w:hAnsi="宋体" w:cs="宋体" w:eastAsia="宋体" w:hint="default"/>
          <w:spacing w:val="-48"/>
        </w:rPr>
        <w:t> </w:t>
      </w:r>
      <w:r>
        <w:rPr/>
        <w:t>月</w:t>
      </w:r>
      <w:r>
        <w:rPr>
          <w:spacing w:val="-49"/>
        </w:rPr>
        <w:t> </w:t>
      </w:r>
      <w:r>
        <w:rPr>
          <w:rFonts w:ascii="宋体" w:hAnsi="宋体" w:cs="宋体" w:eastAsia="宋体" w:hint="default"/>
        </w:rPr>
        <w:t>10</w:t>
      </w:r>
      <w:r>
        <w:rPr>
          <w:rFonts w:ascii="宋体" w:hAnsi="宋体" w:cs="宋体" w:eastAsia="宋体" w:hint="default"/>
          <w:spacing w:val="-48"/>
        </w:rPr>
        <w:t> </w:t>
      </w:r>
      <w:r>
        <w:rPr/>
        <w:t>日，本公司与中国民生银行股份有限公司总行营业部签署了编号为公授信字第</w:t>
      </w:r>
      <w:r>
        <w:rPr>
          <w:spacing w:val="-49"/>
        </w:rPr>
        <w:t> </w:t>
      </w:r>
      <w:r>
        <w:rPr>
          <w:rFonts w:ascii="宋体" w:hAnsi="宋体" w:cs="宋体" w:eastAsia="宋体" w:hint="default"/>
        </w:rPr>
        <w:t>1400000072108</w:t>
      </w:r>
      <w:r>
        <w:rPr>
          <w:rFonts w:ascii="宋体" w:hAnsi="宋体" w:cs="宋体" w:eastAsia="宋体" w:hint="default"/>
          <w:spacing w:val="-49"/>
        </w:rPr>
        <w:t> </w:t>
      </w:r>
      <w:r>
        <w:rPr>
          <w:spacing w:val="-5"/>
        </w:rPr>
        <w:t>的《综合</w:t>
      </w:r>
    </w:p>
    <w:p>
      <w:pPr>
        <w:pStyle w:val="BodyText"/>
        <w:spacing w:line="240" w:lineRule="auto" w:before="76"/>
        <w:ind w:right="821"/>
        <w:jc w:val="left"/>
        <w:rPr>
          <w:rFonts w:ascii="宋体" w:hAnsi="宋体" w:cs="宋体" w:eastAsia="宋体" w:hint="default"/>
        </w:rPr>
      </w:pPr>
      <w:r>
        <w:rPr/>
        <w:t>授信合同</w:t>
      </w:r>
      <w:r>
        <w:rPr>
          <w:spacing w:val="-90"/>
        </w:rPr>
        <w:t>》</w:t>
      </w:r>
      <w:r>
        <w:rPr/>
        <w:t>，约定中国民生银行股份有限公司总行营业部授予本公司</w:t>
      </w:r>
      <w:r>
        <w:rPr>
          <w:spacing w:val="-34"/>
        </w:rPr>
        <w:t> </w:t>
      </w:r>
      <w:r>
        <w:rPr>
          <w:rFonts w:ascii="宋体" w:hAnsi="宋体" w:cs="宋体" w:eastAsia="宋体" w:hint="default"/>
        </w:rPr>
        <w:t>10,000</w:t>
      </w:r>
      <w:r>
        <w:rPr>
          <w:rFonts w:ascii="宋体" w:hAnsi="宋体" w:cs="宋体" w:eastAsia="宋体" w:hint="default"/>
          <w:spacing w:val="-35"/>
        </w:rPr>
        <w:t> </w:t>
      </w:r>
      <w:r>
        <w:rPr/>
        <w:t>万元的授信额度，授信期限为</w:t>
      </w:r>
      <w:r>
        <w:rPr>
          <w:spacing w:val="-35"/>
        </w:rPr>
        <w:t> </w:t>
      </w:r>
      <w:r>
        <w:rPr>
          <w:rFonts w:ascii="宋体" w:hAnsi="宋体" w:cs="宋体" w:eastAsia="宋体" w:hint="default"/>
        </w:rPr>
        <w:t>1</w:t>
      </w:r>
      <w:r>
        <w:rPr>
          <w:rFonts w:ascii="宋体" w:hAnsi="宋体" w:cs="宋体" w:eastAsia="宋体" w:hint="default"/>
          <w:spacing w:val="-35"/>
        </w:rPr>
        <w:t> </w:t>
      </w:r>
      <w:r>
        <w:rPr/>
        <w:t>年，</w:t>
      </w:r>
      <w:r>
        <w:rPr>
          <w:spacing w:val="1"/>
        </w:rPr>
        <w:t>即</w:t>
      </w:r>
      <w:r>
        <w:rPr/>
        <w:t>自</w:t>
      </w:r>
      <w:r>
        <w:rPr>
          <w:spacing w:val="-35"/>
        </w:rPr>
        <w:t> </w:t>
      </w:r>
      <w:r>
        <w:rPr>
          <w:rFonts w:ascii="宋体" w:hAnsi="宋体" w:cs="宋体" w:eastAsia="宋体" w:hint="default"/>
        </w:rPr>
        <w:t>2014</w:t>
      </w:r>
    </w:p>
    <w:p>
      <w:pPr>
        <w:pStyle w:val="BodyText"/>
        <w:spacing w:line="316" w:lineRule="auto" w:before="76"/>
        <w:ind w:right="1120"/>
        <w:jc w:val="left"/>
      </w:pPr>
      <w:r>
        <w:rPr/>
        <w:t>年</w:t>
      </w:r>
      <w:r>
        <w:rPr>
          <w:spacing w:val="-45"/>
        </w:rPr>
        <w:t> </w:t>
      </w:r>
      <w:r>
        <w:rPr>
          <w:rFonts w:ascii="宋体" w:hAnsi="宋体" w:cs="宋体" w:eastAsia="宋体" w:hint="default"/>
        </w:rPr>
        <w:t>6</w:t>
      </w:r>
      <w:r>
        <w:rPr>
          <w:rFonts w:ascii="宋体" w:hAnsi="宋体" w:cs="宋体" w:eastAsia="宋体" w:hint="default"/>
          <w:spacing w:val="-45"/>
        </w:rPr>
        <w:t> </w:t>
      </w:r>
      <w:r>
        <w:rPr/>
        <w:t>月</w:t>
      </w:r>
      <w:r>
        <w:rPr>
          <w:spacing w:val="-44"/>
        </w:rPr>
        <w:t> </w:t>
      </w:r>
      <w:r>
        <w:rPr>
          <w:rFonts w:ascii="宋体" w:hAnsi="宋体" w:cs="宋体" w:eastAsia="宋体" w:hint="default"/>
        </w:rPr>
        <w:t>10</w:t>
      </w:r>
      <w:r>
        <w:rPr>
          <w:rFonts w:ascii="宋体" w:hAnsi="宋体" w:cs="宋体" w:eastAsia="宋体" w:hint="default"/>
          <w:spacing w:val="-45"/>
        </w:rPr>
        <w:t> </w:t>
      </w:r>
      <w:r>
        <w:rPr/>
        <w:t>日至</w:t>
      </w:r>
      <w:r>
        <w:rPr>
          <w:spacing w:val="-44"/>
        </w:rPr>
        <w:t> </w:t>
      </w: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6</w:t>
      </w:r>
      <w:r>
        <w:rPr>
          <w:rFonts w:ascii="宋体" w:hAnsi="宋体" w:cs="宋体" w:eastAsia="宋体" w:hint="default"/>
          <w:spacing w:val="-45"/>
        </w:rPr>
        <w:t> </w:t>
      </w:r>
      <w:r>
        <w:rPr/>
        <w:t>月</w:t>
      </w:r>
      <w:r>
        <w:rPr>
          <w:spacing w:val="-45"/>
        </w:rPr>
        <w:t> </w:t>
      </w:r>
      <w:r>
        <w:rPr>
          <w:rFonts w:ascii="宋体" w:hAnsi="宋体" w:cs="宋体" w:eastAsia="宋体" w:hint="default"/>
        </w:rPr>
        <w:t>10</w:t>
      </w:r>
      <w:r>
        <w:rPr>
          <w:rFonts w:ascii="宋体" w:hAnsi="宋体" w:cs="宋体" w:eastAsia="宋体" w:hint="default"/>
          <w:spacing w:val="-44"/>
        </w:rPr>
        <w:t> </w:t>
      </w:r>
      <w:r>
        <w:rPr/>
        <w:t>日，在授信期限内已清偿的授信额度可再次申请使用。本授信合同由本公司股东刘泽刚、韦 强提供最高额连带责任保证担保。</w:t>
      </w:r>
    </w:p>
    <w:p>
      <w:pPr>
        <w:spacing w:line="240" w:lineRule="auto" w:before="7"/>
        <w:rPr>
          <w:rFonts w:ascii="宋体" w:hAnsi="宋体" w:cs="宋体" w:eastAsia="宋体" w:hint="default"/>
          <w:sz w:val="22"/>
          <w:szCs w:val="22"/>
        </w:rPr>
      </w:pPr>
    </w:p>
    <w:p>
      <w:pPr>
        <w:pStyle w:val="Heading3"/>
        <w:spacing w:line="240" w:lineRule="auto"/>
        <w:ind w:right="821"/>
        <w:jc w:val="left"/>
        <w:rPr>
          <w:b w:val="0"/>
          <w:bCs w:val="0"/>
        </w:rPr>
      </w:pPr>
      <w:bookmarkStart w:name="6、关联方应收应付款项" w:id="402"/>
      <w:bookmarkEnd w:id="402"/>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0"/>
        <w:rPr>
          <w:rFonts w:ascii="宋体" w:hAnsi="宋体" w:cs="宋体" w:eastAsia="宋体" w:hint="default"/>
          <w:sz w:val="26"/>
          <w:szCs w:val="26"/>
        </w:rPr>
      </w:pPr>
    </w:p>
    <w:p>
      <w:pPr>
        <w:pStyle w:val="Heading3"/>
        <w:spacing w:line="240" w:lineRule="auto"/>
        <w:ind w:right="821"/>
        <w:jc w:val="left"/>
        <w:rPr>
          <w:b w:val="0"/>
          <w:bCs w:val="0"/>
        </w:rPr>
      </w:pPr>
      <w:bookmarkStart w:name="7、关联方承诺" w:id="403"/>
      <w:bookmarkEnd w:id="40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0"/>
        <w:rPr>
          <w:rFonts w:ascii="宋体" w:hAnsi="宋体" w:cs="宋体" w:eastAsia="宋体" w:hint="default"/>
          <w:sz w:val="26"/>
          <w:szCs w:val="26"/>
        </w:rPr>
      </w:pPr>
    </w:p>
    <w:p>
      <w:pPr>
        <w:pStyle w:val="Heading3"/>
        <w:spacing w:line="240" w:lineRule="auto"/>
        <w:ind w:right="821"/>
        <w:jc w:val="left"/>
        <w:rPr>
          <w:b w:val="0"/>
          <w:bCs w:val="0"/>
        </w:rPr>
      </w:pPr>
      <w:bookmarkStart w:name="8、其他" w:id="404"/>
      <w:bookmarkEnd w:id="404"/>
      <w:r>
        <w:rPr>
          <w:b w:val="0"/>
          <w:bCs w:val="0"/>
        </w:rPr>
      </w:r>
      <w:r>
        <w:rPr>
          <w:rFonts w:ascii="Times New Roman" w:hAnsi="Times New Roman" w:cs="Times New Roman" w:eastAsia="Times New Roman" w:hint="default"/>
        </w:rPr>
        <w:t>8</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93" w:right="821"/>
        <w:jc w:val="left"/>
      </w:pPr>
      <w:r>
        <w:rPr/>
        <w:t>无。</w:t>
      </w:r>
    </w:p>
    <w:p>
      <w:pPr>
        <w:spacing w:after="0" w:line="240" w:lineRule="auto"/>
        <w:jc w:val="left"/>
        <w:sectPr>
          <w:pgSz w:w="11910" w:h="16840"/>
          <w:pgMar w:header="0"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right="821"/>
        <w:jc w:val="left"/>
        <w:rPr>
          <w:b w:val="0"/>
          <w:bCs w:val="0"/>
        </w:rPr>
      </w:pPr>
      <w:bookmarkStart w:name="十三、股份支付" w:id="405"/>
      <w:bookmarkEnd w:id="405"/>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21"/>
        <w:jc w:val="left"/>
        <w:rPr>
          <w:b w:val="0"/>
          <w:bCs w:val="0"/>
        </w:rPr>
      </w:pPr>
      <w:bookmarkStart w:name="1、股份支付总体情况" w:id="406"/>
      <w:bookmarkEnd w:id="406"/>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21"/>
        <w:jc w:val="left"/>
        <w:rPr>
          <w:b w:val="0"/>
          <w:bCs w:val="0"/>
        </w:rPr>
      </w:pPr>
      <w:bookmarkStart w:name="2、以权益结算的股份支付情况" w:id="407"/>
      <w:bookmarkEnd w:id="40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21"/>
        <w:jc w:val="left"/>
        <w:rPr>
          <w:b w:val="0"/>
          <w:bCs w:val="0"/>
        </w:rPr>
      </w:pPr>
      <w:bookmarkStart w:name="3、以现金结算的股份支付情况" w:id="408"/>
      <w:bookmarkEnd w:id="40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21"/>
        <w:jc w:val="left"/>
        <w:rPr>
          <w:b w:val="0"/>
          <w:bCs w:val="0"/>
        </w:rPr>
      </w:pPr>
      <w:bookmarkStart w:name="4、股份支付的修改、终止情况" w:id="409"/>
      <w:bookmarkEnd w:id="409"/>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5、其他" w:id="410"/>
      <w:bookmarkEnd w:id="410"/>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无。</w:t>
      </w:r>
    </w:p>
    <w:p>
      <w:pPr>
        <w:spacing w:line="240" w:lineRule="auto" w:before="2"/>
        <w:rPr>
          <w:rFonts w:ascii="宋体" w:hAnsi="宋体" w:cs="宋体" w:eastAsia="宋体" w:hint="default"/>
          <w:sz w:val="25"/>
          <w:szCs w:val="25"/>
        </w:rPr>
      </w:pPr>
    </w:p>
    <w:p>
      <w:pPr>
        <w:pStyle w:val="Heading2"/>
        <w:spacing w:line="240" w:lineRule="auto"/>
        <w:ind w:right="821"/>
        <w:jc w:val="left"/>
        <w:rPr>
          <w:b w:val="0"/>
          <w:bCs w:val="0"/>
        </w:rPr>
      </w:pPr>
      <w:bookmarkStart w:name="十四、承诺及或有事项" w:id="411"/>
      <w:bookmarkEnd w:id="411"/>
      <w:r>
        <w:rPr>
          <w:b w:val="0"/>
          <w:bCs w:val="0"/>
        </w:rPr>
      </w: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21"/>
        <w:jc w:val="left"/>
        <w:rPr>
          <w:b w:val="0"/>
          <w:bCs w:val="0"/>
        </w:rPr>
      </w:pPr>
      <w:bookmarkStart w:name="1、重要承诺事项" w:id="412"/>
      <w:bookmarkEnd w:id="412"/>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494" w:right="6072" w:hanging="360"/>
        <w:jc w:val="left"/>
      </w:pPr>
      <w:r>
        <w:rPr/>
        <w:t>资产负债表日存在的重要承诺 本集团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日无需对外披露的重要承诺事项。</w:t>
      </w:r>
    </w:p>
    <w:p>
      <w:pPr>
        <w:spacing w:line="240" w:lineRule="auto" w:before="5"/>
        <w:rPr>
          <w:rFonts w:ascii="宋体" w:hAnsi="宋体" w:cs="宋体" w:eastAsia="宋体" w:hint="default"/>
          <w:sz w:val="18"/>
          <w:szCs w:val="18"/>
        </w:rPr>
      </w:pPr>
    </w:p>
    <w:p>
      <w:pPr>
        <w:pStyle w:val="Heading3"/>
        <w:spacing w:line="240" w:lineRule="auto"/>
        <w:ind w:left="1134" w:right="821"/>
        <w:jc w:val="left"/>
        <w:rPr>
          <w:b w:val="0"/>
          <w:bCs w:val="0"/>
        </w:rPr>
      </w:pPr>
      <w:bookmarkStart w:name="2、或有事项" w:id="413"/>
      <w:bookmarkEnd w:id="41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821"/>
        <w:jc w:val="left"/>
        <w:rPr>
          <w:b w:val="0"/>
          <w:bCs w:val="0"/>
        </w:rPr>
      </w:pPr>
      <w:bookmarkStart w:name="（1）资产负债表日存在的重要或有事项" w:id="414"/>
      <w:bookmarkEnd w:id="41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8"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日，本公司（以下简称被告）收到北京市密云县人民法院传票（（</w:t>
      </w:r>
      <w:r>
        <w:rPr>
          <w:rFonts w:ascii="Times New Roman" w:hAnsi="Times New Roman" w:cs="Times New Roman" w:eastAsia="Times New Roman" w:hint="default"/>
        </w:rPr>
        <w:t>2014</w:t>
      </w:r>
      <w:r>
        <w:rPr/>
        <w:t>）密民初字第</w:t>
      </w:r>
      <w:r>
        <w:rPr>
          <w:rFonts w:ascii="Times New Roman" w:hAnsi="Times New Roman" w:cs="Times New Roman" w:eastAsia="Times New Roman" w:hint="default"/>
        </w:rPr>
        <w:t>5836</w:t>
      </w:r>
      <w:r>
        <w:rPr/>
        <w:t>号）及北京永兴 源工贸有限责任公司（以下简称原告）的民事起诉状等诉讼资料。原告认为，被告应该向其支付采购货款</w:t>
      </w:r>
      <w:r>
        <w:rPr>
          <w:rFonts w:ascii="Times New Roman" w:hAnsi="Times New Roman" w:cs="Times New Roman" w:eastAsia="Times New Roman" w:hint="default"/>
        </w:rPr>
        <w:t>2,331,375.20</w:t>
      </w:r>
      <w:r>
        <w:rPr/>
        <w:t>元并</w:t>
      </w:r>
      <w:r>
        <w:rPr>
          <w:spacing w:val="-51"/>
        </w:rPr>
        <w:t> </w:t>
      </w:r>
      <w:r>
        <w:rPr/>
        <w:t>支付上述货款从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开始计算的利息。本公司因原告提供的货物存在质量问题才拒绝付款，本公司已委托北京天驰</w:t>
      </w:r>
      <w:r>
        <w:rPr>
          <w:spacing w:val="-83"/>
        </w:rPr>
        <w:t> </w:t>
      </w:r>
      <w:r>
        <w:rPr>
          <w:spacing w:val="-83"/>
        </w:rPr>
      </w:r>
      <w:r>
        <w:rPr>
          <w:spacing w:val="-2"/>
        </w:rPr>
        <w:t>洪范律师事务所受理此诉讼。</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13</w:t>
      </w:r>
      <w:r>
        <w:rPr>
          <w:spacing w:val="-2"/>
        </w:rPr>
        <w:t>日，本公司向密云县法院提交了《管辖权异议申请书》，申请由北京市海淀区人</w:t>
      </w:r>
      <w:r>
        <w:rPr>
          <w:spacing w:val="-58"/>
        </w:rPr>
        <w:t> </w:t>
      </w:r>
      <w:r>
        <w:rPr>
          <w:spacing w:val="-58"/>
        </w:rPr>
      </w:r>
      <w:r>
        <w:rPr>
          <w:spacing w:val="-2"/>
        </w:rPr>
        <w:t>民法院解决。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27</w:t>
      </w:r>
      <w:r>
        <w:rPr>
          <w:spacing w:val="-2"/>
        </w:rPr>
        <w:t>日，本公司收到北京市密云县人民法院民事裁定书（（</w:t>
      </w:r>
      <w:r>
        <w:rPr>
          <w:rFonts w:ascii="Times New Roman" w:hAnsi="Times New Roman" w:cs="Times New Roman" w:eastAsia="Times New Roman" w:hint="default"/>
          <w:spacing w:val="-2"/>
        </w:rPr>
        <w:t>2014</w:t>
      </w:r>
      <w:r>
        <w:rPr>
          <w:spacing w:val="-2"/>
        </w:rPr>
        <w:t>）密民（商）初字第</w:t>
      </w:r>
      <w:r>
        <w:rPr>
          <w:rFonts w:ascii="Times New Roman" w:hAnsi="Times New Roman" w:cs="Times New Roman" w:eastAsia="Times New Roman" w:hint="default"/>
          <w:spacing w:val="-2"/>
        </w:rPr>
        <w:t>5836</w:t>
      </w:r>
      <w:r>
        <w:rPr>
          <w:spacing w:val="-2"/>
        </w:rPr>
        <w:t>号），驳回</w:t>
      </w:r>
      <w:r>
        <w:rPr>
          <w:spacing w:val="-54"/>
        </w:rPr>
        <w:t> </w:t>
      </w:r>
      <w:r>
        <w:rPr>
          <w:spacing w:val="-54"/>
        </w:rPr>
      </w:r>
      <w:r>
        <w:rPr/>
        <w:t>本公司对本案管辖权的异议。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日，本公司向北京市第三中级人民法院提交《管辖权异议上诉状》。</w:t>
      </w:r>
      <w:r>
        <w:rPr>
          <w:rFonts w:ascii="Times New Roman" w:hAnsi="Times New Roman" w:cs="Times New Roman" w:eastAsia="Times New Roman" w:hint="default"/>
        </w:rPr>
        <w:t>2015</w:t>
      </w:r>
      <w:r>
        <w:rPr/>
        <w:t>年该诉</w:t>
      </w:r>
      <w:r>
        <w:rPr>
          <w:spacing w:val="-82"/>
        </w:rPr>
        <w:t> </w:t>
      </w:r>
      <w:r>
        <w:rPr/>
        <w:t>讼已庭外和解，本公司只需支付采购货款</w:t>
      </w:r>
      <w:r>
        <w:rPr>
          <w:rFonts w:ascii="Times New Roman" w:hAnsi="Times New Roman" w:cs="Times New Roman" w:eastAsia="Times New Roman" w:hint="default"/>
        </w:rPr>
        <w:t>2,331,375.20</w:t>
      </w:r>
      <w:r>
        <w:rPr/>
        <w:t>元即可。截止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日，本公司无未决诉讼。</w:t>
      </w:r>
    </w:p>
    <w:p>
      <w:pPr>
        <w:spacing w:line="240" w:lineRule="auto" w:before="5"/>
        <w:rPr>
          <w:rFonts w:ascii="宋体" w:hAnsi="宋体" w:cs="宋体" w:eastAsia="宋体" w:hint="default"/>
          <w:sz w:val="19"/>
          <w:szCs w:val="19"/>
        </w:rPr>
      </w:pPr>
    </w:p>
    <w:p>
      <w:pPr>
        <w:pStyle w:val="BodyText"/>
        <w:spacing w:line="240" w:lineRule="auto"/>
        <w:ind w:left="1493" w:right="821"/>
        <w:jc w:val="left"/>
      </w:pPr>
      <w:r>
        <w:rPr/>
        <w:t>除上述事项外，本集团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日无其他重大或有事项。</w:t>
      </w:r>
    </w:p>
    <w:p>
      <w:pPr>
        <w:spacing w:after="0" w:line="240" w:lineRule="auto"/>
        <w:jc w:val="left"/>
        <w:sectPr>
          <w:pgSz w:w="11910" w:h="16840"/>
          <w:pgMar w:header="0"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821"/>
        <w:jc w:val="left"/>
        <w:rPr>
          <w:b w:val="0"/>
          <w:bCs w:val="0"/>
        </w:rPr>
      </w:pPr>
      <w:bookmarkStart w:name="（2）公司没有需要披露的重要或有事项，也应予以说明" w:id="415"/>
      <w:bookmarkEnd w:id="41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21"/>
        <w:jc w:val="left"/>
      </w:pPr>
      <w:r>
        <w:rPr/>
        <w:t>公司不存在需要披露的重要或有事项。</w:t>
      </w:r>
    </w:p>
    <w:p>
      <w:pPr>
        <w:spacing w:line="240" w:lineRule="auto" w:before="10"/>
        <w:rPr>
          <w:rFonts w:ascii="宋体" w:hAnsi="宋体" w:cs="宋体" w:eastAsia="宋体" w:hint="default"/>
          <w:sz w:val="26"/>
          <w:szCs w:val="26"/>
        </w:rPr>
      </w:pPr>
    </w:p>
    <w:p>
      <w:pPr>
        <w:pStyle w:val="Heading3"/>
        <w:spacing w:line="240" w:lineRule="auto"/>
        <w:ind w:right="821"/>
        <w:jc w:val="left"/>
        <w:rPr>
          <w:b w:val="0"/>
          <w:bCs w:val="0"/>
        </w:rPr>
      </w:pPr>
      <w:bookmarkStart w:name="3、其他" w:id="416"/>
      <w:bookmarkEnd w:id="416"/>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6" w:right="821"/>
        <w:jc w:val="left"/>
      </w:pPr>
      <w:r>
        <w:rPr/>
        <w:t>无。</w:t>
      </w:r>
    </w:p>
    <w:p>
      <w:pPr>
        <w:spacing w:line="240" w:lineRule="auto" w:before="2"/>
        <w:rPr>
          <w:rFonts w:ascii="宋体" w:hAnsi="宋体" w:cs="宋体" w:eastAsia="宋体" w:hint="default"/>
          <w:sz w:val="25"/>
          <w:szCs w:val="25"/>
        </w:rPr>
      </w:pPr>
    </w:p>
    <w:p>
      <w:pPr>
        <w:pStyle w:val="Heading2"/>
        <w:spacing w:line="240" w:lineRule="auto"/>
        <w:ind w:right="821"/>
        <w:jc w:val="left"/>
        <w:rPr>
          <w:b w:val="0"/>
          <w:bCs w:val="0"/>
        </w:rPr>
      </w:pPr>
      <w:bookmarkStart w:name="十五、资产负债表日后事项" w:id="417"/>
      <w:bookmarkEnd w:id="417"/>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21"/>
        <w:jc w:val="left"/>
        <w:rPr>
          <w:b w:val="0"/>
          <w:bCs w:val="0"/>
        </w:rPr>
      </w:pPr>
      <w:bookmarkStart w:name="1、重要的非调整事项" w:id="418"/>
      <w:bookmarkEnd w:id="418"/>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1"/>
        <w:rPr>
          <w:rFonts w:ascii="宋体" w:hAnsi="宋体" w:cs="宋体" w:eastAsia="宋体" w:hint="default"/>
          <w:sz w:val="26"/>
          <w:szCs w:val="26"/>
        </w:rPr>
      </w:pPr>
    </w:p>
    <w:p>
      <w:pPr>
        <w:pStyle w:val="Heading3"/>
        <w:spacing w:line="240" w:lineRule="auto"/>
        <w:ind w:right="821"/>
        <w:jc w:val="left"/>
        <w:rPr>
          <w:b w:val="0"/>
          <w:bCs w:val="0"/>
        </w:rPr>
      </w:pPr>
      <w:bookmarkStart w:name="2、利润分配情况" w:id="419"/>
      <w:bookmarkEnd w:id="41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3" w:right="821"/>
        <w:jc w:val="left"/>
      </w:pPr>
      <w:r>
        <w:rPr/>
        <w:t>无。</w:t>
      </w:r>
    </w:p>
    <w:p>
      <w:pPr>
        <w:spacing w:line="240" w:lineRule="auto" w:before="11"/>
        <w:rPr>
          <w:rFonts w:ascii="宋体" w:hAnsi="宋体" w:cs="宋体" w:eastAsia="宋体" w:hint="default"/>
          <w:sz w:val="26"/>
          <w:szCs w:val="26"/>
        </w:rPr>
      </w:pPr>
    </w:p>
    <w:p>
      <w:pPr>
        <w:pStyle w:val="Heading3"/>
        <w:spacing w:line="240" w:lineRule="auto"/>
        <w:ind w:right="821"/>
        <w:jc w:val="left"/>
        <w:rPr>
          <w:b w:val="0"/>
          <w:bCs w:val="0"/>
        </w:rPr>
      </w:pPr>
      <w:bookmarkStart w:name="3、销售退回" w:id="420"/>
      <w:bookmarkEnd w:id="42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无。</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4、其他资产负债表日后事项说明" w:id="421"/>
      <w:bookmarkEnd w:id="42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9"/>
        <w:rPr>
          <w:rFonts w:ascii="宋体" w:hAnsi="宋体" w:cs="宋体" w:eastAsia="宋体" w:hint="default"/>
          <w:b/>
          <w:bCs/>
          <w:sz w:val="32"/>
          <w:szCs w:val="32"/>
        </w:rPr>
      </w:pPr>
    </w:p>
    <w:p>
      <w:pPr>
        <w:pStyle w:val="BodyText"/>
        <w:spacing w:line="367" w:lineRule="auto"/>
        <w:ind w:right="1119" w:firstLine="360"/>
        <w:jc w:val="left"/>
      </w:pPr>
      <w:r>
        <w:rPr>
          <w:rFonts w:ascii="宋体" w:hAnsi="宋体" w:cs="宋体" w:eastAsia="宋体" w:hint="default"/>
        </w:rPr>
        <w:t>1</w:t>
      </w:r>
      <w:r>
        <w:rPr/>
        <w:t>、</w:t>
      </w:r>
      <w:r>
        <w:rPr>
          <w:rFonts w:ascii="宋体" w:hAnsi="宋体" w:cs="宋体" w:eastAsia="宋体" w:hint="default"/>
        </w:rPr>
        <w:t>2016</w:t>
      </w:r>
      <w:r>
        <w:rPr>
          <w:rFonts w:ascii="宋体" w:hAnsi="宋体" w:cs="宋体" w:eastAsia="宋体" w:hint="default"/>
          <w:spacing w:val="-27"/>
        </w:rPr>
        <w:t> </w:t>
      </w:r>
      <w:r>
        <w:rPr/>
        <w:t>年</w:t>
      </w:r>
      <w:r>
        <w:rPr>
          <w:spacing w:val="-27"/>
        </w:rPr>
        <w:t> </w:t>
      </w:r>
      <w:r>
        <w:rPr>
          <w:rFonts w:ascii="宋体" w:hAnsi="宋体" w:cs="宋体" w:eastAsia="宋体" w:hint="default"/>
        </w:rPr>
        <w:t>3</w:t>
      </w:r>
      <w:r>
        <w:rPr>
          <w:rFonts w:ascii="宋体" w:hAnsi="宋体" w:cs="宋体" w:eastAsia="宋体" w:hint="default"/>
          <w:spacing w:val="-26"/>
        </w:rPr>
        <w:t> </w:t>
      </w:r>
      <w:r>
        <w:rPr/>
        <w:t>月</w:t>
      </w:r>
      <w:r>
        <w:rPr>
          <w:spacing w:val="-27"/>
        </w:rPr>
        <w:t> </w:t>
      </w:r>
      <w:r>
        <w:rPr>
          <w:rFonts w:ascii="宋体" w:hAnsi="宋体" w:cs="宋体" w:eastAsia="宋体" w:hint="default"/>
        </w:rPr>
        <w:t>7</w:t>
      </w:r>
      <w:r>
        <w:rPr>
          <w:rFonts w:ascii="宋体" w:hAnsi="宋体" w:cs="宋体" w:eastAsia="宋体" w:hint="default"/>
          <w:spacing w:val="-27"/>
        </w:rPr>
        <w:t> </w:t>
      </w:r>
      <w:r>
        <w:rPr>
          <w:spacing w:val="-3"/>
        </w:rPr>
        <w:t>日，本公司第四届董事会第三次会议审议通过《关于清算并注销控股子公司的议案》。本公司将注销</w:t>
      </w:r>
      <w:r>
        <w:rPr/>
        <w:t> 控股子公司北京合纵畅达金属制品有限责任公司及北京合纵开创电气技术有限公司。</w:t>
      </w:r>
    </w:p>
    <w:p>
      <w:pPr>
        <w:spacing w:line="240" w:lineRule="auto" w:before="13"/>
        <w:rPr>
          <w:rFonts w:ascii="宋体" w:hAnsi="宋体" w:cs="宋体" w:eastAsia="宋体" w:hint="default"/>
          <w:sz w:val="25"/>
          <w:szCs w:val="25"/>
        </w:rPr>
      </w:pPr>
    </w:p>
    <w:p>
      <w:pPr>
        <w:pStyle w:val="BodyText"/>
        <w:spacing w:line="367" w:lineRule="auto"/>
        <w:ind w:right="1117" w:firstLine="360"/>
        <w:jc w:val="left"/>
      </w:pPr>
      <w:r>
        <w:rPr>
          <w:rFonts w:ascii="宋体" w:hAnsi="宋体" w:cs="宋体" w:eastAsia="宋体" w:hint="default"/>
        </w:rPr>
        <w:t>2</w:t>
      </w:r>
      <w:r>
        <w:rPr/>
        <w:t>、</w:t>
      </w:r>
      <w:r>
        <w:rPr>
          <w:rFonts w:ascii="宋体" w:hAnsi="宋体" w:cs="宋体" w:eastAsia="宋体" w:hint="default"/>
        </w:rPr>
        <w:t>2016</w:t>
      </w:r>
      <w:r>
        <w:rPr>
          <w:rFonts w:ascii="宋体" w:hAnsi="宋体" w:cs="宋体" w:eastAsia="宋体" w:hint="default"/>
          <w:spacing w:val="-35"/>
        </w:rPr>
        <w:t> </w:t>
      </w:r>
      <w:r>
        <w:rPr/>
        <w:t>年</w:t>
      </w:r>
      <w:r>
        <w:rPr>
          <w:spacing w:val="-35"/>
        </w:rPr>
        <w:t> </w:t>
      </w:r>
      <w:r>
        <w:rPr>
          <w:rFonts w:ascii="宋体" w:hAnsi="宋体" w:cs="宋体" w:eastAsia="宋体" w:hint="default"/>
        </w:rPr>
        <w:t>3</w:t>
      </w:r>
      <w:r>
        <w:rPr>
          <w:rFonts w:ascii="宋体" w:hAnsi="宋体" w:cs="宋体" w:eastAsia="宋体" w:hint="default"/>
          <w:spacing w:val="-34"/>
        </w:rPr>
        <w:t> </w:t>
      </w:r>
      <w:r>
        <w:rPr/>
        <w:t>月</w:t>
      </w:r>
      <w:r>
        <w:rPr>
          <w:spacing w:val="-35"/>
        </w:rPr>
        <w:t> </w:t>
      </w:r>
      <w:r>
        <w:rPr>
          <w:rFonts w:ascii="宋体" w:hAnsi="宋体" w:cs="宋体" w:eastAsia="宋体" w:hint="default"/>
        </w:rPr>
        <w:t>23</w:t>
      </w:r>
      <w:r>
        <w:rPr>
          <w:rFonts w:ascii="宋体" w:hAnsi="宋体" w:cs="宋体" w:eastAsia="宋体" w:hint="default"/>
          <w:spacing w:val="-35"/>
        </w:rPr>
        <w:t> </w:t>
      </w:r>
      <w:r>
        <w:rPr/>
        <w:t>日，中国证券监督管理委员会发行审核委员会对本公司非公开发行股票的申请进行了审核。根据审 核结果，本公司本次非公开发行股票的申请获得审核通过。</w:t>
      </w:r>
    </w:p>
    <w:p>
      <w:pPr>
        <w:spacing w:line="240" w:lineRule="auto" w:before="1"/>
        <w:rPr>
          <w:rFonts w:ascii="宋体" w:hAnsi="宋体" w:cs="宋体" w:eastAsia="宋体" w:hint="default"/>
          <w:sz w:val="26"/>
          <w:szCs w:val="26"/>
        </w:rPr>
      </w:pPr>
    </w:p>
    <w:p>
      <w:pPr>
        <w:pStyle w:val="BodyText"/>
        <w:spacing w:line="240" w:lineRule="auto"/>
        <w:ind w:left="1494" w:right="821"/>
        <w:jc w:val="left"/>
      </w:pPr>
      <w:r>
        <w:rPr/>
        <w:t>截至报告日，除上述事项外，本公司无对外披露的资产负债表日后事项。</w:t>
      </w:r>
    </w:p>
    <w:p>
      <w:pPr>
        <w:spacing w:line="240" w:lineRule="auto" w:before="8"/>
        <w:rPr>
          <w:rFonts w:ascii="宋体" w:hAnsi="宋体" w:cs="宋体" w:eastAsia="宋体" w:hint="default"/>
          <w:sz w:val="23"/>
          <w:szCs w:val="23"/>
        </w:rPr>
      </w:pPr>
    </w:p>
    <w:p>
      <w:pPr>
        <w:pStyle w:val="Heading2"/>
        <w:spacing w:line="240" w:lineRule="auto"/>
        <w:ind w:right="821"/>
        <w:jc w:val="left"/>
        <w:rPr>
          <w:b w:val="0"/>
          <w:bCs w:val="0"/>
        </w:rPr>
      </w:pPr>
      <w:bookmarkStart w:name="十六、其他重要事项" w:id="422"/>
      <w:bookmarkEnd w:id="422"/>
      <w:r>
        <w:rPr>
          <w:b w:val="0"/>
          <w:bCs w:val="0"/>
        </w:rPr>
      </w:r>
      <w:r>
        <w:rPr/>
        <w:t>十六、其他重要事项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821"/>
        <w:jc w:val="left"/>
      </w:pPr>
      <w:r>
        <w:rPr/>
        <w:t>截至报告日，本公司无对外披露的其他重要事项。</w:t>
      </w:r>
    </w:p>
    <w:p>
      <w:pPr>
        <w:spacing w:after="0" w:line="240" w:lineRule="auto"/>
        <w:jc w:val="left"/>
        <w:sectPr>
          <w:pgSz w:w="11910" w:h="16840"/>
          <w:pgMar w:header="0" w:footer="979" w:top="1100" w:bottom="1160" w:left="0" w:right="0"/>
        </w:sectPr>
      </w:pPr>
    </w:p>
    <w:p>
      <w:pPr>
        <w:spacing w:line="240" w:lineRule="auto" w:before="3"/>
        <w:rPr>
          <w:rFonts w:ascii="宋体" w:hAnsi="宋体" w:cs="宋体" w:eastAsia="宋体" w:hint="default"/>
          <w:sz w:val="22"/>
          <w:szCs w:val="22"/>
        </w:rPr>
      </w:pPr>
    </w:p>
    <w:p>
      <w:pPr>
        <w:pStyle w:val="Heading2"/>
        <w:spacing w:line="240" w:lineRule="auto"/>
        <w:ind w:left="140" w:right="0"/>
        <w:jc w:val="left"/>
        <w:rPr>
          <w:b w:val="0"/>
          <w:bCs w:val="0"/>
        </w:rPr>
      </w:pPr>
      <w:r>
        <w:rPr/>
        <w:pict>
          <v:group style="position:absolute;margin-left:70.5pt;margin-top:.755627pt;width:701pt;height:.1pt;mso-position-horizontal-relative:page;mso-position-vertical-relative:paragraph;z-index:-780304" coordorigin="1410,15" coordsize="14020,2">
            <v:shape style="position:absolute;left:1410;top:15;width:14020;height:2" coordorigin="1410,15" coordsize="14020,0" path="m1410,15l15430,15e" filled="false" stroked="true" strokeweight=".72pt" strokecolor="#000000">
              <v:path arrowok="t"/>
            </v:shape>
            <w10:wrap type="none"/>
          </v:group>
        </w:pict>
      </w:r>
      <w:bookmarkStart w:name="十七、母公司财务报表主要项目注释" w:id="423"/>
      <w:bookmarkEnd w:id="423"/>
      <w:r>
        <w:rPr>
          <w:b w:val="0"/>
          <w:bCs w:val="0"/>
        </w:rPr>
      </w:r>
      <w:r>
        <w:rPr>
          <w:w w:val="95"/>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应收账款" w:id="424"/>
      <w:bookmarkEnd w:id="424"/>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40" w:right="0"/>
        <w:jc w:val="left"/>
        <w:rPr>
          <w:b w:val="0"/>
          <w:bCs w:val="0"/>
        </w:rPr>
      </w:pPr>
      <w:bookmarkStart w:name="（1）应收账款分类披露" w:id="425"/>
      <w:bookmarkEnd w:id="425"/>
      <w:r>
        <w:rPr>
          <w:b w:val="0"/>
          <w:bCs w:val="0"/>
        </w:rPr>
      </w:r>
      <w:r>
        <w:rPr/>
        <w:t>（</w:t>
      </w:r>
      <w:r>
        <w:rPr>
          <w:rFonts w:ascii="Times New Roman" w:hAnsi="Times New Roman" w:cs="Times New Roman" w:eastAsia="Times New Roman" w:hint="default"/>
        </w:rPr>
        <w:t>1</w:t>
      </w:r>
      <w:r>
        <w:rPr/>
        <w:t>）应收账款分类披露</w:t>
      </w:r>
      <w:r>
        <w:rPr>
          <w:b w:val="0"/>
          <w:bCs w:val="0"/>
        </w:rPr>
      </w:r>
    </w:p>
    <w:p>
      <w:pPr>
        <w:pStyle w:val="BodyText"/>
        <w:spacing w:line="240" w:lineRule="auto" w:before="15"/>
        <w:ind w:left="140" w:right="0"/>
        <w:jc w:val="left"/>
      </w:pPr>
      <w:r>
        <w:rPr/>
        <w:br w:type="column"/>
      </w:r>
      <w:r>
        <w:rPr/>
        <w:t>北京合纵科技股份有限公司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37"/>
          <w:footerReference w:type="default" r:id="rId38"/>
          <w:pgSz w:w="16840" w:h="11910" w:orient="landscape"/>
          <w:pgMar w:header="0" w:footer="0" w:top="800" w:bottom="0" w:left="1300" w:right="0"/>
          <w:cols w:num="2" w:equalWidth="0">
            <w:col w:w="3992" w:space="6098"/>
            <w:col w:w="5450"/>
          </w:cols>
        </w:sectPr>
      </w:pPr>
    </w:p>
    <w:p>
      <w:pPr>
        <w:spacing w:line="240" w:lineRule="auto" w:before="3"/>
        <w:rPr>
          <w:rFonts w:ascii="宋体" w:hAnsi="宋体" w:cs="宋体" w:eastAsia="宋体" w:hint="default"/>
          <w:sz w:val="23"/>
          <w:szCs w:val="23"/>
        </w:rPr>
      </w:pPr>
    </w:p>
    <w:p>
      <w:pPr>
        <w:pStyle w:val="BodyText"/>
        <w:spacing w:line="240" w:lineRule="auto" w:before="44"/>
        <w:ind w:left="0" w:right="1535"/>
        <w:jc w:val="right"/>
      </w:pPr>
      <w:r>
        <w:rPr/>
        <w:t>单位： 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117"/>
        <w:gridCol w:w="1559"/>
        <w:gridCol w:w="1134"/>
        <w:gridCol w:w="1559"/>
        <w:gridCol w:w="993"/>
        <w:gridCol w:w="1276"/>
        <w:gridCol w:w="1276"/>
        <w:gridCol w:w="851"/>
        <w:gridCol w:w="1276"/>
        <w:gridCol w:w="851"/>
        <w:gridCol w:w="1276"/>
      </w:tblGrid>
      <w:tr>
        <w:trPr>
          <w:trHeight w:val="402"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5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5" w:hRule="exact"/>
        </w:trPr>
        <w:tc>
          <w:tcPr>
            <w:tcW w:w="21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2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2117" w:type="dxa"/>
            <w:vMerge/>
            <w:tcBorders>
              <w:left w:val="single" w:sz="4" w:space="0" w:color="000000"/>
              <w:bottom w:val="nil" w:sz="6" w:space="0" w:color="auto"/>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26" w:type="dxa"/>
            <w:gridSpan w:val="2"/>
            <w:vMerge/>
            <w:tcBorders>
              <w:left w:val="single" w:sz="4" w:space="0" w:color="000000"/>
              <w:bottom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6" w:hRule="exact"/>
        </w:trPr>
        <w:tc>
          <w:tcPr>
            <w:tcW w:w="2117" w:type="dxa"/>
            <w:vMerge w:val="restart"/>
            <w:tcBorders>
              <w:top w:val="nil" w:sz="6" w:space="0" w:color="auto"/>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117"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3"/>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坏账准备的应收账款</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588,009,615.43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41,204,568.72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7.01%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546,805,046.71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400,976,939.90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29,244,604.46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371,732,335.44</w:t>
            </w:r>
          </w:p>
        </w:tc>
      </w:tr>
      <w:tr>
        <w:trPr>
          <w:trHeight w:val="714"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3"/>
              <w:jc w:val="left"/>
              <w:rPr>
                <w:rFonts w:ascii="宋体" w:hAnsi="宋体" w:cs="宋体" w:eastAsia="宋体" w:hint="default"/>
                <w:sz w:val="18"/>
                <w:szCs w:val="18"/>
              </w:rPr>
            </w:pPr>
            <w:r>
              <w:rPr>
                <w:rFonts w:ascii="宋体" w:hAnsi="宋体" w:cs="宋体" w:eastAsia="宋体" w:hint="default"/>
                <w:sz w:val="18"/>
                <w:szCs w:val="18"/>
              </w:rPr>
              <w:t>单项金额不重大但单独计 提坏账准备的应收账款</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955,662.42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955,662.42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588,009,615.43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41,204,568.72</w:t>
            </w: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546,805,046.71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401,932,602.32</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30,200,266.88</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371,732,335.44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76"/>
        <w:ind w:left="0" w:right="1436"/>
        <w:jc w:val="right"/>
        <w:rPr>
          <w:rFonts w:ascii="Times New Roman" w:hAnsi="Times New Roman" w:cs="Times New Roman" w:eastAsia="Times New Roman" w:hint="default"/>
        </w:rPr>
      </w:pPr>
      <w:r>
        <w:rPr/>
        <w:pict>
          <v:shape style="position:absolute;margin-left:201.919983pt;margin-top:21.922344pt;width:640pt;height:42pt;mso-position-horizontal-relative:page;mso-position-vertical-relative:paragraph;z-index:1840" type="#_x0000_t75" stroked="false">
            <v:imagedata r:id="rId29" o:title=""/>
          </v:shape>
        </w:pict>
      </w:r>
      <w:r>
        <w:rPr>
          <w:rFonts w:ascii="Times New Roman"/>
        </w:rPr>
        <w:t>140</w:t>
      </w:r>
    </w:p>
    <w:p>
      <w:pPr>
        <w:spacing w:after="0" w:line="240" w:lineRule="auto"/>
        <w:jc w:val="right"/>
        <w:rPr>
          <w:rFonts w:ascii="Times New Roman" w:hAnsi="Times New Roman" w:cs="Times New Roman" w:eastAsia="Times New Roman" w:hint="default"/>
        </w:rPr>
        <w:sectPr>
          <w:type w:val="continuous"/>
          <w:pgSz w:w="16840" w:h="11910" w:orient="landscape"/>
          <w:pgMar w:top="1060" w:bottom="1160" w:left="1300" w:right="0"/>
        </w:sectPr>
      </w:pPr>
    </w:p>
    <w:p>
      <w:pPr>
        <w:spacing w:line="240" w:lineRule="auto" w:before="0"/>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footerReference w:type="default" r:id="rId39"/>
          <w:pgSz w:w="11910" w:h="16840"/>
          <w:pgMar w:footer="979" w:header="0" w:top="1100" w:bottom="1160" w:left="0" w:right="0"/>
          <w:pgNumType w:start="141"/>
        </w:sectPr>
      </w:pPr>
    </w:p>
    <w:p>
      <w:pPr>
        <w:pStyle w:val="BodyText"/>
        <w:spacing w:line="240" w:lineRule="auto" w:before="44"/>
        <w:ind w:right="-19"/>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1"/>
        <w:gridCol w:w="2307"/>
        <w:gridCol w:w="2391"/>
        <w:gridCol w:w="2389"/>
      </w:tblGrid>
      <w:tr>
        <w:trPr>
          <w:trHeight w:val="205"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508,322,517.76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25,416,125.89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56,677,840.24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5,667,784.02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10,625,896.90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2,125,179.38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8,256,230.50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4,128,115.25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1,298,829.25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1,039,063.40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2,828,300.78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2,828,300.78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588,009,615.43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41,204,568.72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821"/>
        <w:jc w:val="left"/>
      </w:pPr>
      <w:r>
        <w:rPr/>
        <w:t>组合中，采用余额百分比法计提坏账准备的应收账款：</w:t>
      </w:r>
    </w:p>
    <w:p>
      <w:pPr>
        <w:pStyle w:val="BodyText"/>
        <w:spacing w:line="338" w:lineRule="auto" w:before="117"/>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组合中，采用其他方法计提坏账准备的应收账款：无。</w:t>
      </w:r>
    </w:p>
    <w:p>
      <w:pPr>
        <w:spacing w:line="240" w:lineRule="auto" w:before="2"/>
        <w:rPr>
          <w:rFonts w:ascii="宋体" w:hAnsi="宋体" w:cs="宋体" w:eastAsia="宋体" w:hint="default"/>
          <w:sz w:val="21"/>
          <w:szCs w:val="21"/>
        </w:rPr>
      </w:pPr>
    </w:p>
    <w:p>
      <w:pPr>
        <w:pStyle w:val="Heading3"/>
        <w:spacing w:line="240" w:lineRule="auto"/>
        <w:ind w:left="1134" w:right="821"/>
        <w:jc w:val="left"/>
        <w:rPr>
          <w:b w:val="0"/>
          <w:bCs w:val="0"/>
        </w:rPr>
      </w:pPr>
      <w:bookmarkStart w:name="（2）本期计提、收回或转回的坏账准备情况" w:id="426"/>
      <w:bookmarkEnd w:id="42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821"/>
        <w:jc w:val="left"/>
      </w:pPr>
      <w:r>
        <w:rPr/>
        <w:t>本期计提坏账准备金额</w:t>
      </w:r>
      <w:r>
        <w:rPr>
          <w:spacing w:val="-49"/>
        </w:rPr>
        <w:t> </w:t>
      </w:r>
      <w:r>
        <w:rPr>
          <w:rFonts w:ascii="Times New Roman" w:hAnsi="Times New Roman" w:cs="Times New Roman" w:eastAsia="Times New Roman" w:hint="default"/>
        </w:rPr>
        <w:t>11,004,301.84</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line="240" w:lineRule="auto" w:before="9"/>
        <w:rPr>
          <w:rFonts w:ascii="宋体" w:hAnsi="宋体" w:cs="宋体" w:eastAsia="宋体" w:hint="default"/>
          <w:sz w:val="25"/>
          <w:szCs w:val="25"/>
        </w:rPr>
      </w:pPr>
    </w:p>
    <w:p>
      <w:pPr>
        <w:pStyle w:val="Heading3"/>
        <w:spacing w:line="240" w:lineRule="auto"/>
        <w:ind w:right="821"/>
        <w:jc w:val="left"/>
        <w:rPr>
          <w:b w:val="0"/>
          <w:bCs w:val="0"/>
        </w:rPr>
      </w:pPr>
      <w:bookmarkStart w:name="（3）本期实际核销的应收账款情况" w:id="427"/>
      <w:bookmarkEnd w:id="42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4）按欠款方归集的期末余额前五名的应收账款情况" w:id="428"/>
      <w:bookmarkEnd w:id="42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7720" w:right="821"/>
        <w:jc w:val="left"/>
      </w:pPr>
      <w:r>
        <w:rPr/>
        <w:t>单位：元</w:t>
      </w:r>
    </w:p>
    <w:p>
      <w:pPr>
        <w:spacing w:line="240" w:lineRule="auto" w:before="5"/>
        <w:rPr>
          <w:rFonts w:ascii="宋体" w:hAnsi="宋体" w:cs="宋体" w:eastAsia="宋体" w:hint="default"/>
          <w:sz w:val="23"/>
          <w:szCs w:val="23"/>
        </w:rPr>
      </w:pPr>
    </w:p>
    <w:tbl>
      <w:tblPr>
        <w:tblW w:w="0" w:type="auto"/>
        <w:jc w:val="left"/>
        <w:tblInd w:w="1126" w:type="dxa"/>
        <w:tblLayout w:type="fixed"/>
        <w:tblCellMar>
          <w:top w:w="0" w:type="dxa"/>
          <w:left w:w="0" w:type="dxa"/>
          <w:bottom w:w="0" w:type="dxa"/>
          <w:right w:w="0" w:type="dxa"/>
        </w:tblCellMar>
        <w:tblLook w:val="01E0"/>
      </w:tblPr>
      <w:tblGrid>
        <w:gridCol w:w="2849"/>
        <w:gridCol w:w="1560"/>
        <w:gridCol w:w="1274"/>
        <w:gridCol w:w="1419"/>
        <w:gridCol w:w="1432"/>
      </w:tblGrid>
      <w:tr>
        <w:trPr>
          <w:trHeight w:val="971"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0" w:right="71"/>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占应收账款年末 余额合计数的比 例</w:t>
            </w:r>
            <w:r>
              <w:rPr>
                <w:rFonts w:ascii="Times New Roman" w:hAnsi="Times New Roman" w:cs="Times New Roman" w:eastAsia="Times New Roman" w:hint="default"/>
                <w:sz w:val="18"/>
                <w:szCs w:val="18"/>
              </w:rPr>
              <w:t>(%)</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617" w:right="77" w:hanging="540"/>
              <w:jc w:val="left"/>
              <w:rPr>
                <w:rFonts w:ascii="宋体" w:hAnsi="宋体" w:cs="宋体" w:eastAsia="宋体" w:hint="default"/>
                <w:sz w:val="18"/>
                <w:szCs w:val="18"/>
              </w:rPr>
            </w:pPr>
            <w:r>
              <w:rPr>
                <w:rFonts w:ascii="宋体" w:hAnsi="宋体" w:cs="宋体" w:eastAsia="宋体" w:hint="default"/>
                <w:sz w:val="18"/>
                <w:szCs w:val="18"/>
              </w:rPr>
              <w:t>坏账准备年末余 额</w:t>
            </w:r>
          </w:p>
        </w:tc>
      </w:tr>
      <w:tr>
        <w:trPr>
          <w:trHeight w:val="34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江苏省电力公司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52,084,703.17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8.86</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2,604,235.16</w:t>
            </w:r>
          </w:p>
        </w:tc>
      </w:tr>
      <w:tr>
        <w:trPr>
          <w:trHeight w:val="34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国网河南省电力公司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26,739,472.46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4.55</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1,336,973.62</w:t>
            </w:r>
          </w:p>
        </w:tc>
      </w:tr>
      <w:tr>
        <w:trPr>
          <w:trHeight w:val="34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国网湖北省电力公司物资公司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20,294,061.59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3.45</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1,014,703.08</w:t>
            </w:r>
          </w:p>
        </w:tc>
      </w:tr>
      <w:tr>
        <w:trPr>
          <w:trHeight w:val="34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国网河北省电力公司物资分公司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20,291,413.43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3.44</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1,014,570.67</w:t>
            </w:r>
          </w:p>
        </w:tc>
      </w:tr>
      <w:tr>
        <w:trPr>
          <w:trHeight w:val="34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国网湖南省电力公司物资公司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17,607,657.89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2.99</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880,382.89</w:t>
            </w:r>
          </w:p>
        </w:tc>
      </w:tr>
      <w:tr>
        <w:trPr>
          <w:trHeight w:val="34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137,017,308.54</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23.29</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6,850,865.42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821"/>
        <w:jc w:val="left"/>
        <w:rPr>
          <w:b w:val="0"/>
          <w:bCs w:val="0"/>
        </w:rPr>
      </w:pPr>
      <w:bookmarkStart w:name="（5）因金融资产转移而终止确认的应收账款" w:id="429"/>
      <w:bookmarkEnd w:id="42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6）转移应收账款且继续涉入形成的资产、负债金额" w:id="430"/>
      <w:bookmarkEnd w:id="430"/>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after="0" w:line="240" w:lineRule="auto"/>
        <w:jc w:val="left"/>
        <w:sectPr>
          <w:pgSz w:w="11910" w:h="16840"/>
          <w:pgMar w:header="0" w:footer="979" w:top="1100" w:bottom="1160" w:left="0" w:right="0"/>
        </w:sectPr>
      </w:pPr>
    </w:p>
    <w:p>
      <w:pPr>
        <w:spacing w:line="240" w:lineRule="auto" w:before="13"/>
        <w:rPr>
          <w:rFonts w:ascii="宋体" w:hAnsi="宋体" w:cs="宋体" w:eastAsia="宋体" w:hint="default"/>
          <w:sz w:val="23"/>
          <w:szCs w:val="23"/>
        </w:rPr>
      </w:pPr>
    </w:p>
    <w:p>
      <w:pPr>
        <w:pStyle w:val="Heading3"/>
        <w:spacing w:line="240" w:lineRule="auto"/>
        <w:ind w:left="140" w:right="0"/>
        <w:jc w:val="left"/>
        <w:rPr>
          <w:b w:val="0"/>
          <w:bCs w:val="0"/>
        </w:rPr>
      </w:pPr>
      <w:r>
        <w:rPr/>
        <w:pict>
          <v:group style="position:absolute;margin-left:70.5pt;margin-top:-.39635pt;width:701pt;height:.1pt;mso-position-horizontal-relative:page;mso-position-vertical-relative:paragraph;z-index:1864" coordorigin="1410,-8" coordsize="14020,2">
            <v:shape style="position:absolute;left:1410;top:-8;width:14020;height:2" coordorigin="1410,-8" coordsize="14020,0" path="m1410,-8l15430,-8e" filled="false" stroked="true" strokeweight=".72pt" strokecolor="#000000">
              <v:path arrowok="t"/>
            </v:shape>
            <w10:wrap type="none"/>
          </v:group>
        </w:pict>
      </w:r>
      <w:bookmarkStart w:name="2、其他应收款" w:id="431"/>
      <w:bookmarkEnd w:id="43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其他应收款分类披露" w:id="432"/>
      <w:bookmarkEnd w:id="432"/>
      <w:r>
        <w:rPr>
          <w:b w:val="0"/>
          <w:bCs w:val="0"/>
        </w:rPr>
      </w:r>
      <w:r>
        <w:rPr>
          <w:w w:val="95"/>
        </w:rPr>
        <w:t>（</w:t>
      </w:r>
      <w:r>
        <w:rPr>
          <w:rFonts w:ascii="Times New Roman" w:hAnsi="Times New Roman" w:cs="Times New Roman" w:eastAsia="Times New Roman" w:hint="default"/>
          <w:w w:val="95"/>
        </w:rPr>
        <w:t>1</w:t>
      </w:r>
      <w:r>
        <w:rPr>
          <w:w w:val="95"/>
        </w:rPr>
        <w:t>）其他应收款分类披露</w:t>
      </w:r>
      <w:r>
        <w:rPr>
          <w:b w:val="0"/>
          <w:bCs w:val="0"/>
        </w:rPr>
      </w:r>
    </w:p>
    <w:p>
      <w:pPr>
        <w:pStyle w:val="BodyText"/>
        <w:spacing w:line="240" w:lineRule="auto" w:before="15"/>
        <w:ind w:left="140" w:right="0"/>
        <w:jc w:val="left"/>
      </w:pPr>
      <w:r>
        <w:rPr/>
        <w:br w:type="column"/>
      </w:r>
      <w:r>
        <w:rPr/>
        <w:t>北京合纵科技股份有限公司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40"/>
          <w:footerReference w:type="default" r:id="rId41"/>
          <w:pgSz w:w="16840" w:h="11910" w:orient="landscape"/>
          <w:pgMar w:header="0" w:footer="0" w:top="800" w:bottom="0" w:left="1300" w:right="0"/>
          <w:cols w:num="2" w:equalWidth="0">
            <w:col w:w="2563" w:space="7528"/>
            <w:col w:w="5449"/>
          </w:cols>
        </w:sectPr>
      </w:pPr>
    </w:p>
    <w:p>
      <w:pPr>
        <w:spacing w:line="240" w:lineRule="auto" w:before="3"/>
        <w:rPr>
          <w:rFonts w:ascii="宋体" w:hAnsi="宋体" w:cs="宋体" w:eastAsia="宋体" w:hint="default"/>
          <w:sz w:val="23"/>
          <w:szCs w:val="23"/>
        </w:rPr>
      </w:pPr>
    </w:p>
    <w:p>
      <w:pPr>
        <w:pStyle w:val="BodyText"/>
        <w:spacing w:line="240" w:lineRule="auto" w:before="44"/>
        <w:ind w:left="0" w:right="1535"/>
        <w:jc w:val="right"/>
      </w:pPr>
      <w:r>
        <w:rPr/>
        <w:t>单位： 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974"/>
        <w:gridCol w:w="1559"/>
        <w:gridCol w:w="1418"/>
        <w:gridCol w:w="1417"/>
        <w:gridCol w:w="851"/>
        <w:gridCol w:w="1134"/>
        <w:gridCol w:w="1134"/>
        <w:gridCol w:w="850"/>
        <w:gridCol w:w="1134"/>
        <w:gridCol w:w="992"/>
        <w:gridCol w:w="1419"/>
      </w:tblGrid>
      <w:tr>
        <w:trPr>
          <w:trHeight w:val="403"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5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9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29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974" w:type="dxa"/>
            <w:vMerge/>
            <w:tcBorders>
              <w:left w:val="single" w:sz="4" w:space="0" w:color="000000"/>
              <w:bottom w:val="nil" w:sz="6" w:space="0" w:color="auto"/>
              <w:right w:val="single" w:sz="4" w:space="0" w:color="000000"/>
            </w:tcBorders>
            <w:shd w:val="clear" w:color="auto" w:fill="D2D2D2"/>
          </w:tcPr>
          <w:p>
            <w:pPr/>
          </w:p>
        </w:tc>
        <w:tc>
          <w:tcPr>
            <w:tcW w:w="2977" w:type="dxa"/>
            <w:gridSpan w:val="2"/>
            <w:vMerge/>
            <w:tcBorders>
              <w:left w:val="single" w:sz="4" w:space="0" w:color="000000"/>
              <w:bottom w:val="single" w:sz="4" w:space="0" w:color="000000"/>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84" w:type="dxa"/>
            <w:gridSpan w:val="2"/>
            <w:vMerge/>
            <w:tcBorders>
              <w:left w:val="single" w:sz="4" w:space="0" w:color="000000"/>
              <w:bottom w:val="single" w:sz="4" w:space="0" w:color="000000"/>
              <w:right w:val="single" w:sz="4" w:space="0" w:color="000000"/>
            </w:tcBorders>
            <w:shd w:val="clear" w:color="auto" w:fill="D2D2D2"/>
          </w:tcPr>
          <w:p>
            <w:pPr/>
          </w:p>
        </w:tc>
        <w:tc>
          <w:tcPr>
            <w:tcW w:w="2126" w:type="dxa"/>
            <w:gridSpan w:val="2"/>
            <w:vMerge/>
            <w:tcBorders>
              <w:left w:val="single" w:sz="4" w:space="0" w:color="000000"/>
              <w:bottom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7" w:hRule="exact"/>
        </w:trPr>
        <w:tc>
          <w:tcPr>
            <w:tcW w:w="1974" w:type="dxa"/>
            <w:vMerge w:val="restart"/>
            <w:tcBorders>
              <w:top w:val="nil" w:sz="6" w:space="0" w:color="auto"/>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974"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0"/>
              <w:jc w:val="both"/>
              <w:rPr>
                <w:rFonts w:ascii="宋体" w:hAnsi="宋体" w:cs="宋体" w:eastAsia="宋体" w:hint="default"/>
                <w:sz w:val="18"/>
                <w:szCs w:val="18"/>
              </w:rPr>
            </w:pPr>
            <w:r>
              <w:rPr>
                <w:rFonts w:ascii="宋体" w:hAnsi="宋体" w:cs="宋体" w:eastAsia="宋体" w:hint="default"/>
                <w:sz w:val="18"/>
                <w:szCs w:val="18"/>
              </w:rPr>
              <w:t>按信用风险特征组合计 提坏账准备的其他应收 款</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28,197,495.05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1,507,597.54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26,689,897.51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21,358,668.88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1,563,417.61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19,795,251.27</w:t>
            </w:r>
          </w:p>
        </w:tc>
      </w:tr>
      <w:tr>
        <w:trPr>
          <w:trHeight w:val="403"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28,197,495.05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1,507,597.54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26,689,897.51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left"/>
              <w:rPr>
                <w:rFonts w:ascii="Times New Roman" w:hAnsi="Times New Roman" w:cs="Times New Roman" w:eastAsia="Times New Roman" w:hint="default"/>
                <w:sz w:val="18"/>
                <w:szCs w:val="18"/>
              </w:rPr>
            </w:pPr>
            <w:r>
              <w:rPr>
                <w:rFonts w:ascii="Times New Roman"/>
                <w:sz w:val="18"/>
              </w:rPr>
              <w:t>21,358,668.88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1,563,417.61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19,795,251.27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76"/>
        <w:ind w:left="0" w:right="1436"/>
        <w:jc w:val="right"/>
        <w:rPr>
          <w:rFonts w:ascii="Times New Roman" w:hAnsi="Times New Roman" w:cs="Times New Roman" w:eastAsia="Times New Roman" w:hint="default"/>
        </w:rPr>
      </w:pPr>
      <w:r>
        <w:rPr/>
        <w:pict>
          <v:shape style="position:absolute;margin-left:201.919983pt;margin-top:21.922344pt;width:640pt;height:42pt;mso-position-horizontal-relative:page;mso-position-vertical-relative:paragraph;z-index:1888" type="#_x0000_t75" stroked="false">
            <v:imagedata r:id="rId29" o:title=""/>
          </v:shape>
        </w:pict>
      </w:r>
      <w:r>
        <w:rPr>
          <w:rFonts w:ascii="Times New Roman"/>
        </w:rPr>
        <w:t>143</w:t>
      </w:r>
    </w:p>
    <w:p>
      <w:pPr>
        <w:spacing w:after="0" w:line="240" w:lineRule="auto"/>
        <w:jc w:val="right"/>
        <w:rPr>
          <w:rFonts w:ascii="Times New Roman" w:hAnsi="Times New Roman" w:cs="Times New Roman" w:eastAsia="Times New Roman" w:hint="default"/>
        </w:rPr>
        <w:sectPr>
          <w:type w:val="continuous"/>
          <w:pgSz w:w="16840" w:h="11910" w:orient="landscape"/>
          <w:pgMar w:top="1060" w:bottom="1160" w:left="1300" w:right="0"/>
        </w:sectPr>
      </w:pPr>
    </w:p>
    <w:p>
      <w:pPr>
        <w:spacing w:line="240" w:lineRule="auto" w:before="0"/>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footerReference w:type="default" r:id="rId42"/>
          <w:pgSz w:w="11910" w:h="16840"/>
          <w:pgMar w:footer="979" w:header="0" w:top="1100" w:bottom="1160" w:left="0" w:right="0"/>
          <w:pgNumType w:start="144"/>
        </w:sectPr>
      </w:pPr>
    </w:p>
    <w:p>
      <w:pPr>
        <w:pStyle w:val="BodyText"/>
        <w:spacing w:line="240" w:lineRule="auto" w:before="44"/>
        <w:ind w:right="-19"/>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1"/>
        <w:gridCol w:w="2307"/>
        <w:gridCol w:w="2391"/>
        <w:gridCol w:w="2389"/>
      </w:tblGrid>
      <w:tr>
        <w:trPr>
          <w:trHeight w:val="205"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26,744,482.31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1,337,224.11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637,825.26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63,782.53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532,954.48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106,590.90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27,915,262.05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1,507,597.54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821"/>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21"/>
        <w:jc w:val="left"/>
        <w:rPr>
          <w:b w:val="0"/>
          <w:bCs w:val="0"/>
        </w:rPr>
      </w:pPr>
      <w:bookmarkStart w:name="（2）本期计提、收回或转回的坏账准备情况" w:id="433"/>
      <w:bookmarkEnd w:id="43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821"/>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5,820.07</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25"/>
          <w:szCs w:val="25"/>
        </w:rPr>
      </w:pPr>
    </w:p>
    <w:p>
      <w:pPr>
        <w:pStyle w:val="Heading3"/>
        <w:spacing w:line="240" w:lineRule="auto"/>
        <w:ind w:right="821"/>
        <w:jc w:val="left"/>
        <w:rPr>
          <w:b w:val="0"/>
          <w:bCs w:val="0"/>
        </w:rPr>
      </w:pPr>
      <w:bookmarkStart w:name="（3）本期实际核销的其他应收款情况" w:id="434"/>
      <w:bookmarkEnd w:id="43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68"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4）其他应收款按款项性质分类情况" w:id="435"/>
      <w:bookmarkEnd w:id="43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28,197,495.05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21,358,668.88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28,197,495.05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21,358,668.88</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5）按欠款方归集的期末余额前五名的其他应收款情况" w:id="436"/>
      <w:bookmarkEnd w:id="43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国网福建招标有限公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安徽皖电招标有限公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国网四川招标有限公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1,454,000.00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72,700.00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湖南湘能创业招标代 理有限公司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72,500.00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河南电力物资公司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9,744,000.00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487,200.00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6）涉及政府补助的应收款项" w:id="437"/>
      <w:bookmarkEnd w:id="43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37"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7）因金融资产转移而终止确认的其他应收款" w:id="438"/>
      <w:bookmarkEnd w:id="43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55"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8）转移其他应收款且继续涉入形成的资产、负债金额" w:id="439"/>
      <w:bookmarkEnd w:id="439"/>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068"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3、长期股权投资" w:id="440"/>
      <w:bookmarkEnd w:id="44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357,733,867.20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775,146.32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356,958,720.88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33,583,370.72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33,583,370.72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357,733,867.20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775,146.32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356,958,720.88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33,583,370.72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33,583,370.72</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1）对子公司投资" w:id="441"/>
      <w:bookmarkEnd w:id="44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北京合纵实科电 力科技有限公司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26,023,340.80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244,150,496.48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270,173,837.28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北京合纵畅达金 属制品有限责任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北京合纵开创电 气技术有限公司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2,185,272.00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2,185,272.00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525,146.32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525,146.32</w:t>
            </w:r>
          </w:p>
        </w:tc>
      </w:tr>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北京合纵科沃尔 电力科技有限公</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5,124,757.92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5,124,757.92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天津合纵电力设 备有限公司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33,583,370.72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324,150,496.48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357,733,867.20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6" w:right="0"/>
              <w:jc w:val="left"/>
              <w:rPr>
                <w:rFonts w:ascii="Times New Roman" w:hAnsi="Times New Roman" w:cs="Times New Roman" w:eastAsia="Times New Roman" w:hint="default"/>
                <w:sz w:val="18"/>
                <w:szCs w:val="18"/>
              </w:rPr>
            </w:pPr>
            <w:r>
              <w:rPr>
                <w:rFonts w:ascii="Times New Roman"/>
                <w:sz w:val="18"/>
              </w:rPr>
              <w:t>775,146.32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5" w:right="0"/>
              <w:jc w:val="left"/>
              <w:rPr>
                <w:rFonts w:ascii="Times New Roman" w:hAnsi="Times New Roman" w:cs="Times New Roman" w:eastAsia="Times New Roman" w:hint="default"/>
                <w:sz w:val="18"/>
                <w:szCs w:val="18"/>
              </w:rPr>
            </w:pPr>
            <w:r>
              <w:rPr>
                <w:rFonts w:ascii="Times New Roman"/>
                <w:sz w:val="18"/>
              </w:rPr>
              <w:t>775,146.32</w:t>
            </w:r>
          </w:p>
        </w:tc>
      </w:tr>
    </w:tbl>
    <w:p>
      <w:pPr>
        <w:spacing w:line="240" w:lineRule="auto" w:before="2"/>
        <w:rPr>
          <w:rFonts w:ascii="宋体" w:hAnsi="宋体" w:cs="宋体" w:eastAsia="宋体" w:hint="default"/>
          <w:sz w:val="19"/>
          <w:szCs w:val="19"/>
        </w:rPr>
      </w:pPr>
    </w:p>
    <w:p>
      <w:pPr>
        <w:pStyle w:val="Heading3"/>
        <w:spacing w:line="240" w:lineRule="auto" w:before="35"/>
        <w:ind w:left="1134" w:right="821"/>
        <w:jc w:val="left"/>
        <w:rPr>
          <w:b w:val="0"/>
          <w:bCs w:val="0"/>
        </w:rPr>
      </w:pPr>
      <w:bookmarkStart w:name="（2）对联营、合营企业投资" w:id="442"/>
      <w:bookmarkEnd w:id="44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3）其他说明" w:id="443"/>
      <w:bookmarkEnd w:id="443"/>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无。</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4、营业收入和营业成本" w:id="444"/>
      <w:bookmarkEnd w:id="44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5"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1,117,434,776.84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918,785,260.95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910,696,517.70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714,123,241.24</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1,688,941.90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1,228,776.94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2,276,772.08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1,228,776.94</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1,119,123,718.74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920,014,037.89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912,973,289.78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715,352,018.18</w:t>
            </w:r>
          </w:p>
        </w:tc>
      </w:tr>
    </w:tbl>
    <w:p>
      <w:pPr>
        <w:pStyle w:val="BodyText"/>
        <w:spacing w:line="240" w:lineRule="auto" w:before="51"/>
        <w:ind w:left="1134" w:right="8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821"/>
        <w:jc w:val="left"/>
        <w:rPr>
          <w:b w:val="0"/>
          <w:bCs w:val="0"/>
        </w:rPr>
      </w:pPr>
      <w:bookmarkStart w:name="5、投资收益" w:id="445"/>
      <w:bookmarkEnd w:id="44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134" w:right="821"/>
        <w:jc w:val="left"/>
        <w:rPr>
          <w:b w:val="0"/>
          <w:bCs w:val="0"/>
        </w:rPr>
      </w:pPr>
      <w:bookmarkStart w:name="6、其他" w:id="446"/>
      <w:bookmarkEnd w:id="446"/>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24" w:right="821"/>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821"/>
        <w:jc w:val="left"/>
        <w:rPr>
          <w:b w:val="0"/>
          <w:bCs w:val="0"/>
        </w:rPr>
      </w:pPr>
      <w:bookmarkStart w:name="十八、补充资料" w:id="447"/>
      <w:bookmarkEnd w:id="447"/>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821"/>
        <w:jc w:val="left"/>
        <w:rPr>
          <w:b w:val="0"/>
          <w:bCs w:val="0"/>
        </w:rPr>
      </w:pPr>
      <w:bookmarkStart w:name="1、当期非经常性损益明细表" w:id="448"/>
      <w:bookmarkEnd w:id="44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-143,273.77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固定资产报废处置</w:t>
            </w:r>
          </w:p>
        </w:tc>
      </w:tr>
      <w:tr>
        <w:trPr>
          <w:trHeight w:val="67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6,843,608.50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r>
    </w:tbl>
    <w:p>
      <w:pPr>
        <w:spacing w:after="0" w:line="24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1,000,673.75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14,454.30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5,685,137.92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821"/>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21"/>
        <w:jc w:val="left"/>
        <w:rPr>
          <w:b w:val="0"/>
          <w:bCs w:val="0"/>
        </w:rPr>
      </w:pPr>
      <w:bookmarkStart w:name="2、净资产收益率及每股收益" w:id="449"/>
      <w:bookmarkEnd w:id="44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0.86</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821"/>
        <w:jc w:val="left"/>
        <w:rPr>
          <w:b w:val="0"/>
          <w:bCs w:val="0"/>
        </w:rPr>
      </w:pPr>
      <w:bookmarkStart w:name="3、境内外会计准则下会计数据差异" w:id="450"/>
      <w:bookmarkEnd w:id="45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821"/>
        <w:jc w:val="left"/>
        <w:rPr>
          <w:b w:val="0"/>
          <w:bCs w:val="0"/>
        </w:rPr>
      </w:pPr>
      <w:bookmarkStart w:name="（1）同时按照国际会计准则与按中国会计准则披露的财务报告中净利润和净资产差异情况" w:id="451"/>
      <w:bookmarkEnd w:id="45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21"/>
        <w:jc w:val="left"/>
        <w:rPr>
          <w:b w:val="0"/>
          <w:bCs w:val="0"/>
        </w:rPr>
      </w:pPr>
      <w:bookmarkStart w:name="（2）同时按照境外会计准则与按中国会计准则披露的财务报告中净利润和净资产差异情况" w:id="452"/>
      <w:bookmarkEnd w:id="45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8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821"/>
        <w:jc w:val="left"/>
        <w:rPr>
          <w:b w:val="0"/>
          <w:bCs w:val="0"/>
        </w:rPr>
      </w:pPr>
      <w:bookmarkStart w:name="（3）境内外会计准则下会计数据差异原因说明，对已经境外审计机构审计的数据进行差异" w:id="453"/>
      <w:bookmarkEnd w:id="453"/>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940" w:right="9276"/>
        <w:jc w:val="center"/>
      </w:pPr>
      <w:r>
        <w:rPr/>
        <w:t>不适用。</w:t>
      </w:r>
    </w:p>
    <w:p>
      <w:pPr>
        <w:spacing w:line="240" w:lineRule="auto" w:before="12"/>
        <w:rPr>
          <w:rFonts w:ascii="宋体" w:hAnsi="宋体" w:cs="宋体" w:eastAsia="宋体" w:hint="default"/>
          <w:sz w:val="26"/>
          <w:szCs w:val="26"/>
        </w:rPr>
      </w:pPr>
    </w:p>
    <w:p>
      <w:pPr>
        <w:pStyle w:val="Heading3"/>
        <w:spacing w:line="240" w:lineRule="auto"/>
        <w:ind w:right="821"/>
        <w:jc w:val="left"/>
        <w:rPr>
          <w:b w:val="0"/>
          <w:bCs w:val="0"/>
        </w:rPr>
      </w:pPr>
      <w:bookmarkStart w:name="4、其他" w:id="454"/>
      <w:bookmarkEnd w:id="454"/>
      <w:r>
        <w:rPr>
          <w:b w:val="0"/>
          <w:bCs w:val="0"/>
        </w:rPr>
      </w:r>
      <w:r>
        <w:rPr>
          <w:rFonts w:ascii="Times New Roman" w:hAnsi="Times New Roman" w:cs="Times New Roman" w:eastAsia="Times New Roman" w:hint="default"/>
        </w:rPr>
        <w:t>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24" w:right="821"/>
        <w:jc w:val="left"/>
      </w:pPr>
      <w:r>
        <w:rPr/>
        <w:t>无。</w:t>
      </w:r>
    </w:p>
    <w:p>
      <w:pPr>
        <w:spacing w:after="0" w:line="240" w:lineRule="auto"/>
        <w:jc w:val="left"/>
        <w:sectPr>
          <w:pgSz w:w="11910" w:h="16840"/>
          <w:pgMar w:header="0"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1115"/>
        <w:jc w:val="center"/>
        <w:rPr>
          <w:b w:val="0"/>
          <w:bCs w:val="0"/>
        </w:rPr>
      </w:pPr>
      <w:bookmarkStart w:name="第十一节 备查文件目录" w:id="455"/>
      <w:bookmarkEnd w:id="455"/>
      <w:r>
        <w:rPr>
          <w:b w:val="0"/>
          <w:bCs w:val="0"/>
        </w:rPr>
      </w:r>
      <w:bookmarkStart w:name="_bookmark9" w:id="456"/>
      <w:bookmarkEnd w:id="456"/>
      <w:r>
        <w:rPr>
          <w:b w:val="0"/>
          <w:bCs w:val="0"/>
        </w:rPr>
      </w:r>
      <w:r>
        <w:rPr/>
        <w:t>第十一节</w:t>
      </w:r>
      <w:r>
        <w:rPr>
          <w:spacing w:val="-8"/>
        </w:rPr>
        <w:t> </w:t>
      </w:r>
      <w:r>
        <w:rPr/>
        <w:t>备查文件目录</w:t>
      </w:r>
      <w:r>
        <w:rPr>
          <w:b w:val="0"/>
          <w:bCs w:val="0"/>
        </w:rPr>
      </w:r>
    </w:p>
    <w:p>
      <w:pPr>
        <w:spacing w:line="240" w:lineRule="auto" w:before="8"/>
        <w:rPr>
          <w:rFonts w:ascii="宋体" w:hAnsi="宋体" w:cs="宋体" w:eastAsia="宋体" w:hint="default"/>
          <w:b/>
          <w:bCs/>
          <w:sz w:val="42"/>
          <w:szCs w:val="42"/>
        </w:rPr>
      </w:pPr>
    </w:p>
    <w:p>
      <w:pPr>
        <w:pStyle w:val="BodyText"/>
        <w:spacing w:line="240" w:lineRule="auto"/>
        <w:ind w:right="821"/>
        <w:jc w:val="left"/>
      </w:pPr>
      <w:r>
        <w:rPr/>
        <w:t>（一）载有法定代表人签名的</w:t>
      </w:r>
      <w:r>
        <w:rPr>
          <w:rFonts w:ascii="Times New Roman" w:hAnsi="Times New Roman" w:cs="Times New Roman" w:eastAsia="Times New Roman" w:hint="default"/>
        </w:rPr>
        <w:t>2015</w:t>
      </w:r>
      <w:r>
        <w:rPr/>
        <w:t>年年度报告文本；</w:t>
      </w:r>
    </w:p>
    <w:p>
      <w:pPr>
        <w:pStyle w:val="BodyText"/>
        <w:spacing w:line="240" w:lineRule="auto" w:before="103"/>
        <w:ind w:left="1134" w:right="821"/>
        <w:jc w:val="left"/>
      </w:pPr>
      <w:r>
        <w:rPr/>
        <w:t>（二）载有公司负责人、主管会计工作负责人、会计机构负责人（会计主管人员）签名并盖章的财务报表；</w:t>
      </w:r>
    </w:p>
    <w:p>
      <w:pPr>
        <w:pStyle w:val="BodyText"/>
        <w:spacing w:line="240" w:lineRule="auto" w:before="116"/>
        <w:ind w:right="821"/>
        <w:jc w:val="left"/>
      </w:pPr>
      <w:r>
        <w:rPr/>
        <w:t>（三）载有会计师事务所盖章、注册会计师签名并盖章的审计报告原件；</w:t>
      </w:r>
    </w:p>
    <w:p>
      <w:pPr>
        <w:pStyle w:val="BodyText"/>
        <w:spacing w:line="240" w:lineRule="auto" w:before="116"/>
        <w:ind w:right="821"/>
        <w:jc w:val="left"/>
      </w:pPr>
      <w:r>
        <w:rPr/>
        <w:t>（四）报告期内在中国证监会指定网站上公开披露过的所有公司文件的正本及公告的原稿；</w:t>
      </w:r>
    </w:p>
    <w:p>
      <w:pPr>
        <w:pStyle w:val="BodyText"/>
        <w:spacing w:line="357" w:lineRule="auto" w:before="117"/>
        <w:ind w:right="6973"/>
        <w:jc w:val="left"/>
      </w:pPr>
      <w:r>
        <w:rPr/>
        <w:t>（五）其他有关资料。 以上备查文件的备置地点：公司董事会办公室。</w:t>
      </w:r>
    </w:p>
    <w:sectPr>
      <w:pgSz w:w="11910" w:h="16840"/>
      <w:pgMar w:header="0" w:footer="979" w:top="110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1072" type="#_x0000_t75" stroked="false">
          <v:imagedata r:id="rId1" o:title=""/>
        </v:shape>
      </w:pict>
    </w:r>
    <w:r>
      <w:rPr/>
      <w:pict>
        <v:shape style="position:absolute;margin-left:533.179993pt;margin-top:795.517944pt;width:6.5pt;height:11pt;mso-position-horizontal-relative:page;mso-position-vertical-relative:page;z-index:-7810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0424" type="#_x0000_t75" stroked="false">
          <v:imagedata r:id="rId1" o:title=""/>
        </v:shape>
      </w:pict>
    </w:r>
    <w:r>
      <w:rPr/>
      <w:pict>
        <v:shape style="position:absolute;margin-left:523.179993pt;margin-top:781.957947pt;width:17.5pt;height:11pt;mso-position-horizontal-relative:page;mso-position-vertical-relative:page;z-index:-780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0376" type="#_x0000_t75" stroked="false">
          <v:imagedata r:id="rId1" o:title=""/>
        </v:shape>
      </w:pict>
    </w:r>
    <w:r>
      <w:rPr/>
      <w:pict>
        <v:shape style="position:absolute;margin-left:523.179993pt;margin-top:781.957947pt;width:17.5pt;height:11pt;mso-position-horizontal-relative:page;mso-position-vertical-relative:page;z-index:-780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0328" type="#_x0000_t75" stroked="false">
          <v:imagedata r:id="rId1" o:title=""/>
        </v:shape>
      </w:pict>
    </w:r>
    <w:r>
      <w:rPr/>
      <w:pict>
        <v:shape style="position:absolute;margin-left:523.179993pt;margin-top:781.957947pt;width:17.5pt;height:11pt;mso-position-horizontal-relative:page;mso-position-vertical-relative:page;z-index:-780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0280" type="#_x0000_t75" stroked="false">
          <v:imagedata r:id="rId1" o:title=""/>
        </v:shape>
      </w:pict>
    </w:r>
    <w:r>
      <w:rPr/>
      <w:pict>
        <v:shape style="position:absolute;margin-left:523.179993pt;margin-top:781.957947pt;width:17.5pt;height:11pt;mso-position-horizontal-relative:page;mso-position-vertical-relative:page;z-index:-780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0232" type="#_x0000_t75" stroked="false">
          <v:imagedata r:id="rId1" o:title=""/>
        </v:shape>
      </w:pict>
    </w:r>
    <w:r>
      <w:rPr/>
      <w:pict>
        <v:shape style="position:absolute;margin-left:523.179993pt;margin-top:781.957947pt;width:17.5pt;height:11pt;mso-position-horizontal-relative:page;mso-position-vertical-relative:page;z-index:-780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1024" type="#_x0000_t75" stroked="false">
          <v:imagedata r:id="rId1" o:title=""/>
        </v:shape>
      </w:pict>
    </w:r>
    <w:r>
      <w:rPr/>
      <w:pict>
        <v:shape style="position:absolute;margin-left:527.679993pt;margin-top:781.957947pt;width:13pt;height:11pt;mso-position-horizontal-relative:page;mso-position-vertical-relative:page;z-index:-781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780952" type="#_x0000_t75" stroked="false">
          <v:imagedata r:id="rId1" o:title=""/>
        </v:shape>
      </w:pict>
    </w:r>
    <w:r>
      <w:rPr/>
      <w:pict>
        <v:shape style="position:absolute;margin-left:758.97998pt;margin-top:535.357971pt;width:13pt;height:11pt;mso-position-horizontal-relative:page;mso-position-vertical-relative:page;z-index:-780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0856" type="#_x0000_t75" stroked="false">
          <v:imagedata r:id="rId1" o:title=""/>
        </v:shape>
      </w:pict>
    </w:r>
    <w:r>
      <w:rPr/>
      <w:pict>
        <v:shape style="position:absolute;margin-left:527.679993pt;margin-top:781.957947pt;width:13pt;height:11pt;mso-position-horizontal-relative:page;mso-position-vertical-relative:page;z-index:-780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780784" type="#_x0000_t75" stroked="false">
          <v:imagedata r:id="rId1" o:title=""/>
        </v:shape>
      </w:pict>
    </w:r>
    <w:r>
      <w:rPr/>
      <w:pict>
        <v:shape style="position:absolute;margin-left:758.97998pt;margin-top:535.357971pt;width:13pt;height:11pt;mso-position-horizontal-relative:page;mso-position-vertical-relative:page;z-index:-780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0688" type="#_x0000_t75" stroked="false">
          <v:imagedata r:id="rId1" o:title=""/>
        </v:shape>
      </w:pict>
    </w:r>
    <w:r>
      <w:rPr/>
      <w:pict>
        <v:shape style="position:absolute;margin-left:527.679993pt;margin-top:781.957947pt;width:13pt;height:11pt;mso-position-horizontal-relative:page;mso-position-vertical-relative:page;z-index:-780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780616" type="#_x0000_t75" stroked="false">
          <v:imagedata r:id="rId1" o:title=""/>
        </v:shape>
      </w:pict>
    </w:r>
    <w:r>
      <w:rPr/>
      <w:pict>
        <v:shape style="position:absolute;margin-left:758.97998pt;margin-top:535.357971pt;width:13pt;height:11pt;mso-position-horizontal-relative:page;mso-position-vertical-relative:page;z-index:-780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0520" type="#_x0000_t75" stroked="false">
          <v:imagedata r:id="rId1" o:title=""/>
        </v:shape>
      </w:pict>
    </w:r>
    <w:r>
      <w:rPr/>
      <w:pict>
        <v:shape style="position:absolute;margin-left:527.679993pt;margin-top:781.957947pt;width:13pt;height:11pt;mso-position-horizontal-relative:page;mso-position-vertical-relative:page;z-index:-780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0472" type="#_x0000_t75" stroked="false">
          <v:imagedata r:id="rId1" o:title=""/>
        </v:shape>
      </w:pict>
    </w:r>
    <w:r>
      <w:rPr/>
      <w:pict>
        <v:shape style="position:absolute;margin-left:524.179993pt;margin-top:781.957947pt;width:15.5pt;height:11pt;mso-position-horizontal-relative:page;mso-position-vertical-relative:page;z-index:-7804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781096" type="#_x0000_t202" filled="false" stroked="false">
          <v:textbox inset="0,0,0,0">
            <w:txbxContent>
              <w:p>
                <w:pPr>
                  <w:pStyle w:val="BodyText"/>
                  <w:spacing w:line="214" w:lineRule="exact"/>
                  <w:ind w:left="20" w:right="0"/>
                  <w:jc w:val="left"/>
                </w:pPr>
                <w:r>
                  <w:rPr/>
                  <w:t>北京合纵科技股份有限公司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780976" type="#_x0000_t202" filled="false" stroked="false">
          <v:textbox inset="0,0,0,0">
            <w:txbxContent>
              <w:p>
                <w:pPr>
                  <w:pStyle w:val="BodyText"/>
                  <w:spacing w:line="214" w:lineRule="exact"/>
                  <w:ind w:left="20" w:right="0"/>
                  <w:jc w:val="left"/>
                </w:pPr>
                <w:r>
                  <w:rPr/>
                  <w:t>北京合纵科技股份有限公司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8090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780880" type="#_x0000_t202" filled="false" stroked="false">
          <v:textbox inset="0,0,0,0">
            <w:txbxContent>
              <w:p>
                <w:pPr>
                  <w:pStyle w:val="BodyText"/>
                  <w:spacing w:line="214" w:lineRule="exact"/>
                  <w:ind w:left="20" w:right="0"/>
                  <w:jc w:val="left"/>
                </w:pPr>
                <w:r>
                  <w:rPr/>
                  <w:t>北京合纵科技股份有限公司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780808" type="#_x0000_t202" filled="false" stroked="false">
          <v:textbox inset="0,0,0,0">
            <w:txbxContent>
              <w:p>
                <w:pPr>
                  <w:pStyle w:val="BodyText"/>
                  <w:spacing w:line="214" w:lineRule="exact"/>
                  <w:ind w:left="20" w:right="0"/>
                  <w:jc w:val="left"/>
                </w:pPr>
                <w:r>
                  <w:rPr/>
                  <w:t>北京合纵科技股份有限公司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8073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780712" type="#_x0000_t202" filled="false" stroked="false">
          <v:textbox inset="0,0,0,0">
            <w:txbxContent>
              <w:p>
                <w:pPr>
                  <w:pStyle w:val="BodyText"/>
                  <w:spacing w:line="214" w:lineRule="exact"/>
                  <w:ind w:left="20" w:right="0"/>
                  <w:jc w:val="left"/>
                </w:pPr>
                <w:r>
                  <w:rPr/>
                  <w:t>北京合纵科技股份有限公司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780640" type="#_x0000_t202" filled="false" stroked="false">
          <v:textbox inset="0,0,0,0">
            <w:txbxContent>
              <w:p>
                <w:pPr>
                  <w:pStyle w:val="BodyText"/>
                  <w:spacing w:line="214" w:lineRule="exact"/>
                  <w:ind w:left="20" w:right="0"/>
                  <w:jc w:val="left"/>
                </w:pPr>
                <w:r>
                  <w:rPr/>
                  <w:t>北京合纵科技股份有限公司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8056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780544" type="#_x0000_t202" filled="false" stroked="false">
          <v:textbox inset="0,0,0,0">
            <w:txbxContent>
              <w:p>
                <w:pPr>
                  <w:pStyle w:val="BodyText"/>
                  <w:spacing w:line="214" w:lineRule="exact"/>
                  <w:ind w:left="20" w:right="0"/>
                  <w:jc w:val="left"/>
                </w:pPr>
                <w:r>
                  <w:rPr/>
                  <w:t>北京合纵科技股份有限公司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1114"/>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Heading4" w:type="paragraph">
    <w:name w:val="Heading 4"/>
    <w:basedOn w:val="Normal"/>
    <w:uiPriority w:val="1"/>
    <w:qFormat/>
    <w:pPr>
      <w:spacing w:before="51"/>
      <w:ind w:left="1114"/>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hinahezong.com/" TargetMode="External"/><Relationship Id="rId10" Type="http://schemas.openxmlformats.org/officeDocument/2006/relationships/hyperlink" Target="mailto:fengzheng@chinahezong.com" TargetMode="External"/><Relationship Id="rId11" Type="http://schemas.openxmlformats.org/officeDocument/2006/relationships/hyperlink" Target="mailto:chendexiang@chinahezong.com"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20" Type="http://schemas.openxmlformats.org/officeDocument/2006/relationships/footer" Target="footer6.xml"/><Relationship Id="rId21" Type="http://schemas.openxmlformats.org/officeDocument/2006/relationships/image" Target="media/image4.jpeg"/><Relationship Id="rId22" Type="http://schemas.openxmlformats.org/officeDocument/2006/relationships/header" Target="header6.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header" Target="header8.xml"/><Relationship Id="rId28" Type="http://schemas.openxmlformats.org/officeDocument/2006/relationships/footer" Target="footer10.xml"/><Relationship Id="rId29" Type="http://schemas.openxmlformats.org/officeDocument/2006/relationships/image" Target="media/image3.png"/><Relationship Id="rId30" Type="http://schemas.openxmlformats.org/officeDocument/2006/relationships/footer" Target="footer11.xml"/><Relationship Id="rId31" Type="http://schemas.openxmlformats.org/officeDocument/2006/relationships/header" Target="header9.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header" Target="header10.xml"/><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header" Target="header11.xml"/><Relationship Id="rId38" Type="http://schemas.openxmlformats.org/officeDocument/2006/relationships/footer" Target="footer16.xml"/><Relationship Id="rId39" Type="http://schemas.openxmlformats.org/officeDocument/2006/relationships/footer" Target="footer17.xml"/><Relationship Id="rId40" Type="http://schemas.openxmlformats.org/officeDocument/2006/relationships/header" Target="header12.xml"/><Relationship Id="rId41" Type="http://schemas.openxmlformats.org/officeDocument/2006/relationships/footer" Target="footer18.xml"/><Relationship Id="rId42" Type="http://schemas.openxmlformats.org/officeDocument/2006/relationships/footer" Target="footer19.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北京合纵科技股份有限公司</dc:creator>
  <dc:title>北京合纵科技股份有限公司2015年年度报告全文</dc:title>
  <dcterms:created xsi:type="dcterms:W3CDTF">2020-05-04T17:07:02Z</dcterms:created>
  <dcterms:modified xsi:type="dcterms:W3CDTF">2020-05-04T17:07:02Z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2016-04-15T00:00:00Z</vt:filetime>
  </property>
  <property fmtid="{D5CDD505-2E9C-101B-9397-08002B2CF9AE}" pid="3" name="Creator">
    <vt:lpwstr>Microsoft® Office Word 2007</vt:lpwstr>
  </property>
  <property fmtid="{D5CDD505-2E9C-101B-9397-08002B2CF9AE}" pid="4" name="LastSaved">
    <vt:filetime>2020-05-04T00:00:00Z</vt:filetime>
  </property>
</Properties>
</file>