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990" w:lineRule="exact"/>
        <w:ind w:left="406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1152525" cy="6286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152525" cy="628650"/>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786" w:right="3763" w:firstLine="0"/>
        <w:jc w:val="center"/>
        <w:rPr>
          <w:rFonts w:ascii="宋体" w:hAnsi="宋体" w:cs="宋体" w:eastAsia="宋体" w:hint="default"/>
          <w:sz w:val="36"/>
          <w:szCs w:val="36"/>
        </w:rPr>
      </w:pPr>
      <w:r>
        <w:rPr>
          <w:rFonts w:ascii="宋体" w:hAnsi="宋体" w:cs="宋体" w:eastAsia="宋体" w:hint="default"/>
          <w:b/>
          <w:bCs/>
          <w:sz w:val="36"/>
          <w:szCs w:val="36"/>
        </w:rPr>
        <w:t>北京合纵科技股份有限公司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78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786"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048"/>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公司负责人刘泽刚、主管会计工作负责人韦强及会计机构负责人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张晓屹声明：保证年度报告中财务报告的真实、准确、完整。</w:t>
      </w:r>
      <w:r>
        <w:rPr>
          <w:rFonts w:ascii="宋体" w:hAnsi="宋体" w:cs="宋体" w:eastAsia="宋体" w:hint="default"/>
          <w:sz w:val="28"/>
          <w:szCs w:val="28"/>
        </w:rPr>
      </w:r>
    </w:p>
    <w:p>
      <w:pPr>
        <w:spacing w:line="472" w:lineRule="auto" w:before="147"/>
        <w:ind w:left="716" w:right="1048"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年报中涉及的未来经营计划是公司基于目前的行业、市场环境制定的公司</w:t>
      </w:r>
      <w:r>
        <w:rPr>
          <w:rFonts w:ascii="宋体" w:hAnsi="宋体" w:cs="宋体" w:eastAsia="宋体" w:hint="default"/>
          <w:spacing w:val="3"/>
          <w:sz w:val="28"/>
          <w:szCs w:val="28"/>
        </w:rPr>
      </w:r>
    </w:p>
    <w:p>
      <w:pPr>
        <w:spacing w:line="410" w:lineRule="auto" w:before="0"/>
        <w:ind w:left="154" w:right="1048"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战略发展规划及业绩预测，并不构成业绩承诺，敬请投资者保持足够的风险意  </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识。</w:t>
      </w:r>
      <w:r>
        <w:rPr>
          <w:rFonts w:ascii="宋体" w:hAnsi="宋体" w:cs="宋体" w:eastAsia="宋体" w:hint="default"/>
          <w:sz w:val="28"/>
          <w:szCs w:val="28"/>
        </w:rPr>
      </w:r>
    </w:p>
    <w:p>
      <w:pPr>
        <w:spacing w:before="158"/>
        <w:ind w:left="716" w:right="1048"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公司经本次董事会审议通过的利润分配预案为：以总股本</w:t>
      </w:r>
      <w:r>
        <w:rPr>
          <w:rFonts w:ascii="宋体" w:hAnsi="宋体" w:cs="宋体" w:eastAsia="宋体" w:hint="default"/>
          <w:b/>
          <w:bCs/>
          <w:spacing w:val="-107"/>
          <w:sz w:val="28"/>
          <w:szCs w:val="28"/>
        </w:rPr>
        <w:t> </w:t>
      </w:r>
      <w:r>
        <w:rPr>
          <w:rFonts w:ascii="Times New Roman" w:hAnsi="Times New Roman" w:cs="Times New Roman" w:eastAsia="Times New Roman" w:hint="default"/>
          <w:b/>
          <w:bCs/>
          <w:sz w:val="28"/>
          <w:szCs w:val="28"/>
        </w:rPr>
        <w:t>582,194,642</w:t>
      </w:r>
      <w:r>
        <w:rPr>
          <w:rFonts w:ascii="Times New Roman" w:hAnsi="Times New Roman" w:cs="Times New Roman" w:eastAsia="Times New Roman" w:hint="default"/>
          <w:b/>
          <w:bCs/>
          <w:spacing w:val="-39"/>
          <w:sz w:val="28"/>
          <w:szCs w:val="28"/>
        </w:rPr>
        <w:t> </w:t>
      </w:r>
      <w:r>
        <w:rPr>
          <w:rFonts w:ascii="宋体" w:hAnsi="宋体" w:cs="宋体" w:eastAsia="宋体" w:hint="default"/>
          <w:b/>
          <w:bCs/>
          <w:sz w:val="28"/>
          <w:szCs w:val="28"/>
        </w:rPr>
        <w:t>为基</w:t>
      </w:r>
      <w:r>
        <w:rPr>
          <w:rFonts w:ascii="宋体" w:hAnsi="宋体" w:cs="宋体" w:eastAsia="宋体" w:hint="default"/>
          <w:sz w:val="28"/>
          <w:szCs w:val="28"/>
        </w:rPr>
      </w:r>
    </w:p>
    <w:p>
      <w:pPr>
        <w:spacing w:before="236"/>
        <w:ind w:left="154" w:right="1048" w:firstLine="0"/>
        <w:jc w:val="left"/>
        <w:rPr>
          <w:rFonts w:ascii="宋体" w:hAnsi="宋体" w:cs="宋体" w:eastAsia="宋体" w:hint="default"/>
          <w:sz w:val="28"/>
          <w:szCs w:val="28"/>
        </w:rPr>
      </w:pPr>
      <w:r>
        <w:rPr>
          <w:rFonts w:ascii="宋体" w:hAnsi="宋体" w:cs="宋体" w:eastAsia="宋体" w:hint="default"/>
          <w:b/>
          <w:bCs/>
          <w:w w:val="99"/>
          <w:sz w:val="28"/>
          <w:szCs w:val="28"/>
        </w:rPr>
        <w:t>数</w:t>
      </w:r>
      <w:r>
        <w:rPr>
          <w:rFonts w:ascii="宋体" w:hAnsi="宋体" w:cs="宋体" w:eastAsia="宋体" w:hint="default"/>
          <w:b/>
          <w:bCs/>
          <w:spacing w:val="-25"/>
          <w:w w:val="99"/>
          <w:sz w:val="28"/>
          <w:szCs w:val="28"/>
        </w:rPr>
        <w:t>，</w:t>
      </w:r>
      <w:r>
        <w:rPr>
          <w:rFonts w:ascii="宋体" w:hAnsi="宋体" w:cs="宋体" w:eastAsia="宋体" w:hint="default"/>
          <w:b/>
          <w:bCs/>
          <w:w w:val="99"/>
          <w:sz w:val="28"/>
          <w:szCs w:val="28"/>
        </w:rPr>
        <w:t>向</w:t>
      </w:r>
      <w:r>
        <w:rPr>
          <w:rFonts w:ascii="宋体" w:hAnsi="宋体" w:cs="宋体" w:eastAsia="宋体" w:hint="default"/>
          <w:b/>
          <w:bCs/>
          <w:spacing w:val="2"/>
          <w:w w:val="99"/>
          <w:sz w:val="28"/>
          <w:szCs w:val="28"/>
        </w:rPr>
        <w:t>全</w:t>
      </w:r>
      <w:r>
        <w:rPr>
          <w:rFonts w:ascii="宋体" w:hAnsi="宋体" w:cs="宋体" w:eastAsia="宋体" w:hint="default"/>
          <w:b/>
          <w:bCs/>
          <w:w w:val="99"/>
          <w:sz w:val="28"/>
          <w:szCs w:val="28"/>
        </w:rPr>
        <w:t>体股东每</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0.20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25"/>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23"/>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25"/>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25"/>
          <w:w w:val="99"/>
          <w:sz w:val="28"/>
          <w:szCs w:val="28"/>
        </w:rPr>
        <w:t>，</w:t>
      </w:r>
      <w:r>
        <w:rPr>
          <w:rFonts w:ascii="宋体" w:hAnsi="宋体" w:cs="宋体" w:eastAsia="宋体" w:hint="default"/>
          <w:b/>
          <w:bCs/>
          <w:w w:val="99"/>
          <w:sz w:val="28"/>
          <w:szCs w:val="28"/>
        </w:rPr>
        <w:t>以</w:t>
      </w:r>
      <w:r>
        <w:rPr>
          <w:rFonts w:ascii="宋体" w:hAnsi="宋体" w:cs="宋体" w:eastAsia="宋体" w:hint="default"/>
          <w:sz w:val="28"/>
          <w:szCs w:val="28"/>
        </w:rPr>
      </w:r>
    </w:p>
    <w:p>
      <w:pPr>
        <w:spacing w:before="237"/>
        <w:ind w:left="154" w:right="1048" w:firstLine="0"/>
        <w:jc w:val="left"/>
        <w:rPr>
          <w:rFonts w:ascii="宋体" w:hAnsi="宋体" w:cs="宋体" w:eastAsia="宋体" w:hint="default"/>
          <w:sz w:val="28"/>
          <w:szCs w:val="28"/>
        </w:rPr>
      </w:pPr>
      <w:r>
        <w:rPr>
          <w:rFonts w:ascii="宋体" w:hAnsi="宋体" w:cs="宋体" w:eastAsia="宋体" w:hint="default"/>
          <w:b/>
          <w:bCs/>
          <w:sz w:val="28"/>
          <w:szCs w:val="28"/>
        </w:rPr>
        <w:t>资本公积金向全体股东每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5"/>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786"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163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2786" w:right="376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公司、合纵科技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公司总经理、副总经理、财务总监、董事会秘书</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合纵实科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北京合纵实科电力科技有限公司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天津合纵</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天津合纵电力设备有限公司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合纵科沃尔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北京合纵科沃尔电力科技有限公司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湖南雅城</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湖南雅城新材料有限公司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江苏鹏创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江苏鹏创电力设计有限公司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天津茂联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天津市茂联科技有限公司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主办券商、保荐机构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申万宏源证券承销保荐有限责任公司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1048"/>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48"/>
        <w:jc w:val="left"/>
        <w:rPr>
          <w:b w:val="0"/>
          <w:bCs w:val="0"/>
        </w:rPr>
      </w:pPr>
      <w:r>
        <w:rPr/>
        <w:pict>
          <v:group style="position:absolute;margin-left:172.339996pt;margin-top:114.735596pt;width:361.5pt;height:19.6pt;mso-position-horizontal-relative:page;mso-position-vertical-relative:paragraph;z-index:-969544"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合纵科技</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300477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合纵科技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Beijing    Hezong Science&amp;Technology  </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Hezong Science &amp;</w:t>
            </w:r>
            <w:r>
              <w:rPr>
                <w:rFonts w:ascii="Times New Roman"/>
                <w:spacing w:val="-21"/>
                <w:sz w:val="18"/>
              </w:rPr>
              <w:t> </w:t>
            </w:r>
            <w:r>
              <w:rPr>
                <w:rFonts w:ascii="Times New Roman"/>
                <w:sz w:val="18"/>
              </w:rPr>
              <w:t>Technology</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刘泽刚</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北京市海淀区上地三街</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号（嘉华大厦）</w:t>
            </w:r>
            <w:r>
              <w:rPr>
                <w:rFonts w:ascii="Times New Roman" w:hAnsi="Times New Roman" w:cs="Times New Roman" w:eastAsia="Times New Roman" w:hint="default"/>
                <w:sz w:val="18"/>
                <w:szCs w:val="18"/>
              </w:rPr>
              <w:t>D1211</w:t>
            </w:r>
            <w:r>
              <w:rPr>
                <w:rFonts w:ascii="宋体" w:hAnsi="宋体" w:cs="宋体" w:eastAsia="宋体" w:hint="default"/>
                <w:sz w:val="18"/>
                <w:szCs w:val="18"/>
              </w:rPr>
              <w:t>、</w:t>
            </w:r>
            <w:r>
              <w:rPr>
                <w:rFonts w:ascii="Times New Roman" w:hAnsi="Times New Roman" w:cs="Times New Roman" w:eastAsia="Times New Roman" w:hint="default"/>
                <w:sz w:val="18"/>
                <w:szCs w:val="18"/>
              </w:rPr>
              <w:t>1212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100085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北京市海淀区上地三街</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号（嘉华大厦）</w:t>
            </w:r>
            <w:r>
              <w:rPr>
                <w:rFonts w:ascii="Times New Roman" w:hAnsi="Times New Roman" w:cs="Times New Roman" w:eastAsia="Times New Roman" w:hint="default"/>
                <w:sz w:val="18"/>
                <w:szCs w:val="18"/>
              </w:rPr>
              <w:t>D1211</w:t>
            </w:r>
            <w:r>
              <w:rPr>
                <w:rFonts w:ascii="宋体" w:hAnsi="宋体" w:cs="宋体" w:eastAsia="宋体" w:hint="default"/>
                <w:sz w:val="18"/>
                <w:szCs w:val="18"/>
              </w:rPr>
              <w:t>、</w:t>
            </w:r>
            <w:r>
              <w:rPr>
                <w:rFonts w:ascii="Times New Roman" w:hAnsi="Times New Roman" w:cs="Times New Roman" w:eastAsia="Times New Roman" w:hint="default"/>
                <w:sz w:val="18"/>
                <w:szCs w:val="18"/>
              </w:rPr>
              <w:t>1212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100085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http://www.hezong-tech.com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fengzheng@chinahezong.com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048"/>
        <w:jc w:val="left"/>
        <w:rPr>
          <w:b w:val="0"/>
          <w:bCs w:val="0"/>
        </w:rPr>
      </w:pPr>
      <w:r>
        <w:rPr/>
        <w:pict>
          <v:group style="position:absolute;margin-left:377.079987pt;margin-top:74.475616pt;width:161.25pt;height:17.6pt;mso-position-horizontal-relative:page;mso-position-vertical-relative:paragraph;z-index:-969496" coordorigin="7542,1490" coordsize="3225,352">
            <v:group style="position:absolute;left:7542;top:1490;width:3135;height:352" coordorigin="7542,1490" coordsize="3135,352">
              <v:shape style="position:absolute;left:7542;top:1490;width:3135;height:352" coordorigin="7542,1490" coordsize="3135,352" path="m7542,1841l10676,1841,10676,1490,7542,1490,7542,1841xe" filled="true" fillcolor="#ffffff" stroked="false">
                <v:path arrowok="t"/>
                <v:fill type="solid"/>
              </v:shape>
              <v:shape style="position:absolute;left:10586;top:159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冯峥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陈德香</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9" w:space="0" w:color="FFFFFF"/>
            </w:tcBorders>
          </w:tcPr>
          <w:p>
            <w:pPr>
              <w:pStyle w:val="TableParagraph"/>
              <w:spacing w:line="240" w:lineRule="auto" w:before="51"/>
              <w:ind w:left="16" w:right="-39"/>
              <w:jc w:val="left"/>
              <w:rPr>
                <w:rFonts w:ascii="宋体" w:hAnsi="宋体" w:cs="宋体" w:eastAsia="宋体" w:hint="default"/>
                <w:sz w:val="18"/>
                <w:szCs w:val="18"/>
              </w:rPr>
            </w:pPr>
            <w:r>
              <w:rPr>
                <w:rFonts w:ascii="宋体" w:hAnsi="宋体" w:cs="宋体" w:eastAsia="宋体" w:hint="default"/>
                <w:sz w:val="18"/>
                <w:szCs w:val="18"/>
              </w:rPr>
              <w:t>北京市海淀区上地三街</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号（嘉华大厦）</w:t>
            </w:r>
            <w:r>
              <w:rPr>
                <w:rFonts w:ascii="宋体" w:hAnsi="宋体" w:cs="宋体" w:eastAsia="宋体" w:hint="default"/>
                <w:sz w:val="18"/>
                <w:szCs w:val="18"/>
              </w:rPr>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D1211</w:t>
            </w:r>
            <w:r>
              <w:rPr>
                <w:rFonts w:ascii="宋体" w:hAnsi="宋体" w:cs="宋体" w:eastAsia="宋体" w:hint="default"/>
                <w:sz w:val="18"/>
                <w:szCs w:val="18"/>
              </w:rPr>
              <w:t>、</w:t>
            </w:r>
            <w:r>
              <w:rPr>
                <w:rFonts w:ascii="Times New Roman" w:hAnsi="Times New Roman" w:cs="Times New Roman" w:eastAsia="Times New Roman" w:hint="default"/>
                <w:sz w:val="18"/>
                <w:szCs w:val="18"/>
              </w:rPr>
              <w:t>1212</w:t>
            </w:r>
          </w:p>
        </w:tc>
        <w:tc>
          <w:tcPr>
            <w:tcW w:w="3190" w:type="dxa"/>
            <w:tcBorders>
              <w:top w:val="single" w:sz="4" w:space="0" w:color="000000"/>
              <w:left w:val="single" w:sz="9" w:space="0" w:color="FFFFFF"/>
              <w:bottom w:val="nil" w:sz="6" w:space="0" w:color="auto"/>
              <w:right w:val="nil" w:sz="6" w:space="0" w:color="auto"/>
            </w:tcBorders>
          </w:tcPr>
          <w:p>
            <w:pP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9" w:space="0" w:color="FFFFFF"/>
            </w:tcBorders>
          </w:tcPr>
          <w:p>
            <w:pPr/>
          </w:p>
        </w:tc>
        <w:tc>
          <w:tcPr>
            <w:tcW w:w="3190" w:type="dxa"/>
            <w:vMerge w:val="restart"/>
            <w:tcBorders>
              <w:top w:val="nil" w:sz="6" w:space="0" w:color="auto"/>
              <w:left w:val="single" w:sz="9" w:space="0" w:color="FFFFFF"/>
              <w:right w:val="nil" w:sz="6" w:space="0" w:color="auto"/>
            </w:tcBorders>
          </w:tcPr>
          <w:p>
            <w:pPr>
              <w:pStyle w:val="TableParagraph"/>
              <w:spacing w:line="145" w:lineRule="exact"/>
              <w:ind w:left="16" w:right="0"/>
              <w:jc w:val="left"/>
              <w:rPr>
                <w:rFonts w:ascii="宋体" w:hAnsi="宋体" w:cs="宋体" w:eastAsia="宋体" w:hint="default"/>
                <w:sz w:val="18"/>
                <w:szCs w:val="18"/>
              </w:rPr>
            </w:pPr>
            <w:r>
              <w:rPr>
                <w:rFonts w:ascii="宋体" w:hAnsi="宋体" w:cs="宋体" w:eastAsia="宋体" w:hint="default"/>
                <w:sz w:val="18"/>
                <w:szCs w:val="18"/>
              </w:rPr>
              <w:t>北京市海淀区上地三街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pacing w:val="-3"/>
                <w:sz w:val="18"/>
                <w:szCs w:val="18"/>
              </w:rPr>
              <w:t>号（嘉华大厦</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D1211</w:t>
            </w:r>
            <w:r>
              <w:rPr>
                <w:rFonts w:ascii="宋体" w:hAnsi="宋体" w:cs="宋体" w:eastAsia="宋体" w:hint="default"/>
                <w:sz w:val="18"/>
                <w:szCs w:val="18"/>
              </w:rPr>
              <w:t>、</w:t>
            </w:r>
            <w:r>
              <w:rPr>
                <w:rFonts w:ascii="Times New Roman" w:hAnsi="Times New Roman" w:cs="Times New Roman" w:eastAsia="Times New Roman" w:hint="default"/>
                <w:sz w:val="18"/>
                <w:szCs w:val="18"/>
              </w:rPr>
              <w:t>1212</w:t>
            </w: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9" w:space="0" w:color="FFFFFF"/>
            </w:tcBorders>
          </w:tcPr>
          <w:p>
            <w:pPr/>
          </w:p>
        </w:tc>
        <w:tc>
          <w:tcPr>
            <w:tcW w:w="3190" w:type="dxa"/>
            <w:vMerge/>
            <w:tcBorders>
              <w:left w:val="single" w:sz="9" w:space="0" w:color="FFFFFF"/>
              <w:bottom w:val="single" w:sz="4" w:space="0" w:color="000000"/>
              <w:right w:val="nil" w:sz="6" w:space="0" w:color="auto"/>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010-62973188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010-62973188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010-62975911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010-62975911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fengzheng@chinahezong.com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chendexiang@chinahezong.com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048"/>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（巨潮资讯网）</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right="1048"/>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公司聘请的会计师事务所</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北京市海淀区车公庄西路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号外文文化创意园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莫伟、袁刚、迟文洲</w:t>
            </w:r>
          </w:p>
        </w:tc>
      </w:tr>
    </w:tbl>
    <w:p>
      <w:pPr>
        <w:pStyle w:val="BodyText"/>
        <w:spacing w:line="240" w:lineRule="auto" w:before="51"/>
        <w:ind w:right="1048"/>
        <w:jc w:val="left"/>
      </w:pPr>
      <w:r>
        <w:rPr/>
        <w:t>公司聘请的报告期内履行持续督导职责的保荐机构</w:t>
      </w:r>
    </w:p>
    <w:p>
      <w:pPr>
        <w:pStyle w:val="BodyText"/>
        <w:spacing w:line="240" w:lineRule="auto" w:before="117"/>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申万宏源证券承销保荐有限 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北京市西城区太平桥大街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崔勇、冯震宇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1048"/>
        <w:jc w:val="left"/>
      </w:pPr>
      <w:r>
        <w:rPr/>
        <w:t>公司聘请的报告期内履行持续督导职责的财务顾问</w:t>
      </w:r>
    </w:p>
    <w:p>
      <w:pPr>
        <w:pStyle w:val="BodyText"/>
        <w:spacing w:line="240" w:lineRule="auto" w:before="116"/>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东方花旗证券有限公司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上海市中山南路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罗红雨、刘铮宇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实施之日开始</w:t>
            </w:r>
            <w:r>
              <w:rPr>
                <w:rFonts w:ascii="Times New Roman" w:hAnsi="Times New Roman" w:cs="Times New Roman" w:eastAsia="Times New Roman" w:hint="default"/>
                <w:sz w:val="18"/>
                <w:szCs w:val="18"/>
              </w:rPr>
              <w:t>-</w:t>
            </w:r>
            <w:r>
              <w:rPr>
                <w:rFonts w:ascii="宋体" w:hAnsi="宋体" w:cs="宋体" w:eastAsia="宋体" w:hint="default"/>
                <w:sz w:val="18"/>
                <w:szCs w:val="18"/>
              </w:rPr>
              <w:t>重大资产实施 且持续督导履行完毕之日结 束</w:t>
            </w:r>
          </w:p>
        </w:tc>
      </w:tr>
    </w:tbl>
    <w:p>
      <w:pPr>
        <w:spacing w:line="240" w:lineRule="auto" w:before="2"/>
        <w:rPr>
          <w:rFonts w:ascii="宋体" w:hAnsi="宋体" w:cs="宋体" w:eastAsia="宋体" w:hint="default"/>
          <w:sz w:val="18"/>
          <w:szCs w:val="18"/>
        </w:rPr>
      </w:pPr>
    </w:p>
    <w:p>
      <w:pPr>
        <w:pStyle w:val="Heading2"/>
        <w:spacing w:line="240" w:lineRule="auto" w:before="26"/>
        <w:ind w:right="1048"/>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公司是否需追溯调整或重述以前年度会计数据</w:t>
      </w:r>
    </w:p>
    <w:p>
      <w:pPr>
        <w:pStyle w:val="BodyText"/>
        <w:spacing w:line="240" w:lineRule="auto" w:before="116"/>
        <w:ind w:right="104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2,007,514,867.20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2,109,345,874.22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1,261,973,945.44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51,043,523.98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131,255,188.67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-61.11%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87,793,742.23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37,019,224.43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121,950,661.58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85,207,022.29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-181,883,238.44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89,140,724.11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-304.04%</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42,357,286.99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4,680,417,719.65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3,950,761,472.44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2,008,776,689.48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1,939,990,558.00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1,922,838,099.64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879,046,451.16</w:t>
            </w:r>
          </w:p>
        </w:tc>
      </w:tr>
    </w:tbl>
    <w:p>
      <w:pPr>
        <w:spacing w:line="240" w:lineRule="auto" w:before="2"/>
        <w:rPr>
          <w:rFonts w:ascii="宋体" w:hAnsi="宋体" w:cs="宋体" w:eastAsia="宋体" w:hint="default"/>
          <w:sz w:val="18"/>
          <w:szCs w:val="18"/>
        </w:rPr>
      </w:pPr>
    </w:p>
    <w:p>
      <w:pPr>
        <w:pStyle w:val="Heading2"/>
        <w:spacing w:line="240" w:lineRule="auto" w:before="26"/>
        <w:ind w:right="1048"/>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365,599,675.77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664,929,585.68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524,700,682.30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452,284,923.45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5,016,576.70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53,745,517.76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22,426,318.73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-30,144,889.21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1,720,079.70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51,214,821.85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20,136,037.63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-36,051,714.75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-147,917,215.52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2,796,935.60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-149,010,542.80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112,247,584.28</w:t>
            </w:r>
          </w:p>
        </w:tc>
      </w:tr>
    </w:tbl>
    <w:p>
      <w:pPr>
        <w:pStyle w:val="BodyText"/>
        <w:spacing w:line="240" w:lineRule="auto" w:before="51"/>
        <w:ind w:right="1048"/>
        <w:jc w:val="left"/>
      </w:pPr>
      <w:r>
        <w:rPr/>
        <w:t>上述财务指标或其加总数是否与公司已披露季度报告、半年度报告相关财务指标存在重大差异</w:t>
      </w:r>
    </w:p>
    <w:p>
      <w:pPr>
        <w:pStyle w:val="BodyText"/>
        <w:spacing w:line="240" w:lineRule="auto" w:before="117"/>
        <w:ind w:right="104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1048"/>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8"/>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22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1048"/>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5"/>
        <w:rPr>
          <w:rFonts w:ascii="宋体" w:hAnsi="宋体" w:cs="宋体" w:eastAsia="宋体" w:hint="default"/>
          <w:sz w:val="19"/>
          <w:szCs w:val="19"/>
        </w:rPr>
      </w:pPr>
    </w:p>
    <w:p>
      <w:pPr>
        <w:pStyle w:val="Heading2"/>
        <w:spacing w:line="240" w:lineRule="auto"/>
        <w:ind w:right="1048"/>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-158,266.37</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-49,289.87</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-404,329.50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14,664,647.94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9,931,926.74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2,684,824.05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1,981,592.81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11,201.56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1,074,012.65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1,194,751.61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2,474,876.39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1,646,497.43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601,819.48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5,625.00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286,706.74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14,024,299.55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9,304,527.09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2,586,719.94</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48"/>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048"/>
        <w:jc w:val="left"/>
      </w:pPr>
      <w:r>
        <w:rPr>
          <w:rFonts w:ascii="Times New Roman" w:hAnsi="Times New Roman" w:cs="Times New Roman" w:eastAsia="Times New Roman" w:hint="default"/>
        </w:rPr>
        <w:t>□  </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048"/>
        <w:jc w:val="left"/>
        <w:rPr>
          <w:b w:val="0"/>
          <w:bCs w:val="0"/>
        </w:rPr>
      </w:pPr>
      <w:bookmarkStart w:name="_TOC_250009"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48"/>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spacing w:line="316" w:lineRule="auto" w:before="25"/>
        <w:ind w:left="514" w:right="1048" w:firstLine="0"/>
        <w:jc w:val="left"/>
        <w:rPr>
          <w:rFonts w:ascii="宋体" w:hAnsi="宋体" w:cs="宋体" w:eastAsia="宋体" w:hint="default"/>
          <w:sz w:val="18"/>
          <w:szCs w:val="18"/>
        </w:rPr>
      </w:pPr>
      <w:r>
        <w:rPr>
          <w:rFonts w:ascii="宋体" w:hAnsi="宋体" w:cs="宋体" w:eastAsia="宋体" w:hint="default"/>
          <w:b/>
          <w:bCs/>
          <w:sz w:val="18"/>
          <w:szCs w:val="18"/>
        </w:rPr>
        <w:t>（一）公司的经营范围和主营业务</w:t>
      </w:r>
      <w:r>
        <w:rPr>
          <w:rFonts w:ascii="宋体" w:hAnsi="宋体" w:cs="宋体" w:eastAsia="宋体" w:hint="default"/>
          <w:b/>
          <w:bCs/>
          <w:w w:val="99"/>
          <w:sz w:val="18"/>
          <w:szCs w:val="18"/>
        </w:rPr>
        <w:t> </w:t>
      </w:r>
      <w:r>
        <w:rPr>
          <w:rFonts w:ascii="宋体" w:hAnsi="宋体" w:cs="宋体" w:eastAsia="宋体" w:hint="default"/>
          <w:spacing w:val="-2"/>
          <w:sz w:val="18"/>
          <w:szCs w:val="18"/>
        </w:rPr>
        <w:t>公司是从事配电及控制设备制造及相关技术服务的高科技企业。公司的主营业务是：面向国内电力网络、市政建设、铁</w:t>
      </w:r>
    </w:p>
    <w:p>
      <w:pPr>
        <w:pStyle w:val="BodyText"/>
        <w:spacing w:line="316" w:lineRule="auto" w:before="19"/>
        <w:ind w:right="1129"/>
        <w:jc w:val="both"/>
      </w:pPr>
      <w:r>
        <w:rPr>
          <w:spacing w:val="-2"/>
        </w:rPr>
        <w:t>路、城市轨道交通等诸多领域，生产和销售户外中高压配电和控制设备，产品主要包括环网柜、箱式变电站、柱上开关、变</w:t>
      </w:r>
      <w:r>
        <w:rPr>
          <w:spacing w:val="-67"/>
        </w:rPr>
        <w:t> </w:t>
      </w:r>
      <w:r>
        <w:rPr>
          <w:spacing w:val="-67"/>
        </w:rPr>
      </w:r>
      <w:r>
        <w:rPr/>
        <w:t>压器、电缆附件、其他开关等；</w:t>
      </w:r>
    </w:p>
    <w:p>
      <w:pPr>
        <w:pStyle w:val="BodyText"/>
        <w:spacing w:line="312" w:lineRule="auto" w:before="19"/>
        <w:ind w:right="1131" w:firstLine="360"/>
        <w:jc w:val="both"/>
      </w:pPr>
      <w:r>
        <w:rPr/>
        <w:t>公司致力打造</w:t>
      </w:r>
      <w:r>
        <w:rPr>
          <w:rFonts w:ascii="Times New Roman" w:hAnsi="Times New Roman" w:cs="Times New Roman" w:eastAsia="Times New Roman" w:hint="default"/>
        </w:rPr>
        <w:t>“</w:t>
      </w:r>
      <w:r>
        <w:rPr/>
        <w:t>设计咨询</w:t>
      </w:r>
      <w:r>
        <w:rPr>
          <w:rFonts w:ascii="Times New Roman" w:hAnsi="Times New Roman" w:cs="Times New Roman" w:eastAsia="Times New Roman" w:hint="default"/>
        </w:rPr>
        <w:t>+</w:t>
      </w:r>
      <w:r>
        <w:rPr/>
        <w:t>工程总包</w:t>
      </w:r>
      <w:r>
        <w:rPr>
          <w:rFonts w:ascii="Times New Roman" w:hAnsi="Times New Roman" w:cs="Times New Roman" w:eastAsia="Times New Roman" w:hint="default"/>
        </w:rPr>
        <w:t>+</w:t>
      </w:r>
      <w:r>
        <w:rPr/>
        <w:t>设备制造</w:t>
      </w:r>
      <w:r>
        <w:rPr>
          <w:rFonts w:ascii="Times New Roman" w:hAnsi="Times New Roman" w:cs="Times New Roman" w:eastAsia="Times New Roman" w:hint="default"/>
        </w:rPr>
        <w:t>+</w:t>
      </w:r>
      <w:r>
        <w:rPr/>
        <w:t>运维服务</w:t>
      </w:r>
      <w:r>
        <w:rPr>
          <w:rFonts w:ascii="Times New Roman" w:hAnsi="Times New Roman" w:cs="Times New Roman" w:eastAsia="Times New Roman" w:hint="default"/>
        </w:rPr>
        <w:t>+</w:t>
      </w:r>
      <w:r>
        <w:rPr/>
        <w:t>配售电</w:t>
      </w:r>
      <w:r>
        <w:rPr>
          <w:rFonts w:ascii="Times New Roman" w:hAnsi="Times New Roman" w:cs="Times New Roman" w:eastAsia="Times New Roman" w:hint="default"/>
        </w:rPr>
        <w:t>”</w:t>
      </w:r>
      <w:r>
        <w:rPr/>
        <w:t>的配电全产业生态链，成为优秀的配电领域综合服务 </w:t>
      </w:r>
      <w:r>
        <w:rPr>
          <w:spacing w:val="-2"/>
        </w:rPr>
        <w:t>商：全资子公司江苏鹏创电力设计公司主营电力工程设计、咨询等设计业务；全资子公司天津合纵电力设备有限公司拥有电</w:t>
      </w:r>
      <w:r>
        <w:rPr>
          <w:spacing w:val="-66"/>
        </w:rPr>
        <w:t> </w:t>
      </w:r>
      <w:r>
        <w:rPr>
          <w:spacing w:val="-66"/>
        </w:rPr>
      </w:r>
      <w:r>
        <w:rPr>
          <w:spacing w:val="-2"/>
        </w:rPr>
        <w:t>力工程总包及施工资质，承揽电力工程建设、运维等业务，擅长变配电工程、工矿企事业配电工程及其他通用及特殊用电工</w:t>
      </w:r>
      <w:r>
        <w:rPr>
          <w:spacing w:val="-66"/>
        </w:rPr>
        <w:t> </w:t>
      </w:r>
      <w:r>
        <w:rPr>
          <w:spacing w:val="-66"/>
        </w:rPr>
      </w:r>
      <w:r>
        <w:rPr/>
        <w:t>程；公司通过投资配售电产业基金，积极参与增量配售电业务。</w:t>
      </w:r>
    </w:p>
    <w:p>
      <w:pPr>
        <w:pStyle w:val="BodyText"/>
        <w:spacing w:line="316" w:lineRule="auto" w:before="22"/>
        <w:ind w:right="1131" w:firstLine="360"/>
        <w:jc w:val="both"/>
      </w:pPr>
      <w:r>
        <w:rPr>
          <w:color w:val="0D0D0D"/>
          <w:spacing w:val="-2"/>
        </w:rPr>
        <w:t>公司全资子公司湖南雅城新材料有限公司</w:t>
      </w:r>
      <w:r>
        <w:rPr>
          <w:spacing w:val="-2"/>
        </w:rPr>
        <w:t>的主营业务为锂电池正极材料前驱体的研发、制造和销售，主要产品包括四氧</w:t>
      </w:r>
      <w:r>
        <w:rPr/>
        <w:t> 化三钴、氢氧化亚钴、磷酸铁等。</w:t>
      </w:r>
    </w:p>
    <w:p>
      <w:pPr>
        <w:spacing w:line="316" w:lineRule="auto" w:before="19"/>
        <w:ind w:left="514" w:right="8404" w:firstLine="0"/>
        <w:jc w:val="left"/>
        <w:rPr>
          <w:rFonts w:ascii="宋体" w:hAnsi="宋体" w:cs="宋体" w:eastAsia="宋体" w:hint="default"/>
          <w:sz w:val="18"/>
          <w:szCs w:val="18"/>
        </w:rPr>
      </w:pPr>
      <w:r>
        <w:rPr>
          <w:rFonts w:ascii="宋体" w:hAnsi="宋体" w:cs="宋体" w:eastAsia="宋体" w:hint="default"/>
          <w:b/>
          <w:bCs/>
          <w:sz w:val="18"/>
          <w:szCs w:val="18"/>
        </w:rPr>
        <w:t>（二）公司主要经营模式</w:t>
      </w:r>
      <w:r>
        <w:rPr>
          <w:rFonts w:ascii="宋体" w:hAnsi="宋体" w:cs="宋体" w:eastAsia="宋体" w:hint="default"/>
          <w:b/>
          <w:bCs/>
          <w:w w:val="99"/>
          <w:sz w:val="18"/>
          <w:szCs w:val="18"/>
        </w:rPr>
        <w:t> </w:t>
      </w:r>
      <w:r>
        <w:rPr>
          <w:rFonts w:ascii="宋体" w:hAnsi="宋体" w:cs="宋体" w:eastAsia="宋体" w:hint="default"/>
          <w:b/>
          <w:bCs/>
          <w:sz w:val="18"/>
          <w:szCs w:val="18"/>
        </w:rPr>
        <w:t>电力板块：</w:t>
      </w:r>
      <w:r>
        <w:rPr>
          <w:rFonts w:ascii="宋体" w:hAnsi="宋体" w:cs="宋体" w:eastAsia="宋体" w:hint="default"/>
          <w:sz w:val="18"/>
          <w:szCs w:val="18"/>
        </w:rPr>
      </w:r>
    </w:p>
    <w:p>
      <w:pPr>
        <w:pStyle w:val="BodyText"/>
        <w:spacing w:line="300" w:lineRule="auto" w:before="19"/>
        <w:ind w:left="514" w:right="1032"/>
        <w:jc w:val="left"/>
      </w:pPr>
      <w:r>
        <w:rPr>
          <w:rFonts w:ascii="Times New Roman" w:hAnsi="Times New Roman" w:cs="Times New Roman" w:eastAsia="Times New Roman" w:hint="default"/>
        </w:rPr>
        <w:t>1</w:t>
      </w:r>
      <w:r>
        <w:rPr/>
        <w:t>、盈利模式 </w:t>
      </w:r>
      <w:r>
        <w:rPr>
          <w:spacing w:val="-4"/>
        </w:rPr>
        <w:t>公司通过设计、制造并销售自主知识产权的电力配电设备及相关系统，满足电力用户的生产需要，从而获得收入和利润；</w:t>
      </w:r>
    </w:p>
    <w:p>
      <w:pPr>
        <w:pStyle w:val="BodyText"/>
        <w:spacing w:line="316" w:lineRule="auto" w:before="31"/>
        <w:ind w:left="514" w:right="1048" w:hanging="360"/>
        <w:jc w:val="left"/>
      </w:pPr>
      <w:r>
        <w:rPr/>
        <w:t>公司还通过承接电力设计项目和总包工程获得收入和利润。 </w:t>
      </w:r>
      <w:r>
        <w:rPr>
          <w:spacing w:val="-2"/>
        </w:rPr>
        <w:t>公司的产品需要按照客户的实际需求，进行有针对性的设计开发，并按照公司的技术标准进行物料的采购和产品的组装</w:t>
      </w:r>
    </w:p>
    <w:p>
      <w:pPr>
        <w:pStyle w:val="BodyText"/>
        <w:spacing w:line="240" w:lineRule="auto" w:before="19"/>
        <w:ind w:right="1048"/>
        <w:jc w:val="left"/>
      </w:pPr>
      <w:r>
        <w:rPr/>
        <w:t>及总装，经过严格的性能测试后，成为合格产品</w:t>
      </w:r>
    </w:p>
    <w:p>
      <w:pPr>
        <w:pStyle w:val="BodyText"/>
        <w:spacing w:line="300" w:lineRule="auto" w:before="76"/>
        <w:ind w:left="514" w:right="1048"/>
        <w:jc w:val="left"/>
      </w:pPr>
      <w:r>
        <w:rPr>
          <w:rFonts w:ascii="Times New Roman" w:hAnsi="Times New Roman" w:cs="Times New Roman" w:eastAsia="Times New Roman" w:hint="default"/>
        </w:rPr>
        <w:t>2</w:t>
      </w:r>
      <w:r>
        <w:rPr/>
        <w:t>、采购模式 </w:t>
      </w:r>
      <w:r>
        <w:rPr>
          <w:spacing w:val="-2"/>
        </w:rPr>
        <w:t>公司在产品生产过程中所需要的主要原材料和零部件由公司采购部遵循供应商目录管理及质量标准规定，按订单要求进</w:t>
      </w:r>
    </w:p>
    <w:p>
      <w:pPr>
        <w:pStyle w:val="BodyText"/>
        <w:spacing w:line="316" w:lineRule="auto" w:before="31"/>
        <w:ind w:left="514" w:right="1032" w:hanging="360"/>
        <w:jc w:val="left"/>
      </w:pPr>
      <w:r>
        <w:rPr/>
        <w:t>行采购，其他少量可备货的通用件如螺栓螺母、电气元件的采购由采购部库房依据安全库存的情况直接进行采购。 公司对主要原、辅材料的供应商采用目录管理，每种物料一般固定两家供应商，供应商需要经过资质评审、样品试用、</w:t>
      </w:r>
    </w:p>
    <w:p>
      <w:pPr>
        <w:pStyle w:val="BodyText"/>
        <w:spacing w:line="316" w:lineRule="auto" w:before="19"/>
        <w:ind w:right="1131"/>
        <w:jc w:val="both"/>
      </w:pPr>
      <w:r>
        <w:rPr>
          <w:spacing w:val="-2"/>
        </w:rPr>
        <w:t>小批量试用、内部评审、商务谈判等环节，符合公司要求才能够进入供应商目录。对产品关键性能影响较大的原材料和辅助</w:t>
      </w:r>
      <w:r>
        <w:rPr>
          <w:spacing w:val="-66"/>
        </w:rPr>
        <w:t> </w:t>
      </w:r>
      <w:r>
        <w:rPr>
          <w:spacing w:val="-66"/>
        </w:rPr>
      </w:r>
      <w:r>
        <w:rPr/>
        <w:t>材料的供应商必须经过公司现场实地考察。公司选用的供应商基本都是业内规模较大、从业时间较长的企业。</w:t>
      </w:r>
    </w:p>
    <w:p>
      <w:pPr>
        <w:pStyle w:val="BodyText"/>
        <w:spacing w:line="240" w:lineRule="auto" w:before="19"/>
        <w:ind w:left="514" w:right="1048"/>
        <w:jc w:val="left"/>
      </w:pPr>
      <w:r>
        <w:rPr/>
        <w:t>目前，公司已经形成了较为稳定的原材料供货渠道，与主要供应商建立了长期良好的合作关系。</w:t>
      </w:r>
    </w:p>
    <w:p>
      <w:pPr>
        <w:pStyle w:val="BodyText"/>
        <w:spacing w:line="300" w:lineRule="auto" w:before="76"/>
        <w:ind w:left="514" w:right="1048"/>
        <w:jc w:val="left"/>
      </w:pPr>
      <w:r>
        <w:rPr>
          <w:rFonts w:ascii="Times New Roman" w:hAnsi="Times New Roman" w:cs="Times New Roman" w:eastAsia="Times New Roman" w:hint="default"/>
        </w:rPr>
        <w:t>3</w:t>
      </w:r>
      <w:r>
        <w:rPr/>
        <w:t>、生产模式 </w:t>
      </w:r>
      <w:r>
        <w:rPr>
          <w:spacing w:val="-2"/>
        </w:rPr>
        <w:t>公司通过招投标的方式获得业务订单，在接到客户订单，签订购货合同后，安排生产。但是为了满足市场日益紧迫的交</w:t>
      </w:r>
    </w:p>
    <w:p>
      <w:pPr>
        <w:pStyle w:val="BodyText"/>
        <w:spacing w:line="316" w:lineRule="auto" w:before="31"/>
        <w:ind w:left="514" w:right="1048" w:hanging="360"/>
        <w:jc w:val="left"/>
      </w:pPr>
      <w:r>
        <w:rPr/>
        <w:t>货期限，对部分半成品（例如负荷开关本体）采用备货方式，按计划生产。 </w:t>
      </w:r>
      <w:r>
        <w:rPr>
          <w:spacing w:val="-2"/>
        </w:rPr>
        <w:t>由于客户区域差别及建设水平差异较大，对产品的需求存在差异性，公司的产品在一定程度上需要按照客户的要求进行</w:t>
      </w:r>
    </w:p>
    <w:p>
      <w:pPr>
        <w:pStyle w:val="BodyText"/>
        <w:spacing w:line="316" w:lineRule="auto" w:before="19"/>
        <w:ind w:right="1131"/>
        <w:jc w:val="both"/>
      </w:pPr>
      <w:r>
        <w:rPr>
          <w:spacing w:val="-2"/>
        </w:rPr>
        <w:t>制造，因此生产环节主要包括产品设计、原材料（包括零部件）采购加工、装配调试、质量检验、包装运输，其中产品设计</w:t>
      </w:r>
      <w:r>
        <w:rPr>
          <w:spacing w:val="-67"/>
        </w:rPr>
        <w:t> </w:t>
      </w:r>
      <w:r>
        <w:rPr>
          <w:spacing w:val="-67"/>
        </w:rPr>
      </w:r>
      <w:r>
        <w:rPr>
          <w:spacing w:val="-2"/>
        </w:rPr>
        <w:t>环节是最为核心的环节。公司掌握了中高压开关、复合绝缘、压力容器以及户外箱体设计方面的核心技术，因此能够充分按</w:t>
      </w:r>
      <w:r>
        <w:rPr>
          <w:spacing w:val="-66"/>
        </w:rPr>
        <w:t> </w:t>
      </w:r>
      <w:r>
        <w:rPr>
          <w:spacing w:val="-66"/>
        </w:rPr>
      </w:r>
      <w:r>
        <w:rPr/>
        <w:t>照客户的需求，提供较为完善的整体解决方案。</w:t>
      </w:r>
    </w:p>
    <w:p>
      <w:pPr>
        <w:pStyle w:val="BodyText"/>
        <w:spacing w:line="316" w:lineRule="auto" w:before="19"/>
        <w:ind w:right="1133" w:firstLine="360"/>
        <w:jc w:val="both"/>
      </w:pPr>
      <w:r>
        <w:rPr>
          <w:spacing w:val="-2"/>
        </w:rPr>
        <w:t>在原材料（包括零部件）采购加工、装配调试环节，公司主要采取对核心元、部件自制加工、再进行组装的方式，但受</w:t>
      </w:r>
      <w:r>
        <w:rPr/>
        <w:t> </w:t>
      </w:r>
      <w:r>
        <w:rPr>
          <w:spacing w:val="-2"/>
        </w:rPr>
        <w:t>限于公司的生产规模、设备水平，需要精密设备加工的部件，公司采用定制采购的方式。公司产品装配调试完成、通过公司</w:t>
      </w:r>
      <w:r>
        <w:rPr>
          <w:spacing w:val="-66"/>
        </w:rPr>
        <w:t> </w:t>
      </w:r>
      <w:r>
        <w:rPr>
          <w:spacing w:val="-66"/>
        </w:rPr>
      </w:r>
      <w:r>
        <w:rPr/>
        <w:t>的质量检验之后即包装运输至客户指定地点。</w:t>
      </w:r>
    </w:p>
    <w:p>
      <w:pPr>
        <w:pStyle w:val="BodyText"/>
        <w:spacing w:line="300" w:lineRule="auto" w:before="19"/>
        <w:ind w:left="514" w:right="1048"/>
        <w:jc w:val="left"/>
      </w:pPr>
      <w:r>
        <w:rPr>
          <w:rFonts w:ascii="Times New Roman" w:hAnsi="Times New Roman" w:cs="Times New Roman" w:eastAsia="Times New Roman" w:hint="default"/>
        </w:rPr>
        <w:t>4</w:t>
      </w:r>
      <w:r>
        <w:rPr/>
        <w:t>、销售模式 公司主要通过参加行业或用户组织的招投标的方式获得合同，销售采取直销方式。公司的营销系统分为营销总部</w:t>
      </w:r>
      <w:r>
        <w:rPr>
          <w:rFonts w:ascii="Times New Roman" w:hAnsi="Times New Roman" w:cs="Times New Roman" w:eastAsia="Times New Roman" w:hint="default"/>
        </w:rPr>
        <w:t>/</w:t>
      </w:r>
      <w:r>
        <w:rPr/>
        <w:t>国际</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4" w:right="0" w:hanging="360"/>
        <w:jc w:val="left"/>
      </w:pPr>
      <w:r>
        <w:rPr/>
        <w:t>贸易部</w:t>
      </w:r>
      <w:r>
        <w:rPr>
          <w:rFonts w:ascii="Times New Roman" w:hAnsi="Times New Roman" w:cs="Times New Roman" w:eastAsia="Times New Roman" w:hint="default"/>
        </w:rPr>
        <w:t>/EPC</w:t>
      </w:r>
      <w:r>
        <w:rPr/>
        <w:t>事业部</w:t>
      </w:r>
      <w:r>
        <w:rPr>
          <w:rFonts w:ascii="Times New Roman" w:hAnsi="Times New Roman" w:cs="Times New Roman" w:eastAsia="Times New Roman" w:hint="default"/>
        </w:rPr>
        <w:t>/</w:t>
      </w:r>
      <w:r>
        <w:rPr/>
        <w:t>营销服务中心等五个主要部分。 </w:t>
      </w:r>
      <w:r>
        <w:rPr>
          <w:spacing w:val="-4"/>
        </w:rPr>
        <w:t>营销总部主要负责电力市场销售合同的签订和货款回笼。营销总部包括七个销售大区，分别是华北区、华中区、华南区、</w:t>
      </w:r>
    </w:p>
    <w:p>
      <w:pPr>
        <w:pStyle w:val="BodyText"/>
        <w:spacing w:line="312" w:lineRule="auto" w:before="31"/>
        <w:ind w:right="1130"/>
        <w:jc w:val="both"/>
      </w:pPr>
      <w:r>
        <w:rPr>
          <w:spacing w:val="-2"/>
        </w:rPr>
        <w:t>华东区、东北区、西南区和西北区。公司采用大区经理、省区经理、销售工程师三级业务管理模式，由公司营销总部统一部</w:t>
      </w:r>
      <w:r>
        <w:rPr>
          <w:spacing w:val="-67"/>
        </w:rPr>
        <w:t> </w:t>
      </w:r>
      <w:r>
        <w:rPr>
          <w:spacing w:val="-67"/>
        </w:rPr>
      </w:r>
      <w:r>
        <w:rPr>
          <w:spacing w:val="-2"/>
        </w:rPr>
        <w:t>署业务开拓和市场营销工作，在各大区、省区，强调团队之间的协同合作，避免个别业务人员各自为战；国际部负责公司国</w:t>
      </w:r>
      <w:r>
        <w:rPr>
          <w:spacing w:val="-66"/>
        </w:rPr>
        <w:t> </w:t>
      </w:r>
      <w:r>
        <w:rPr>
          <w:spacing w:val="-66"/>
        </w:rPr>
      </w:r>
      <w:r>
        <w:rPr/>
        <w:t>际业务；</w:t>
      </w:r>
      <w:r>
        <w:rPr>
          <w:rFonts w:ascii="Times New Roman" w:hAnsi="Times New Roman" w:cs="Times New Roman" w:eastAsia="Times New Roman" w:hint="default"/>
        </w:rPr>
        <w:t>EPC</w:t>
      </w:r>
      <w:r>
        <w:rPr/>
        <w:t>事业部主要负责国省网</w:t>
      </w:r>
      <w:r>
        <w:rPr>
          <w:rFonts w:ascii="Times New Roman" w:hAnsi="Times New Roman" w:cs="Times New Roman" w:eastAsia="Times New Roman" w:hint="default"/>
        </w:rPr>
        <w:t>/</w:t>
      </w:r>
      <w:r>
        <w:rPr/>
        <w:t>用户电力工程、配售电项目、综合能源项目等业务；营销服务中心部主要负责市场营</w:t>
      </w:r>
      <w:r>
        <w:rPr>
          <w:spacing w:val="-27"/>
        </w:rPr>
        <w:t> </w:t>
      </w:r>
      <w:r>
        <w:rPr>
          <w:spacing w:val="-27"/>
        </w:rPr>
      </w:r>
      <w:r>
        <w:rPr/>
        <w:t>销、售前商务支持（包括投标文件的制作、报价等）和技术支持（包括了解客户技术要求以及初步技术方案的确定）。</w:t>
      </w:r>
    </w:p>
    <w:p>
      <w:pPr>
        <w:pStyle w:val="BodyText"/>
        <w:spacing w:line="316" w:lineRule="auto" w:before="22"/>
        <w:ind w:right="1132" w:firstLine="360"/>
        <w:jc w:val="both"/>
      </w:pPr>
      <w:r>
        <w:rPr>
          <w:spacing w:val="-2"/>
        </w:rPr>
        <w:t>公司电力配电设备产品在生产完工并接到客户发货通知后发货，在客户指定场所由客户组织验收。公司一般为客户提供</w:t>
      </w:r>
      <w:r>
        <w:rPr/>
        <w:t> </w:t>
      </w:r>
      <w:r>
        <w:rPr>
          <w:spacing w:val="-2"/>
        </w:rPr>
        <w:t>一年的售后跟踪服务。对于环网柜、箱式变电站、高低压成套开关等产品，需要安装调试的，安装调试完成并经客户验收合</w:t>
      </w:r>
      <w:r>
        <w:rPr>
          <w:spacing w:val="-66"/>
        </w:rPr>
        <w:t> </w:t>
      </w:r>
      <w:r>
        <w:rPr>
          <w:spacing w:val="-66"/>
        </w:rPr>
      </w:r>
      <w:r>
        <w:rPr>
          <w:spacing w:val="-2"/>
        </w:rPr>
        <w:t>格后确认收入；不需要安装调试的，经客户开箱验收合格后确认收入。对于电缆附件、故障指示器等小件产品，公司在向购</w:t>
      </w:r>
      <w:r>
        <w:rPr>
          <w:spacing w:val="-66"/>
        </w:rPr>
        <w:t> </w:t>
      </w:r>
      <w:r>
        <w:rPr>
          <w:spacing w:val="-66"/>
        </w:rPr>
      </w:r>
      <w:r>
        <w:rPr/>
        <w:t>货方发出该类产品并收取价款或者取得收取价款的凭证后确认收入。</w:t>
      </w:r>
    </w:p>
    <w:p>
      <w:pPr>
        <w:pStyle w:val="BodyText"/>
        <w:spacing w:line="316" w:lineRule="auto" w:before="19"/>
        <w:ind w:right="1132" w:firstLine="360"/>
        <w:jc w:val="both"/>
      </w:pPr>
      <w:r>
        <w:rPr>
          <w:spacing w:val="-2"/>
        </w:rPr>
        <w:t>公司设计咨询业务主要为电力工程设计服务，提交符合委托方要求的电力设计施工图。结合电力工程设计行业的行业特</w:t>
      </w:r>
      <w:r>
        <w:rPr/>
        <w:t> </w:t>
      </w:r>
      <w:r>
        <w:rPr>
          <w:spacing w:val="-2"/>
        </w:rPr>
        <w:t>性本公司的收入确认原则具体如下：设计工作完成提交委托方电力设计施工图，经委托方验收并出具签收单后，确认该项目</w:t>
      </w:r>
      <w:r>
        <w:rPr>
          <w:spacing w:val="-66"/>
        </w:rPr>
        <w:t> </w:t>
      </w:r>
      <w:r>
        <w:rPr>
          <w:spacing w:val="-66"/>
        </w:rPr>
      </w:r>
      <w:r>
        <w:rPr/>
        <w:t>完工，本公司财务据此确认收入。</w:t>
      </w:r>
    </w:p>
    <w:p>
      <w:pPr>
        <w:spacing w:before="19"/>
        <w:ind w:left="514" w:right="1048" w:firstLine="0"/>
        <w:jc w:val="left"/>
        <w:rPr>
          <w:rFonts w:ascii="宋体" w:hAnsi="宋体" w:cs="宋体" w:eastAsia="宋体" w:hint="default"/>
          <w:sz w:val="18"/>
          <w:szCs w:val="18"/>
        </w:rPr>
      </w:pPr>
      <w:r>
        <w:rPr>
          <w:rFonts w:ascii="宋体" w:hAnsi="宋体" w:cs="宋体" w:eastAsia="宋体" w:hint="default"/>
          <w:b/>
          <w:bCs/>
          <w:sz w:val="18"/>
          <w:szCs w:val="18"/>
        </w:rPr>
        <w:t>新能源材料板块：</w:t>
      </w:r>
      <w:r>
        <w:rPr>
          <w:rFonts w:ascii="宋体" w:hAnsi="宋体" w:cs="宋体" w:eastAsia="宋体" w:hint="default"/>
          <w:sz w:val="18"/>
          <w:szCs w:val="18"/>
        </w:rPr>
      </w:r>
    </w:p>
    <w:p>
      <w:pPr>
        <w:pStyle w:val="BodyText"/>
        <w:spacing w:line="300" w:lineRule="auto" w:before="76"/>
        <w:ind w:left="514" w:right="1048"/>
        <w:jc w:val="left"/>
      </w:pPr>
      <w:r>
        <w:rPr>
          <w:rFonts w:ascii="Times New Roman" w:hAnsi="Times New Roman" w:cs="Times New Roman" w:eastAsia="Times New Roman" w:hint="default"/>
        </w:rPr>
        <w:t>1</w:t>
      </w:r>
      <w:r>
        <w:rPr/>
        <w:t>、采购模式 </w:t>
      </w:r>
      <w:r>
        <w:rPr>
          <w:spacing w:val="-2"/>
        </w:rPr>
        <w:t>根据采购原材料用量的不同，湖南雅城的采购工作分为主料采购和辅料采购，不同的采购内容由不同部门执行，各部门</w:t>
      </w:r>
    </w:p>
    <w:p>
      <w:pPr>
        <w:pStyle w:val="BodyText"/>
        <w:spacing w:line="316" w:lineRule="auto" w:before="31"/>
        <w:ind w:left="514" w:right="1048" w:hanging="360"/>
        <w:jc w:val="left"/>
      </w:pPr>
      <w:r>
        <w:rPr/>
        <w:t>为保证采购原料品质，制定了严格的采购制度。其中主料的采购由市场部负责，辅料的采购工作由生产部门负责。 </w:t>
      </w:r>
      <w:r>
        <w:rPr>
          <w:spacing w:val="-2"/>
        </w:rPr>
        <w:t>主料采购方面，市场部根据生产部提供的原材料需求计划编制年度采购计划和月度采购计划，一般按照月度进行主要原</w:t>
      </w:r>
    </w:p>
    <w:p>
      <w:pPr>
        <w:pStyle w:val="BodyText"/>
        <w:spacing w:line="316" w:lineRule="auto" w:before="19"/>
        <w:ind w:right="1130"/>
        <w:jc w:val="both"/>
      </w:pPr>
      <w:r>
        <w:rPr>
          <w:spacing w:val="-2"/>
        </w:rPr>
        <w:t>材料的采购，严格控制原料库存数量。市场部派专人向供应商进行询价，通过对比供应商提供产品的质量、价格等因素，选</w:t>
      </w:r>
      <w:r>
        <w:rPr>
          <w:spacing w:val="-66"/>
        </w:rPr>
        <w:t> </w:t>
      </w:r>
      <w:r>
        <w:rPr>
          <w:spacing w:val="-66"/>
        </w:rPr>
      </w:r>
      <w:r>
        <w:rPr>
          <w:spacing w:val="-2"/>
        </w:rPr>
        <w:t>定优质供应商，与供应商签订采购合同，约定产品型号、产品规格、产品价格、交货时间等相关细节。湖南雅城收到原材料</w:t>
      </w:r>
      <w:r>
        <w:rPr>
          <w:spacing w:val="-67"/>
        </w:rPr>
        <w:t> </w:t>
      </w:r>
      <w:r>
        <w:rPr>
          <w:spacing w:val="-67"/>
        </w:rPr>
      </w:r>
      <w:r>
        <w:rPr>
          <w:spacing w:val="-2"/>
        </w:rPr>
        <w:t>后，由品质部对原材料取样并检测，生产部领料生产时与品质部确认原材料是否满足生产需求，做到对原材料质量的严格把</w:t>
      </w:r>
      <w:r>
        <w:rPr>
          <w:spacing w:val="-66"/>
        </w:rPr>
        <w:t> </w:t>
      </w:r>
      <w:r>
        <w:rPr>
          <w:spacing w:val="-66"/>
        </w:rPr>
      </w:r>
      <w:r>
        <w:rPr/>
        <w:t>控。</w:t>
      </w:r>
    </w:p>
    <w:p>
      <w:pPr>
        <w:pStyle w:val="BodyText"/>
        <w:spacing w:line="316" w:lineRule="auto" w:before="19"/>
        <w:ind w:right="1032" w:firstLine="360"/>
        <w:jc w:val="left"/>
      </w:pPr>
      <w:r>
        <w:rPr/>
        <w:t>辅料采购方面，由生产部门派专人直接根据生产需求进行采购。湖南雅城生产所需辅料用量在原材料采购占比中较小， </w:t>
      </w:r>
      <w:r>
        <w:rPr>
          <w:spacing w:val="-2"/>
        </w:rPr>
        <w:t>生产部门根据自身生产需求进行采购，能够根据产品订单需求和辅料市场价格做出即时反应，简化采购流程，提高效率。湖</w:t>
      </w:r>
      <w:r>
        <w:rPr>
          <w:spacing w:val="-66"/>
        </w:rPr>
        <w:t> </w:t>
      </w:r>
      <w:r>
        <w:rPr>
          <w:spacing w:val="-66"/>
        </w:rPr>
      </w:r>
      <w:r>
        <w:rPr/>
        <w:t>南雅城收到辅料后，由品质部对原材料取样检测并确认其是否满足生产需求，做到对原材料质量的严格把控。</w:t>
      </w:r>
    </w:p>
    <w:p>
      <w:pPr>
        <w:pStyle w:val="BodyText"/>
        <w:spacing w:line="300" w:lineRule="auto" w:before="19"/>
        <w:ind w:left="514" w:right="1048"/>
        <w:jc w:val="left"/>
      </w:pPr>
      <w:r>
        <w:rPr>
          <w:rFonts w:ascii="Times New Roman" w:hAnsi="Times New Roman" w:cs="Times New Roman" w:eastAsia="Times New Roman" w:hint="default"/>
        </w:rPr>
        <w:t>2</w:t>
      </w:r>
      <w:r>
        <w:rPr/>
        <w:t>、销售模式 </w:t>
      </w:r>
      <w:r>
        <w:rPr>
          <w:spacing w:val="-2"/>
        </w:rPr>
        <w:t>湖南雅城主要客户为下游锂电池及锂电池正极材料企业。湖南雅城通过参与行业展会与论坛、广告宣传、互联网搜索推</w:t>
      </w:r>
    </w:p>
    <w:p>
      <w:pPr>
        <w:pStyle w:val="BodyText"/>
        <w:spacing w:line="316" w:lineRule="auto" w:before="31"/>
        <w:ind w:left="514" w:right="1048" w:hanging="360"/>
        <w:jc w:val="left"/>
      </w:pPr>
      <w:r>
        <w:rPr/>
        <w:t>广和与目标客户直接沟通等多种方式进行市场推广。 </w:t>
      </w:r>
      <w:r>
        <w:rPr>
          <w:spacing w:val="-2"/>
        </w:rPr>
        <w:t>湖南雅城是中国有色金属工业协会钴业分会的理事单位，通过参加协会举办的锂电池正极材料等相关会议和会展，获得</w:t>
      </w:r>
    </w:p>
    <w:p>
      <w:pPr>
        <w:pStyle w:val="BodyText"/>
        <w:spacing w:line="316" w:lineRule="auto" w:before="19"/>
        <w:ind w:right="1032"/>
        <w:jc w:val="left"/>
        <w:rPr>
          <w:rFonts w:ascii="Times New Roman" w:hAnsi="Times New Roman" w:cs="Times New Roman" w:eastAsia="Times New Roman" w:hint="default"/>
        </w:rPr>
      </w:pPr>
      <w:r>
        <w:rPr/>
        <w:t>与同行业企业面对面交流的机会，吸引更多客户对湖南雅城产品深入了解；湖南雅城营销人员还通过平面宣传、广告宣传、 </w:t>
      </w:r>
      <w:r>
        <w:rPr>
          <w:spacing w:val="-2"/>
        </w:rPr>
        <w:t>主动与目标客户沟通宣传等方式进行市场推广；湖南雅城还尝试通过网络进行营销，如通过亚洲金属网、安泰科等钴类材料</w:t>
      </w:r>
      <w:r>
        <w:rPr>
          <w:spacing w:val="-66"/>
        </w:rPr>
        <w:t> </w:t>
      </w:r>
      <w:r>
        <w:rPr>
          <w:spacing w:val="-66"/>
        </w:rPr>
      </w:r>
      <w:r>
        <w:rPr/>
        <w:t>官方网站进行意向接洽</w:t>
      </w:r>
      <w:r>
        <w:rPr>
          <w:rFonts w:ascii="Times New Roman" w:hAnsi="Times New Roman" w:cs="Times New Roman" w:eastAsia="Times New Roman" w:hint="default"/>
        </w:rPr>
        <w:t>.</w:t>
      </w:r>
    </w:p>
    <w:p>
      <w:pPr>
        <w:pStyle w:val="BodyText"/>
        <w:spacing w:line="316" w:lineRule="auto"/>
        <w:ind w:right="1133" w:firstLine="360"/>
        <w:jc w:val="both"/>
      </w:pPr>
      <w:r>
        <w:rPr>
          <w:spacing w:val="-2"/>
        </w:rPr>
        <w:t>通过以上方式锁定目标客户后，经过小试、中试、批量试验等品质认证过程，并与目标客户进行商务谈判，签订正式销</w:t>
      </w:r>
      <w:r>
        <w:rPr/>
        <w:t> 售协议后安排生产供货。</w:t>
      </w:r>
    </w:p>
    <w:p>
      <w:pPr>
        <w:pStyle w:val="BodyText"/>
        <w:spacing w:line="309" w:lineRule="auto" w:before="19"/>
        <w:ind w:left="514" w:right="2652"/>
        <w:jc w:val="left"/>
      </w:pPr>
      <w:r>
        <w:rPr>
          <w:rFonts w:ascii="Times New Roman" w:hAnsi="Times New Roman" w:cs="Times New Roman" w:eastAsia="Times New Roman" w:hint="default"/>
        </w:rPr>
        <w:t>3</w:t>
      </w:r>
      <w:r>
        <w:rPr/>
        <w:t>、生产模式 湖南雅城主要根据客户订单及市场需求预测来安排生产，经品质部检验合格后根据合同约定交货。 </w:t>
      </w:r>
      <w:r>
        <w:rPr>
          <w:rFonts w:ascii="Times New Roman" w:hAnsi="Times New Roman" w:cs="Times New Roman" w:eastAsia="Times New Roman" w:hint="default"/>
        </w:rPr>
        <w:t>4</w:t>
      </w:r>
      <w:r>
        <w:rPr/>
        <w:t>、盈利模式</w:t>
      </w:r>
    </w:p>
    <w:p>
      <w:pPr>
        <w:pStyle w:val="BodyText"/>
        <w:spacing w:line="316" w:lineRule="auto" w:before="5"/>
        <w:ind w:right="1133" w:firstLine="360"/>
        <w:jc w:val="both"/>
      </w:pPr>
      <w:r>
        <w:rPr>
          <w:spacing w:val="-2"/>
        </w:rPr>
        <w:t>湖南雅城主要通过研发、生产和销售具有稳定性能的四氧化三钴、氢氧化亚钴、磷酸铁等锂电池正极材料前驱体系列产</w:t>
      </w:r>
      <w:r>
        <w:rPr/>
        <w:t> 品实现盈利。</w:t>
      </w:r>
    </w:p>
    <w:p>
      <w:pPr>
        <w:pStyle w:val="BodyText"/>
        <w:spacing w:line="300" w:lineRule="auto" w:before="19"/>
        <w:ind w:left="514" w:right="3372"/>
        <w:jc w:val="left"/>
      </w:pPr>
      <w:r>
        <w:rPr>
          <w:rFonts w:ascii="Times New Roman" w:hAnsi="Times New Roman" w:cs="Times New Roman" w:eastAsia="Times New Roman" w:hint="default"/>
        </w:rPr>
        <w:t>5</w:t>
      </w:r>
      <w:r>
        <w:rPr/>
        <w:t>、结算模式 湖南雅城业务收入来源以锂电池正极材料前驱体的销售为主，主要采用月度结算的模式。</w:t>
      </w:r>
    </w:p>
    <w:p>
      <w:pPr>
        <w:spacing w:line="316" w:lineRule="auto" w:before="31"/>
        <w:ind w:left="514" w:right="7501" w:firstLine="0"/>
        <w:jc w:val="left"/>
        <w:rPr>
          <w:rFonts w:ascii="宋体" w:hAnsi="宋体" w:cs="宋体" w:eastAsia="宋体" w:hint="default"/>
          <w:sz w:val="18"/>
          <w:szCs w:val="18"/>
        </w:rPr>
      </w:pPr>
      <w:r>
        <w:rPr>
          <w:rFonts w:ascii="宋体" w:hAnsi="宋体" w:cs="宋体" w:eastAsia="宋体" w:hint="default"/>
          <w:b/>
          <w:bCs/>
          <w:sz w:val="18"/>
          <w:szCs w:val="18"/>
        </w:rPr>
        <w:t>（三）报告期内主要的业绩驱动因素</w:t>
      </w:r>
      <w:r>
        <w:rPr>
          <w:rFonts w:ascii="宋体" w:hAnsi="宋体" w:cs="宋体" w:eastAsia="宋体" w:hint="default"/>
          <w:b/>
          <w:bCs/>
          <w:w w:val="99"/>
          <w:sz w:val="18"/>
          <w:szCs w:val="18"/>
        </w:rPr>
        <w:t> </w:t>
      </w:r>
      <w:r>
        <w:rPr>
          <w:rFonts w:ascii="宋体" w:hAnsi="宋体" w:cs="宋体" w:eastAsia="宋体" w:hint="default"/>
          <w:b/>
          <w:bCs/>
          <w:sz w:val="18"/>
          <w:szCs w:val="18"/>
        </w:rPr>
        <w:t>电力板块：</w:t>
      </w:r>
      <w:r>
        <w:rPr>
          <w:rFonts w:ascii="宋体" w:hAnsi="宋体" w:cs="宋体" w:eastAsia="宋体" w:hint="default"/>
          <w:sz w:val="18"/>
          <w:szCs w:val="18"/>
        </w:rPr>
      </w:r>
    </w:p>
    <w:p>
      <w:pPr>
        <w:pStyle w:val="BodyText"/>
        <w:spacing w:line="240" w:lineRule="auto" w:before="19"/>
        <w:ind w:left="514" w:right="1048"/>
        <w:jc w:val="left"/>
      </w:pPr>
      <w:r>
        <w:rPr>
          <w:rFonts w:ascii="Times New Roman" w:hAnsi="Times New Roman" w:cs="Times New Roman" w:eastAsia="Times New Roman" w:hint="default"/>
        </w:rPr>
        <w:t>1</w:t>
      </w:r>
      <w:r>
        <w:rPr/>
        <w:t>、行业宏观投资规划</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月，国家能源局发布了《配电网建设改造行动计划（</w:t>
      </w:r>
      <w:r>
        <w:rPr>
          <w:rFonts w:ascii="Times New Roman" w:hAnsi="Times New Roman" w:cs="Times New Roman" w:eastAsia="Times New Roman" w:hint="default"/>
        </w:rPr>
        <w:t>2015~2020</w:t>
      </w:r>
      <w:r>
        <w:rPr/>
        <w:t>年）》，明确了未来</w:t>
      </w:r>
      <w:r>
        <w:rPr>
          <w:rFonts w:ascii="Times New Roman" w:hAnsi="Times New Roman" w:cs="Times New Roman" w:eastAsia="Times New Roman" w:hint="default"/>
        </w:rPr>
        <w:t>5</w:t>
      </w:r>
      <w:r>
        <w:rPr/>
        <w:t>年内我国配电网的建设投 资不少于</w:t>
      </w:r>
      <w:r>
        <w:rPr>
          <w:rFonts w:ascii="Times New Roman" w:hAnsi="Times New Roman" w:cs="Times New Roman" w:eastAsia="Times New Roman" w:hint="default"/>
        </w:rPr>
        <w:t>2</w:t>
      </w:r>
      <w:r>
        <w:rPr/>
        <w:t>万亿元，这一规划的出台，比较有力地推动了本行业的业务增长；从细分市场看，农村电网的相关设备增长明显</w:t>
      </w:r>
      <w:r>
        <w:rPr>
          <w:spacing w:val="-83"/>
        </w:rPr>
        <w:t> </w:t>
      </w:r>
      <w:r>
        <w:rPr>
          <w:spacing w:val="-83"/>
        </w:rPr>
      </w:r>
      <w:r>
        <w:rPr>
          <w:spacing w:val="-2"/>
        </w:rPr>
        <w:t>高于其他市场，这与国家发改委《关于</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期间实施新一轮农村电网改造升级工程的意见》提出的十三五期间，农村电</w:t>
      </w:r>
      <w:r>
        <w:rPr>
          <w:spacing w:val="-44"/>
        </w:rPr>
        <w:t> </w:t>
      </w:r>
      <w:r>
        <w:rPr>
          <w:spacing w:val="-44"/>
        </w:rPr>
      </w:r>
      <w:r>
        <w:rPr/>
        <w:t>网投资将达到</w:t>
      </w:r>
      <w:r>
        <w:rPr>
          <w:rFonts w:ascii="Times New Roman" w:hAnsi="Times New Roman" w:cs="Times New Roman" w:eastAsia="Times New Roman" w:hint="default"/>
        </w:rPr>
        <w:t>7000</w:t>
      </w:r>
      <w:r>
        <w:rPr/>
        <w:t>亿元相印证，可以预计，在未来</w:t>
      </w:r>
      <w:r>
        <w:rPr>
          <w:rFonts w:ascii="Times New Roman" w:hAnsi="Times New Roman" w:cs="Times New Roman" w:eastAsia="Times New Roman" w:hint="default"/>
        </w:rPr>
        <w:t>3</w:t>
      </w:r>
      <w:r>
        <w:rPr/>
        <w:t>年内，变压器、柱上开关、低压配电柜等产品将是公司业务保持增长的</w:t>
      </w:r>
      <w:r>
        <w:rPr>
          <w:spacing w:val="-83"/>
        </w:rPr>
        <w:t> </w:t>
      </w:r>
      <w:r>
        <w:rPr>
          <w:spacing w:val="-83"/>
        </w:rPr>
      </w:r>
      <w:r>
        <w:rPr/>
        <w:t>一个主要动力来源。</w:t>
      </w:r>
    </w:p>
    <w:p>
      <w:pPr>
        <w:pStyle w:val="BodyText"/>
        <w:spacing w:line="300" w:lineRule="auto" w:before="31"/>
        <w:ind w:right="1131" w:firstLine="360"/>
        <w:jc w:val="both"/>
      </w:pPr>
      <w:r>
        <w:rPr>
          <w:spacing w:val="-1"/>
        </w:rPr>
        <w:t>国家电网</w:t>
      </w:r>
      <w:r>
        <w:rPr>
          <w:rFonts w:ascii="Times New Roman" w:hAnsi="Times New Roman" w:cs="Times New Roman" w:eastAsia="Times New Roman" w:hint="default"/>
          <w:spacing w:val="-1"/>
        </w:rPr>
        <w:t>2018</w:t>
      </w:r>
      <w:r>
        <w:rPr>
          <w:spacing w:val="-1"/>
        </w:rPr>
        <w:t>年全年电网投资</w:t>
      </w:r>
      <w:r>
        <w:rPr>
          <w:rFonts w:ascii="Times New Roman" w:hAnsi="Times New Roman" w:cs="Times New Roman" w:eastAsia="Times New Roman" w:hint="default"/>
          <w:spacing w:val="-1"/>
        </w:rPr>
        <w:t>4889.40</w:t>
      </w:r>
      <w:r>
        <w:rPr>
          <w:spacing w:val="-1"/>
        </w:rPr>
        <w:t>亿元，同比增加</w:t>
      </w:r>
      <w:r>
        <w:rPr>
          <w:rFonts w:ascii="Times New Roman" w:hAnsi="Times New Roman" w:cs="Times New Roman" w:eastAsia="Times New Roman" w:hint="default"/>
          <w:spacing w:val="-1"/>
        </w:rPr>
        <w:t>0.74%</w:t>
      </w:r>
      <w:r>
        <w:rPr>
          <w:spacing w:val="-1"/>
        </w:rPr>
        <w:t>，近三年电网投资趋于平稳；完成农网投资</w:t>
      </w:r>
      <w:r>
        <w:rPr>
          <w:rFonts w:ascii="Times New Roman" w:hAnsi="Times New Roman" w:cs="Times New Roman" w:eastAsia="Times New Roman" w:hint="default"/>
          <w:spacing w:val="-1"/>
        </w:rPr>
        <w:t>1495</w:t>
      </w:r>
      <w:r>
        <w:rPr>
          <w:spacing w:val="-1"/>
        </w:rPr>
        <w:t>亿元，同比</w:t>
      </w:r>
      <w:r>
        <w:rPr/>
        <w:t> 增加</w:t>
      </w:r>
      <w:r>
        <w:rPr>
          <w:rFonts w:ascii="Times New Roman" w:hAnsi="Times New Roman" w:cs="Times New Roman" w:eastAsia="Times New Roman" w:hint="default"/>
        </w:rPr>
        <w:t>1.42%</w:t>
      </w:r>
      <w:r>
        <w:rPr/>
        <w:t>，规划未来三年农网投资</w:t>
      </w:r>
      <w:r>
        <w:rPr>
          <w:rFonts w:ascii="Times New Roman" w:hAnsi="Times New Roman" w:cs="Times New Roman" w:eastAsia="Times New Roman" w:hint="default"/>
        </w:rPr>
        <w:t>3300</w:t>
      </w:r>
      <w:r>
        <w:rPr/>
        <w:t>亿元。</w:t>
      </w:r>
      <w:r>
        <w:rPr>
          <w:rFonts w:ascii="Times New Roman" w:hAnsi="Times New Roman" w:cs="Times New Roman" w:eastAsia="Times New Roman" w:hint="default"/>
        </w:rPr>
        <w:t>2019</w:t>
      </w:r>
      <w:r>
        <w:rPr/>
        <w:t>年国家电网规划电网投资</w:t>
      </w:r>
      <w:r>
        <w:rPr>
          <w:rFonts w:ascii="Times New Roman" w:hAnsi="Times New Roman" w:cs="Times New Roman" w:eastAsia="Times New Roman" w:hint="default"/>
        </w:rPr>
        <w:t>5126</w:t>
      </w:r>
      <w:r>
        <w:rPr/>
        <w:t>亿元。</w:t>
      </w:r>
    </w:p>
    <w:p>
      <w:pPr>
        <w:pStyle w:val="BodyText"/>
        <w:spacing w:line="240" w:lineRule="auto" w:before="13"/>
        <w:ind w:left="514" w:right="1048"/>
        <w:jc w:val="left"/>
      </w:pPr>
      <w:r>
        <w:rPr>
          <w:rFonts w:ascii="Times New Roman" w:hAnsi="Times New Roman" w:cs="Times New Roman" w:eastAsia="Times New Roman" w:hint="default"/>
        </w:rPr>
        <w:t>2</w:t>
      </w:r>
      <w:r>
        <w:rPr/>
        <w:t>、电力体制的进一步改革</w:t>
      </w:r>
    </w:p>
    <w:p>
      <w:pPr>
        <w:pStyle w:val="BodyText"/>
        <w:spacing w:line="312" w:lineRule="auto" w:before="63"/>
        <w:ind w:right="0"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月，中共中央、国务院发布《关于进一步深化电力体制改革的若干意见》（中发</w:t>
      </w:r>
      <w:r>
        <w:rPr>
          <w:rFonts w:ascii="Times New Roman" w:hAnsi="Times New Roman" w:cs="Times New Roman" w:eastAsia="Times New Roman" w:hint="default"/>
        </w:rPr>
        <w:t>[2015]9</w:t>
      </w:r>
      <w:r>
        <w:rPr/>
        <w:t>号），新电改方案的出 台意味着新一轮电力体制改革大幕的拉开。新一轮电力体制改革方案以</w:t>
      </w:r>
      <w:r>
        <w:rPr>
          <w:rFonts w:ascii="Times New Roman" w:hAnsi="Times New Roman" w:cs="Times New Roman" w:eastAsia="Times New Roman" w:hint="default"/>
        </w:rPr>
        <w:t>“</w:t>
      </w:r>
      <w:r>
        <w:rPr/>
        <w:t>三放开、一独立、三强化</w:t>
      </w:r>
      <w:r>
        <w:rPr>
          <w:rFonts w:ascii="Times New Roman" w:hAnsi="Times New Roman" w:cs="Times New Roman" w:eastAsia="Times New Roman" w:hint="default"/>
        </w:rPr>
        <w:t>”</w:t>
      </w:r>
      <w:r>
        <w:rPr/>
        <w:t>总体框架构建新电力市场 </w:t>
      </w:r>
      <w:r>
        <w:rPr>
          <w:spacing w:val="-4"/>
        </w:rPr>
        <w:t>体系，有序放开输配以外的竞争性环节电价，有序向社会资本开放配售电业务，有序放开公益性和调节性以外的发用电计划；</w:t>
      </w:r>
      <w:r>
        <w:rPr>
          <w:spacing w:val="-44"/>
        </w:rPr>
        <w:t> </w:t>
      </w:r>
      <w:r>
        <w:rPr>
          <w:spacing w:val="-44"/>
        </w:rPr>
      </w:r>
      <w:r>
        <w:rPr>
          <w:spacing w:val="-2"/>
        </w:rPr>
        <w:t>推进交易机构相对独立，规范运行；继续深化对区域电网建设和适合我国国情的输配体制研究；进一步强化政府监管，进一</w:t>
      </w:r>
      <w:r>
        <w:rPr>
          <w:spacing w:val="-66"/>
        </w:rPr>
        <w:t> </w:t>
      </w:r>
      <w:r>
        <w:rPr>
          <w:spacing w:val="-66"/>
        </w:rPr>
      </w:r>
      <w:r>
        <w:rPr>
          <w:spacing w:val="-2"/>
        </w:rPr>
        <w:t>步强化电力统筹规划，进一步强化电力安全高效运行和可靠供应。我们认为，有序向社会资本开放配售电业务，是未来公司</w:t>
      </w:r>
      <w:r>
        <w:rPr>
          <w:spacing w:val="-66"/>
        </w:rPr>
        <w:t> </w:t>
      </w:r>
      <w:r>
        <w:rPr>
          <w:spacing w:val="-66"/>
        </w:rPr>
      </w:r>
      <w:r>
        <w:rPr/>
        <w:t>快速发展的历史性机遇。</w:t>
      </w:r>
    </w:p>
    <w:p>
      <w:pPr>
        <w:spacing w:before="22"/>
        <w:ind w:left="514" w:right="1048" w:firstLine="0"/>
        <w:jc w:val="left"/>
        <w:rPr>
          <w:rFonts w:ascii="宋体" w:hAnsi="宋体" w:cs="宋体" w:eastAsia="宋体" w:hint="default"/>
          <w:sz w:val="18"/>
          <w:szCs w:val="18"/>
        </w:rPr>
      </w:pPr>
      <w:r>
        <w:rPr>
          <w:rFonts w:ascii="宋体" w:hAnsi="宋体" w:cs="宋体" w:eastAsia="宋体" w:hint="default"/>
          <w:b/>
          <w:bCs/>
          <w:sz w:val="18"/>
          <w:szCs w:val="18"/>
        </w:rPr>
        <w:t>新能源材料板块：</w:t>
      </w:r>
      <w:r>
        <w:rPr>
          <w:rFonts w:ascii="宋体" w:hAnsi="宋体" w:cs="宋体" w:eastAsia="宋体" w:hint="default"/>
          <w:sz w:val="18"/>
          <w:szCs w:val="18"/>
        </w:rPr>
      </w:r>
    </w:p>
    <w:p>
      <w:pPr>
        <w:pStyle w:val="BodyText"/>
        <w:spacing w:line="340" w:lineRule="auto" w:before="76"/>
        <w:ind w:left="514" w:right="1048"/>
        <w:jc w:val="left"/>
      </w:pPr>
      <w:r>
        <w:rPr>
          <w:rFonts w:ascii="Times New Roman" w:hAnsi="Times New Roman" w:cs="Times New Roman" w:eastAsia="Times New Roman" w:hint="default"/>
        </w:rPr>
        <w:t>1</w:t>
      </w:r>
      <w:r>
        <w:rPr/>
        <w:t>、新能源汽车发展的需求 </w:t>
      </w:r>
      <w:r>
        <w:rPr>
          <w:spacing w:val="-6"/>
        </w:rPr>
        <w:t>据中汽协数据显示，</w:t>
      </w:r>
      <w:r>
        <w:rPr>
          <w:rFonts w:ascii="Times New Roman" w:hAnsi="Times New Roman" w:cs="Times New Roman" w:eastAsia="Times New Roman" w:hint="default"/>
          <w:spacing w:val="-6"/>
        </w:rPr>
        <w:t>2018</w:t>
      </w:r>
      <w:r>
        <w:rPr>
          <w:spacing w:val="-6"/>
        </w:rPr>
        <w:t>年，新能源汽车产销分别完成</w:t>
      </w:r>
      <w:r>
        <w:rPr>
          <w:rFonts w:ascii="Times New Roman" w:hAnsi="Times New Roman" w:cs="Times New Roman" w:eastAsia="Times New Roman" w:hint="default"/>
          <w:spacing w:val="-6"/>
        </w:rPr>
        <w:t>127</w:t>
      </w:r>
      <w:r>
        <w:rPr>
          <w:spacing w:val="-6"/>
        </w:rPr>
        <w:t>万辆和</w:t>
      </w:r>
      <w:r>
        <w:rPr>
          <w:rFonts w:ascii="Times New Roman" w:hAnsi="Times New Roman" w:cs="Times New Roman" w:eastAsia="Times New Roman" w:hint="default"/>
          <w:spacing w:val="-6"/>
        </w:rPr>
        <w:t>125.6</w:t>
      </w:r>
      <w:r>
        <w:rPr>
          <w:spacing w:val="-6"/>
        </w:rPr>
        <w:t>万辆（图一），比上年同期分别增长</w:t>
      </w:r>
      <w:r>
        <w:rPr>
          <w:rFonts w:ascii="Times New Roman" w:hAnsi="Times New Roman" w:cs="Times New Roman" w:eastAsia="Times New Roman" w:hint="default"/>
          <w:spacing w:val="-6"/>
        </w:rPr>
        <w:t>59.9%</w:t>
      </w:r>
      <w:r>
        <w:rPr>
          <w:spacing w:val="-6"/>
        </w:rPr>
        <w:t>和</w:t>
      </w:r>
      <w:r>
        <w:rPr>
          <w:rFonts w:ascii="Times New Roman" w:hAnsi="Times New Roman" w:cs="Times New Roman" w:eastAsia="Times New Roman" w:hint="default"/>
          <w:spacing w:val="-6"/>
        </w:rPr>
        <w:t>61.7%</w:t>
      </w:r>
      <w:r>
        <w:rPr>
          <w:spacing w:val="-6"/>
        </w:rPr>
        <w:t>。</w:t>
      </w:r>
    </w:p>
    <w:p>
      <w:pPr>
        <w:pStyle w:val="BodyText"/>
        <w:spacing w:line="227" w:lineRule="exact"/>
        <w:ind w:right="0"/>
        <w:jc w:val="both"/>
      </w:pPr>
      <w:r>
        <w:rPr/>
        <w:t>其中纯电动汽车产销分别完成</w:t>
      </w:r>
      <w:r>
        <w:rPr>
          <w:rFonts w:ascii="Times New Roman" w:hAnsi="Times New Roman" w:cs="Times New Roman" w:eastAsia="Times New Roman" w:hint="default"/>
        </w:rPr>
        <w:t>98.6</w:t>
      </w:r>
      <w:r>
        <w:rPr/>
        <w:t>万辆和</w:t>
      </w:r>
      <w:r>
        <w:rPr>
          <w:rFonts w:ascii="Times New Roman" w:hAnsi="Times New Roman" w:cs="Times New Roman" w:eastAsia="Times New Roman" w:hint="default"/>
        </w:rPr>
        <w:t>98.4</w:t>
      </w:r>
      <w:r>
        <w:rPr/>
        <w:t>万辆，比上年同期分别增长</w:t>
      </w:r>
      <w:r>
        <w:rPr>
          <w:rFonts w:ascii="Times New Roman" w:hAnsi="Times New Roman" w:cs="Times New Roman" w:eastAsia="Times New Roman" w:hint="default"/>
        </w:rPr>
        <w:t>47.9%</w:t>
      </w:r>
      <w:r>
        <w:rPr/>
        <w:t>和</w:t>
      </w:r>
      <w:r>
        <w:rPr>
          <w:rFonts w:ascii="Times New Roman" w:hAnsi="Times New Roman" w:cs="Times New Roman" w:eastAsia="Times New Roman" w:hint="default"/>
        </w:rPr>
        <w:t>50.8%</w:t>
      </w:r>
      <w:r>
        <w:rPr/>
        <w:t>；插电式混合动力汽车产销分别完成</w:t>
      </w:r>
    </w:p>
    <w:p>
      <w:pPr>
        <w:pStyle w:val="BodyText"/>
        <w:spacing w:line="240" w:lineRule="auto" w:before="64"/>
        <w:ind w:right="0"/>
        <w:jc w:val="both"/>
      </w:pPr>
      <w:r>
        <w:rPr>
          <w:rFonts w:ascii="Times New Roman" w:hAnsi="Times New Roman" w:cs="Times New Roman" w:eastAsia="Times New Roman" w:hint="default"/>
        </w:rPr>
        <w:t>28.3</w:t>
      </w:r>
      <w:r>
        <w:rPr/>
        <w:t>万辆和</w:t>
      </w:r>
      <w:r>
        <w:rPr>
          <w:rFonts w:ascii="Times New Roman" w:hAnsi="Times New Roman" w:cs="Times New Roman" w:eastAsia="Times New Roman" w:hint="default"/>
        </w:rPr>
        <w:t>27.1</w:t>
      </w:r>
      <w:r>
        <w:rPr/>
        <w:t>万辆，比上年同期分别增长</w:t>
      </w:r>
      <w:r>
        <w:rPr>
          <w:rFonts w:ascii="Times New Roman" w:hAnsi="Times New Roman" w:cs="Times New Roman" w:eastAsia="Times New Roman" w:hint="default"/>
        </w:rPr>
        <w:t>122%</w:t>
      </w:r>
      <w:r>
        <w:rPr/>
        <w:t>和</w:t>
      </w:r>
      <w:r>
        <w:rPr>
          <w:rFonts w:ascii="Times New Roman" w:hAnsi="Times New Roman" w:cs="Times New Roman" w:eastAsia="Times New Roman" w:hint="default"/>
        </w:rPr>
        <w:t>118%</w:t>
      </w:r>
      <w:r>
        <w:rPr/>
        <w:t>；燃料电池汽车产销均完成</w:t>
      </w:r>
      <w:r>
        <w:rPr>
          <w:rFonts w:ascii="Times New Roman" w:hAnsi="Times New Roman" w:cs="Times New Roman" w:eastAsia="Times New Roman" w:hint="default"/>
        </w:rPr>
        <w:t>1527</w:t>
      </w:r>
      <w:r>
        <w:rPr/>
        <w:t>辆。</w:t>
      </w:r>
    </w:p>
    <w:p>
      <w:pPr>
        <w:spacing w:line="240" w:lineRule="auto" w:before="4"/>
        <w:rPr>
          <w:rFonts w:ascii="宋体" w:hAnsi="宋体" w:cs="宋体" w:eastAsia="宋体" w:hint="default"/>
          <w:sz w:val="17"/>
          <w:szCs w:val="17"/>
        </w:rPr>
      </w:pPr>
    </w:p>
    <w:p>
      <w:pPr>
        <w:spacing w:line="3475" w:lineRule="exact"/>
        <w:ind w:left="514"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4011006" cy="2206752"/>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011006" cy="2206752"/>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2"/>
        <w:rPr>
          <w:rFonts w:ascii="宋体" w:hAnsi="宋体" w:cs="宋体" w:eastAsia="宋体" w:hint="default"/>
          <w:sz w:val="14"/>
          <w:szCs w:val="14"/>
        </w:rPr>
      </w:pPr>
    </w:p>
    <w:p>
      <w:pPr>
        <w:pStyle w:val="BodyText"/>
        <w:spacing w:line="300" w:lineRule="auto"/>
        <w:ind w:right="1130" w:firstLine="360"/>
        <w:jc w:val="both"/>
      </w:pPr>
      <w:r>
        <w:rPr/>
        <w:t>根据鑫椤资讯统计，</w:t>
      </w:r>
      <w:r>
        <w:rPr>
          <w:rFonts w:ascii="Times New Roman" w:hAnsi="Times New Roman" w:cs="Times New Roman" w:eastAsia="Times New Roman" w:hint="default"/>
        </w:rPr>
        <w:t>2018</w:t>
      </w:r>
      <w:r>
        <w:rPr/>
        <w:t>年国内磷酸铁锂材料产量为</w:t>
      </w:r>
      <w:r>
        <w:rPr>
          <w:rFonts w:ascii="Times New Roman" w:hAnsi="Times New Roman" w:cs="Times New Roman" w:eastAsia="Times New Roman" w:hint="default"/>
        </w:rPr>
        <w:t>6.91</w:t>
      </w:r>
      <w:r>
        <w:rPr/>
        <w:t>万吨，消耗量为</w:t>
      </w:r>
      <w:r>
        <w:rPr>
          <w:rFonts w:ascii="Times New Roman" w:hAnsi="Times New Roman" w:cs="Times New Roman" w:eastAsia="Times New Roman" w:hint="default"/>
        </w:rPr>
        <w:t>7.12</w:t>
      </w:r>
      <w:r>
        <w:rPr/>
        <w:t>万吨，预测</w:t>
      </w:r>
      <w:r>
        <w:rPr>
          <w:rFonts w:ascii="Times New Roman" w:hAnsi="Times New Roman" w:cs="Times New Roman" w:eastAsia="Times New Roman" w:hint="default"/>
        </w:rPr>
        <w:t>2019</w:t>
      </w:r>
      <w:r>
        <w:rPr/>
        <w:t>年将增长</w:t>
      </w:r>
      <w:r>
        <w:rPr>
          <w:rFonts w:ascii="Times New Roman" w:hAnsi="Times New Roman" w:cs="Times New Roman" w:eastAsia="Times New Roman" w:hint="default"/>
        </w:rPr>
        <w:t>1.17</w:t>
      </w:r>
      <w:r>
        <w:rPr/>
        <w:t>万吨，这其 中包括微型电动车、电动网约车、物流车、</w:t>
      </w:r>
      <w:r>
        <w:rPr>
          <w:rFonts w:ascii="Times New Roman" w:hAnsi="Times New Roman" w:cs="Times New Roman" w:eastAsia="Times New Roman" w:hint="default"/>
        </w:rPr>
        <w:t>48V</w:t>
      </w:r>
      <w:r>
        <w:rPr/>
        <w:t>微混系统，如磷酸铁锂电池在</w:t>
      </w:r>
      <w:r>
        <w:rPr>
          <w:rFonts w:ascii="Times New Roman" w:hAnsi="Times New Roman" w:cs="Times New Roman" w:eastAsia="Times New Roman" w:hint="default"/>
        </w:rPr>
        <w:t>EV</w:t>
      </w:r>
      <w:r>
        <w:rPr/>
        <w:t>乘用车领域大规模使用，增长量将大幅提</w:t>
      </w:r>
      <w:r>
        <w:rPr>
          <w:spacing w:val="-13"/>
        </w:rPr>
        <w:t> </w:t>
      </w:r>
      <w:r>
        <w:rPr>
          <w:spacing w:val="-13"/>
        </w:rPr>
      </w:r>
      <w:r>
        <w:rPr/>
        <w:t>高。每吨磷酸铁锂消耗</w:t>
      </w:r>
      <w:r>
        <w:rPr>
          <w:rFonts w:ascii="Times New Roman" w:hAnsi="Times New Roman" w:cs="Times New Roman" w:eastAsia="Times New Roman" w:hint="default"/>
        </w:rPr>
        <w:t>1</w:t>
      </w:r>
      <w:r>
        <w:rPr/>
        <w:t>吨磷酸铁，</w:t>
      </w:r>
      <w:r>
        <w:rPr>
          <w:rFonts w:ascii="Times New Roman" w:hAnsi="Times New Roman" w:cs="Times New Roman" w:eastAsia="Times New Roman" w:hint="default"/>
        </w:rPr>
        <w:t>2019</w:t>
      </w:r>
      <w:r>
        <w:rPr/>
        <w:t>年磷酸铁增量与磷酸铁锂需求增量一致，</w:t>
      </w:r>
      <w:r>
        <w:rPr>
          <w:rFonts w:ascii="Times New Roman" w:hAnsi="Times New Roman" w:cs="Times New Roman" w:eastAsia="Times New Roman" w:hint="default"/>
        </w:rPr>
        <w:t>2019</w:t>
      </w:r>
      <w:r>
        <w:rPr/>
        <w:t>年新能源磷酸铁市场总需求量将达到</w:t>
      </w:r>
      <w:r>
        <w:rPr>
          <w:spacing w:val="-83"/>
        </w:rPr>
        <w:t> </w:t>
      </w:r>
      <w:r>
        <w:rPr>
          <w:spacing w:val="-83"/>
        </w:rPr>
      </w:r>
      <w:r>
        <w:rPr>
          <w:rFonts w:ascii="Times New Roman" w:hAnsi="Times New Roman" w:cs="Times New Roman" w:eastAsia="Times New Roman" w:hint="default"/>
        </w:rPr>
        <w:t>8.29</w:t>
      </w:r>
      <w:r>
        <w:rPr/>
        <w:t>，不包括</w:t>
      </w:r>
      <w:r>
        <w:rPr>
          <w:rFonts w:ascii="Times New Roman" w:hAnsi="Times New Roman" w:cs="Times New Roman" w:eastAsia="Times New Roman" w:hint="default"/>
        </w:rPr>
        <w:t>EV</w:t>
      </w:r>
      <w:r>
        <w:rPr/>
        <w:t>乘用车使用量。</w:t>
      </w:r>
    </w:p>
    <w:p>
      <w:pPr>
        <w:pStyle w:val="BodyText"/>
        <w:spacing w:line="240" w:lineRule="auto" w:before="51"/>
        <w:ind w:left="514" w:right="0"/>
        <w:jc w:val="left"/>
      </w:pPr>
      <w:r>
        <w:rPr>
          <w:rFonts w:ascii="Times New Roman" w:hAnsi="Times New Roman" w:cs="Times New Roman" w:eastAsia="Times New Roman" w:hint="default"/>
        </w:rPr>
        <w:t>2018</w:t>
      </w:r>
      <w:r>
        <w:rPr/>
        <w:t>年新能源汽车受国家补贴政策退坡影响，新能源汽车较</w:t>
      </w:r>
      <w:r>
        <w:rPr>
          <w:rFonts w:ascii="Times New Roman" w:hAnsi="Times New Roman" w:cs="Times New Roman" w:eastAsia="Times New Roman" w:hint="default"/>
        </w:rPr>
        <w:t>2017</w:t>
      </w:r>
      <w:r>
        <w:rPr/>
        <w:t>年增长量放缓，磷酸铁锂总装机量较</w:t>
      </w:r>
      <w:r>
        <w:rPr>
          <w:rFonts w:ascii="Times New Roman" w:hAnsi="Times New Roman" w:cs="Times New Roman" w:eastAsia="Times New Roman" w:hint="default"/>
        </w:rPr>
        <w:t>2017</w:t>
      </w:r>
      <w:r>
        <w:rPr/>
        <w:t>年有所下降，</w:t>
      </w:r>
    </w:p>
    <w:p>
      <w:pPr>
        <w:pStyle w:val="BodyText"/>
        <w:spacing w:line="240" w:lineRule="auto" w:before="64"/>
        <w:ind w:right="0"/>
        <w:jc w:val="both"/>
      </w:pPr>
      <w:r>
        <w:rPr>
          <w:rFonts w:ascii="Times New Roman" w:hAnsi="Times New Roman" w:cs="Times New Roman" w:eastAsia="Times New Roman" w:hint="default"/>
        </w:rPr>
        <w:t>2018</w:t>
      </w:r>
      <w:r>
        <w:rPr/>
        <w:t>年磷酸铁市场需求情况相对比较低迷，但随着新能源汽车行业的向前发展，预计未来磷酸铁市场仍有巨大的潜力空间。</w:t>
      </w:r>
    </w:p>
    <w:p>
      <w:pPr>
        <w:pStyle w:val="BodyText"/>
        <w:spacing w:line="338" w:lineRule="auto" w:before="103"/>
        <w:ind w:left="514" w:right="1048"/>
        <w:jc w:val="left"/>
      </w:pPr>
      <w:r>
        <w:rPr>
          <w:rFonts w:ascii="Times New Roman" w:hAnsi="Times New Roman" w:cs="Times New Roman" w:eastAsia="Times New Roman" w:hint="default"/>
        </w:rPr>
        <w:t>2</w:t>
      </w:r>
      <w:r>
        <w:rPr/>
        <w:t>、储能发展需求 </w:t>
      </w:r>
      <w:r>
        <w:rPr>
          <w:spacing w:val="-1"/>
        </w:rPr>
        <w:t>前瞻产业研究院统计数据显示截至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月底，中国已投运电化学储能项目的累积装机规模为</w:t>
      </w:r>
      <w:r>
        <w:rPr>
          <w:rFonts w:ascii="Times New Roman" w:hAnsi="Times New Roman" w:cs="Times New Roman" w:eastAsia="Times New Roman" w:hint="default"/>
          <w:spacing w:val="-1"/>
        </w:rPr>
        <w:t>1039.8MW</w:t>
      </w:r>
      <w:r>
        <w:rPr>
          <w:spacing w:val="-1"/>
        </w:rPr>
        <w:t>，同比增长</w:t>
      </w:r>
    </w:p>
    <w:p>
      <w:pPr>
        <w:pStyle w:val="BodyText"/>
        <w:spacing w:line="231" w:lineRule="exact"/>
        <w:ind w:right="0"/>
        <w:jc w:val="both"/>
      </w:pPr>
      <w:r>
        <w:rPr>
          <w:rFonts w:ascii="Times New Roman" w:hAnsi="Times New Roman" w:cs="Times New Roman" w:eastAsia="Times New Roman" w:hint="default"/>
          <w:spacing w:val="3"/>
        </w:rPr>
        <w:t>167%</w:t>
      </w:r>
      <w:r>
        <w:rPr>
          <w:spacing w:val="3"/>
        </w:rPr>
        <w:t>。</w:t>
      </w:r>
      <w:r>
        <w:rPr>
          <w:rFonts w:ascii="Times New Roman" w:hAnsi="Times New Roman" w:cs="Times New Roman" w:eastAsia="Times New Roman" w:hint="default"/>
          <w:spacing w:val="3"/>
        </w:rPr>
        <w:t>2018</w:t>
      </w:r>
      <w:r>
        <w:rPr>
          <w:spacing w:val="3"/>
        </w:rPr>
        <w:t>年以来，我国电化学储能市场出现爆发式增长，预计到</w:t>
      </w:r>
      <w:r>
        <w:rPr>
          <w:rFonts w:ascii="Times New Roman" w:hAnsi="Times New Roman" w:cs="Times New Roman" w:eastAsia="Times New Roman" w:hint="default"/>
          <w:spacing w:val="3"/>
        </w:rPr>
        <w:t>2019</w:t>
      </w:r>
      <w:r>
        <w:rPr>
          <w:spacing w:val="3"/>
        </w:rPr>
        <w:t>年底，中国电化学储能累积装机规模预计将达到</w:t>
      </w:r>
    </w:p>
    <w:p>
      <w:pPr>
        <w:pStyle w:val="BodyText"/>
        <w:spacing w:line="300" w:lineRule="auto" w:before="63"/>
        <w:ind w:right="1129"/>
        <w:jc w:val="both"/>
      </w:pPr>
      <w:r>
        <w:rPr>
          <w:rFonts w:ascii="Times New Roman" w:hAnsi="Times New Roman" w:cs="Times New Roman" w:eastAsia="Times New Roman" w:hint="default"/>
          <w:spacing w:val="-2"/>
        </w:rPr>
        <w:t>2400MW</w:t>
      </w:r>
      <w:r>
        <w:rPr>
          <w:spacing w:val="-2"/>
        </w:rPr>
        <w:t>，</w:t>
      </w:r>
      <w:r>
        <w:rPr>
          <w:rFonts w:ascii="Times New Roman" w:hAnsi="Times New Roman" w:cs="Times New Roman" w:eastAsia="Times New Roman" w:hint="default"/>
          <w:spacing w:val="-2"/>
        </w:rPr>
        <w:t>19</w:t>
      </w:r>
      <w:r>
        <w:rPr>
          <w:spacing w:val="-2"/>
        </w:rPr>
        <w:t>年新增储能装机规模达到</w:t>
      </w:r>
      <w:r>
        <w:rPr>
          <w:rFonts w:ascii="Times New Roman" w:hAnsi="Times New Roman" w:cs="Times New Roman" w:eastAsia="Times New Roman" w:hint="default"/>
          <w:spacing w:val="-2"/>
        </w:rPr>
        <w:t>1200MW</w:t>
      </w:r>
      <w:r>
        <w:rPr>
          <w:spacing w:val="-2"/>
        </w:rPr>
        <w:t>。图二是</w:t>
      </w:r>
      <w:r>
        <w:rPr>
          <w:rFonts w:ascii="Times New Roman" w:hAnsi="Times New Roman" w:cs="Times New Roman" w:eastAsia="Times New Roman" w:hint="default"/>
          <w:spacing w:val="-2"/>
        </w:rPr>
        <w:t>2017-2019</w:t>
      </w:r>
      <w:r>
        <w:rPr>
          <w:spacing w:val="-2"/>
        </w:rPr>
        <w:t>年中国电化学储能装机规模统计情况及预测。磷酸铁锂电</w:t>
      </w:r>
      <w:r>
        <w:rPr>
          <w:spacing w:val="-48"/>
        </w:rPr>
        <w:t> </w:t>
      </w:r>
      <w:r>
        <w:rPr>
          <w:spacing w:val="-48"/>
        </w:rPr>
      </w:r>
      <w:r>
        <w:rPr/>
        <w:t>池的安全、长寿命成为电化学储能电池首选，储能市场</w:t>
      </w:r>
      <w:r>
        <w:rPr>
          <w:rFonts w:ascii="Times New Roman" w:hAnsi="Times New Roman" w:cs="Times New Roman" w:eastAsia="Times New Roman" w:hint="default"/>
        </w:rPr>
        <w:t>19</w:t>
      </w:r>
      <w:r>
        <w:rPr/>
        <w:t>年磷酸铁锂新增需求量为</w:t>
      </w:r>
      <w:r>
        <w:rPr>
          <w:rFonts w:ascii="Times New Roman" w:hAnsi="Times New Roman" w:cs="Times New Roman" w:eastAsia="Times New Roman" w:hint="default"/>
        </w:rPr>
        <w:t>2.4</w:t>
      </w:r>
      <w:r>
        <w:rPr/>
        <w:t>万吨，相应的磷酸铁需求将增加</w:t>
      </w:r>
      <w:r>
        <w:rPr>
          <w:rFonts w:ascii="Times New Roman" w:hAnsi="Times New Roman" w:cs="Times New Roman" w:eastAsia="Times New Roman" w:hint="default"/>
        </w:rPr>
        <w:t>2.4</w:t>
      </w:r>
      <w:r>
        <w:rPr/>
        <w:t>万</w:t>
      </w:r>
      <w:r>
        <w:rPr>
          <w:spacing w:val="-83"/>
        </w:rPr>
        <w:t> </w:t>
      </w:r>
      <w:r>
        <w:rPr/>
        <w:t>吨。</w:t>
      </w:r>
    </w:p>
    <w:p>
      <w:pPr>
        <w:spacing w:after="0" w:line="30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line="4435" w:lineRule="exact"/>
        <w:ind w:left="514"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3571060" cy="2816352"/>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3571060" cy="2816352"/>
                    </a:xfrm>
                    <a:prstGeom prst="rect">
                      <a:avLst/>
                    </a:prstGeom>
                  </pic:spPr>
                </pic:pic>
              </a:graphicData>
            </a:graphic>
          </wp:inline>
        </w:drawing>
      </w:r>
      <w:r>
        <w:rPr>
          <w:rFonts w:ascii="宋体" w:hAnsi="宋体" w:cs="宋体" w:eastAsia="宋体" w:hint="default"/>
          <w:position w:val="-88"/>
          <w:sz w:val="20"/>
          <w:szCs w:val="20"/>
        </w:rPr>
      </w:r>
    </w:p>
    <w:p>
      <w:pPr>
        <w:spacing w:line="240" w:lineRule="auto" w:before="13"/>
        <w:rPr>
          <w:rFonts w:ascii="宋体" w:hAnsi="宋体" w:cs="宋体" w:eastAsia="宋体" w:hint="default"/>
          <w:sz w:val="9"/>
          <w:szCs w:val="9"/>
        </w:rPr>
      </w:pPr>
    </w:p>
    <w:p>
      <w:pPr>
        <w:pStyle w:val="BodyText"/>
        <w:spacing w:line="340" w:lineRule="auto" w:before="44"/>
        <w:ind w:left="514" w:right="5329" w:firstLine="433"/>
        <w:jc w:val="left"/>
      </w:pPr>
      <w:r>
        <w:rPr/>
        <w:t>图二</w:t>
      </w:r>
      <w:r>
        <w:rPr>
          <w:spacing w:val="-20"/>
        </w:rPr>
        <w:t> </w:t>
      </w:r>
      <w:r>
        <w:rPr>
          <w:rFonts w:ascii="Times New Roman" w:hAnsi="Times New Roman" w:cs="Times New Roman" w:eastAsia="Times New Roman" w:hint="default"/>
        </w:rPr>
        <w:t>2017-2019</w:t>
      </w:r>
      <w:r>
        <w:rPr/>
        <w:t>年中国电化学储能装机规模统计情况及预测 </w:t>
      </w:r>
      <w:r>
        <w:rPr>
          <w:rFonts w:ascii="Times New Roman" w:hAnsi="Times New Roman" w:cs="Times New Roman" w:eastAsia="Times New Roman" w:hint="default"/>
        </w:rPr>
        <w:t>3</w:t>
      </w:r>
      <w:r>
        <w:rPr/>
        <w:t>、电动叉车市场发展需求</w:t>
      </w:r>
    </w:p>
    <w:p>
      <w:pPr>
        <w:pStyle w:val="BodyText"/>
        <w:spacing w:line="300" w:lineRule="auto" w:before="17"/>
        <w:ind w:right="1130" w:firstLine="360"/>
        <w:jc w:val="both"/>
      </w:pPr>
      <w:r>
        <w:rPr>
          <w:spacing w:val="-2"/>
        </w:rPr>
        <w:t>数据显示，</w:t>
      </w:r>
      <w:r>
        <w:rPr>
          <w:rFonts w:ascii="Times New Roman" w:hAnsi="Times New Roman" w:cs="Times New Roman" w:eastAsia="Times New Roman" w:hint="default"/>
          <w:spacing w:val="-2"/>
        </w:rPr>
        <w:t>2017</w:t>
      </w:r>
      <w:r>
        <w:rPr>
          <w:spacing w:val="-2"/>
        </w:rPr>
        <w:t>年全年我国的锂电池叉车销量为</w:t>
      </w:r>
      <w:r>
        <w:rPr>
          <w:rFonts w:ascii="Times New Roman" w:hAnsi="Times New Roman" w:cs="Times New Roman" w:eastAsia="Times New Roman" w:hint="default"/>
          <w:spacing w:val="-2"/>
        </w:rPr>
        <w:t>8681</w:t>
      </w:r>
      <w:r>
        <w:rPr>
          <w:spacing w:val="-2"/>
        </w:rPr>
        <w:t>辆，而</w:t>
      </w:r>
      <w:r>
        <w:rPr>
          <w:rFonts w:ascii="Times New Roman" w:hAnsi="Times New Roman" w:cs="Times New Roman" w:eastAsia="Times New Roman" w:hint="default"/>
          <w:spacing w:val="-2"/>
        </w:rPr>
        <w:t>2018</w:t>
      </w:r>
      <w:r>
        <w:rPr>
          <w:spacing w:val="-2"/>
        </w:rPr>
        <w:t>年上半年锂电池叉车的销量早就超过了</w:t>
      </w:r>
      <w:r>
        <w:rPr>
          <w:rFonts w:ascii="Times New Roman" w:hAnsi="Times New Roman" w:cs="Times New Roman" w:eastAsia="Times New Roman" w:hint="default"/>
          <w:spacing w:val="-2"/>
        </w:rPr>
        <w:t>2017</w:t>
      </w:r>
      <w:r>
        <w:rPr>
          <w:spacing w:val="-2"/>
        </w:rPr>
        <w:t>年全年的销</w:t>
      </w:r>
      <w:r>
        <w:rPr/>
        <w:t> </w:t>
      </w:r>
      <w:r>
        <w:rPr>
          <w:spacing w:val="-1"/>
        </w:rPr>
        <w:t>量，</w:t>
      </w:r>
      <w:r>
        <w:rPr>
          <w:rFonts w:ascii="Times New Roman" w:hAnsi="Times New Roman" w:cs="Times New Roman" w:eastAsia="Times New Roman" w:hint="default"/>
          <w:spacing w:val="-1"/>
        </w:rPr>
        <w:t>2018</w:t>
      </w:r>
      <w:r>
        <w:rPr>
          <w:spacing w:val="-1"/>
        </w:rPr>
        <w:t>年的锂电池叉车销量有望翻一番。预计到</w:t>
      </w:r>
      <w:r>
        <w:rPr>
          <w:rFonts w:ascii="Times New Roman" w:hAnsi="Times New Roman" w:cs="Times New Roman" w:eastAsia="Times New Roman" w:hint="default"/>
          <w:spacing w:val="-1"/>
        </w:rPr>
        <w:t>2020</w:t>
      </w:r>
      <w:r>
        <w:rPr>
          <w:spacing w:val="-1"/>
        </w:rPr>
        <w:t>年，锂电池叉车在电动叉车中的渗透率将突破</w:t>
      </w:r>
      <w:r>
        <w:rPr>
          <w:rFonts w:ascii="Times New Roman" w:hAnsi="Times New Roman" w:cs="Times New Roman" w:eastAsia="Times New Roman" w:hint="default"/>
          <w:spacing w:val="-1"/>
        </w:rPr>
        <w:t>55%</w:t>
      </w:r>
      <w:r>
        <w:rPr>
          <w:spacing w:val="-1"/>
        </w:rPr>
        <w:t>，其对锂电池需求</w:t>
      </w:r>
      <w:r>
        <w:rPr>
          <w:spacing w:val="-87"/>
        </w:rPr>
        <w:t> </w:t>
      </w:r>
      <w:r>
        <w:rPr>
          <w:spacing w:val="-87"/>
        </w:rPr>
      </w:r>
      <w:r>
        <w:rPr>
          <w:spacing w:val="-1"/>
        </w:rPr>
        <w:t>量将从</w:t>
      </w:r>
      <w:r>
        <w:rPr>
          <w:rFonts w:ascii="Times New Roman" w:hAnsi="Times New Roman" w:cs="Times New Roman" w:eastAsia="Times New Roman" w:hint="default"/>
          <w:spacing w:val="-1"/>
        </w:rPr>
        <w:t>2017</w:t>
      </w:r>
      <w:r>
        <w:rPr>
          <w:spacing w:val="-1"/>
        </w:rPr>
        <w:t>的</w:t>
      </w:r>
      <w:r>
        <w:rPr>
          <w:rFonts w:ascii="Times New Roman" w:hAnsi="Times New Roman" w:cs="Times New Roman" w:eastAsia="Times New Roman" w:hint="default"/>
          <w:spacing w:val="-1"/>
        </w:rPr>
        <w:t>1.3GWh</w:t>
      </w:r>
      <w:r>
        <w:rPr>
          <w:spacing w:val="-1"/>
        </w:rPr>
        <w:t>提升到</w:t>
      </w:r>
      <w:r>
        <w:rPr>
          <w:rFonts w:ascii="Times New Roman" w:hAnsi="Times New Roman" w:cs="Times New Roman" w:eastAsia="Times New Roman" w:hint="default"/>
          <w:spacing w:val="-1"/>
        </w:rPr>
        <w:t>2020</w:t>
      </w:r>
      <w:r>
        <w:rPr>
          <w:spacing w:val="-1"/>
        </w:rPr>
        <w:t>年的</w:t>
      </w:r>
      <w:r>
        <w:rPr>
          <w:rFonts w:ascii="Times New Roman" w:hAnsi="Times New Roman" w:cs="Times New Roman" w:eastAsia="Times New Roman" w:hint="default"/>
          <w:spacing w:val="-1"/>
        </w:rPr>
        <w:t>5.4GWh</w:t>
      </w:r>
      <w:r>
        <w:rPr>
          <w:spacing w:val="-1"/>
        </w:rPr>
        <w:t>，年复合增长率超过</w:t>
      </w:r>
      <w:r>
        <w:rPr>
          <w:rFonts w:ascii="Times New Roman" w:hAnsi="Times New Roman" w:cs="Times New Roman" w:eastAsia="Times New Roman" w:hint="default"/>
          <w:spacing w:val="-1"/>
        </w:rPr>
        <w:t>50%</w:t>
      </w:r>
      <w:r>
        <w:rPr>
          <w:spacing w:val="-1"/>
        </w:rPr>
        <w:t>。锂电叉车市场即将迎来爆发期。叉车使用环境相对</w:t>
      </w:r>
      <w:r>
        <w:rPr>
          <w:spacing w:val="-55"/>
        </w:rPr>
        <w:t> </w:t>
      </w:r>
      <w:r>
        <w:rPr>
          <w:spacing w:val="-55"/>
        </w:rPr>
      </w:r>
      <w:r>
        <w:rPr>
          <w:spacing w:val="-2"/>
        </w:rPr>
        <w:t>较复杂，对锂电安全性能要求更高，磷酸铁锂电池的安全性将体现出明显优势。按上述统计数据，</w:t>
      </w:r>
      <w:r>
        <w:rPr>
          <w:rFonts w:ascii="Times New Roman" w:hAnsi="Times New Roman" w:cs="Times New Roman" w:eastAsia="Times New Roman" w:hint="default"/>
          <w:spacing w:val="-2"/>
        </w:rPr>
        <w:t>2019</w:t>
      </w:r>
      <w:r>
        <w:rPr>
          <w:spacing w:val="-2"/>
        </w:rPr>
        <w:t>年叉车用磷酸铁锂电</w:t>
      </w:r>
      <w:r>
        <w:rPr>
          <w:spacing w:val="-61"/>
        </w:rPr>
        <w:t> </w:t>
      </w:r>
      <w:r>
        <w:rPr/>
        <w:t>池总装机容量按占用率</w:t>
      </w:r>
      <w:r>
        <w:rPr>
          <w:rFonts w:ascii="Times New Roman" w:hAnsi="Times New Roman" w:cs="Times New Roman" w:eastAsia="Times New Roman" w:hint="default"/>
        </w:rPr>
        <w:t>50%</w:t>
      </w:r>
      <w:r>
        <w:rPr/>
        <w:t>计算，将达到</w:t>
      </w:r>
      <w:r>
        <w:rPr>
          <w:rFonts w:ascii="Times New Roman" w:hAnsi="Times New Roman" w:cs="Times New Roman" w:eastAsia="Times New Roman" w:hint="default"/>
        </w:rPr>
        <w:t>2GWH</w:t>
      </w:r>
      <w:r>
        <w:rPr/>
        <w:t>，所需磷酸铁锂达</w:t>
      </w:r>
      <w:r>
        <w:rPr>
          <w:rFonts w:ascii="Times New Roman" w:hAnsi="Times New Roman" w:cs="Times New Roman" w:eastAsia="Times New Roman" w:hint="default"/>
        </w:rPr>
        <w:t>4</w:t>
      </w:r>
      <w:r>
        <w:rPr/>
        <w:t>万吨。</w:t>
      </w:r>
    </w:p>
    <w:p>
      <w:pPr>
        <w:pStyle w:val="BodyText"/>
        <w:spacing w:line="338" w:lineRule="auto" w:before="53"/>
        <w:ind w:left="514" w:right="1029"/>
        <w:jc w:val="left"/>
      </w:pPr>
      <w:r>
        <w:rPr>
          <w:rFonts w:ascii="Times New Roman" w:hAnsi="Times New Roman" w:cs="Times New Roman" w:eastAsia="Times New Roman" w:hint="default"/>
        </w:rPr>
        <w:t>4</w:t>
      </w:r>
      <w:r>
        <w:rPr/>
        <w:t>、船用及其他市场发展需求 </w:t>
      </w:r>
      <w:r>
        <w:rPr>
          <w:spacing w:val="-1"/>
        </w:rPr>
        <w:t>国际市场研究公司</w:t>
      </w:r>
      <w:r>
        <w:rPr>
          <w:rFonts w:ascii="Times New Roman" w:hAnsi="Times New Roman" w:cs="Times New Roman" w:eastAsia="Times New Roman" w:hint="default"/>
          <w:spacing w:val="-1"/>
        </w:rPr>
        <w:t>ResearchandMarkets</w:t>
      </w:r>
      <w:r>
        <w:rPr>
          <w:spacing w:val="-1"/>
        </w:rPr>
        <w:t>发布的《</w:t>
      </w:r>
      <w:r>
        <w:rPr>
          <w:rFonts w:ascii="Times New Roman" w:hAnsi="Times New Roman" w:cs="Times New Roman" w:eastAsia="Times New Roman" w:hint="default"/>
          <w:spacing w:val="-1"/>
        </w:rPr>
        <w:t>2015</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2024</w:t>
      </w:r>
      <w:r>
        <w:rPr>
          <w:spacing w:val="-1"/>
        </w:rPr>
        <w:t>全球电动船舶、小型潜艇及自动水下船舶的市场报告》预测：</w:t>
      </w:r>
    </w:p>
    <w:p>
      <w:pPr>
        <w:pStyle w:val="BodyText"/>
        <w:spacing w:line="230" w:lineRule="exact"/>
        <w:ind w:right="0"/>
        <w:jc w:val="both"/>
        <w:rPr>
          <w:rFonts w:ascii="Times New Roman" w:hAnsi="Times New Roman" w:cs="Times New Roman" w:eastAsia="Times New Roman" w:hint="default"/>
        </w:rPr>
      </w:pPr>
      <w:r>
        <w:rPr/>
        <w:t>由于良好性能、可承担成本、法律禁令等因素，电动船市场正迎来快速增长，到</w:t>
      </w:r>
      <w:r>
        <w:rPr>
          <w:rFonts w:ascii="Times New Roman" w:hAnsi="Times New Roman" w:cs="Times New Roman" w:eastAsia="Times New Roman" w:hint="default"/>
        </w:rPr>
        <w:t>2024</w:t>
      </w:r>
      <w:r>
        <w:rPr/>
        <w:t>年全球电动船舶市场的规模将达到</w:t>
      </w:r>
      <w:r>
        <w:rPr>
          <w:rFonts w:ascii="Times New Roman" w:hAnsi="Times New Roman" w:cs="Times New Roman" w:eastAsia="Times New Roman" w:hint="default"/>
        </w:rPr>
        <w:t>73</w:t>
      </w:r>
    </w:p>
    <w:p>
      <w:pPr>
        <w:pStyle w:val="BodyText"/>
        <w:spacing w:line="338" w:lineRule="auto" w:before="64"/>
        <w:ind w:left="514" w:right="2292" w:hanging="360"/>
        <w:jc w:val="left"/>
      </w:pPr>
      <w:r>
        <w:rPr/>
        <w:t>亿美元（约合人民币</w:t>
      </w:r>
      <w:r>
        <w:rPr>
          <w:rFonts w:ascii="Times New Roman" w:hAnsi="Times New Roman" w:cs="Times New Roman" w:eastAsia="Times New Roman" w:hint="default"/>
        </w:rPr>
        <w:t>453</w:t>
      </w:r>
      <w:r>
        <w:rPr/>
        <w:t>．</w:t>
      </w:r>
      <w:r>
        <w:rPr>
          <w:rFonts w:ascii="Times New Roman" w:hAnsi="Times New Roman" w:cs="Times New Roman" w:eastAsia="Times New Roman" w:hint="default"/>
        </w:rPr>
        <w:t>1</w:t>
      </w:r>
      <w:r>
        <w:rPr/>
        <w:t>亿元），市场前景非常广阔，这也将是磷酸铁锂电池发展的另外一个重要领域。 综上，</w:t>
      </w:r>
      <w:r>
        <w:rPr>
          <w:rFonts w:ascii="Times New Roman" w:hAnsi="Times New Roman" w:cs="Times New Roman" w:eastAsia="Times New Roman" w:hint="default"/>
        </w:rPr>
        <w:t>2019</w:t>
      </w:r>
      <w:r>
        <w:rPr/>
        <w:t>年磷酸铁锂需求量将达到</w:t>
      </w:r>
      <w:r>
        <w:rPr>
          <w:rFonts w:ascii="Times New Roman" w:hAnsi="Times New Roman" w:cs="Times New Roman" w:eastAsia="Times New Roman" w:hint="default"/>
        </w:rPr>
        <w:t>15</w:t>
      </w:r>
      <w:r>
        <w:rPr/>
        <w:t>万吨，将在</w:t>
      </w:r>
      <w:r>
        <w:rPr>
          <w:rFonts w:ascii="Times New Roman" w:hAnsi="Times New Roman" w:cs="Times New Roman" w:eastAsia="Times New Roman" w:hint="default"/>
        </w:rPr>
        <w:t>18</w:t>
      </w:r>
      <w:r>
        <w:rPr/>
        <w:t>年基础上增加近</w:t>
      </w:r>
      <w:r>
        <w:rPr>
          <w:rFonts w:ascii="Times New Roman" w:hAnsi="Times New Roman" w:cs="Times New Roman" w:eastAsia="Times New Roman" w:hint="default"/>
        </w:rPr>
        <w:t>8</w:t>
      </w:r>
      <w:r>
        <w:rPr/>
        <w:t>万吨。</w:t>
      </w:r>
    </w:p>
    <w:p>
      <w:pPr>
        <w:spacing w:line="316" w:lineRule="auto" w:before="19"/>
        <w:ind w:left="514" w:right="8404" w:firstLine="0"/>
        <w:jc w:val="left"/>
        <w:rPr>
          <w:rFonts w:ascii="宋体" w:hAnsi="宋体" w:cs="宋体" w:eastAsia="宋体" w:hint="default"/>
          <w:sz w:val="18"/>
          <w:szCs w:val="18"/>
        </w:rPr>
      </w:pPr>
      <w:r>
        <w:rPr>
          <w:rFonts w:ascii="宋体" w:hAnsi="宋体" w:cs="宋体" w:eastAsia="宋体" w:hint="default"/>
          <w:b/>
          <w:bCs/>
          <w:sz w:val="18"/>
          <w:szCs w:val="18"/>
        </w:rPr>
        <w:t>（四）公司所处行业分析</w:t>
      </w:r>
      <w:r>
        <w:rPr>
          <w:rFonts w:ascii="宋体" w:hAnsi="宋体" w:cs="宋体" w:eastAsia="宋体" w:hint="default"/>
          <w:b/>
          <w:bCs/>
          <w:w w:val="99"/>
          <w:sz w:val="18"/>
          <w:szCs w:val="18"/>
        </w:rPr>
        <w:t> </w:t>
      </w:r>
      <w:r>
        <w:rPr>
          <w:rFonts w:ascii="宋体" w:hAnsi="宋体" w:cs="宋体" w:eastAsia="宋体" w:hint="default"/>
          <w:b/>
          <w:bCs/>
          <w:sz w:val="18"/>
          <w:szCs w:val="18"/>
        </w:rPr>
        <w:t>电力板块：</w:t>
      </w:r>
      <w:r>
        <w:rPr>
          <w:rFonts w:ascii="宋体" w:hAnsi="宋体" w:cs="宋体" w:eastAsia="宋体" w:hint="default"/>
          <w:sz w:val="18"/>
          <w:szCs w:val="18"/>
        </w:rPr>
      </w:r>
    </w:p>
    <w:p>
      <w:pPr>
        <w:pStyle w:val="BodyText"/>
        <w:spacing w:line="316" w:lineRule="auto" w:before="19"/>
        <w:ind w:right="1050" w:firstLine="360"/>
        <w:jc w:val="both"/>
      </w:pPr>
      <w:r>
        <w:rPr/>
        <w:t>电力系统是由发电、输变电、配电和用电等环节组成的电能生产与消耗系统。公司专注于配电领域的设备研发与制造， 主要面向城市电网和农村电网，以及部分行业应用（如铁路）。</w:t>
      </w:r>
    </w:p>
    <w:p>
      <w:pPr>
        <w:pStyle w:val="BodyText"/>
        <w:spacing w:line="300" w:lineRule="auto" w:before="19"/>
        <w:ind w:left="514" w:right="1048"/>
        <w:jc w:val="left"/>
      </w:pPr>
      <w:r>
        <w:rPr>
          <w:rFonts w:ascii="Times New Roman" w:hAnsi="Times New Roman" w:cs="Times New Roman" w:eastAsia="Times New Roman" w:hint="default"/>
        </w:rPr>
        <w:t>1</w:t>
      </w:r>
      <w:r>
        <w:rPr/>
        <w:t>、行业竞争格局和市场化程度 </w:t>
      </w:r>
      <w:r>
        <w:rPr>
          <w:spacing w:val="-2"/>
        </w:rPr>
        <w:t>电力配电行业可以大致划分为电网市场和用户市场，其中电网市场是指有国家电网、南方电网以及各省级电力公司进行</w:t>
      </w:r>
    </w:p>
    <w:p>
      <w:pPr>
        <w:pStyle w:val="BodyText"/>
        <w:spacing w:line="312" w:lineRule="auto" w:before="31"/>
        <w:ind w:right="1043"/>
        <w:jc w:val="both"/>
      </w:pPr>
      <w:r>
        <w:rPr>
          <w:spacing w:val="-2"/>
        </w:rPr>
        <w:t>年度设备采购的市场，这部分市场采用面向全社会的公开招投标的方式进行采购，并对竞标企业进行资质审核和后续产品质</w:t>
      </w:r>
      <w:r>
        <w:rPr>
          <w:spacing w:val="-64"/>
        </w:rPr>
        <w:t> </w:t>
      </w:r>
      <w:r>
        <w:rPr>
          <w:spacing w:val="-64"/>
        </w:rPr>
      </w:r>
      <w:r>
        <w:rPr>
          <w:spacing w:val="-2"/>
        </w:rPr>
        <w:t>量跟踪，是公司参与的主要市场；用户市场是指由其他投资主体（如政府、企业、房地产公司等）进行采购的市场，这部分</w:t>
      </w:r>
      <w:r>
        <w:rPr>
          <w:spacing w:val="-72"/>
        </w:rPr>
        <w:t> </w:t>
      </w:r>
      <w:r>
        <w:rPr>
          <w:spacing w:val="-72"/>
        </w:rPr>
      </w:r>
      <w:r>
        <w:rPr/>
        <w:t>市场相对分散，并有较强的地域性。根据公司的内部统计，近</w:t>
      </w:r>
      <w:r>
        <w:rPr>
          <w:rFonts w:ascii="Times New Roman" w:hAnsi="Times New Roman" w:cs="Times New Roman" w:eastAsia="Times New Roman" w:hint="default"/>
        </w:rPr>
        <w:t>3</w:t>
      </w:r>
      <w:r>
        <w:rPr/>
        <w:t>年来参与电网市场投标的企业数量呈上升趋势，市场竞争趋</w:t>
      </w:r>
      <w:r>
        <w:rPr>
          <w:spacing w:val="-82"/>
        </w:rPr>
        <w:t> </w:t>
      </w:r>
      <w:r>
        <w:rPr>
          <w:spacing w:val="-82"/>
        </w:rPr>
      </w:r>
      <w:r>
        <w:rPr/>
        <w:t>于激烈，每个大类的产品参标企业都在</w:t>
      </w:r>
      <w:r>
        <w:rPr>
          <w:rFonts w:ascii="Times New Roman" w:hAnsi="Times New Roman" w:cs="Times New Roman" w:eastAsia="Times New Roman" w:hint="default"/>
        </w:rPr>
        <w:t>100-200</w:t>
      </w:r>
      <w:r>
        <w:rPr/>
        <w:t>家，且企业的产品线有明显的拉长趋势，即以往只参与开关类产品的企业，</w:t>
      </w:r>
      <w:r>
        <w:rPr>
          <w:spacing w:val="-58"/>
        </w:rPr>
        <w:t> </w:t>
      </w:r>
      <w:r>
        <w:rPr>
          <w:spacing w:val="-58"/>
        </w:rPr>
      </w:r>
      <w:r>
        <w:rPr>
          <w:spacing w:val="-2"/>
        </w:rPr>
        <w:t>也开始参与变电类产品的投标，反之亦然；甚至有二次设备企业参与一次设备投标的情况。用户市场由于较为分散，各地区</w:t>
      </w:r>
      <w:r>
        <w:rPr>
          <w:spacing w:val="-66"/>
        </w:rPr>
        <w:t> </w:t>
      </w:r>
      <w:r>
        <w:rPr>
          <w:spacing w:val="-66"/>
        </w:rPr>
      </w:r>
      <w:r>
        <w:rPr>
          <w:spacing w:val="-4"/>
        </w:rPr>
        <w:t>的情况也有所不同，但竞争也是趋于激烈的趋势。总的来说，我国电力配电设备市场的集约化程度较低，市场份额较为分散。</w:t>
      </w:r>
    </w:p>
    <w:p>
      <w:pPr>
        <w:pStyle w:val="BodyText"/>
        <w:spacing w:line="300" w:lineRule="auto" w:before="23"/>
        <w:ind w:left="514" w:right="1048"/>
        <w:jc w:val="left"/>
      </w:pPr>
      <w:r>
        <w:rPr>
          <w:rFonts w:ascii="Times New Roman" w:hAnsi="Times New Roman" w:cs="Times New Roman" w:eastAsia="Times New Roman" w:hint="default"/>
        </w:rPr>
        <w:t>2</w:t>
      </w:r>
      <w:r>
        <w:rPr/>
        <w:t>、行业的周期性、区域性和季节性特点 </w:t>
      </w:r>
      <w:r>
        <w:rPr>
          <w:spacing w:val="-2"/>
        </w:rPr>
        <w:t>电力配电设备制造作为输配电及控制设备制造业的一部分，与与宏观经济周期存在一定的关联性，与房地产行业的周期</w:t>
      </w:r>
    </w:p>
    <w:p>
      <w:pPr>
        <w:pStyle w:val="BodyText"/>
        <w:spacing w:line="316" w:lineRule="auto" w:before="31"/>
        <w:ind w:right="1130"/>
        <w:jc w:val="both"/>
      </w:pPr>
      <w:r>
        <w:rPr>
          <w:spacing w:val="-2"/>
        </w:rPr>
        <w:t>也存在一定的关联性。由于我国各地区经济发展水平不同，华东、华南、以及华北的近海地区是主要市场，近年来，随着国</w:t>
      </w:r>
      <w:r>
        <w:rPr>
          <w:spacing w:val="-68"/>
        </w:rPr>
        <w:t> </w:t>
      </w:r>
      <w:r>
        <w:rPr>
          <w:spacing w:val="-68"/>
        </w:rPr>
      </w:r>
      <w:r>
        <w:rPr/>
        <w:t>家鼓励西部开发，以及</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政策的推进，中西部地区的市场增长速度较快。</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firstLine="360"/>
        <w:jc w:val="both"/>
      </w:pPr>
      <w:r>
        <w:rPr>
          <w:spacing w:val="-2"/>
        </w:rPr>
        <w:t>输配电及控制设备制造业具有一定的季节性特征。设备的销售与工程建设存在较大关联，设备的使用、安装多发生在工</w:t>
      </w:r>
      <w:r>
        <w:rPr/>
        <w:t> </w:t>
      </w:r>
      <w:r>
        <w:rPr>
          <w:spacing w:val="-2"/>
        </w:rPr>
        <w:t>程建设的中后期。一般工程建设年初招标，年末完成施工。受此影响，本行业企业一般一季度业务量偏少，二、三、四季度</w:t>
      </w:r>
      <w:r>
        <w:rPr>
          <w:spacing w:val="-72"/>
        </w:rPr>
        <w:t> </w:t>
      </w:r>
      <w:r>
        <w:rPr>
          <w:spacing w:val="-72"/>
        </w:rPr>
      </w:r>
      <w:r>
        <w:rPr/>
        <w:t>业务比较集中。</w:t>
      </w:r>
    </w:p>
    <w:p>
      <w:pPr>
        <w:pStyle w:val="BodyText"/>
        <w:spacing w:line="240" w:lineRule="auto" w:before="19"/>
        <w:ind w:left="514" w:right="1048"/>
        <w:jc w:val="left"/>
      </w:pPr>
      <w:r>
        <w:rPr>
          <w:rFonts w:ascii="Times New Roman" w:hAnsi="Times New Roman" w:cs="Times New Roman" w:eastAsia="Times New Roman" w:hint="default"/>
        </w:rPr>
        <w:t>3</w:t>
      </w:r>
      <w:r>
        <w:rPr/>
        <w:t>、公司行业竞争地位</w:t>
      </w:r>
    </w:p>
    <w:p>
      <w:pPr>
        <w:pStyle w:val="BodyText"/>
        <w:spacing w:line="300" w:lineRule="auto" w:before="63"/>
        <w:ind w:left="514" w:right="5492"/>
        <w:jc w:val="left"/>
      </w:pPr>
      <w:r>
        <w:rPr/>
        <w:t>（</w:t>
      </w:r>
      <w:r>
        <w:rPr>
          <w:rFonts w:ascii="Times New Roman" w:hAnsi="Times New Roman" w:cs="Times New Roman" w:eastAsia="Times New Roman" w:hint="default"/>
        </w:rPr>
        <w:t>1</w:t>
      </w:r>
      <w:r>
        <w:rPr/>
        <w:t>）产品市场占有率及其变化情况 公司主要产品在</w:t>
      </w:r>
      <w:r>
        <w:rPr>
          <w:rFonts w:ascii="Times New Roman" w:hAnsi="Times New Roman" w:cs="Times New Roman" w:eastAsia="Times New Roman" w:hint="default"/>
        </w:rPr>
        <w:t>12kV</w:t>
      </w:r>
      <w:r>
        <w:rPr/>
        <w:t>电压等级市场占有率和行业排名如下表：</w:t>
      </w:r>
    </w:p>
    <w:tbl>
      <w:tblPr>
        <w:tblW w:w="0" w:type="auto"/>
        <w:jc w:val="left"/>
        <w:tblInd w:w="146" w:type="dxa"/>
        <w:tblLayout w:type="fixed"/>
        <w:tblCellMar>
          <w:top w:w="0" w:type="dxa"/>
          <w:left w:w="0" w:type="dxa"/>
          <w:bottom w:w="0" w:type="dxa"/>
          <w:right w:w="0" w:type="dxa"/>
        </w:tblCellMar>
        <w:tblLook w:val="01E0"/>
      </w:tblPr>
      <w:tblGrid>
        <w:gridCol w:w="1527"/>
        <w:gridCol w:w="850"/>
        <w:gridCol w:w="994"/>
        <w:gridCol w:w="1134"/>
        <w:gridCol w:w="850"/>
        <w:gridCol w:w="1134"/>
        <w:gridCol w:w="851"/>
        <w:gridCol w:w="1134"/>
      </w:tblGrid>
      <w:tr>
        <w:trPr>
          <w:trHeight w:val="347" w:hRule="exact"/>
        </w:trPr>
        <w:tc>
          <w:tcPr>
            <w:tcW w:w="1527" w:type="dxa"/>
            <w:vMerge w:val="restart"/>
            <w:tcBorders>
              <w:top w:val="single" w:sz="6" w:space="0" w:color="000000"/>
              <w:left w:val="single" w:sz="6" w:space="0" w:color="000000"/>
              <w:right w:val="single" w:sz="6" w:space="0" w:color="000000"/>
            </w:tcBorders>
          </w:tcPr>
          <w:p>
            <w:pPr>
              <w:pStyle w:val="TableParagraph"/>
              <w:spacing w:line="240" w:lineRule="auto" w:before="21"/>
              <w:ind w:left="394"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before="21"/>
              <w:ind w:left="237" w:right="0"/>
              <w:jc w:val="left"/>
              <w:rPr>
                <w:rFonts w:ascii="宋体" w:hAnsi="宋体" w:cs="宋体" w:eastAsia="宋体" w:hint="default"/>
                <w:sz w:val="18"/>
                <w:szCs w:val="18"/>
              </w:rPr>
            </w:pPr>
            <w:r>
              <w:rPr>
                <w:rFonts w:ascii="宋体" w:hAnsi="宋体" w:cs="宋体" w:eastAsia="宋体" w:hint="default"/>
                <w:sz w:val="18"/>
                <w:szCs w:val="18"/>
              </w:rPr>
              <w:t>单位</w:t>
            </w:r>
          </w:p>
        </w:tc>
        <w:tc>
          <w:tcPr>
            <w:tcW w:w="21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sz w:val="18"/>
                <w:szCs w:val="18"/>
              </w:rPr>
              <w:t>年</w:t>
            </w:r>
          </w:p>
        </w:tc>
        <w:tc>
          <w:tcPr>
            <w:tcW w:w="19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宋体" w:hAnsi="宋体" w:cs="宋体" w:eastAsia="宋体" w:hint="default"/>
                <w:sz w:val="18"/>
                <w:szCs w:val="18"/>
              </w:rPr>
              <w:t>年</w:t>
            </w:r>
          </w:p>
        </w:tc>
        <w:tc>
          <w:tcPr>
            <w:tcW w:w="19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宋体" w:hAnsi="宋体" w:cs="宋体" w:eastAsia="宋体" w:hint="default"/>
                <w:sz w:val="18"/>
                <w:szCs w:val="18"/>
              </w:rPr>
              <w:t>年</w:t>
            </w:r>
          </w:p>
        </w:tc>
      </w:tr>
      <w:tr>
        <w:trPr>
          <w:trHeight w:val="347" w:hRule="exact"/>
        </w:trPr>
        <w:tc>
          <w:tcPr>
            <w:tcW w:w="1527"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行业排名</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产量</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行业排名</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产量</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行业排名</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产量</w:t>
            </w:r>
          </w:p>
        </w:tc>
      </w:tr>
      <w:tr>
        <w:trPr>
          <w:trHeight w:val="427"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12kV</w:t>
            </w:r>
            <w:r>
              <w:rPr>
                <w:rFonts w:ascii="宋体" w:hAnsi="宋体" w:cs="宋体" w:eastAsia="宋体" w:hint="default"/>
                <w:sz w:val="18"/>
                <w:szCs w:val="18"/>
              </w:rPr>
              <w:t>环网柜</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回路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32,362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26,296</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17,637</w:t>
            </w:r>
          </w:p>
        </w:tc>
      </w:tr>
      <w:tr>
        <w:trPr>
          <w:trHeight w:val="427"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12kV</w:t>
            </w:r>
            <w:r>
              <w:rPr>
                <w:rFonts w:ascii="宋体" w:hAnsi="宋体" w:cs="宋体" w:eastAsia="宋体" w:hint="default"/>
                <w:sz w:val="18"/>
                <w:szCs w:val="18"/>
              </w:rPr>
              <w:t>真空断路器</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6056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4,734</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8,603</w:t>
            </w:r>
          </w:p>
        </w:tc>
      </w:tr>
      <w:tr>
        <w:trPr>
          <w:trHeight w:val="427"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12kV</w:t>
            </w:r>
            <w:r>
              <w:rPr>
                <w:rFonts w:ascii="宋体" w:hAnsi="宋体" w:cs="宋体" w:eastAsia="宋体" w:hint="default"/>
                <w:sz w:val="18"/>
                <w:szCs w:val="18"/>
              </w:rPr>
              <w:t>箱式变电站</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1954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1,529</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1,349</w:t>
            </w:r>
          </w:p>
        </w:tc>
      </w:tr>
    </w:tbl>
    <w:p>
      <w:pPr>
        <w:pStyle w:val="BodyText"/>
        <w:spacing w:line="300" w:lineRule="auto" w:before="13"/>
        <w:ind w:left="514" w:right="1048" w:hanging="143"/>
        <w:jc w:val="left"/>
      </w:pPr>
      <w:r>
        <w:rPr/>
        <w:t>（</w:t>
      </w:r>
      <w:r>
        <w:rPr>
          <w:rFonts w:ascii="Times New Roman" w:hAnsi="Times New Roman" w:cs="Times New Roman" w:eastAsia="Times New Roman" w:hint="default"/>
        </w:rPr>
        <w:t>2</w:t>
      </w:r>
      <w:r>
        <w:rPr/>
        <w:t>）公司的市场前景 </w:t>
      </w:r>
      <w:r>
        <w:rPr>
          <w:spacing w:val="-2"/>
        </w:rPr>
        <w:t>当前，我国正处于国民经济和社会发展的恢复期，国家仍然在加快全国骨干电网的建设速度、完善智能电网规划以及推</w:t>
      </w:r>
    </w:p>
    <w:p>
      <w:pPr>
        <w:pStyle w:val="BodyText"/>
        <w:spacing w:line="312" w:lineRule="auto" w:before="31"/>
        <w:ind w:right="1131"/>
        <w:jc w:val="both"/>
      </w:pPr>
      <w:r>
        <w:rPr>
          <w:spacing w:val="-2"/>
        </w:rPr>
        <w:t>进城市化建设，输配电设备需求相应较大；我国能源消费的最终形式越来越趋向于电力，北上广深等大型城市的能源供给在</w:t>
      </w:r>
      <w:r>
        <w:rPr>
          <w:spacing w:val="-66"/>
        </w:rPr>
        <w:t> </w:t>
      </w:r>
      <w:r>
        <w:rPr>
          <w:spacing w:val="-66"/>
        </w:rPr>
      </w:r>
      <w:r>
        <w:rPr>
          <w:spacing w:val="-2"/>
        </w:rPr>
        <w:t>未来的几年内将逐步电气化，新能源汽车（主要是电动汽车）的发展也已经进入了一个爆发期，这也对未来我国的电力配电</w:t>
      </w:r>
      <w:r>
        <w:rPr>
          <w:spacing w:val="-66"/>
        </w:rPr>
        <w:t> </w:t>
      </w:r>
      <w:r>
        <w:rPr>
          <w:spacing w:val="-66"/>
        </w:rPr>
      </w:r>
      <w:r>
        <w:rPr>
          <w:spacing w:val="-2"/>
        </w:rPr>
        <w:t>设施的建设提出了很高的要求；最为重要的，</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月以来，国务院发布的新电改</w:t>
      </w:r>
      <w:r>
        <w:rPr>
          <w:rFonts w:ascii="Times New Roman" w:hAnsi="Times New Roman" w:cs="Times New Roman" w:eastAsia="Times New Roman" w:hint="default"/>
          <w:spacing w:val="-2"/>
        </w:rPr>
        <w:t>9</w:t>
      </w:r>
      <w:r>
        <w:rPr>
          <w:spacing w:val="-2"/>
        </w:rPr>
        <w:t>号文首次提出了鼓励社会资金参与配电</w:t>
      </w:r>
      <w:r>
        <w:rPr>
          <w:spacing w:val="-61"/>
        </w:rPr>
        <w:t> </w:t>
      </w:r>
      <w:r>
        <w:rPr/>
        <w:t>网络的建设，这为公司业务的拓展提供了巨大的增长空间。</w:t>
      </w:r>
    </w:p>
    <w:p>
      <w:pPr>
        <w:spacing w:before="22"/>
        <w:ind w:left="514" w:right="1048" w:firstLine="0"/>
        <w:jc w:val="left"/>
        <w:rPr>
          <w:rFonts w:ascii="宋体" w:hAnsi="宋体" w:cs="宋体" w:eastAsia="宋体" w:hint="default"/>
          <w:sz w:val="18"/>
          <w:szCs w:val="18"/>
        </w:rPr>
      </w:pPr>
      <w:r>
        <w:rPr>
          <w:rFonts w:ascii="宋体" w:hAnsi="宋体" w:cs="宋体" w:eastAsia="宋体" w:hint="default"/>
          <w:b/>
          <w:bCs/>
          <w:sz w:val="18"/>
          <w:szCs w:val="18"/>
        </w:rPr>
        <w:t>新能源材料板块：</w:t>
      </w:r>
      <w:r>
        <w:rPr>
          <w:rFonts w:ascii="宋体" w:hAnsi="宋体" w:cs="宋体" w:eastAsia="宋体" w:hint="default"/>
          <w:sz w:val="18"/>
          <w:szCs w:val="18"/>
        </w:rPr>
      </w:r>
    </w:p>
    <w:p>
      <w:pPr>
        <w:pStyle w:val="BodyText"/>
        <w:spacing w:line="300" w:lineRule="auto" w:before="76"/>
        <w:ind w:left="514" w:right="1048"/>
        <w:jc w:val="left"/>
      </w:pPr>
      <w:r>
        <w:rPr>
          <w:rFonts w:ascii="Times New Roman" w:hAnsi="Times New Roman" w:cs="Times New Roman" w:eastAsia="Times New Roman" w:hint="default"/>
        </w:rPr>
        <w:t>1</w:t>
      </w:r>
      <w:r>
        <w:rPr/>
        <w:t>、行业竞争地位 湖南雅城目前的业务主要集中在新能源汽车领域和</w:t>
      </w:r>
      <w:r>
        <w:rPr>
          <w:rFonts w:ascii="Times New Roman" w:hAnsi="Times New Roman" w:cs="Times New Roman" w:eastAsia="Times New Roman" w:hint="default"/>
        </w:rPr>
        <w:t>3C</w:t>
      </w:r>
      <w:r>
        <w:rPr/>
        <w:t>电子产业领域，其自成立以来，一直专注于锂电池正极材料前驱</w:t>
      </w:r>
    </w:p>
    <w:p>
      <w:pPr>
        <w:pStyle w:val="BodyText"/>
        <w:spacing w:line="319" w:lineRule="auto" w:before="13"/>
        <w:ind w:right="1048"/>
        <w:jc w:val="left"/>
      </w:pPr>
      <w:r>
        <w:rPr>
          <w:spacing w:val="-2"/>
        </w:rPr>
        <w:t>体的生产、研发及销售，凭借多年深耕锂电池正极材料前驱体领域的所积累的生产研发经验和优质的产品性能，已与韩国三</w:t>
      </w:r>
      <w:r>
        <w:rPr>
          <w:spacing w:val="-66"/>
        </w:rPr>
        <w:t> </w:t>
      </w:r>
      <w:r>
        <w:rPr>
          <w:spacing w:val="-66"/>
        </w:rPr>
      </w:r>
      <w:r>
        <w:rPr/>
        <w:t>星电子、北大先行旗下子公司泰丰先行、贝特瑞、江门科恒等国内外主要客户建立了良好的合作关系。</w:t>
      </w:r>
    </w:p>
    <w:p>
      <w:pPr>
        <w:pStyle w:val="BodyText"/>
        <w:spacing w:line="300" w:lineRule="auto" w:before="17"/>
        <w:ind w:left="514" w:right="1048"/>
        <w:jc w:val="left"/>
      </w:pPr>
      <w:r>
        <w:rPr>
          <w:rFonts w:ascii="Times New Roman" w:hAnsi="Times New Roman" w:cs="Times New Roman" w:eastAsia="Times New Roman" w:hint="default"/>
        </w:rPr>
        <w:t>2</w:t>
      </w:r>
      <w:r>
        <w:rPr/>
        <w:t>、行业发展趋势 </w:t>
      </w:r>
      <w:r>
        <w:rPr>
          <w:spacing w:val="-2"/>
        </w:rPr>
        <w:t>电动汽车的发展给电池级磷酸铁的成长带来了很大的市场空间，应用于动力锂电的正极材料在未来将保持快速增长。根</w:t>
      </w:r>
    </w:p>
    <w:p>
      <w:pPr>
        <w:pStyle w:val="BodyText"/>
        <w:spacing w:line="307" w:lineRule="auto" w:before="31"/>
        <w:ind w:right="1057"/>
        <w:jc w:val="left"/>
      </w:pPr>
      <w:r>
        <w:rPr/>
        <w:t>据</w:t>
      </w:r>
      <w:r>
        <w:rPr>
          <w:rFonts w:ascii="Times New Roman" w:hAnsi="Times New Roman" w:cs="Times New Roman" w:eastAsia="Times New Roman" w:hint="default"/>
        </w:rPr>
        <w:t>IIT</w:t>
      </w:r>
      <w:r>
        <w:rPr/>
        <w:t>对动力锂电的总容量需求的统计和预测：</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2013</w:t>
      </w:r>
      <w:r>
        <w:rPr/>
        <w:t>年动力锂电汽车对锂电池的总容量需求的复合增长率为</w:t>
      </w:r>
      <w:r>
        <w:rPr>
          <w:rFonts w:ascii="Times New Roman" w:hAnsi="Times New Roman" w:cs="Times New Roman" w:eastAsia="Times New Roman" w:hint="default"/>
        </w:rPr>
        <w:t>116.12%</w:t>
      </w:r>
      <w:r>
        <w:rPr/>
        <w:t>， </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2018</w:t>
      </w:r>
      <w:r>
        <w:rPr/>
        <w:t>年的复合增长率将保持在</w:t>
      </w:r>
      <w:r>
        <w:rPr>
          <w:rFonts w:ascii="Times New Roman" w:hAnsi="Times New Roman" w:cs="Times New Roman" w:eastAsia="Times New Roman" w:hint="default"/>
        </w:rPr>
        <w:t>26.04%</w:t>
      </w:r>
      <w:r>
        <w:rPr/>
        <w:t>；目前全球用于动力锂电的正极材料主要包括锰酸锂、三元材料以及磷酸亚铁</w:t>
      </w:r>
      <w:r>
        <w:rPr>
          <w:spacing w:val="-20"/>
        </w:rPr>
        <w:t> </w:t>
      </w:r>
      <w:r>
        <w:rPr>
          <w:spacing w:val="-20"/>
        </w:rPr>
      </w:r>
      <w:r>
        <w:rPr>
          <w:spacing w:val="-2"/>
        </w:rPr>
        <w:t>锂。在日本和韩国，电池制造商目前倾向于使用锰酸锂和三元材料作为锂电正极材料，而国内的电动汽车电池制造商倾向于</w:t>
      </w:r>
      <w:r>
        <w:rPr>
          <w:spacing w:val="-66"/>
        </w:rPr>
        <w:t> </w:t>
      </w:r>
      <w:r>
        <w:rPr>
          <w:spacing w:val="-66"/>
        </w:rPr>
      </w:r>
      <w:r>
        <w:rPr>
          <w:spacing w:val="11"/>
        </w:rPr>
        <w:t>使用磷酸亚铁锂。根据动力锂电的总容量需求及汽车锂电厂商对动力锂电正极材料的选择，以锰酸锂的能量密度约</w:t>
      </w:r>
      <w:r>
        <w:rPr>
          <w:spacing w:val="-51"/>
        </w:rPr>
        <w:t> </w:t>
      </w:r>
      <w:r>
        <w:rPr>
          <w:spacing w:val="-51"/>
        </w:rPr>
      </w:r>
      <w:r>
        <w:rPr>
          <w:rFonts w:ascii="Times New Roman" w:hAnsi="Times New Roman" w:cs="Times New Roman" w:eastAsia="Times New Roman" w:hint="default"/>
        </w:rPr>
        <w:t>370Wh/kg</w:t>
      </w:r>
      <w:r>
        <w:rPr/>
        <w:t>，磷酸亚铁锂的能量密度约</w:t>
      </w:r>
      <w:r>
        <w:rPr>
          <w:rFonts w:ascii="Times New Roman" w:hAnsi="Times New Roman" w:cs="Times New Roman" w:eastAsia="Times New Roman" w:hint="default"/>
        </w:rPr>
        <w:t>432Wh/kg</w:t>
      </w:r>
      <w:r>
        <w:rPr/>
        <w:t>，三元材料的能量密度约</w:t>
      </w:r>
      <w:r>
        <w:rPr>
          <w:rFonts w:ascii="Times New Roman" w:hAnsi="Times New Roman" w:cs="Times New Roman" w:eastAsia="Times New Roman" w:hint="default"/>
        </w:rPr>
        <w:t>525Wh/kg</w:t>
      </w:r>
      <w:r>
        <w:rPr/>
        <w:t>来测算，到</w:t>
      </w:r>
      <w:r>
        <w:rPr>
          <w:rFonts w:ascii="Times New Roman" w:hAnsi="Times New Roman" w:cs="Times New Roman" w:eastAsia="Times New Roman" w:hint="default"/>
        </w:rPr>
        <w:t>2019</w:t>
      </w:r>
      <w:r>
        <w:rPr/>
        <w:t>年，预计需要磷酸亚铁锂 正极材料</w:t>
      </w:r>
      <w:r>
        <w:rPr>
          <w:rFonts w:ascii="Times New Roman" w:hAnsi="Times New Roman" w:cs="Times New Roman" w:eastAsia="Times New Roman" w:hint="default"/>
        </w:rPr>
        <w:t>16</w:t>
      </w:r>
      <w:r>
        <w:rPr/>
        <w:t>万吨，即磷酸铁的市场需求量将达到</w:t>
      </w:r>
      <w:r>
        <w:rPr>
          <w:rFonts w:ascii="Times New Roman" w:hAnsi="Times New Roman" w:cs="Times New Roman" w:eastAsia="Times New Roman" w:hint="default"/>
        </w:rPr>
        <w:t>15.5~15.8</w:t>
      </w:r>
      <w:r>
        <w:rPr/>
        <w:t>万吨。</w:t>
      </w:r>
    </w:p>
    <w:p>
      <w:pPr>
        <w:spacing w:after="0" w:line="307" w:lineRule="auto"/>
        <w:jc w:val="left"/>
        <w:sectPr>
          <w:pgSz w:w="11910" w:h="16840"/>
          <w:pgMar w:header="747" w:footer="979" w:top="1060" w:bottom="1160" w:left="980" w:right="0"/>
        </w:sectPr>
      </w:pPr>
    </w:p>
    <w:p>
      <w:pPr>
        <w:spacing w:line="240" w:lineRule="auto" w:before="10"/>
        <w:rPr>
          <w:rFonts w:ascii="宋体" w:hAnsi="宋体" w:cs="宋体" w:eastAsia="宋体" w:hint="default"/>
          <w:sz w:val="29"/>
          <w:szCs w:val="29"/>
        </w:rPr>
      </w:pPr>
    </w:p>
    <w:p>
      <w:pPr>
        <w:spacing w:line="4335" w:lineRule="exact"/>
        <w:ind w:left="424"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82160" cy="275272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5" cstate="print"/>
                    <a:stretch>
                      <a:fillRect/>
                    </a:stretch>
                  </pic:blipFill>
                  <pic:spPr>
                    <a:xfrm>
                      <a:off x="0" y="0"/>
                      <a:ext cx="4582160" cy="2752725"/>
                    </a:xfrm>
                    <a:prstGeom prst="rect">
                      <a:avLst/>
                    </a:prstGeom>
                  </pic:spPr>
                </pic:pic>
              </a:graphicData>
            </a:graphic>
          </wp:inline>
        </w:drawing>
      </w:r>
      <w:r>
        <w:rPr>
          <w:rFonts w:ascii="宋体" w:hAnsi="宋体" w:cs="宋体" w:eastAsia="宋体" w:hint="default"/>
          <w:position w:val="-86"/>
          <w:sz w:val="20"/>
          <w:szCs w:val="20"/>
        </w:rPr>
      </w:r>
    </w:p>
    <w:p>
      <w:pPr>
        <w:pStyle w:val="BodyText"/>
        <w:spacing w:line="340" w:lineRule="auto" w:before="67"/>
        <w:ind w:left="424" w:right="7242" w:firstLine="73"/>
        <w:jc w:val="left"/>
      </w:pPr>
      <w:r>
        <w:rPr/>
        <w:t>数据来源：</w:t>
      </w:r>
      <w:r>
        <w:rPr>
          <w:rFonts w:ascii="Times New Roman" w:hAnsi="Times New Roman" w:cs="Times New Roman" w:eastAsia="Times New Roman" w:hint="default"/>
        </w:rPr>
        <w:t>IIT</w:t>
      </w:r>
      <w:r>
        <w:rPr/>
        <w:t>报告 全球动力锂电正极材料市场需求情况预测</w:t>
      </w:r>
    </w:p>
    <w:p>
      <w:pPr>
        <w:pStyle w:val="BodyText"/>
        <w:spacing w:line="309" w:lineRule="auto" w:before="39"/>
        <w:ind w:right="1129" w:firstLine="270"/>
        <w:jc w:val="both"/>
      </w:pPr>
      <w:r>
        <w:rPr/>
        <w:t>国内国际新能源汽车发展是必然趋势，图三是各车企燃油车停用时间表，图四是各个国家禁用燃油车时间表，我国交通 部在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日正式发布通知：</w:t>
      </w:r>
      <w:r>
        <w:rPr>
          <w:rFonts w:ascii="Times New Roman" w:hAnsi="Times New Roman" w:cs="Times New Roman" w:eastAsia="Times New Roman" w:hint="default"/>
        </w:rPr>
        <w:t>2020</w:t>
      </w:r>
      <w:r>
        <w:rPr/>
        <w:t>年底，重点城市燃油公交车全部更换为新能源汽车，这势必给予新能源汽车极大的</w:t>
      </w:r>
      <w:r>
        <w:rPr>
          <w:spacing w:val="-83"/>
        </w:rPr>
        <w:t> </w:t>
      </w:r>
      <w:r>
        <w:rPr>
          <w:spacing w:val="-83"/>
        </w:rPr>
      </w:r>
      <w:r>
        <w:rPr/>
        <w:t>发展空间。</w:t>
      </w:r>
    </w:p>
    <w:p>
      <w:pPr>
        <w:spacing w:line="240" w:lineRule="auto" w:before="2"/>
        <w:rPr>
          <w:rFonts w:ascii="宋体" w:hAnsi="宋体" w:cs="宋体" w:eastAsia="宋体" w:hint="default"/>
          <w:sz w:val="10"/>
          <w:szCs w:val="10"/>
        </w:rPr>
      </w:pPr>
    </w:p>
    <w:p>
      <w:pPr>
        <w:spacing w:line="4248" w:lineRule="exact"/>
        <w:ind w:left="424"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5378926" cy="2697480"/>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6" cstate="print"/>
                    <a:stretch>
                      <a:fillRect/>
                    </a:stretch>
                  </pic:blipFill>
                  <pic:spPr>
                    <a:xfrm>
                      <a:off x="0" y="0"/>
                      <a:ext cx="5378926" cy="2697480"/>
                    </a:xfrm>
                    <a:prstGeom prst="rect">
                      <a:avLst/>
                    </a:prstGeom>
                  </pic:spPr>
                </pic:pic>
              </a:graphicData>
            </a:graphic>
          </wp:inline>
        </w:drawing>
      </w:r>
      <w:r>
        <w:rPr>
          <w:rFonts w:ascii="宋体" w:hAnsi="宋体" w:cs="宋体" w:eastAsia="宋体" w:hint="default"/>
          <w:position w:val="-84"/>
          <w:sz w:val="20"/>
          <w:szCs w:val="20"/>
        </w:rPr>
      </w:r>
    </w:p>
    <w:p>
      <w:pPr>
        <w:pStyle w:val="BodyText"/>
        <w:tabs>
          <w:tab w:pos="1001" w:val="left" w:leader="none"/>
        </w:tabs>
        <w:spacing w:line="240" w:lineRule="auto" w:before="92"/>
        <w:ind w:left="424" w:right="1048"/>
        <w:jc w:val="left"/>
      </w:pPr>
      <w:r>
        <w:rPr/>
        <w:t>图三</w:t>
        <w:tab/>
        <w:t>各车企燃油车停售时间表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line="3175" w:lineRule="exact"/>
        <w:ind w:left="424" w:right="0" w:firstLine="0"/>
        <w:rPr>
          <w:rFonts w:ascii="宋体" w:hAnsi="宋体" w:cs="宋体" w:eastAsia="宋体" w:hint="default"/>
          <w:sz w:val="20"/>
          <w:szCs w:val="20"/>
        </w:rPr>
      </w:pPr>
      <w:r>
        <w:rPr>
          <w:rFonts w:ascii="宋体" w:hAnsi="宋体" w:cs="宋体" w:eastAsia="宋体" w:hint="default"/>
          <w:position w:val="-63"/>
          <w:sz w:val="20"/>
          <w:szCs w:val="20"/>
        </w:rPr>
        <w:drawing>
          <wp:inline distT="0" distB="0" distL="0" distR="0">
            <wp:extent cx="5210591" cy="2016632"/>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7" cstate="print"/>
                    <a:stretch>
                      <a:fillRect/>
                    </a:stretch>
                  </pic:blipFill>
                  <pic:spPr>
                    <a:xfrm>
                      <a:off x="0" y="0"/>
                      <a:ext cx="5210591" cy="2016632"/>
                    </a:xfrm>
                    <a:prstGeom prst="rect">
                      <a:avLst/>
                    </a:prstGeom>
                  </pic:spPr>
                </pic:pic>
              </a:graphicData>
            </a:graphic>
          </wp:inline>
        </w:drawing>
      </w:r>
      <w:r>
        <w:rPr>
          <w:rFonts w:ascii="宋体" w:hAnsi="宋体" w:cs="宋体" w:eastAsia="宋体" w:hint="default"/>
          <w:position w:val="-63"/>
          <w:sz w:val="20"/>
          <w:szCs w:val="20"/>
        </w:rPr>
      </w:r>
    </w:p>
    <w:p>
      <w:pPr>
        <w:spacing w:line="240" w:lineRule="auto" w:before="11"/>
        <w:rPr>
          <w:rFonts w:ascii="宋体" w:hAnsi="宋体" w:cs="宋体" w:eastAsia="宋体" w:hint="default"/>
          <w:sz w:val="9"/>
          <w:szCs w:val="9"/>
        </w:rPr>
      </w:pPr>
    </w:p>
    <w:p>
      <w:pPr>
        <w:pStyle w:val="BodyText"/>
        <w:spacing w:line="240" w:lineRule="auto" w:before="44"/>
        <w:ind w:left="424" w:right="1048"/>
        <w:jc w:val="left"/>
      </w:pPr>
      <w:r>
        <w:rPr/>
        <w:t>图四</w:t>
      </w:r>
      <w:r>
        <w:rPr>
          <w:spacing w:val="-19"/>
        </w:rPr>
        <w:t> </w:t>
      </w:r>
      <w:r>
        <w:rPr/>
        <w:t>各国家禁用燃油车时间表</w:t>
      </w:r>
    </w:p>
    <w:p>
      <w:pPr>
        <w:pStyle w:val="BodyText"/>
        <w:spacing w:line="338" w:lineRule="auto" w:before="117"/>
        <w:ind w:left="424" w:right="1048"/>
        <w:jc w:val="left"/>
      </w:pPr>
      <w:r>
        <w:rPr>
          <w:rFonts w:ascii="Times New Roman" w:hAnsi="Times New Roman" w:cs="Times New Roman" w:eastAsia="Times New Roman" w:hint="default"/>
        </w:rPr>
        <w:t>B.</w:t>
      </w:r>
      <w:r>
        <w:rPr/>
        <w:t>前驱体 </w:t>
      </w:r>
      <w:r>
        <w:rPr>
          <w:spacing w:val="-2"/>
        </w:rPr>
        <w:t>前驱体是雅城的主要产品。在现有生产线的基础上，公司拟通过募集资金建设</w:t>
      </w:r>
      <w:r>
        <w:rPr>
          <w:rFonts w:ascii="Times New Roman" w:hAnsi="Times New Roman" w:cs="Times New Roman" w:eastAsia="Times New Roman" w:hint="default"/>
          <w:spacing w:val="-2"/>
        </w:rPr>
        <w:t>2</w:t>
      </w:r>
      <w:r>
        <w:rPr>
          <w:spacing w:val="-2"/>
        </w:rPr>
        <w:t>万吨磷酸铁生产线，进一步巩固在领域的</w:t>
      </w:r>
    </w:p>
    <w:p>
      <w:pPr>
        <w:pStyle w:val="BodyText"/>
        <w:spacing w:line="218" w:lineRule="exact"/>
        <w:ind w:right="1048"/>
        <w:jc w:val="left"/>
      </w:pPr>
      <w:r>
        <w:rPr/>
        <w:t>市场地位。</w:t>
      </w:r>
    </w:p>
    <w:p>
      <w:pPr>
        <w:spacing w:line="240" w:lineRule="auto" w:before="3"/>
        <w:rPr>
          <w:rFonts w:ascii="宋体" w:hAnsi="宋体" w:cs="宋体" w:eastAsia="宋体" w:hint="default"/>
          <w:sz w:val="11"/>
          <w:szCs w:val="11"/>
        </w:rPr>
      </w:pPr>
    </w:p>
    <w:p>
      <w:pPr>
        <w:spacing w:line="3036" w:lineRule="exact"/>
        <w:ind w:left="424"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4711700" cy="1927860"/>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18" cstate="print"/>
                    <a:stretch>
                      <a:fillRect/>
                    </a:stretch>
                  </pic:blipFill>
                  <pic:spPr>
                    <a:xfrm>
                      <a:off x="0" y="0"/>
                      <a:ext cx="4711700" cy="1927860"/>
                    </a:xfrm>
                    <a:prstGeom prst="rect">
                      <a:avLst/>
                    </a:prstGeom>
                  </pic:spPr>
                </pic:pic>
              </a:graphicData>
            </a:graphic>
          </wp:inline>
        </w:drawing>
      </w:r>
      <w:r>
        <w:rPr>
          <w:rFonts w:ascii="宋体" w:hAnsi="宋体" w:cs="宋体" w:eastAsia="宋体" w:hint="default"/>
          <w:position w:val="-60"/>
          <w:sz w:val="20"/>
          <w:szCs w:val="20"/>
        </w:rPr>
      </w:r>
    </w:p>
    <w:p>
      <w:pPr>
        <w:pStyle w:val="BodyText"/>
        <w:spacing w:line="240" w:lineRule="auto" w:before="94"/>
        <w:ind w:left="424" w:right="1048"/>
        <w:jc w:val="left"/>
        <w:rPr>
          <w:rFonts w:ascii="Times New Roman" w:hAnsi="Times New Roman" w:cs="Times New Roman" w:eastAsia="Times New Roman" w:hint="default"/>
        </w:rPr>
      </w:pPr>
      <w:r>
        <w:rPr/>
        <w:t>资料来源：</w:t>
      </w:r>
      <w:r>
        <w:rPr>
          <w:rFonts w:ascii="Times New Roman" w:hAnsi="Times New Roman" w:cs="Times New Roman" w:eastAsia="Times New Roman" w:hint="default"/>
        </w:rPr>
        <w:t>EVTank</w:t>
      </w:r>
    </w:p>
    <w:p>
      <w:pPr>
        <w:spacing w:line="240" w:lineRule="auto" w:before="0"/>
        <w:rPr>
          <w:rFonts w:ascii="Times New Roman" w:hAnsi="Times New Roman" w:cs="Times New Roman" w:eastAsia="Times New Roman" w:hint="default"/>
          <w:sz w:val="18"/>
          <w:szCs w:val="18"/>
        </w:rPr>
      </w:pPr>
    </w:p>
    <w:p>
      <w:pPr>
        <w:pStyle w:val="Heading2"/>
        <w:spacing w:line="240" w:lineRule="auto" w:before="106"/>
        <w:ind w:right="1048"/>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8"/>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29"/>
      </w:tblGrid>
      <w:tr>
        <w:trPr>
          <w:trHeight w:val="186"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本期投资天津市茂联科技有限公司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332,881,818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开发支出转无形资产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13,141,190.88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雅城在建工程项目增加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11,931,245.29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b/>
          <w:bCs/>
          <w:sz w:val="19"/>
          <w:szCs w:val="19"/>
        </w:rPr>
      </w:pPr>
    </w:p>
    <w:p>
      <w:pPr>
        <w:pStyle w:val="Heading3"/>
        <w:spacing w:line="240" w:lineRule="auto" w:before="35"/>
        <w:ind w:right="1048"/>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048"/>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spacing w:before="28"/>
        <w:ind w:left="514" w:right="1048" w:firstLine="0"/>
        <w:jc w:val="left"/>
        <w:rPr>
          <w:rFonts w:ascii="宋体" w:hAnsi="宋体" w:cs="宋体" w:eastAsia="宋体" w:hint="default"/>
          <w:sz w:val="18"/>
          <w:szCs w:val="18"/>
        </w:rPr>
      </w:pPr>
      <w:r>
        <w:rPr>
          <w:rFonts w:ascii="宋体" w:hAnsi="宋体" w:cs="宋体" w:eastAsia="宋体" w:hint="default"/>
          <w:b/>
          <w:bCs/>
          <w:sz w:val="18"/>
          <w:szCs w:val="18"/>
        </w:rPr>
        <w:t>电力板块</w:t>
      </w:r>
      <w:r>
        <w:rPr>
          <w:rFonts w:ascii="宋体" w:hAnsi="宋体" w:cs="宋体" w:eastAsia="宋体" w:hint="default"/>
          <w:sz w:val="18"/>
          <w:szCs w:val="18"/>
        </w:rPr>
      </w:r>
    </w:p>
    <w:p>
      <w:pPr>
        <w:pStyle w:val="BodyText"/>
        <w:spacing w:line="300" w:lineRule="auto" w:before="76"/>
        <w:ind w:left="514" w:right="0"/>
        <w:jc w:val="left"/>
      </w:pPr>
      <w:r>
        <w:rPr>
          <w:rFonts w:ascii="Times New Roman" w:hAnsi="Times New Roman" w:cs="Times New Roman" w:eastAsia="Times New Roman" w:hint="default"/>
        </w:rPr>
        <w:t>(</w:t>
      </w:r>
      <w:r>
        <w:rPr/>
        <w:t>一）持续的研发创新能力</w:t>
      </w:r>
      <w:r>
        <w:rPr>
          <w:w w:val="99"/>
        </w:rPr>
        <w:t> </w:t>
      </w:r>
      <w:r>
        <w:rPr>
          <w:spacing w:val="-3"/>
        </w:rPr>
        <w:t>公司明确了</w:t>
      </w:r>
      <w:r>
        <w:rPr>
          <w:rFonts w:ascii="Times New Roman" w:hAnsi="Times New Roman" w:cs="Times New Roman" w:eastAsia="Times New Roman" w:hint="default"/>
          <w:spacing w:val="-3"/>
        </w:rPr>
        <w:t>“</w:t>
      </w:r>
      <w:r>
        <w:rPr>
          <w:spacing w:val="-3"/>
        </w:rPr>
        <w:t>专注户外、领先半步</w:t>
      </w:r>
      <w:r>
        <w:rPr>
          <w:rFonts w:ascii="Times New Roman" w:hAnsi="Times New Roman" w:cs="Times New Roman" w:eastAsia="Times New Roman" w:hint="default"/>
          <w:spacing w:val="-3"/>
        </w:rPr>
        <w:t>”</w:t>
      </w:r>
      <w:r>
        <w:rPr>
          <w:spacing w:val="-3"/>
        </w:rPr>
        <w:t>的研发战略，本着</w:t>
      </w:r>
      <w:r>
        <w:rPr>
          <w:rFonts w:ascii="Times New Roman" w:hAnsi="Times New Roman" w:cs="Times New Roman" w:eastAsia="Times New Roman" w:hint="default"/>
          <w:spacing w:val="-3"/>
        </w:rPr>
        <w:t>“</w:t>
      </w:r>
      <w:r>
        <w:rPr>
          <w:spacing w:val="-3"/>
        </w:rPr>
        <w:t>生产一代、储备一代、研发一代</w:t>
      </w:r>
      <w:r>
        <w:rPr>
          <w:rFonts w:ascii="Times New Roman" w:hAnsi="Times New Roman" w:cs="Times New Roman" w:eastAsia="Times New Roman" w:hint="default"/>
          <w:spacing w:val="-3"/>
        </w:rPr>
        <w:t>”</w:t>
      </w:r>
      <w:r>
        <w:rPr>
          <w:spacing w:val="-3"/>
        </w:rPr>
        <w:t>的原则，在户外配电产品小型化、</w:t>
      </w:r>
    </w:p>
    <w:p>
      <w:pPr>
        <w:pStyle w:val="BodyText"/>
        <w:spacing w:line="307" w:lineRule="auto" w:before="13"/>
        <w:ind w:right="1042"/>
        <w:jc w:val="left"/>
      </w:pPr>
      <w:r>
        <w:rPr>
          <w:spacing w:val="-4"/>
        </w:rPr>
        <w:t>免维护、智能化的相关技术领域进行了适度前瞻性的技术研究和产品研发，储备了许多可以较快进入这些领域的技术和产品，</w:t>
      </w:r>
      <w:r>
        <w:rPr>
          <w:spacing w:val="-44"/>
        </w:rPr>
        <w:t> </w:t>
      </w:r>
      <w:r>
        <w:rPr>
          <w:spacing w:val="-44"/>
        </w:rPr>
      </w:r>
      <w:r>
        <w:rPr/>
        <w:t>如智能快速开关、大电流充气式环网柜、新一代智能环网柜、</w:t>
      </w:r>
      <w:r>
        <w:rPr>
          <w:rFonts w:ascii="Times New Roman" w:hAnsi="Times New Roman" w:cs="Times New Roman" w:eastAsia="Times New Roman" w:hint="default"/>
        </w:rPr>
        <w:t>12</w:t>
      </w:r>
      <w:r>
        <w:rPr/>
        <w:t>～</w:t>
      </w:r>
      <w:r>
        <w:rPr>
          <w:rFonts w:ascii="Times New Roman" w:hAnsi="Times New Roman" w:cs="Times New Roman" w:eastAsia="Times New Roman" w:hint="default"/>
        </w:rPr>
        <w:t>24kV</w:t>
      </w:r>
      <w:r>
        <w:rPr/>
        <w:t>固体绝缘环网柜、小型化真空环网柜、</w:t>
      </w:r>
      <w:r>
        <w:rPr>
          <w:rFonts w:ascii="Times New Roman" w:hAnsi="Times New Roman" w:cs="Times New Roman" w:eastAsia="Times New Roman" w:hint="default"/>
        </w:rPr>
        <w:t>12-24kV</w:t>
      </w:r>
      <w:r>
        <w:rPr/>
        <w:t>氮气 绝缘共箱式环网柜、户外配电设备数字采集装置、</w:t>
      </w:r>
      <w:r>
        <w:rPr>
          <w:rFonts w:ascii="Times New Roman" w:hAnsi="Times New Roman" w:cs="Times New Roman" w:eastAsia="Times New Roman" w:hint="default"/>
        </w:rPr>
        <w:t>27.5/55kV</w:t>
      </w:r>
      <w:r>
        <w:rPr/>
        <w:t>高铁牵引系统开关设备、电气化铁路运用所户外箱式地面电源</w:t>
      </w:r>
      <w:r>
        <w:rPr>
          <w:spacing w:val="-48"/>
        </w:rPr>
        <w:t> </w:t>
      </w:r>
      <w:r>
        <w:rPr>
          <w:spacing w:val="-48"/>
        </w:rPr>
      </w:r>
      <w:r>
        <w:rPr/>
        <w:t>等。这些储备技术和产品是公司未来持续发展的动力。</w:t>
      </w:r>
    </w:p>
    <w:p>
      <w:pPr>
        <w:pStyle w:val="BodyText"/>
        <w:spacing w:line="240" w:lineRule="auto" w:before="26"/>
        <w:ind w:left="371" w:right="1048"/>
        <w:jc w:val="left"/>
      </w:pPr>
      <w:r>
        <w:rPr/>
        <w:t>（二）市场优势</w:t>
      </w:r>
    </w:p>
    <w:p>
      <w:pPr>
        <w:pStyle w:val="BodyText"/>
        <w:spacing w:line="240" w:lineRule="auto" w:before="76"/>
        <w:ind w:left="569" w:right="1048"/>
        <w:jc w:val="left"/>
      </w:pPr>
      <w:r>
        <w:rPr>
          <w:rFonts w:ascii="Times New Roman" w:hAnsi="Times New Roman" w:cs="Times New Roman" w:eastAsia="Times New Roman" w:hint="default"/>
        </w:rPr>
        <w:t>1</w:t>
      </w:r>
      <w:r>
        <w:rPr/>
        <w:t>、细分市场的比较优势</w:t>
      </w:r>
    </w:p>
    <w:p>
      <w:pPr>
        <w:pStyle w:val="BodyText"/>
        <w:spacing w:line="300" w:lineRule="auto" w:before="63"/>
        <w:ind w:right="1130" w:firstLine="450"/>
        <w:jc w:val="both"/>
      </w:pPr>
      <w:r>
        <w:rPr/>
        <w:t>目前公司的业务主要集中于电网市场，</w:t>
      </w:r>
      <w:r>
        <w:rPr>
          <w:spacing w:val="-18"/>
        </w:rPr>
        <w:t> </w:t>
      </w:r>
      <w:r>
        <w:rPr>
          <w:spacing w:val="-2"/>
        </w:rPr>
        <w:t>遍及我国</w:t>
      </w:r>
      <w:r>
        <w:rPr>
          <w:rFonts w:ascii="Times New Roman" w:hAnsi="Times New Roman" w:cs="Times New Roman" w:eastAsia="Times New Roman" w:hint="default"/>
          <w:spacing w:val="-2"/>
        </w:rPr>
        <w:t>29</w:t>
      </w:r>
      <w:r>
        <w:rPr>
          <w:spacing w:val="-2"/>
        </w:rPr>
        <w:t>个省市自治区，在广东、江苏、山东、广东、河南、河北等区域拥</w:t>
      </w:r>
      <w:r>
        <w:rPr/>
        <w:t> 有较为雄厚的市场基础，根据公司自行统计的数据，在近</w:t>
      </w:r>
      <w:r>
        <w:rPr>
          <w:rFonts w:ascii="Times New Roman" w:hAnsi="Times New Roman" w:cs="Times New Roman" w:eastAsia="Times New Roman" w:hint="default"/>
        </w:rPr>
        <w:t>5</w:t>
      </w:r>
      <w:r>
        <w:rPr/>
        <w:t>年国家电网和南方电网年度招投标的中标企业排名中，公司都保</w:t>
      </w:r>
      <w:r>
        <w:rPr>
          <w:spacing w:val="-83"/>
        </w:rPr>
        <w:t> </w:t>
      </w:r>
      <w:r>
        <w:rPr>
          <w:spacing w:val="-83"/>
        </w:rPr>
      </w:r>
      <w:r>
        <w:rPr/>
        <w:t>持前三名的水平。</w:t>
      </w:r>
    </w:p>
    <w:p>
      <w:pPr>
        <w:pStyle w:val="BodyText"/>
        <w:spacing w:line="300" w:lineRule="auto" w:before="31"/>
        <w:ind w:left="514" w:right="1048" w:firstLine="57"/>
        <w:jc w:val="left"/>
      </w:pPr>
      <w:r>
        <w:rPr>
          <w:rFonts w:ascii="Times New Roman" w:hAnsi="Times New Roman" w:cs="Times New Roman" w:eastAsia="Times New Roman" w:hint="default"/>
        </w:rPr>
        <w:t>2</w:t>
      </w:r>
      <w:r>
        <w:rPr/>
        <w:t>、较高的产品认可度和品牌认知度 </w:t>
      </w:r>
      <w:r>
        <w:rPr>
          <w:spacing w:val="-2"/>
        </w:rPr>
        <w:t>公司凭借满足客户需求的产品设计、稳定可靠的产品质量、优质的售后服务逐渐获得了客户的认可。公司产品用于电力</w:t>
      </w:r>
    </w:p>
    <w:p>
      <w:pPr>
        <w:pStyle w:val="BodyText"/>
        <w:spacing w:line="312" w:lineRule="auto" w:before="31"/>
        <w:ind w:right="1035"/>
        <w:jc w:val="left"/>
      </w:pPr>
      <w:r>
        <w:rPr>
          <w:spacing w:val="-3"/>
        </w:rPr>
        <w:t>市场的部分重要项目包括</w:t>
      </w:r>
      <w:r>
        <w:rPr>
          <w:rFonts w:ascii="Times New Roman" w:hAnsi="Times New Roman" w:cs="Times New Roman" w:eastAsia="Times New Roman" w:hint="default"/>
          <w:spacing w:val="-3"/>
        </w:rPr>
        <w:t>2018</w:t>
      </w:r>
      <w:r>
        <w:rPr>
          <w:spacing w:val="-3"/>
        </w:rPr>
        <w:t>年青岛上合峰会、</w:t>
      </w:r>
      <w:r>
        <w:rPr>
          <w:rFonts w:ascii="Times New Roman" w:hAnsi="Times New Roman" w:cs="Times New Roman" w:eastAsia="Times New Roman" w:hint="default"/>
          <w:spacing w:val="-3"/>
        </w:rPr>
        <w:t>2009</w:t>
      </w:r>
      <w:r>
        <w:rPr>
          <w:spacing w:val="-3"/>
        </w:rPr>
        <w:t>年济南全运会保电项目、</w:t>
      </w:r>
      <w:r>
        <w:rPr>
          <w:rFonts w:ascii="Times New Roman" w:hAnsi="Times New Roman" w:cs="Times New Roman" w:eastAsia="Times New Roman" w:hint="default"/>
          <w:spacing w:val="-3"/>
        </w:rPr>
        <w:t>2008</w:t>
      </w:r>
      <w:r>
        <w:rPr>
          <w:spacing w:val="-3"/>
        </w:rPr>
        <w:t>年涉奥保电项目、苏通长江大桥路电项目、</w:t>
      </w:r>
      <w:r>
        <w:rPr>
          <w:spacing w:val="-81"/>
        </w:rPr>
        <w:t> </w:t>
      </w:r>
      <w:r>
        <w:rPr>
          <w:spacing w:val="-81"/>
        </w:rPr>
      </w:r>
      <w:r>
        <w:rPr>
          <w:spacing w:val="-2"/>
        </w:rPr>
        <w:t>南京长江三桥路电项目、天津机场空客总装线配套工程、天津滨海国际机场二期扩建工程、青岛海底隧道工程等。公司产品</w:t>
      </w:r>
      <w:r>
        <w:rPr>
          <w:spacing w:val="-66"/>
        </w:rPr>
        <w:t> </w:t>
      </w:r>
      <w:r>
        <w:rPr>
          <w:spacing w:val="-66"/>
        </w:rPr>
      </w:r>
      <w:r>
        <w:rPr>
          <w:spacing w:val="-2"/>
        </w:rPr>
        <w:t>用于铁路工程的部分重要项目有京九铁路、向莆铁路、昌九铁路、龙厦铁路、哈齐铁路等。此外，公司的产品还应用于青海</w:t>
      </w:r>
      <w:r>
        <w:rPr>
          <w:spacing w:val="-67"/>
        </w:rPr>
        <w:t> </w:t>
      </w:r>
      <w:r>
        <w:rPr>
          <w:spacing w:val="-67"/>
        </w:rPr>
      </w:r>
      <w:r>
        <w:rPr>
          <w:spacing w:val="-2"/>
        </w:rPr>
        <w:t>格尔木油田、青藏铁路那曲物流中心、冀东油田、齐齐哈尔至海拉尔铁路工程等高寒、高原地区。不仅国内，公司的产品在</w:t>
      </w:r>
      <w:r>
        <w:rPr>
          <w:spacing w:val="-67"/>
        </w:rPr>
        <w:t> </w:t>
      </w:r>
      <w:r>
        <w:rPr>
          <w:spacing w:val="-67"/>
        </w:rPr>
      </w:r>
      <w:r>
        <w:rPr/>
        <w:t>海外也得到了客户的认可，目前公司参与的海外项目有埃塞俄比亚箱变项目、肯尼亚</w:t>
      </w:r>
      <w:r>
        <w:rPr>
          <w:rFonts w:ascii="Times New Roman" w:hAnsi="Times New Roman" w:cs="Times New Roman" w:eastAsia="Times New Roman" w:hint="default"/>
        </w:rPr>
        <w:t>“</w:t>
      </w:r>
      <w:r>
        <w:rPr/>
        <w:t>世纪工程</w:t>
      </w:r>
      <w:r>
        <w:rPr>
          <w:rFonts w:ascii="Times New Roman" w:hAnsi="Times New Roman" w:cs="Times New Roman" w:eastAsia="Times New Roman" w:hint="default"/>
        </w:rPr>
        <w:t>”</w:t>
      </w:r>
      <w:r>
        <w:rPr/>
        <w:t>蒙内铁路、印度古吉拉特项 目、印度孟买</w:t>
      </w:r>
      <w:r>
        <w:rPr>
          <w:rFonts w:ascii="Times New Roman" w:hAnsi="Times New Roman" w:cs="Times New Roman" w:eastAsia="Times New Roman" w:hint="default"/>
        </w:rPr>
        <w:t>MULUND</w:t>
      </w:r>
      <w:r>
        <w:rPr/>
        <w:t>变电站项目、刚果</w:t>
      </w:r>
      <w:r>
        <w:rPr>
          <w:rFonts w:ascii="Times New Roman" w:hAnsi="Times New Roman" w:cs="Times New Roman" w:eastAsia="Times New Roman" w:hint="default"/>
        </w:rPr>
        <w:t>(</w:t>
      </w:r>
      <w:r>
        <w:rPr/>
        <w:t>金</w:t>
      </w:r>
      <w:r>
        <w:rPr>
          <w:rFonts w:ascii="Times New Roman" w:hAnsi="Times New Roman" w:cs="Times New Roman" w:eastAsia="Times New Roman" w:hint="default"/>
        </w:rPr>
        <w:t>)Deziw</w:t>
      </w:r>
      <w:r>
        <w:rPr/>
        <w:t>铜钴矿项目等。</w:t>
      </w:r>
    </w:p>
    <w:p>
      <w:pPr>
        <w:pStyle w:val="BodyText"/>
        <w:spacing w:line="240" w:lineRule="auto" w:before="3"/>
        <w:ind w:left="506" w:right="1048"/>
        <w:jc w:val="left"/>
      </w:pPr>
      <w:r>
        <w:rPr/>
        <w:t>（三）团队管理优势</w:t>
      </w:r>
    </w:p>
    <w:p>
      <w:pPr>
        <w:pStyle w:val="BodyText"/>
        <w:spacing w:line="300" w:lineRule="auto" w:before="76"/>
        <w:ind w:left="514" w:right="1048" w:hanging="15"/>
        <w:jc w:val="left"/>
      </w:pPr>
      <w:r>
        <w:rPr>
          <w:rFonts w:ascii="Times New Roman" w:hAnsi="Times New Roman" w:cs="Times New Roman" w:eastAsia="Times New Roman" w:hint="default"/>
        </w:rPr>
        <w:t>1</w:t>
      </w:r>
      <w:r>
        <w:rPr/>
        <w:t>、优秀的技术与管理团队 </w:t>
      </w:r>
      <w:r>
        <w:rPr>
          <w:spacing w:val="-2"/>
        </w:rPr>
        <w:t>公司自成立以来一直注重人才的储备和管理制度的创新，公司的技术中心是北京市级（省部级）研发中心。公司的董事</w:t>
      </w:r>
    </w:p>
    <w:p>
      <w:pPr>
        <w:pStyle w:val="BodyText"/>
        <w:spacing w:line="300" w:lineRule="auto" w:before="31"/>
        <w:ind w:right="1048"/>
        <w:jc w:val="left"/>
      </w:pPr>
      <w:r>
        <w:rPr>
          <w:spacing w:val="-5"/>
        </w:rPr>
        <w:t>会和管理层成员，普遍具备十年以上的电力行业从业经验或多年财务、管理经验。公司员工队伍的结构也在持续优化，到</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年底，公司电力板块拥有本科学历的员工数量达到了</w:t>
      </w:r>
      <w:r>
        <w:rPr>
          <w:rFonts w:ascii="Times New Roman" w:hAnsi="Times New Roman" w:cs="Times New Roman" w:eastAsia="Times New Roman" w:hint="default"/>
        </w:rPr>
        <w:t>323</w:t>
      </w:r>
      <w:r>
        <w:rPr/>
        <w:t>人，占比</w:t>
      </w:r>
      <w:r>
        <w:rPr>
          <w:rFonts w:ascii="Times New Roman" w:hAnsi="Times New Roman" w:cs="Times New Roman" w:eastAsia="Times New Roman" w:hint="default"/>
        </w:rPr>
        <w:t>24.79%</w:t>
      </w:r>
      <w:r>
        <w:rPr/>
        <w:t>，研究生及以上学历的</w:t>
      </w:r>
      <w:r>
        <w:rPr>
          <w:rFonts w:ascii="Times New Roman" w:hAnsi="Times New Roman" w:cs="Times New Roman" w:eastAsia="Times New Roman" w:hint="default"/>
        </w:rPr>
        <w:t>29</w:t>
      </w:r>
      <w:r>
        <w:rPr/>
        <w:t>人，占比</w:t>
      </w:r>
      <w:r>
        <w:rPr>
          <w:rFonts w:ascii="Times New Roman" w:hAnsi="Times New Roman" w:cs="Times New Roman" w:eastAsia="Times New Roman" w:hint="default"/>
        </w:rPr>
        <w:t>2.23%</w:t>
      </w:r>
      <w:r>
        <w:rPr/>
        <w:t>。</w:t>
      </w:r>
    </w:p>
    <w:p>
      <w:pPr>
        <w:pStyle w:val="BodyText"/>
        <w:spacing w:line="300" w:lineRule="auto" w:before="13"/>
        <w:ind w:left="514" w:right="1048"/>
        <w:jc w:val="left"/>
      </w:pPr>
      <w:r>
        <w:rPr>
          <w:rFonts w:ascii="Times New Roman" w:hAnsi="Times New Roman" w:cs="Times New Roman" w:eastAsia="Times New Roman" w:hint="default"/>
        </w:rPr>
        <w:t>2</w:t>
      </w:r>
      <w:r>
        <w:rPr/>
        <w:t>、先进的业务管理模式 </w:t>
      </w:r>
      <w:r>
        <w:rPr>
          <w:spacing w:val="-2"/>
        </w:rPr>
        <w:t>公司采用大区经理、省区经理、销售工程师三级业务管理模式，由公司营销总部统一部署业务开拓和市场营销工作，在</w:t>
      </w:r>
    </w:p>
    <w:p>
      <w:pPr>
        <w:pStyle w:val="BodyText"/>
        <w:spacing w:line="316" w:lineRule="auto" w:before="31"/>
        <w:ind w:right="1048"/>
        <w:jc w:val="left"/>
      </w:pPr>
      <w:r>
        <w:rPr>
          <w:spacing w:val="-2"/>
        </w:rPr>
        <w:t>各大区、省区，强调团队之间的协同合作，避免单一业务人员掌握过多市场资源及各自为战和的局面。这种管理模式，大幅</w:t>
      </w:r>
      <w:r>
        <w:rPr>
          <w:spacing w:val="-66"/>
        </w:rPr>
        <w:t> </w:t>
      </w:r>
      <w:r>
        <w:rPr>
          <w:spacing w:val="-66"/>
        </w:rPr>
      </w:r>
      <w:r>
        <w:rPr/>
        <w:t>度稳定了销售队伍，同时从制度上有效地规范了公司的营销业务，确保了销售业绩的稳步提高。</w:t>
      </w:r>
    </w:p>
    <w:p>
      <w:pPr>
        <w:pStyle w:val="BodyText"/>
        <w:spacing w:line="316" w:lineRule="auto" w:before="19"/>
        <w:ind w:left="527" w:right="1048" w:hanging="173"/>
        <w:jc w:val="left"/>
      </w:pPr>
      <w:r>
        <w:rPr/>
        <w:t>（四）产业链优势 公司已经着手打造完善的行业产业链，通过资本运作和战略合作的方式，快速介入设计咨询、电力工程总包、运维服</w:t>
      </w:r>
    </w:p>
    <w:p>
      <w:pPr>
        <w:pStyle w:val="BodyText"/>
        <w:spacing w:line="300" w:lineRule="auto" w:before="19"/>
        <w:ind w:left="454" w:right="3222" w:hanging="300"/>
        <w:jc w:val="left"/>
        <w:rPr>
          <w:rFonts w:ascii="宋体" w:hAnsi="宋体" w:cs="宋体" w:eastAsia="宋体" w:hint="default"/>
        </w:rPr>
      </w:pPr>
      <w:r>
        <w:rPr/>
        <w:t>务等领域的业务，公司正式成立了</w:t>
      </w:r>
      <w:r>
        <w:rPr>
          <w:rFonts w:ascii="Times New Roman" w:hAnsi="Times New Roman" w:cs="Times New Roman" w:eastAsia="Times New Roman" w:hint="default"/>
        </w:rPr>
        <w:t>EPC</w:t>
      </w:r>
      <w:r>
        <w:rPr/>
        <w:t>事业部，正逐步由单一的设备提供商向综合服务商转变。 </w:t>
      </w:r>
      <w:r>
        <w:rPr>
          <w:rFonts w:ascii="宋体" w:hAnsi="宋体" w:cs="宋体" w:eastAsia="宋体" w:hint="default"/>
          <w:b/>
          <w:bCs/>
        </w:rPr>
        <w:t>新能源材料板块</w:t>
      </w:r>
      <w:r>
        <w:rPr>
          <w:rFonts w:ascii="宋体" w:hAnsi="宋体" w:cs="宋体" w:eastAsia="宋体" w:hint="default"/>
        </w:rPr>
      </w:r>
    </w:p>
    <w:p>
      <w:pPr>
        <w:pStyle w:val="BodyText"/>
        <w:spacing w:line="357" w:lineRule="auto" w:before="72"/>
        <w:ind w:left="514" w:right="1048" w:hanging="215"/>
        <w:jc w:val="left"/>
      </w:pPr>
      <w:r>
        <w:rPr/>
        <w:t>（一）技术与产品优势 </w:t>
      </w:r>
      <w:r>
        <w:rPr>
          <w:spacing w:val="-2"/>
        </w:rPr>
        <w:t>湖南雅城拥有独立的研发机构，以自主研发为主、对外技术合作为辅。</w:t>
      </w:r>
      <w:r>
        <w:rPr>
          <w:rFonts w:ascii="Times New Roman" w:hAnsi="Times New Roman" w:cs="Times New Roman" w:eastAsia="Times New Roman" w:hint="default"/>
          <w:spacing w:val="-2"/>
        </w:rPr>
        <w:t>2016</w:t>
      </w:r>
      <w:r>
        <w:rPr>
          <w:spacing w:val="-2"/>
        </w:rPr>
        <w:t>年，湖南雅城的研发机构被评为省级研发机</w:t>
      </w:r>
    </w:p>
    <w:p>
      <w:pPr>
        <w:pStyle w:val="BodyText"/>
        <w:spacing w:line="214" w:lineRule="exact"/>
        <w:ind w:right="0"/>
        <w:jc w:val="left"/>
      </w:pPr>
      <w:r>
        <w:rPr>
          <w:spacing w:val="-3"/>
        </w:rPr>
        <w:t>构，目前，湖南雅城已申请发明专利</w:t>
      </w:r>
      <w:r>
        <w:rPr>
          <w:rFonts w:ascii="Times New Roman" w:hAnsi="Times New Roman" w:cs="Times New Roman" w:eastAsia="Times New Roman" w:hint="default"/>
          <w:spacing w:val="-3"/>
        </w:rPr>
        <w:t>17</w:t>
      </w:r>
      <w:r>
        <w:rPr>
          <w:spacing w:val="-3"/>
        </w:rPr>
        <w:t>项，其中授权</w:t>
      </w:r>
      <w:r>
        <w:rPr>
          <w:rFonts w:ascii="Times New Roman" w:hAnsi="Times New Roman" w:cs="Times New Roman" w:eastAsia="Times New Roman" w:hint="default"/>
          <w:spacing w:val="-3"/>
        </w:rPr>
        <w:t>5</w:t>
      </w:r>
      <w:r>
        <w:rPr>
          <w:spacing w:val="-3"/>
        </w:rPr>
        <w:t>项，</w:t>
      </w:r>
      <w:r>
        <w:rPr>
          <w:rFonts w:ascii="Times New Roman" w:hAnsi="Times New Roman" w:cs="Times New Roman" w:eastAsia="Times New Roman" w:hint="default"/>
          <w:spacing w:val="-3"/>
        </w:rPr>
        <w:t>6</w:t>
      </w:r>
      <w:r>
        <w:rPr>
          <w:spacing w:val="-3"/>
        </w:rPr>
        <w:t>项正在实质审查阶段；申请实用新型专利</w:t>
      </w:r>
      <w:r>
        <w:rPr>
          <w:rFonts w:ascii="Times New Roman" w:hAnsi="Times New Roman" w:cs="Times New Roman" w:eastAsia="Times New Roman" w:hint="default"/>
          <w:spacing w:val="-3"/>
        </w:rPr>
        <w:t>27</w:t>
      </w:r>
      <w:r>
        <w:rPr>
          <w:spacing w:val="-3"/>
        </w:rPr>
        <w:t>项，授权</w:t>
      </w:r>
      <w:r>
        <w:rPr>
          <w:rFonts w:ascii="Times New Roman" w:hAnsi="Times New Roman" w:cs="Times New Roman" w:eastAsia="Times New Roman" w:hint="default"/>
          <w:spacing w:val="-3"/>
        </w:rPr>
        <w:t>27</w:t>
      </w:r>
      <w:r>
        <w:rPr>
          <w:spacing w:val="-3"/>
        </w:rPr>
        <w:t>项。同时，</w:t>
      </w:r>
    </w:p>
    <w:p>
      <w:pPr>
        <w:pStyle w:val="BodyText"/>
        <w:spacing w:line="316" w:lineRule="auto" w:before="63"/>
        <w:ind w:left="514" w:right="1048" w:hanging="360"/>
        <w:jc w:val="left"/>
      </w:pPr>
      <w:r>
        <w:rPr/>
        <w:t>湖南雅城还十分重视同科研机构、大专院校的产学研合作，如与中南大学和长沙矿冶研究院的产学研合作。 </w:t>
      </w:r>
      <w:r>
        <w:rPr>
          <w:spacing w:val="-2"/>
        </w:rPr>
        <w:t>通过湖南雅城的自主研发，湖南雅城拥有钴酸锂前驱体全系列产品、磷酸铁锂前驱体全系列产品，磷酸铁锰锂前驱体以</w:t>
      </w:r>
    </w:p>
    <w:p>
      <w:pPr>
        <w:pStyle w:val="BodyText"/>
        <w:spacing w:line="240" w:lineRule="auto" w:before="19"/>
        <w:ind w:right="1048"/>
        <w:jc w:val="left"/>
      </w:pPr>
      <w:r>
        <w:rPr/>
        <w:t>及三元前驱体全系列产品的技术储备，其中四氧化三钴（</w:t>
      </w:r>
      <w:r>
        <w:rPr>
          <w:rFonts w:ascii="Times New Roman" w:hAnsi="Times New Roman" w:cs="Times New Roman" w:eastAsia="Times New Roman" w:hint="default"/>
        </w:rPr>
        <w:t>15-20</w:t>
      </w:r>
      <w:r>
        <w:rPr/>
        <w:t>微米）被认定为湖南名牌产品。</w:t>
      </w:r>
    </w:p>
    <w:p>
      <w:pPr>
        <w:pStyle w:val="BodyText"/>
        <w:spacing w:line="240" w:lineRule="auto" w:before="103"/>
        <w:ind w:right="1048"/>
        <w:jc w:val="left"/>
      </w:pPr>
      <w:r>
        <w:rPr/>
        <w:t>（二）客户资源优势</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2" w:firstLine="360"/>
        <w:jc w:val="both"/>
      </w:pPr>
      <w:r>
        <w:rPr>
          <w:spacing w:val="-2"/>
        </w:rPr>
        <w:t>公司与业内主要的客户建立了稳定的合作关系，如北大先行旗下的泰丰先行、先行泰安、湖南杉杉能源科技股份有限公</w:t>
      </w:r>
      <w:r>
        <w:rPr/>
        <w:t> </w:t>
      </w:r>
      <w:r>
        <w:rPr>
          <w:spacing w:val="-1"/>
        </w:rPr>
        <w:t>司、湖南美特新材料科技有限公司等。</w:t>
      </w:r>
      <w:r>
        <w:rPr>
          <w:rFonts w:ascii="Times New Roman" w:hAnsi="Times New Roman" w:cs="Times New Roman" w:eastAsia="Times New Roman" w:hint="default"/>
          <w:spacing w:val="-1"/>
        </w:rPr>
        <w:t>2014</w:t>
      </w:r>
      <w:r>
        <w:rPr>
          <w:spacing w:val="-1"/>
        </w:rPr>
        <w:t>年，公司产品顺利通过三星</w:t>
      </w:r>
      <w:r>
        <w:rPr>
          <w:rFonts w:ascii="Times New Roman" w:hAnsi="Times New Roman" w:cs="Times New Roman" w:eastAsia="Times New Roman" w:hint="default"/>
          <w:spacing w:val="-1"/>
        </w:rPr>
        <w:t>SDI</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
        </w:rPr>
        <w:t>SQE</w:t>
      </w:r>
      <w:r>
        <w:rPr>
          <w:spacing w:val="-1"/>
        </w:rPr>
        <w:t>体系审核，成为三星的合格供应商，为进入</w:t>
      </w:r>
      <w:r>
        <w:rPr>
          <w:spacing w:val="-86"/>
        </w:rPr>
        <w:t> </w:t>
      </w:r>
      <w:r>
        <w:rPr>
          <w:spacing w:val="-86"/>
        </w:rPr>
      </w:r>
      <w:r>
        <w:rPr/>
        <w:t>国际市场取得了绿色通行证。</w:t>
      </w:r>
    </w:p>
    <w:p>
      <w:pPr>
        <w:pStyle w:val="BodyText"/>
        <w:spacing w:line="240" w:lineRule="auto" w:before="65"/>
        <w:ind w:right="1048"/>
        <w:jc w:val="left"/>
      </w:pPr>
      <w:r>
        <w:rPr/>
        <w:t>（三）品质优势</w:t>
      </w:r>
    </w:p>
    <w:p>
      <w:pPr>
        <w:pStyle w:val="BodyText"/>
        <w:spacing w:line="307" w:lineRule="auto" w:before="116"/>
        <w:ind w:right="1129" w:firstLine="360"/>
        <w:jc w:val="both"/>
      </w:pPr>
      <w:r>
        <w:rPr>
          <w:spacing w:val="14"/>
        </w:rPr>
        <w:t>公司已建立一套完整的质量保证体系，</w:t>
      </w:r>
      <w:r>
        <w:rPr>
          <w:spacing w:val="-75"/>
        </w:rPr>
        <w:t> </w:t>
      </w:r>
      <w:r>
        <w:rPr>
          <w:spacing w:val="11"/>
        </w:rPr>
        <w:t>并已获得</w:t>
      </w:r>
      <w:r>
        <w:rPr>
          <w:spacing w:val="-72"/>
        </w:rPr>
        <w:t> </w:t>
      </w:r>
      <w:r>
        <w:rPr>
          <w:rFonts w:ascii="Times New Roman" w:hAnsi="Times New Roman" w:cs="Times New Roman" w:eastAsia="Times New Roman" w:hint="default"/>
          <w:spacing w:val="11"/>
        </w:rPr>
        <w:t>AAA</w:t>
      </w:r>
      <w:r>
        <w:rPr>
          <w:spacing w:val="11"/>
        </w:rPr>
        <w:t>级企业质量信用等级、</w:t>
      </w:r>
      <w:r>
        <w:rPr>
          <w:spacing w:val="-74"/>
        </w:rPr>
        <w:t> </w:t>
      </w:r>
      <w:r>
        <w:rPr>
          <w:rFonts w:ascii="Times New Roman" w:hAnsi="Times New Roman" w:cs="Times New Roman" w:eastAsia="Times New Roman" w:hint="default"/>
        </w:rPr>
        <w:t>ISO9001:2008</w:t>
      </w:r>
      <w:r>
        <w:rPr>
          <w:rFonts w:ascii="Times New Roman" w:hAnsi="Times New Roman" w:cs="Times New Roman" w:eastAsia="Times New Roman" w:hint="default"/>
          <w:spacing w:val="-29"/>
        </w:rPr>
        <w:t> </w:t>
      </w:r>
      <w:r>
        <w:rPr>
          <w:spacing w:val="13"/>
        </w:rPr>
        <w:t>质量管理体系认证、</w:t>
      </w:r>
      <w:r>
        <w:rPr/>
        <w:t> </w:t>
      </w:r>
      <w:r>
        <w:rPr>
          <w:rFonts w:ascii="Times New Roman" w:hAnsi="Times New Roman" w:cs="Times New Roman" w:eastAsia="Times New Roman" w:hint="default"/>
        </w:rPr>
        <w:t>ISO14001:2004</w:t>
      </w:r>
      <w:r>
        <w:rPr/>
        <w:t>环境管理体系认证以及职业健康安全管理体系认证</w:t>
      </w:r>
      <w:r>
        <w:rPr>
          <w:rFonts w:ascii="Times New Roman" w:hAnsi="Times New Roman" w:cs="Times New Roman" w:eastAsia="Times New Roman" w:hint="default"/>
        </w:rPr>
        <w:t>OHSAS 18001:2007</w:t>
      </w:r>
      <w:r>
        <w:rPr/>
        <w:t>等系列质量和管理认证。在生产过程</w:t>
      </w:r>
      <w:r>
        <w:rPr>
          <w:spacing w:val="-41"/>
        </w:rPr>
        <w:t> </w:t>
      </w:r>
      <w:r>
        <w:rPr>
          <w:spacing w:val="-41"/>
        </w:rPr>
      </w:r>
      <w:r>
        <w:rPr>
          <w:spacing w:val="-2"/>
        </w:rPr>
        <w:t>中，品质部与生产技术部人员隔离，产品检测拥有独立性，从而保证了公司产品的质量。公司的产品品质与管理水平在业内</w:t>
      </w:r>
      <w:r>
        <w:rPr>
          <w:spacing w:val="-66"/>
        </w:rPr>
        <w:t> </w:t>
      </w:r>
      <w:r>
        <w:rPr>
          <w:spacing w:val="-66"/>
        </w:rPr>
      </w:r>
      <w:r>
        <w:rPr/>
        <w:t>受到好评。</w:t>
      </w:r>
    </w:p>
    <w:p>
      <w:pPr>
        <w:pStyle w:val="BodyText"/>
        <w:spacing w:line="357" w:lineRule="auto" w:before="67"/>
        <w:ind w:left="514" w:right="1032" w:hanging="360"/>
        <w:jc w:val="left"/>
      </w:pPr>
      <w:r>
        <w:rPr/>
        <w:t>（四）品牌优势 </w:t>
      </w:r>
      <w:r>
        <w:rPr>
          <w:spacing w:val="-1"/>
        </w:rPr>
        <w:t>公司产品为长沙市名牌产品，公司被评为湖南省诚信建设示范单位、湖南省质量信用</w:t>
      </w:r>
      <w:r>
        <w:rPr>
          <w:rFonts w:ascii="Times New Roman" w:hAnsi="Times New Roman" w:cs="Times New Roman" w:eastAsia="Times New Roman" w:hint="default"/>
          <w:spacing w:val="-1"/>
        </w:rPr>
        <w:t>AAA</w:t>
      </w:r>
      <w:r>
        <w:rPr>
          <w:spacing w:val="-1"/>
        </w:rPr>
        <w:t>级企业、长沙市小巨人企业，</w:t>
      </w:r>
    </w:p>
    <w:p>
      <w:pPr>
        <w:pStyle w:val="BodyText"/>
        <w:spacing w:line="201" w:lineRule="exact"/>
        <w:ind w:right="0"/>
        <w:jc w:val="left"/>
      </w:pPr>
      <w:r>
        <w:rPr/>
        <w:t>长沙市三百之星、长沙市第七批创建创新型单位、湖南省新材料企业，长沙市智能制造企业，长沙市节能示范企业等。公司</w:t>
      </w:r>
    </w:p>
    <w:p>
      <w:pPr>
        <w:pStyle w:val="BodyText"/>
        <w:spacing w:line="240" w:lineRule="auto" w:before="76"/>
        <w:ind w:right="1048"/>
        <w:jc w:val="left"/>
      </w:pPr>
      <w:r>
        <w:rPr/>
        <w:t>的品牌在业内具有一定的知名度。</w:t>
      </w:r>
    </w:p>
    <w:p>
      <w:pPr>
        <w:pStyle w:val="BodyText"/>
        <w:spacing w:line="357" w:lineRule="auto" w:before="117"/>
        <w:ind w:left="514" w:right="1122" w:hanging="360"/>
        <w:jc w:val="left"/>
      </w:pPr>
      <w:r>
        <w:rPr/>
        <w:t>（五）装备优势 公司</w:t>
      </w:r>
      <w:r>
        <w:rPr>
          <w:rFonts w:ascii="Times New Roman" w:hAnsi="Times New Roman" w:cs="Times New Roman" w:eastAsia="Times New Roman" w:hint="default"/>
        </w:rPr>
        <w:t>2018</w:t>
      </w:r>
      <w:r>
        <w:rPr/>
        <w:t>年新建</w:t>
      </w:r>
      <w:r>
        <w:rPr>
          <w:rFonts w:ascii="Times New Roman" w:hAnsi="Times New Roman" w:cs="Times New Roman" w:eastAsia="Times New Roman" w:hint="default"/>
        </w:rPr>
        <w:t>20000</w:t>
      </w:r>
      <w:r>
        <w:rPr/>
        <w:t>万吨磷酸铁生产线，通过引进先进自动化控制设备，提高湖南雅城装备水平，扩大竞争优势。随</w:t>
      </w:r>
    </w:p>
    <w:p>
      <w:pPr>
        <w:pStyle w:val="BodyText"/>
        <w:spacing w:line="201" w:lineRule="exact"/>
        <w:ind w:right="0"/>
        <w:jc w:val="left"/>
      </w:pPr>
      <w:r>
        <w:rPr/>
        <w:t>着现代材料科学技术的日益发展、社会的进步，现代化生产规模越来越大，其管理形式和方式也日趋多样，管理也需要更加</w:t>
      </w:r>
    </w:p>
    <w:p>
      <w:pPr>
        <w:pStyle w:val="BodyText"/>
        <w:spacing w:line="316" w:lineRule="auto" w:before="76"/>
        <w:ind w:right="1130"/>
        <w:jc w:val="both"/>
      </w:pPr>
      <w:r>
        <w:rPr>
          <w:spacing w:val="-2"/>
        </w:rPr>
        <w:t>科学，市场对产品的质量要求也越来越高，这就使材料的生产厂家在新材料的生产过程中，要求做到品质更加优良，品质管</w:t>
      </w:r>
      <w:r>
        <w:rPr>
          <w:spacing w:val="-65"/>
        </w:rPr>
        <w:t> </w:t>
      </w:r>
      <w:r>
        <w:rPr>
          <w:spacing w:val="-65"/>
        </w:rPr>
      </w:r>
      <w:r>
        <w:rPr>
          <w:spacing w:val="-2"/>
        </w:rPr>
        <w:t>理更加到位，尽量减少因人为的操作和测量波动使材料的物料化学性能产生影响，为此，湖南雅城在磷酸铁新项目中大胆启</w:t>
      </w:r>
      <w:r>
        <w:rPr>
          <w:spacing w:val="-66"/>
        </w:rPr>
        <w:t> </w:t>
      </w:r>
      <w:r>
        <w:rPr>
          <w:spacing w:val="-66"/>
        </w:rPr>
      </w:r>
      <w:r>
        <w:rPr/>
        <w:t>用自动化控制设备。</w:t>
      </w:r>
    </w:p>
    <w:p>
      <w:pPr>
        <w:pStyle w:val="BodyText"/>
        <w:spacing w:line="316" w:lineRule="auto" w:before="19"/>
        <w:ind w:right="1133" w:firstLine="360"/>
        <w:jc w:val="both"/>
      </w:pPr>
      <w:r>
        <w:rPr>
          <w:spacing w:val="-2"/>
        </w:rPr>
        <w:t>目前，在磷酸铁制造行业中，自动化程度普遍不高，湖南雅城通过引进先进的自动化设备，从而降低生产成本，提高产</w:t>
      </w:r>
      <w:r>
        <w:rPr/>
        <w:t> </w:t>
      </w:r>
      <w:r>
        <w:rPr>
          <w:spacing w:val="-2"/>
        </w:rPr>
        <w:t>品质量，扩大湖南雅城磷酸铁产品在市场中竞争地位。同时，也为湖南雅城在以后的新材料生产研发过程中提供自动化设备</w:t>
      </w:r>
      <w:r>
        <w:rPr>
          <w:spacing w:val="-66"/>
        </w:rPr>
        <w:t> </w:t>
      </w:r>
      <w:r>
        <w:rPr>
          <w:spacing w:val="-66"/>
        </w:rPr>
      </w:r>
      <w:r>
        <w:rPr/>
        <w:t>应用的经验，进一步扩大湖南雅城的竞争优势。</w:t>
      </w:r>
    </w:p>
    <w:p>
      <w:pPr>
        <w:spacing w:after="0" w:line="31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1048"/>
        <w:jc w:val="left"/>
        <w:rPr>
          <w:b w:val="0"/>
          <w:bCs w:val="0"/>
        </w:rPr>
      </w:pPr>
      <w:bookmarkStart w:name="_TOC_250008" w:id="22"/>
      <w:bookmarkStart w:name="第四节 经营情况讨论与分析" w:id="23"/>
      <w:r>
        <w:rPr>
          <w:b w:val="0"/>
          <w:bCs w:val="0"/>
        </w:rPr>
      </w:r>
      <w:r>
        <w:rPr/>
        <w:t>第四节</w:t>
      </w:r>
      <w:r>
        <w:rPr>
          <w:spacing w:val="-10"/>
        </w:rPr>
        <w:t> </w:t>
      </w:r>
      <w:r>
        <w:rPr/>
        <w:t>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039" w:firstLine="360"/>
        <w:jc w:val="left"/>
      </w:pPr>
      <w:r>
        <w:rPr>
          <w:rFonts w:ascii="Times New Roman" w:hAnsi="Times New Roman" w:cs="Times New Roman" w:eastAsia="Times New Roman" w:hint="default"/>
        </w:rPr>
        <w:t>2019</w:t>
      </w:r>
      <w:r>
        <w:rPr/>
        <w:t>年将是我国电网发展模式发生重大转型的起始年，国家电网在两会报告中明确提出了全面推进</w:t>
      </w:r>
      <w:r>
        <w:rPr>
          <w:rFonts w:ascii="Times New Roman" w:hAnsi="Times New Roman" w:cs="Times New Roman" w:eastAsia="Times New Roman" w:hint="default"/>
        </w:rPr>
        <w:t>“</w:t>
      </w:r>
      <w:r>
        <w:rPr/>
        <w:t>三型两网</w:t>
      </w:r>
      <w:r>
        <w:rPr>
          <w:rFonts w:ascii="Times New Roman" w:hAnsi="Times New Roman" w:cs="Times New Roman" w:eastAsia="Times New Roman" w:hint="default"/>
        </w:rPr>
        <w:t>”</w:t>
      </w:r>
      <w:r>
        <w:rPr/>
        <w:t>建设的计 划，标志着已经持续十年之久的以上规模为主要目标的建设模式将全面转向。坚强智能电网和泛在电力物联网概念的提出， </w:t>
      </w:r>
      <w:r>
        <w:rPr>
          <w:spacing w:val="-2"/>
        </w:rPr>
        <w:t>表明未来国家电网的发展方向是成为世界一流的能源互联网企业。其中坚强智能电网主要强调以特高压为骨干网架、各级电</w:t>
      </w:r>
      <w:r>
        <w:rPr>
          <w:spacing w:val="-64"/>
        </w:rPr>
        <w:t> </w:t>
      </w:r>
      <w:r>
        <w:rPr>
          <w:spacing w:val="-64"/>
        </w:rPr>
      </w:r>
      <w:r>
        <w:rPr>
          <w:spacing w:val="-2"/>
        </w:rPr>
        <w:t>网协调发展的坚强网架为基础、以通信信息平台为支撑，包含电力系统的发电、输电、变电、配电、用电和调度六大环节并</w:t>
      </w:r>
      <w:r>
        <w:rPr>
          <w:spacing w:val="-68"/>
        </w:rPr>
        <w:t> </w:t>
      </w:r>
      <w:r>
        <w:rPr>
          <w:spacing w:val="-68"/>
        </w:rPr>
      </w:r>
      <w:r>
        <w:rPr>
          <w:spacing w:val="-3"/>
        </w:rPr>
        <w:t>覆盖所有电压等级，具有信息化、自动化、互动化特征，可实现</w:t>
      </w:r>
      <w:r>
        <w:rPr>
          <w:rFonts w:ascii="Times New Roman" w:hAnsi="Times New Roman" w:cs="Times New Roman" w:eastAsia="Times New Roman" w:hint="default"/>
          <w:spacing w:val="-3"/>
        </w:rPr>
        <w:t>“</w:t>
      </w:r>
      <w:r>
        <w:rPr>
          <w:spacing w:val="-3"/>
        </w:rPr>
        <w:t>电力流、信息流、业务流</w:t>
      </w:r>
      <w:r>
        <w:rPr>
          <w:rFonts w:ascii="Times New Roman" w:hAnsi="Times New Roman" w:cs="Times New Roman" w:eastAsia="Times New Roman" w:hint="default"/>
          <w:spacing w:val="-3"/>
        </w:rPr>
        <w:t>”</w:t>
      </w:r>
      <w:r>
        <w:rPr>
          <w:spacing w:val="-3"/>
        </w:rPr>
        <w:t>高度一体化融合，具有坚强可靠、</w:t>
      </w:r>
      <w:r>
        <w:rPr>
          <w:spacing w:val="-75"/>
        </w:rPr>
        <w:t> </w:t>
      </w:r>
      <w:r>
        <w:rPr>
          <w:spacing w:val="-75"/>
        </w:rPr>
      </w:r>
      <w:r>
        <w:rPr>
          <w:spacing w:val="-4"/>
        </w:rPr>
        <w:t>经济高效、清洁环保、透明开放和友好互动内涵的现代电网。其首要目标是解决三北、西南的风、光、水清洁能源消纳问题；</w:t>
      </w:r>
      <w:r>
        <w:rPr>
          <w:spacing w:val="-44"/>
        </w:rPr>
        <w:t> </w:t>
      </w:r>
      <w:r>
        <w:rPr>
          <w:spacing w:val="-44"/>
        </w:rPr>
      </w:r>
      <w:r>
        <w:rPr>
          <w:spacing w:val="-2"/>
        </w:rPr>
        <w:t>通过智能配电网支撑间歇性分布式电源的有效并网，解决分布式电源协调利用困难问题。以上两种方式将是我国当前乃至未</w:t>
      </w:r>
      <w:r>
        <w:rPr>
          <w:spacing w:val="-64"/>
        </w:rPr>
        <w:t> </w:t>
      </w:r>
      <w:r>
        <w:rPr>
          <w:spacing w:val="-64"/>
        </w:rPr>
      </w:r>
      <w:r>
        <w:rPr>
          <w:spacing w:val="-2"/>
        </w:rPr>
        <w:t>来一段时间内都将以为主的电力资源优化配置手段。而泛在电力物联网就是围绕电力系统各环节，充分应用移动互联、人工</w:t>
      </w:r>
      <w:r>
        <w:rPr>
          <w:spacing w:val="-66"/>
        </w:rPr>
        <w:t> </w:t>
      </w:r>
      <w:r>
        <w:rPr>
          <w:spacing w:val="-66"/>
        </w:rPr>
      </w:r>
      <w:r>
        <w:rPr>
          <w:spacing w:val="-2"/>
        </w:rPr>
        <w:t>智能等现代信息技术和最新的通信技术，实现电力系统各环节万物互联、人机交互，具有状态全面感知、信息高效处理、应</w:t>
      </w:r>
      <w:r>
        <w:rPr>
          <w:spacing w:val="-66"/>
        </w:rPr>
        <w:t> </w:t>
      </w:r>
      <w:r>
        <w:rPr>
          <w:spacing w:val="-66"/>
        </w:rPr>
      </w:r>
      <w:r>
        <w:rPr>
          <w:spacing w:val="-4"/>
        </w:rPr>
        <w:t>用便捷灵活特征的智慧服务系统。包含感知层、网络层、平台层、应用层四层结构。通过广泛应用大数据、云计算、物联网、</w:t>
      </w:r>
      <w:r>
        <w:rPr>
          <w:spacing w:val="-46"/>
        </w:rPr>
        <w:t> </w:t>
      </w:r>
      <w:r>
        <w:rPr>
          <w:spacing w:val="-46"/>
        </w:rPr>
      </w:r>
      <w:r>
        <w:rPr/>
        <w:t>移动互联、人工智能、边缘计算等信息技术和智能技术，汇集各方面资源，打通源</w:t>
      </w:r>
      <w:r>
        <w:rPr>
          <w:rFonts w:ascii="Times New Roman" w:hAnsi="Times New Roman" w:cs="Times New Roman" w:eastAsia="Times New Roman" w:hint="default"/>
        </w:rPr>
        <w:t>-</w:t>
      </w:r>
      <w:r>
        <w:rPr/>
        <w:t>网</w:t>
      </w:r>
      <w:r>
        <w:rPr>
          <w:rFonts w:ascii="Times New Roman" w:hAnsi="Times New Roman" w:cs="Times New Roman" w:eastAsia="Times New Roman" w:hint="default"/>
        </w:rPr>
        <w:t>-</w:t>
      </w:r>
      <w:r>
        <w:rPr/>
        <w:t>荷</w:t>
      </w:r>
      <w:r>
        <w:rPr>
          <w:rFonts w:ascii="Times New Roman" w:hAnsi="Times New Roman" w:cs="Times New Roman" w:eastAsia="Times New Roman" w:hint="default"/>
        </w:rPr>
        <w:t>-</w:t>
      </w:r>
      <w:r>
        <w:rPr/>
        <w:t>储</w:t>
      </w:r>
      <w:r>
        <w:rPr>
          <w:rFonts w:ascii="Times New Roman" w:hAnsi="Times New Roman" w:cs="Times New Roman" w:eastAsia="Times New Roman" w:hint="default"/>
        </w:rPr>
        <w:t>”</w:t>
      </w:r>
      <w:r>
        <w:rPr/>
        <w:t>各环节，实现</w:t>
      </w:r>
      <w:r>
        <w:rPr>
          <w:rFonts w:ascii="Times New Roman" w:hAnsi="Times New Roman" w:cs="Times New Roman" w:eastAsia="Times New Roman" w:hint="default"/>
        </w:rPr>
        <w:t>“</w:t>
      </w:r>
      <w:r>
        <w:rPr/>
        <w:t>人</w:t>
      </w:r>
      <w:r>
        <w:rPr>
          <w:rFonts w:ascii="Times New Roman" w:hAnsi="Times New Roman" w:cs="Times New Roman" w:eastAsia="Times New Roman" w:hint="default"/>
        </w:rPr>
        <w:t>-</w:t>
      </w:r>
      <w:r>
        <w:rPr/>
        <w:t>机</w:t>
      </w:r>
      <w:r>
        <w:rPr>
          <w:rFonts w:ascii="Times New Roman" w:hAnsi="Times New Roman" w:cs="Times New Roman" w:eastAsia="Times New Roman" w:hint="default"/>
        </w:rPr>
        <w:t>-</w:t>
      </w:r>
      <w:r>
        <w:rPr/>
        <w:t>设备</w:t>
      </w:r>
      <w:r>
        <w:rPr>
          <w:rFonts w:ascii="Times New Roman" w:hAnsi="Times New Roman" w:cs="Times New Roman" w:eastAsia="Times New Roman" w:hint="default"/>
        </w:rPr>
        <w:t>-</w:t>
      </w:r>
      <w:r>
        <w:rPr/>
        <w:t>云</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互联互通。</w:t>
      </w:r>
    </w:p>
    <w:p>
      <w:pPr>
        <w:pStyle w:val="BodyText"/>
        <w:spacing w:line="309" w:lineRule="auto" w:before="59"/>
        <w:ind w:right="1043" w:firstLine="270"/>
        <w:jc w:val="both"/>
      </w:pPr>
      <w:r>
        <w:rPr/>
        <w:t>因此，未来几年我国电力行业基础建设的重点领域，依然集中在风电、太阳能等新能源上，电网的智能化升级改造会持 续加速，从而满足新能源集中外送、分布式新能源接入的需要。</w:t>
      </w:r>
      <w:r>
        <w:rPr>
          <w:rFonts w:ascii="Times New Roman" w:hAnsi="Times New Roman" w:cs="Times New Roman" w:eastAsia="Times New Roman" w:hint="default"/>
        </w:rPr>
        <w:t>2018 </w:t>
      </w:r>
      <w:r>
        <w:rPr/>
        <w:t>年，我国主要电力企业电力工程建设完成投资</w:t>
      </w:r>
      <w:r>
        <w:rPr>
          <w:rFonts w:ascii="Times New Roman" w:hAnsi="Times New Roman" w:cs="Times New Roman" w:eastAsia="Times New Roman" w:hint="default"/>
        </w:rPr>
        <w:t>8094</w:t>
      </w:r>
      <w:r>
        <w:rPr/>
        <w:t>亿</w:t>
      </w:r>
      <w:r>
        <w:rPr>
          <w:spacing w:val="-85"/>
        </w:rPr>
        <w:t> </w:t>
      </w:r>
      <w:r>
        <w:rPr>
          <w:spacing w:val="-2"/>
        </w:rPr>
        <w:t>元，其中电网工程建设完成投资</w:t>
      </w:r>
      <w:r>
        <w:rPr>
          <w:rFonts w:ascii="Times New Roman" w:hAnsi="Times New Roman" w:cs="Times New Roman" w:eastAsia="Times New Roman" w:hint="default"/>
          <w:spacing w:val="-2"/>
        </w:rPr>
        <w:t>5373</w:t>
      </w:r>
      <w:r>
        <w:rPr>
          <w:spacing w:val="-2"/>
        </w:rPr>
        <w:t>亿元，预计</w:t>
      </w:r>
      <w:r>
        <w:rPr>
          <w:rFonts w:ascii="Times New Roman" w:hAnsi="Times New Roman" w:cs="Times New Roman" w:eastAsia="Times New Roman" w:hint="default"/>
          <w:spacing w:val="-2"/>
        </w:rPr>
        <w:t>2019</w:t>
      </w:r>
      <w:r>
        <w:rPr>
          <w:spacing w:val="-2"/>
        </w:rPr>
        <w:t>年国家电网</w:t>
      </w:r>
      <w:r>
        <w:rPr>
          <w:rFonts w:ascii="Times New Roman" w:hAnsi="Times New Roman" w:cs="Times New Roman" w:eastAsia="Times New Roman" w:hint="default"/>
          <w:spacing w:val="-2"/>
        </w:rPr>
        <w:t>2019</w:t>
      </w:r>
      <w:r>
        <w:rPr>
          <w:spacing w:val="-2"/>
        </w:rPr>
        <w:t>年预计电网投资仍将达到</w:t>
      </w:r>
      <w:r>
        <w:rPr>
          <w:rFonts w:ascii="Times New Roman" w:hAnsi="Times New Roman" w:cs="Times New Roman" w:eastAsia="Times New Roman" w:hint="default"/>
          <w:spacing w:val="-2"/>
        </w:rPr>
        <w:t>5126</w:t>
      </w:r>
      <w:r>
        <w:rPr>
          <w:spacing w:val="-2"/>
        </w:rPr>
        <w:t>亿元，而且根据电网投资</w:t>
      </w:r>
      <w:r>
        <w:rPr>
          <w:spacing w:val="-51"/>
        </w:rPr>
        <w:t> </w:t>
      </w:r>
      <w:r>
        <w:rPr>
          <w:spacing w:val="-51"/>
        </w:rPr>
      </w:r>
      <w:r>
        <w:rPr>
          <w:rFonts w:ascii="Times New Roman" w:hAnsi="Times New Roman" w:cs="Times New Roman" w:eastAsia="Times New Roman" w:hint="default"/>
        </w:rPr>
        <w:t>“</w:t>
      </w:r>
      <w:r>
        <w:rPr/>
        <w:t>一高一低</w:t>
      </w:r>
      <w:r>
        <w:rPr>
          <w:rFonts w:ascii="Times New Roman" w:hAnsi="Times New Roman" w:cs="Times New Roman" w:eastAsia="Times New Roman" w:hint="default"/>
        </w:rPr>
        <w:t>”</w:t>
      </w:r>
      <w:r>
        <w:rPr/>
        <w:t>发展方向，特高压和配电网建设依然作为投资重点，力图在构建清洁低碳、安全高效的能源体系上取得新成效。 作为传统的配电设备企业，公司将更加关注智能化设备和分布式清洁能源系统领域的业务，保证公司主业的持续平稳增长。 </w:t>
      </w:r>
      <w:r>
        <w:rPr>
          <w:spacing w:val="-4"/>
        </w:rPr>
        <w:t>此外公司仍将致力于打造完善的产业链，提供设计、咨询、工程、设备、运维一条龙服务，并以此为依托积极开拓用户市场、</w:t>
      </w:r>
      <w:r>
        <w:rPr>
          <w:spacing w:val="-44"/>
        </w:rPr>
        <w:t> </w:t>
      </w:r>
      <w:r>
        <w:rPr>
          <w:spacing w:val="-44"/>
        </w:rPr>
      </w:r>
      <w:r>
        <w:rPr/>
        <w:t>提升公司综合服务能力。</w:t>
      </w:r>
    </w:p>
    <w:p>
      <w:pPr>
        <w:pStyle w:val="BodyText"/>
        <w:spacing w:line="357" w:lineRule="auto" w:before="64"/>
        <w:ind w:left="424" w:right="1027"/>
        <w:jc w:val="left"/>
      </w:pPr>
      <w:r>
        <w:rPr/>
        <w:t>公司看好未来新能源汽车和储能市场，锂电池市场作为公司进入新能源的切入口，已经成为公司新的战略。 </w:t>
      </w:r>
      <w:r>
        <w:rPr>
          <w:rFonts w:ascii="宋体" w:hAnsi="宋体" w:cs="宋体" w:eastAsia="宋体" w:hint="default"/>
        </w:rPr>
        <w:t>2018</w:t>
      </w:r>
      <w:r>
        <w:rPr/>
        <w:t>年公司实现销售收入</w:t>
      </w:r>
      <w:r>
        <w:rPr>
          <w:rFonts w:ascii="宋体" w:hAnsi="宋体" w:cs="宋体" w:eastAsia="宋体" w:hint="default"/>
        </w:rPr>
        <w:t>200,751.49</w:t>
      </w:r>
      <w:r>
        <w:rPr>
          <w:rFonts w:ascii="宋体" w:hAnsi="宋体" w:cs="宋体" w:eastAsia="宋体" w:hint="default"/>
          <w:spacing w:val="15"/>
        </w:rPr>
        <w:t> </w:t>
      </w:r>
      <w:r>
        <w:rPr>
          <w:spacing w:val="-2"/>
        </w:rPr>
        <w:t>万元，较</w:t>
      </w:r>
      <w:r>
        <w:rPr>
          <w:rFonts w:ascii="宋体" w:hAnsi="宋体" w:cs="宋体" w:eastAsia="宋体" w:hint="default"/>
          <w:spacing w:val="-2"/>
        </w:rPr>
        <w:t>2017</w:t>
      </w:r>
      <w:r>
        <w:rPr>
          <w:spacing w:val="-2"/>
        </w:rPr>
        <w:t>年降低</w:t>
      </w:r>
      <w:r>
        <w:rPr>
          <w:rFonts w:ascii="宋体" w:hAnsi="宋体" w:cs="宋体" w:eastAsia="宋体" w:hint="default"/>
          <w:spacing w:val="-2"/>
        </w:rPr>
        <w:t>4.83%</w:t>
      </w:r>
      <w:r>
        <w:rPr>
          <w:spacing w:val="-2"/>
        </w:rPr>
        <w:t>；公司实现净利润</w:t>
      </w:r>
      <w:r>
        <w:rPr>
          <w:rFonts w:ascii="宋体" w:hAnsi="宋体" w:cs="宋体" w:eastAsia="宋体" w:hint="default"/>
          <w:spacing w:val="-2"/>
        </w:rPr>
        <w:t>5,024.96</w:t>
      </w:r>
      <w:r>
        <w:rPr>
          <w:spacing w:val="-2"/>
        </w:rPr>
        <w:t>万元，较</w:t>
      </w:r>
      <w:r>
        <w:rPr>
          <w:rFonts w:ascii="宋体" w:hAnsi="宋体" w:cs="宋体" w:eastAsia="宋体" w:hint="default"/>
          <w:spacing w:val="-2"/>
        </w:rPr>
        <w:t>2017</w:t>
      </w:r>
      <w:r>
        <w:rPr>
          <w:spacing w:val="-2"/>
        </w:rPr>
        <w:t>年降低</w:t>
      </w:r>
      <w:r>
        <w:rPr>
          <w:rFonts w:ascii="宋体" w:hAnsi="宋体" w:cs="宋体" w:eastAsia="宋体" w:hint="default"/>
          <w:spacing w:val="-2"/>
        </w:rPr>
        <w:t>61.72%</w:t>
      </w:r>
      <w:r>
        <w:rPr>
          <w:spacing w:val="-2"/>
        </w:rPr>
        <w:t>。</w:t>
      </w:r>
    </w:p>
    <w:p>
      <w:pPr>
        <w:pStyle w:val="BodyText"/>
        <w:spacing w:line="357" w:lineRule="auto"/>
        <w:ind w:left="424" w:right="1122" w:hanging="270"/>
        <w:jc w:val="left"/>
      </w:pPr>
      <w:r>
        <w:rPr/>
        <w:t>其中，归属于母公司的净利润降低</w:t>
      </w:r>
      <w:r>
        <w:rPr>
          <w:rFonts w:ascii="宋体" w:hAnsi="宋体" w:cs="宋体" w:eastAsia="宋体" w:hint="default"/>
        </w:rPr>
        <w:t>61.11%</w:t>
      </w:r>
      <w:r>
        <w:rPr/>
        <w:t>。公司业绩降低的主要原因是： </w:t>
      </w:r>
      <w:r>
        <w:rPr>
          <w:rFonts w:ascii="宋体" w:hAnsi="宋体" w:cs="宋体" w:eastAsia="宋体" w:hint="default"/>
        </w:rPr>
        <w:t>1</w:t>
      </w:r>
      <w:r>
        <w:rPr/>
        <w:t>、子公司湖南雅城原主要客户三星</w:t>
      </w:r>
      <w:r>
        <w:rPr>
          <w:rFonts w:ascii="宋体" w:hAnsi="宋体" w:cs="宋体" w:eastAsia="宋体" w:hint="default"/>
        </w:rPr>
        <w:t>SDI</w:t>
      </w:r>
      <w:r>
        <w:rPr/>
        <w:t>因自身业务调整，对于四氧化三钴的需求由直接对外采购变化为采购钴中间品后</w:t>
      </w:r>
    </w:p>
    <w:p>
      <w:pPr>
        <w:pStyle w:val="BodyText"/>
        <w:spacing w:line="224" w:lineRule="exact"/>
        <w:ind w:right="0"/>
        <w:jc w:val="both"/>
      </w:pPr>
      <w:r>
        <w:rPr/>
        <w:t>自主加工，导致湖南雅城与三星</w:t>
      </w:r>
      <w:r>
        <w:rPr>
          <w:rFonts w:ascii="宋体" w:hAnsi="宋体" w:cs="宋体" w:eastAsia="宋体" w:hint="default"/>
        </w:rPr>
        <w:t>SDI</w:t>
      </w:r>
      <w:r>
        <w:rPr/>
        <w:t>的合作规模缩减；同时，受国内其他钴酸锂生产客户认证周期过长的影响，致使</w:t>
      </w:r>
      <w:r>
        <w:rPr>
          <w:rFonts w:ascii="宋体" w:hAnsi="宋体" w:cs="宋体" w:eastAsia="宋体" w:hint="default"/>
        </w:rPr>
        <w:t>2018</w:t>
      </w:r>
      <w:r>
        <w:rPr/>
        <w:t>年</w:t>
      </w:r>
    </w:p>
    <w:p>
      <w:pPr>
        <w:pStyle w:val="BodyText"/>
        <w:spacing w:line="319" w:lineRule="auto" w:before="76"/>
        <w:ind w:right="1131"/>
        <w:jc w:val="both"/>
      </w:pPr>
      <w:r>
        <w:rPr>
          <w:spacing w:val="-2"/>
        </w:rPr>
        <w:t>湖南雅城的四氧化三钴产品销售情况未能达到预计水平。目前钴销售量已全面上升，</w:t>
      </w:r>
      <w:r>
        <w:rPr>
          <w:rFonts w:ascii="宋体" w:hAnsi="宋体" w:cs="宋体" w:eastAsia="宋体" w:hint="default"/>
          <w:spacing w:val="-2"/>
        </w:rPr>
        <w:t>2019</w:t>
      </w:r>
      <w:r>
        <w:rPr>
          <w:spacing w:val="-2"/>
        </w:rPr>
        <w:t>年国内主要钴酸锂生产企业厦门钨</w:t>
      </w:r>
      <w:r>
        <w:rPr>
          <w:spacing w:val="-59"/>
        </w:rPr>
        <w:t> </w:t>
      </w:r>
      <w:r>
        <w:rPr>
          <w:spacing w:val="-2"/>
        </w:rPr>
        <w:t>业、北大先行等客户认证已经完成。后期公司仍将全面开拓海外市场并加大国际客户的开发力度。预计</w:t>
      </w:r>
      <w:r>
        <w:rPr>
          <w:rFonts w:ascii="宋体" w:hAnsi="宋体" w:cs="宋体" w:eastAsia="宋体" w:hint="default"/>
          <w:spacing w:val="-2"/>
        </w:rPr>
        <w:t>2019</w:t>
      </w:r>
      <w:r>
        <w:rPr>
          <w:spacing w:val="-2"/>
        </w:rPr>
        <w:t>年销售将超</w:t>
      </w:r>
      <w:r>
        <w:rPr>
          <w:rFonts w:ascii="宋体" w:hAnsi="宋体" w:cs="宋体" w:eastAsia="宋体" w:hint="default"/>
          <w:spacing w:val="-2"/>
        </w:rPr>
        <w:t>3000</w:t>
      </w:r>
      <w:r>
        <w:rPr>
          <w:rFonts w:ascii="宋体" w:hAnsi="宋体" w:cs="宋体" w:eastAsia="宋体" w:hint="default"/>
          <w:spacing w:val="-57"/>
        </w:rPr>
        <w:t> </w:t>
      </w:r>
      <w:r>
        <w:rPr/>
        <w:t>吨以上。</w:t>
      </w:r>
    </w:p>
    <w:p>
      <w:pPr>
        <w:pStyle w:val="BodyText"/>
        <w:spacing w:line="319" w:lineRule="auto" w:before="55"/>
        <w:ind w:right="1131" w:firstLine="270"/>
        <w:jc w:val="both"/>
      </w:pPr>
      <w:r>
        <w:rPr>
          <w:rFonts w:ascii="宋体" w:hAnsi="宋体" w:cs="宋体" w:eastAsia="宋体" w:hint="default"/>
          <w:spacing w:val="-2"/>
        </w:rPr>
        <w:t>2</w:t>
      </w:r>
      <w:r>
        <w:rPr>
          <w:spacing w:val="-2"/>
        </w:rPr>
        <w:t>、受</w:t>
      </w:r>
      <w:r>
        <w:rPr>
          <w:rFonts w:ascii="宋体" w:hAnsi="宋体" w:cs="宋体" w:eastAsia="宋体" w:hint="default"/>
          <w:spacing w:val="-2"/>
        </w:rPr>
        <w:t>2018</w:t>
      </w:r>
      <w:r>
        <w:rPr>
          <w:spacing w:val="-2"/>
        </w:rPr>
        <w:t>年国家新能源补贴政策调整影响，包括子公司湖南雅城磷酸铁产品客户在内的电池材料企业均处于技术调整及</w:t>
      </w:r>
      <w:r>
        <w:rPr/>
        <w:t> </w:t>
      </w:r>
      <w:r>
        <w:rPr>
          <w:spacing w:val="-2"/>
        </w:rPr>
        <w:t>对产品进行性能升级的阶段，湖南雅城为应对客户对于产品更高的要求，正积极研发高压实磷酸铁产品。受制于研发项目的</w:t>
      </w:r>
      <w:r>
        <w:rPr>
          <w:spacing w:val="-66"/>
        </w:rPr>
        <w:t> </w:t>
      </w:r>
      <w:r>
        <w:rPr>
          <w:spacing w:val="-66"/>
        </w:rPr>
      </w:r>
      <w:r>
        <w:rPr>
          <w:spacing w:val="-2"/>
        </w:rPr>
        <w:t>开展需要时间，而本报告期客户采购需求大幅减少，湖南雅城的</w:t>
      </w:r>
      <w:r>
        <w:rPr>
          <w:rFonts w:ascii="宋体" w:hAnsi="宋体" w:cs="宋体" w:eastAsia="宋体" w:hint="default"/>
          <w:spacing w:val="-2"/>
        </w:rPr>
        <w:t>2018</w:t>
      </w:r>
      <w:r>
        <w:rPr>
          <w:spacing w:val="-2"/>
        </w:rPr>
        <w:t>年磷酸铁产品销售情况亦未能达到预计水平。现公司高</w:t>
      </w:r>
      <w:r>
        <w:rPr>
          <w:spacing w:val="-62"/>
        </w:rPr>
        <w:t> </w:t>
      </w:r>
      <w:r>
        <w:rPr>
          <w:spacing w:val="-62"/>
        </w:rPr>
      </w:r>
      <w:r>
        <w:rPr>
          <w:spacing w:val="-2"/>
        </w:rPr>
        <w:t>压实磷酸铁产品的研发已经顺利通过了客户的认证，与青海泰丰、贝特瑞等生产企业达成友好合作关系。未来新能源汽车行</w:t>
      </w:r>
      <w:r>
        <w:rPr>
          <w:spacing w:val="-66"/>
        </w:rPr>
        <w:t> </w:t>
      </w:r>
      <w:r>
        <w:rPr>
          <w:spacing w:val="-66"/>
        </w:rPr>
      </w:r>
      <w:r>
        <w:rPr/>
        <w:t>业的向前发展推动磷酸铁市场增长呈必然趋势，并且</w:t>
      </w:r>
      <w:r>
        <w:rPr>
          <w:rFonts w:ascii="宋体" w:hAnsi="宋体" w:cs="宋体" w:eastAsia="宋体" w:hint="default"/>
        </w:rPr>
        <w:t>5G</w:t>
      </w:r>
      <w:r>
        <w:rPr/>
        <w:t>市场的普及与</w:t>
      </w:r>
      <w:r>
        <w:rPr>
          <w:rFonts w:ascii="宋体" w:hAnsi="宋体" w:cs="宋体" w:eastAsia="宋体" w:hint="default"/>
        </w:rPr>
        <w:t>5G</w:t>
      </w:r>
      <w:r>
        <w:rPr/>
        <w:t>基站的建设势必对磷酸铁锂电池的应用推上新的台</w:t>
      </w:r>
      <w:r>
        <w:rPr>
          <w:spacing w:val="-5"/>
        </w:rPr>
        <w:t> </w:t>
      </w:r>
      <w:r>
        <w:rPr>
          <w:spacing w:val="-5"/>
        </w:rPr>
      </w:r>
      <w:r>
        <w:rPr/>
        <w:t>阶，</w:t>
      </w:r>
      <w:r>
        <w:rPr>
          <w:rFonts w:ascii="宋体" w:hAnsi="宋体" w:cs="宋体" w:eastAsia="宋体" w:hint="default"/>
        </w:rPr>
        <w:t>2019</w:t>
      </w:r>
      <w:r>
        <w:rPr/>
        <w:t>年湖南雅城磷酸铁销售量有望快速增长。</w:t>
      </w:r>
    </w:p>
    <w:p>
      <w:pPr>
        <w:pStyle w:val="BodyText"/>
        <w:spacing w:line="240" w:lineRule="auto" w:before="57"/>
        <w:ind w:left="424" w:right="1048"/>
        <w:jc w:val="left"/>
      </w:pPr>
      <w:r>
        <w:rPr>
          <w:rFonts w:ascii="宋体" w:hAnsi="宋体" w:cs="宋体" w:eastAsia="宋体" w:hint="default"/>
        </w:rPr>
        <w:t>3</w:t>
      </w:r>
      <w:r>
        <w:rPr/>
        <w:t>、由于受金融市场环境影响，公司报告期内扩大投资导致财务费用大幅增长；</w:t>
      </w:r>
    </w:p>
    <w:p>
      <w:pPr>
        <w:pStyle w:val="BodyText"/>
        <w:spacing w:line="319" w:lineRule="auto" w:before="116"/>
        <w:ind w:right="1130" w:firstLine="270"/>
        <w:jc w:val="both"/>
      </w:pPr>
      <w:r>
        <w:rPr>
          <w:rFonts w:ascii="宋体" w:hAnsi="宋体" w:cs="宋体" w:eastAsia="宋体" w:hint="default"/>
        </w:rPr>
        <w:t>4</w:t>
      </w:r>
      <w:r>
        <w:rPr/>
        <w:t>、根据证监会《会计监管风险提示第</w:t>
      </w:r>
      <w:r>
        <w:rPr>
          <w:rFonts w:ascii="宋体" w:hAnsi="宋体" w:cs="宋体" w:eastAsia="宋体" w:hint="default"/>
        </w:rPr>
        <w:t>8</w:t>
      </w:r>
      <w:r>
        <w:rPr/>
        <w:t>号</w:t>
      </w:r>
      <w:r>
        <w:rPr>
          <w:rFonts w:ascii="宋体" w:hAnsi="宋体" w:cs="宋体" w:eastAsia="宋体" w:hint="default"/>
        </w:rPr>
        <w:t>----</w:t>
      </w:r>
      <w:r>
        <w:rPr/>
        <w:t>商誉减值》相关要求，公司对</w:t>
      </w:r>
      <w:r>
        <w:rPr>
          <w:rFonts w:ascii="宋体" w:hAnsi="宋体" w:cs="宋体" w:eastAsia="宋体" w:hint="default"/>
        </w:rPr>
        <w:t>2017</w:t>
      </w:r>
      <w:r>
        <w:rPr/>
        <w:t>年并购的湖南雅城新材料有限公司的经 </w:t>
      </w:r>
      <w:r>
        <w:rPr>
          <w:spacing w:val="-2"/>
        </w:rPr>
        <w:t>营情况进行了全面评估，并聘请北京卓信大华资产评估有限公司出具了商誉减值测试估值报告，对</w:t>
      </w:r>
      <w:r>
        <w:rPr>
          <w:rFonts w:ascii="宋体" w:hAnsi="宋体" w:cs="宋体" w:eastAsia="宋体" w:hint="default"/>
          <w:spacing w:val="-2"/>
        </w:rPr>
        <w:t>2018</w:t>
      </w:r>
      <w:r>
        <w:rPr>
          <w:spacing w:val="-2"/>
        </w:rPr>
        <w:t>年形成的商誉计提减</w:t>
      </w:r>
      <w:r>
        <w:rPr>
          <w:spacing w:val="-60"/>
        </w:rPr>
        <w:t> </w:t>
      </w:r>
      <w:r>
        <w:rPr/>
        <w:t>值准备</w:t>
      </w:r>
      <w:r>
        <w:rPr>
          <w:rFonts w:ascii="宋体" w:hAnsi="宋体" w:cs="宋体" w:eastAsia="宋体" w:hint="default"/>
        </w:rPr>
        <w:t>1,733.71</w:t>
      </w:r>
      <w:r>
        <w:rPr/>
        <w:t>万元，导致本报告期净利润下降。</w:t>
      </w:r>
    </w:p>
    <w:p>
      <w:pPr>
        <w:spacing w:after="0" w:line="31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1"/>
        <w:ind w:right="1048"/>
        <w:jc w:val="left"/>
        <w:rPr>
          <w:b w:val="0"/>
          <w:bCs w:val="0"/>
        </w:rPr>
      </w:pPr>
      <w:bookmarkStart w:name="二、主营业务分析" w:id="25"/>
      <w:bookmarkEnd w:id="25"/>
      <w:r>
        <w:rPr>
          <w:b w:val="0"/>
          <w:bCs w:val="0"/>
        </w:rPr>
      </w:r>
      <w:r>
        <w:rPr/>
        <w:t>二、主营业务分析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48"/>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127"/>
        <w:jc w:val="left"/>
      </w:pPr>
      <w:r>
        <w:rPr>
          <w:rFonts w:ascii="Times New Roman" w:hAnsi="Times New Roman" w:cs="Times New Roman" w:eastAsia="Times New Roman" w:hint="default"/>
        </w:rPr>
        <w:t>1</w:t>
      </w:r>
      <w:r>
        <w:rPr/>
        <w:t>、营业收入：本期较上年同期减少</w:t>
      </w:r>
      <w:r>
        <w:rPr>
          <w:rFonts w:ascii="Times New Roman" w:hAnsi="Times New Roman" w:cs="Times New Roman" w:eastAsia="Times New Roman" w:hint="default"/>
        </w:rPr>
        <w:t>10,183.10</w:t>
      </w:r>
      <w:r>
        <w:rPr>
          <w:rFonts w:ascii="Times New Roman" w:hAnsi="Times New Roman" w:cs="Times New Roman" w:eastAsia="Times New Roman" w:hint="default"/>
          <w:spacing w:val="25"/>
        </w:rPr>
        <w:t> </w:t>
      </w:r>
      <w:r>
        <w:rPr/>
        <w:t>万元，减少</w:t>
      </w:r>
      <w:r>
        <w:rPr>
          <w:rFonts w:ascii="Times New Roman" w:hAnsi="Times New Roman" w:cs="Times New Roman" w:eastAsia="Times New Roman" w:hint="default"/>
        </w:rPr>
        <w:t>4.83%</w:t>
      </w:r>
      <w:r>
        <w:rPr/>
        <w:t>，营业收入较同期减少是由于国家政策调整影响，导致磷酸 铁销量大幅下滑影响公司业绩。</w:t>
      </w:r>
    </w:p>
    <w:p>
      <w:pPr>
        <w:pStyle w:val="BodyText"/>
        <w:spacing w:line="240" w:lineRule="auto" w:before="69"/>
        <w:ind w:right="1048"/>
        <w:jc w:val="left"/>
      </w:pPr>
      <w:r>
        <w:rPr>
          <w:rFonts w:ascii="Times New Roman" w:hAnsi="Times New Roman" w:cs="Times New Roman" w:eastAsia="Times New Roman" w:hint="default"/>
        </w:rPr>
        <w:t>2</w:t>
      </w:r>
      <w:r>
        <w:rPr/>
        <w:t>、营业成本：本期较上年同期减少</w:t>
      </w:r>
      <w:r>
        <w:rPr>
          <w:rFonts w:ascii="Times New Roman" w:hAnsi="Times New Roman" w:cs="Times New Roman" w:eastAsia="Times New Roman" w:hint="default"/>
        </w:rPr>
        <w:t>5,733.13</w:t>
      </w:r>
      <w:r>
        <w:rPr>
          <w:rFonts w:ascii="Times New Roman" w:hAnsi="Times New Roman" w:cs="Times New Roman" w:eastAsia="Times New Roman" w:hint="default"/>
          <w:spacing w:val="25"/>
        </w:rPr>
        <w:t> </w:t>
      </w:r>
      <w:r>
        <w:rPr/>
        <w:t>万元，减少</w:t>
      </w:r>
      <w:r>
        <w:rPr>
          <w:rFonts w:ascii="Times New Roman" w:hAnsi="Times New Roman" w:cs="Times New Roman" w:eastAsia="Times New Roman" w:hint="default"/>
        </w:rPr>
        <w:t>3.50%</w:t>
      </w:r>
      <w:r>
        <w:rPr/>
        <w:t>，主要原因系营业收入减少所致。</w:t>
      </w:r>
    </w:p>
    <w:p>
      <w:pPr>
        <w:pStyle w:val="BodyText"/>
        <w:spacing w:line="240" w:lineRule="auto" w:before="103"/>
        <w:ind w:right="0"/>
        <w:jc w:val="left"/>
      </w:pPr>
      <w:r>
        <w:rPr>
          <w:rFonts w:ascii="Times New Roman" w:hAnsi="Times New Roman" w:cs="Times New Roman" w:eastAsia="Times New Roman" w:hint="default"/>
          <w:spacing w:val="-4"/>
        </w:rPr>
        <w:t>3</w:t>
      </w:r>
      <w:r>
        <w:rPr>
          <w:spacing w:val="-4"/>
        </w:rPr>
        <w:t>、财务费用：本期较上年同期增加</w:t>
      </w:r>
      <w:r>
        <w:rPr>
          <w:rFonts w:ascii="Times New Roman" w:hAnsi="Times New Roman" w:cs="Times New Roman" w:eastAsia="Times New Roman" w:hint="default"/>
          <w:spacing w:val="-4"/>
        </w:rPr>
        <w:t>4,473.28 </w:t>
      </w:r>
      <w:r>
        <w:rPr>
          <w:rFonts w:ascii="Times New Roman" w:hAnsi="Times New Roman" w:cs="Times New Roman" w:eastAsia="Times New Roman" w:hint="default"/>
          <w:spacing w:val="27"/>
        </w:rPr>
        <w:t> </w:t>
      </w:r>
      <w:r>
        <w:rPr>
          <w:spacing w:val="-3"/>
        </w:rPr>
        <w:t>万元，增幅</w:t>
      </w:r>
      <w:r>
        <w:rPr>
          <w:rFonts w:ascii="Times New Roman" w:hAnsi="Times New Roman" w:cs="Times New Roman" w:eastAsia="Times New Roman" w:hint="default"/>
          <w:spacing w:val="-3"/>
        </w:rPr>
        <w:t>545.19%</w:t>
      </w:r>
      <w:r>
        <w:rPr>
          <w:spacing w:val="-3"/>
        </w:rPr>
        <w:t>，主要原因系公司扩大投资使得借款增加导致利息支出增加。</w:t>
      </w:r>
    </w:p>
    <w:p>
      <w:pPr>
        <w:pStyle w:val="BodyText"/>
        <w:spacing w:line="240" w:lineRule="auto" w:before="102"/>
        <w:ind w:right="1048"/>
        <w:jc w:val="left"/>
      </w:pPr>
      <w:r>
        <w:rPr>
          <w:rFonts w:ascii="Times New Roman" w:hAnsi="Times New Roman" w:cs="Times New Roman" w:eastAsia="Times New Roman" w:hint="default"/>
        </w:rPr>
        <w:t>4</w:t>
      </w:r>
      <w:r>
        <w:rPr/>
        <w:t>、其他收益：本期较上年同期增加</w:t>
      </w:r>
      <w:r>
        <w:rPr>
          <w:rFonts w:ascii="Times New Roman" w:hAnsi="Times New Roman" w:cs="Times New Roman" w:eastAsia="Times New Roman" w:hint="default"/>
        </w:rPr>
        <w:t>1,172.26</w:t>
      </w:r>
      <w:r>
        <w:rPr/>
        <w:t>万元，增加</w:t>
      </w:r>
      <w:r>
        <w:rPr>
          <w:rFonts w:ascii="Times New Roman" w:hAnsi="Times New Roman" w:cs="Times New Roman" w:eastAsia="Times New Roman" w:hint="default"/>
        </w:rPr>
        <w:t>109.74%</w:t>
      </w:r>
      <w:r>
        <w:rPr/>
        <w:t>，主要原因系软件退税、政府补助项目增加。</w:t>
      </w:r>
    </w:p>
    <w:p>
      <w:pPr>
        <w:pStyle w:val="BodyText"/>
        <w:spacing w:line="240" w:lineRule="auto" w:before="102"/>
        <w:ind w:right="1048"/>
        <w:jc w:val="left"/>
      </w:pPr>
      <w:r>
        <w:rPr>
          <w:rFonts w:ascii="Times New Roman" w:hAnsi="Times New Roman" w:cs="Times New Roman" w:eastAsia="Times New Roman" w:hint="default"/>
        </w:rPr>
        <w:t>5</w:t>
      </w:r>
      <w:r>
        <w:rPr/>
        <w:t>、经营活动产生的现金流量净额：本期较上年同期减少</w:t>
      </w:r>
      <w:r>
        <w:rPr>
          <w:rFonts w:ascii="Times New Roman" w:hAnsi="Times New Roman" w:cs="Times New Roman" w:eastAsia="Times New Roman" w:hint="default"/>
        </w:rPr>
        <w:t>27,102.40</w:t>
      </w:r>
      <w:r>
        <w:rPr>
          <w:rFonts w:ascii="Times New Roman" w:hAnsi="Times New Roman" w:cs="Times New Roman" w:eastAsia="Times New Roman" w:hint="default"/>
          <w:spacing w:val="24"/>
        </w:rPr>
        <w:t> </w:t>
      </w:r>
      <w:r>
        <w:rPr/>
        <w:t>万元，减少</w:t>
      </w:r>
      <w:r>
        <w:rPr>
          <w:rFonts w:ascii="Times New Roman" w:hAnsi="Times New Roman" w:cs="Times New Roman" w:eastAsia="Times New Roman" w:hint="default"/>
        </w:rPr>
        <w:t>304.04%</w:t>
      </w:r>
      <w:r>
        <w:rPr/>
        <w:t>。主要是存货的增加。</w:t>
      </w:r>
    </w:p>
    <w:p>
      <w:pPr>
        <w:spacing w:line="240" w:lineRule="auto" w:before="10"/>
        <w:rPr>
          <w:rFonts w:ascii="宋体" w:hAnsi="宋体" w:cs="宋体" w:eastAsia="宋体" w:hint="default"/>
          <w:sz w:val="25"/>
          <w:szCs w:val="25"/>
        </w:rPr>
      </w:pPr>
    </w:p>
    <w:p>
      <w:pPr>
        <w:pStyle w:val="Heading3"/>
        <w:spacing w:line="240" w:lineRule="auto"/>
        <w:ind w:right="1048"/>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48"/>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972"/>
        <w:jc w:val="left"/>
      </w:pPr>
      <w:r>
        <w:rPr/>
        <w:t>公司是否需要遵守光伏产业链相关业的披露要求 否</w:t>
      </w:r>
    </w:p>
    <w:p>
      <w:pPr>
        <w:pStyle w:val="BodyText"/>
        <w:spacing w:line="340" w:lineRule="auto" w:before="28"/>
        <w:ind w:right="139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3"/>
        <w:ind w:right="1135"/>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40" w:lineRule="auto" w:before="42"/>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38" w:lineRule="auto" w:before="40"/>
        <w:ind w:right="1663"/>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否</w:t>
      </w:r>
    </w:p>
    <w:p>
      <w:pPr>
        <w:pStyle w:val="BodyText"/>
        <w:spacing w:line="240" w:lineRule="auto" w:before="43"/>
        <w:ind w:right="1048"/>
        <w:jc w:val="left"/>
      </w:pPr>
      <w:r>
        <w:rPr/>
        <w:t>营业收入整体情况</w:t>
      </w:r>
    </w:p>
    <w:p>
      <w:pPr>
        <w:pStyle w:val="BodyText"/>
        <w:spacing w:line="240" w:lineRule="auto" w:before="116"/>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600"/>
        <w:gridCol w:w="1589"/>
        <w:gridCol w:w="1600"/>
        <w:gridCol w:w="1583"/>
        <w:gridCol w:w="1601"/>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2,007,514,867.20</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2,109,345,874.22</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-4.83%</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输配电设备制造</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pacing w:val="-1"/>
                <w:sz w:val="18"/>
              </w:rPr>
              <w:t>1,490,124,525.77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74.23%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pacing w:val="-1"/>
                <w:sz w:val="18"/>
              </w:rPr>
              <w:t>1,481,084,438.21</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70.22%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光伏设备</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62,437,961.43</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2.96%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1,598,180.51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1,415,094.42</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0.07%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电力工程设计服务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49,598,604.87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22,493,850.76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1.07%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120.50%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锂电池材料</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466,193,556.05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23.22%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541,914,529.40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25.69%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环网柜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858,485,278.51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631,616,453.90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柱上开关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80,769,501.41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95,217,470.34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箱式变电站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179,670,166.67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251,029,165.34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电缆附件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1,047,342.01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996,525.31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其他开关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241,568,322.18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296,700,064.40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128,583,914.99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205,524,758.92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62,437,961.43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四氧化三钴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243,900,231.64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424,475,441.48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氢氧化亚钴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208,585,381.61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54,732,664.52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281.10%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磷酸铁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13,707,942.80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62,629,337.59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-78.11%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电力工程设计服务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49,598,604.87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21,737,718.69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128.17%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1,598,180.51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2,248,312.30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1,872,621,225.07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2,073,465,688.35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134,893,642.13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35,880,185.87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w:t>
            </w:r>
          </w:p>
        </w:tc>
      </w:tr>
    </w:tbl>
    <w:p>
      <w:pPr>
        <w:spacing w:line="240" w:lineRule="auto" w:before="3"/>
        <w:rPr>
          <w:rFonts w:ascii="宋体" w:hAnsi="宋体" w:cs="宋体" w:eastAsia="宋体" w:hint="default"/>
          <w:sz w:val="19"/>
          <w:szCs w:val="19"/>
        </w:rPr>
      </w:pPr>
    </w:p>
    <w:p>
      <w:pPr>
        <w:pStyle w:val="Heading3"/>
        <w:spacing w:line="240" w:lineRule="auto" w:before="35"/>
        <w:ind w:right="1048"/>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输配电设备制造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1,490,124,525.77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1,198,531,868.89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锂电池材料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466,193,556.05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382,330,265.58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环网柜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858,512,993.24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626,332,040.84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其他开关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241,568,322.18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217,538,772.78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四氧化三钴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243,900,231.64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188,576,620.90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9.11%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氢氧化亚钴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208,585,381.61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179,019,391.74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253.11%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1,872,621,225.07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1,463,047,080.77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r>
    </w:tbl>
    <w:p>
      <w:pPr>
        <w:pStyle w:val="BodyText"/>
        <w:spacing w:line="240" w:lineRule="auto" w:before="51"/>
        <w:ind w:right="1048"/>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48"/>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输配电设备制造业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62,027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-11.28%</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61,987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-9.28%</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67.13%</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锂电池材料</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2,320,680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4,926,603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-52.89%</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4,528,000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4,180,436.32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8.31%</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2,179,000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485,647.5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348.68%</w:t>
            </w:r>
          </w:p>
        </w:tc>
      </w:tr>
    </w:tbl>
    <w:p>
      <w:pPr>
        <w:pStyle w:val="BodyText"/>
        <w:spacing w:line="240" w:lineRule="auto" w:before="51"/>
        <w:ind w:right="1048"/>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048"/>
        <w:jc w:val="left"/>
      </w:pPr>
      <w:r>
        <w:rPr>
          <w:rFonts w:ascii="Times New Roman" w:hAnsi="Times New Roman" w:cs="Times New Roman" w:eastAsia="Times New Roman" w:hint="default"/>
        </w:rPr>
        <w:t>1</w:t>
      </w:r>
      <w:r>
        <w:rPr/>
        <w:t>、输配电设备制造业库存变化原因：考虑到原材料的价格波动所做的部分储备。</w:t>
      </w:r>
    </w:p>
    <w:p>
      <w:pPr>
        <w:pStyle w:val="BodyText"/>
        <w:spacing w:line="307" w:lineRule="auto" w:before="63"/>
        <w:ind w:right="1034"/>
        <w:jc w:val="left"/>
      </w:pPr>
      <w:r>
        <w:rPr>
          <w:rFonts w:ascii="Times New Roman" w:hAnsi="Times New Roman" w:cs="Times New Roman" w:eastAsia="Times New Roman" w:hint="default"/>
        </w:rPr>
        <w:t>2</w:t>
      </w:r>
      <w:r>
        <w:rPr/>
        <w:t>、锂电池材料销售减少：湖南雅城原主要客户三星</w:t>
      </w:r>
      <w:r>
        <w:rPr>
          <w:rFonts w:ascii="Times New Roman" w:hAnsi="Times New Roman" w:cs="Times New Roman" w:eastAsia="Times New Roman" w:hint="default"/>
        </w:rPr>
        <w:t>SDI</w:t>
      </w:r>
      <w:r>
        <w:rPr/>
        <w:t>因自身业务调整，对于四氧化三钴的需求由直接对外采购变化为采 </w:t>
      </w:r>
      <w:r>
        <w:rPr>
          <w:spacing w:val="-2"/>
        </w:rPr>
        <w:t>购钴中间品后自主加工，导致湖南雅城与三星</w:t>
      </w:r>
      <w:r>
        <w:rPr>
          <w:rFonts w:ascii="Times New Roman" w:hAnsi="Times New Roman" w:cs="Times New Roman" w:eastAsia="Times New Roman" w:hint="default"/>
          <w:spacing w:val="-2"/>
        </w:rPr>
        <w:t>SDI</w:t>
      </w:r>
      <w:r>
        <w:rPr>
          <w:spacing w:val="-2"/>
        </w:rPr>
        <w:t>的合作规模缩减；同时，受国内其他钴酸锂生产客户认证周期过长的影响，</w:t>
      </w:r>
      <w:r>
        <w:rPr>
          <w:spacing w:val="-83"/>
        </w:rPr>
        <w:t> </w:t>
      </w:r>
      <w:r>
        <w:rPr>
          <w:spacing w:val="-83"/>
        </w:rPr>
      </w:r>
      <w:r>
        <w:rPr>
          <w:spacing w:val="-2"/>
        </w:rPr>
        <w:t>湖南雅城的四氧化三钴产品销售情况未能达到预计水平。受</w:t>
      </w:r>
      <w:r>
        <w:rPr>
          <w:rFonts w:ascii="Times New Roman" w:hAnsi="Times New Roman" w:cs="Times New Roman" w:eastAsia="Times New Roman" w:hint="default"/>
          <w:spacing w:val="-2"/>
        </w:rPr>
        <w:t>2018</w:t>
      </w:r>
      <w:r>
        <w:rPr>
          <w:spacing w:val="-2"/>
        </w:rPr>
        <w:t>年国家新能源补贴政策调整影响，包括湖南雅城磷酸铁产品</w:t>
      </w:r>
      <w:r>
        <w:rPr>
          <w:spacing w:val="-60"/>
        </w:rPr>
        <w:t> </w:t>
      </w:r>
      <w:r>
        <w:rPr>
          <w:spacing w:val="-60"/>
        </w:rPr>
      </w:r>
      <w:r>
        <w:rPr>
          <w:spacing w:val="-2"/>
        </w:rPr>
        <w:t>客户在内的电池材料企业均处于技术调整及对产品进行性能升级的阶段，湖南雅城为应对客户对于产品更高的要求，正积极</w:t>
      </w:r>
      <w:r>
        <w:rPr>
          <w:spacing w:val="-64"/>
        </w:rPr>
        <w:t> </w:t>
      </w:r>
      <w:r>
        <w:rPr>
          <w:spacing w:val="-64"/>
        </w:rPr>
      </w:r>
      <w:r>
        <w:rPr>
          <w:spacing w:val="-2"/>
        </w:rPr>
        <w:t>研发高压实磷酸铁产品。受制于研发项目的开展需要时间，而本年客户采购需求大幅减少，湖南雅城的磷酸铁产品销售情况</w:t>
      </w:r>
      <w:r>
        <w:rPr>
          <w:spacing w:val="-66"/>
        </w:rPr>
        <w:t> </w:t>
      </w:r>
      <w:r>
        <w:rPr>
          <w:spacing w:val="-66"/>
        </w:rPr>
      </w:r>
      <w:r>
        <w:rPr/>
        <w:t>亦未能达到预计水平。 </w:t>
      </w:r>
      <w:r>
        <w:rPr>
          <w:rFonts w:ascii="Times New Roman" w:hAnsi="Times New Roman" w:cs="Times New Roman" w:eastAsia="Times New Roman" w:hint="default"/>
        </w:rPr>
        <w:t>3</w:t>
      </w:r>
      <w:r>
        <w:rPr/>
        <w:t>、锂电池材料库存变化：由于国家政策调整影响，导致磷酸铁销量大幅下滑，具体为</w:t>
      </w:r>
      <w:r>
        <w:rPr>
          <w:rFonts w:ascii="Times New Roman" w:hAnsi="Times New Roman" w:cs="Times New Roman" w:eastAsia="Times New Roman" w:hint="default"/>
        </w:rPr>
        <w:t>2018</w:t>
      </w:r>
      <w:r>
        <w:rPr/>
        <w:t>年初国家调整了新能源汽车补贴 </w:t>
      </w:r>
      <w:r>
        <w:rPr>
          <w:spacing w:val="-2"/>
        </w:rPr>
        <w:t>政策，补贴政策调整主要是提高了对动力电池能量密度的要求。因此为配合达到车企对电池的要求，经与客户协商，由我司</w:t>
      </w:r>
      <w:r>
        <w:rPr>
          <w:spacing w:val="-66"/>
        </w:rPr>
        <w:t> </w:t>
      </w:r>
      <w:r>
        <w:rPr>
          <w:spacing w:val="-66"/>
        </w:rPr>
      </w:r>
      <w:r>
        <w:rPr/>
        <w:t>提供新产品高压实磷酸铁产品进行重新认证。根据行业通用的对新产品认证的周期来看，基本上均需要</w:t>
      </w:r>
      <w:r>
        <w:rPr>
          <w:rFonts w:ascii="Times New Roman" w:hAnsi="Times New Roman" w:cs="Times New Roman" w:eastAsia="Times New Roman" w:hint="default"/>
        </w:rPr>
        <w:t>1</w:t>
      </w:r>
      <w:r>
        <w:rPr/>
        <w:t>年左右的时间，因 此影响了我司磷酸铁产品的产能释放，导致库存增加。</w:t>
      </w:r>
    </w:p>
    <w:p>
      <w:pPr>
        <w:spacing w:line="240" w:lineRule="auto" w:before="1"/>
        <w:rPr>
          <w:rFonts w:ascii="宋体" w:hAnsi="宋体" w:cs="宋体" w:eastAsia="宋体" w:hint="default"/>
          <w:sz w:val="23"/>
          <w:szCs w:val="23"/>
        </w:rPr>
      </w:pPr>
    </w:p>
    <w:p>
      <w:pPr>
        <w:pStyle w:val="Heading3"/>
        <w:spacing w:line="240" w:lineRule="auto"/>
        <w:ind w:right="1048"/>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48"/>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48"/>
        <w:jc w:val="left"/>
      </w:pPr>
      <w:r>
        <w:rPr/>
        <w:t>行业分类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电力配电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1,143,039,843.36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1,063,209,371.31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电力配电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20,494,894.96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22,925,989.65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电力配电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34,997,130.57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37,733,899.23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362,064,583.51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430,885,910.58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7,191,679.05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8,464,926.71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13,074,003.02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20,960,102.33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-1.13%</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1048"/>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48"/>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556,502,285.04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48"/>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157,816,995.65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148,514,179.17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143,701,837.25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56,096,212.05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50,373,060.92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556,502,285.04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27.72%</w:t>
            </w:r>
          </w:p>
        </w:tc>
      </w:tr>
    </w:tbl>
    <w:p>
      <w:pPr>
        <w:pStyle w:val="BodyText"/>
        <w:spacing w:line="240" w:lineRule="auto" w:before="51"/>
        <w:ind w:right="1048"/>
        <w:jc w:val="left"/>
      </w:pPr>
      <w:r>
        <w:rPr/>
        <w:t>主要客户其他情况说明</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347,109,022.88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48"/>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113,828,292.36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83,941,705.83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54,665,517.96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47,604,541.22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47,068,965.51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347,109,022.88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17.42%</w:t>
            </w:r>
          </w:p>
        </w:tc>
      </w:tr>
    </w:tbl>
    <w:p>
      <w:pPr>
        <w:pStyle w:val="BodyText"/>
        <w:spacing w:line="240" w:lineRule="auto" w:before="51"/>
        <w:ind w:right="1048"/>
        <w:jc w:val="left"/>
      </w:pPr>
      <w:r>
        <w:rPr/>
        <w:t>主要供应商其他情况说明</w:t>
      </w:r>
    </w:p>
    <w:p>
      <w:pPr>
        <w:pStyle w:val="BodyText"/>
        <w:spacing w:line="240" w:lineRule="auto" w:before="117"/>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48"/>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168,594,156.31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158,351,760.55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97,978,573.65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92,757,873.92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52,937,786.18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8,204,974.64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545.19%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扩大投资导致</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30,355,098.04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30,921,752.05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-1.83%</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公司自成立至今，在长期的发展过程中明确了</w:t>
      </w:r>
      <w:r>
        <w:rPr>
          <w:rFonts w:ascii="Times New Roman" w:hAnsi="Times New Roman" w:cs="Times New Roman" w:eastAsia="Times New Roman" w:hint="default"/>
        </w:rPr>
        <w:t>“</w:t>
      </w:r>
      <w:r>
        <w:rPr/>
        <w:t>专注户外、领先半步</w:t>
      </w:r>
      <w:r>
        <w:rPr>
          <w:rFonts w:ascii="Times New Roman" w:hAnsi="Times New Roman" w:cs="Times New Roman" w:eastAsia="Times New Roman" w:hint="default"/>
        </w:rPr>
        <w:t>”</w:t>
      </w:r>
      <w:r>
        <w:rPr/>
        <w:t>的研发战略，本着</w:t>
      </w:r>
      <w:r>
        <w:rPr>
          <w:rFonts w:ascii="Times New Roman" w:hAnsi="Times New Roman" w:cs="Times New Roman" w:eastAsia="Times New Roman" w:hint="default"/>
        </w:rPr>
        <w:t>“</w:t>
      </w:r>
      <w:r>
        <w:rPr/>
        <w:t>生产一代、储备一代、研发一代</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的原则，进行适度前瞻性的技术研究和产品研发，使公司在相关研究领域内的技术处于国内领先水平，巩固公司在行业内的</w:t>
      </w:r>
      <w:r>
        <w:rPr>
          <w:spacing w:val="-66"/>
        </w:rPr>
        <w:t> </w:t>
      </w:r>
      <w:r>
        <w:rPr>
          <w:spacing w:val="-66"/>
        </w:rPr>
      </w:r>
      <w:r>
        <w:rPr/>
        <w:t>领先地位。</w:t>
      </w:r>
    </w:p>
    <w:p>
      <w:pPr>
        <w:spacing w:line="240" w:lineRule="auto" w:before="0"/>
        <w:rPr>
          <w:rFonts w:ascii="宋体" w:hAnsi="宋体" w:cs="宋体" w:eastAsia="宋体" w:hint="default"/>
          <w:sz w:val="18"/>
          <w:szCs w:val="18"/>
        </w:rPr>
      </w:pPr>
    </w:p>
    <w:p>
      <w:pPr>
        <w:pStyle w:val="BodyText"/>
        <w:spacing w:line="240" w:lineRule="auto" w:before="134"/>
        <w:ind w:right="1048"/>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116,492,362.67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142,599,684.36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72,449,508.73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17,678,831.66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20,908,897.78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16,718,541.72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18.89%</w:t>
            </w:r>
          </w:p>
        </w:tc>
      </w:tr>
    </w:tbl>
    <w:p>
      <w:pPr>
        <w:pStyle w:val="BodyText"/>
        <w:spacing w:line="240" w:lineRule="auto" w:before="51"/>
        <w:ind w:right="1048"/>
        <w:jc w:val="left"/>
      </w:pPr>
      <w:r>
        <w:rPr/>
        <w:t>研发投入总额占营业收入的比重较上年发生显著变化的原因</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48"/>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2,069,820,901.42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1,770,587,294.37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2,251,704,139.86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1,681,446,570.26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33.91%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-181,883,238.44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89,140,724.11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-304.04%</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222,476,237.04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1,134,246.58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19,514.45%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593,556,870.74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711,484,987.74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-371,080,633.70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-710,350,741.16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-47.76%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1,207,332,789.53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887,289,486.39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36.07%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644,150,572.75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212,146,385.08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203.63%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563,182,216.78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675,143,101.31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10,734,788.45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53,388,529.23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-79.89%</w:t>
            </w:r>
          </w:p>
        </w:tc>
      </w:tr>
    </w:tbl>
    <w:p>
      <w:pPr>
        <w:pStyle w:val="BodyText"/>
        <w:spacing w:line="240" w:lineRule="auto" w:before="51"/>
        <w:ind w:right="1048"/>
        <w:jc w:val="left"/>
      </w:pPr>
      <w:r>
        <w:rPr/>
        <w:t>相关数据同比发生重大变动的主要影响因素说明</w:t>
      </w:r>
    </w:p>
    <w:p>
      <w:pPr>
        <w:pStyle w:val="BodyText"/>
        <w:spacing w:line="338" w:lineRule="auto" w:before="116"/>
        <w:ind w:right="350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由于闲置募投资金用于理财到期收回产生的现金流入</w:t>
      </w:r>
      <w:r>
        <w:rPr>
          <w:rFonts w:ascii="Times New Roman" w:hAnsi="Times New Roman" w:cs="Times New Roman" w:eastAsia="Times New Roman" w:hint="default"/>
        </w:rPr>
        <w:t>2.2</w:t>
      </w:r>
      <w:r>
        <w:rPr/>
        <w:t>亿元，导致投资现金流入变化较大。</w:t>
      </w:r>
    </w:p>
    <w:p>
      <w:pPr>
        <w:spacing w:line="240" w:lineRule="auto" w:before="7"/>
        <w:rPr>
          <w:rFonts w:ascii="宋体" w:hAnsi="宋体" w:cs="宋体" w:eastAsia="宋体" w:hint="default"/>
          <w:sz w:val="25"/>
          <w:szCs w:val="25"/>
        </w:rPr>
      </w:pPr>
    </w:p>
    <w:p>
      <w:pPr>
        <w:pStyle w:val="BodyText"/>
        <w:spacing w:line="240" w:lineRule="auto"/>
        <w:ind w:right="1048"/>
        <w:jc w:val="left"/>
      </w:pPr>
      <w:r>
        <w:rPr/>
        <w:t>报告期内公司经营活动产生的现金净流量与本年度净利润存在重大差异的原因说明</w:t>
      </w:r>
    </w:p>
    <w:p>
      <w:pPr>
        <w:pStyle w:val="BodyText"/>
        <w:spacing w:line="240" w:lineRule="auto" w:before="116"/>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48"/>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48"/>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8"/>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302,221,818.2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6.46%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365,760,113.60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9.26%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-2.80%</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38" w:right="0"/>
              <w:jc w:val="left"/>
              <w:rPr>
                <w:rFonts w:ascii="Times New Roman" w:hAnsi="Times New Roman" w:cs="Times New Roman" w:eastAsia="Times New Roman" w:hint="default"/>
                <w:sz w:val="18"/>
                <w:szCs w:val="18"/>
              </w:rPr>
            </w:pPr>
            <w:r>
              <w:rPr>
                <w:rFonts w:ascii="Times New Roman"/>
                <w:sz w:val="18"/>
              </w:rPr>
              <w:t>1,222,601,969.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26.12%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1" w:right="0"/>
              <w:jc w:val="left"/>
              <w:rPr>
                <w:rFonts w:ascii="Times New Roman" w:hAnsi="Times New Roman" w:cs="Times New Roman" w:eastAsia="Times New Roman" w:hint="default"/>
                <w:sz w:val="18"/>
                <w:szCs w:val="18"/>
              </w:rPr>
            </w:pPr>
            <w:r>
              <w:rPr>
                <w:rFonts w:ascii="Times New Roman"/>
                <w:sz w:val="18"/>
              </w:rPr>
              <w:t>1,260,779,915.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31.91%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-5.79%</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754,796,963.1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415,696,288.80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488,863,273.8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157,131,856.09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647,397,311.8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636,445,722.95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16.11%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151,863,447.6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31,031,663.35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1,063,499,715.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475,894,984.00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40,676,232.49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0.87%</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48"/>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86"/>
        <w:gridCol w:w="1984"/>
        <w:gridCol w:w="3726"/>
      </w:tblGrid>
      <w:tr>
        <w:trPr>
          <w:trHeight w:val="34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45" w:right="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4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65,615,684.51</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0" w:right="0"/>
              <w:jc w:val="left"/>
              <w:rPr>
                <w:rFonts w:ascii="宋体" w:hAnsi="宋体" w:cs="宋体" w:eastAsia="宋体" w:hint="default"/>
                <w:sz w:val="18"/>
                <w:szCs w:val="18"/>
              </w:rPr>
            </w:pPr>
            <w:r>
              <w:rPr>
                <w:rFonts w:ascii="宋体" w:hAnsi="宋体" w:cs="宋体" w:eastAsia="宋体" w:hint="default"/>
                <w:sz w:val="18"/>
                <w:szCs w:val="18"/>
              </w:rPr>
              <w:t>银行承兑票据保证金及保函保证金</w:t>
            </w:r>
          </w:p>
        </w:tc>
      </w:tr>
      <w:tr>
        <w:trPr>
          <w:trHeight w:val="34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19,197,605.78</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0" w:right="0"/>
              <w:jc w:val="left"/>
              <w:rPr>
                <w:rFonts w:ascii="宋体" w:hAnsi="宋体" w:cs="宋体" w:eastAsia="宋体" w:hint="default"/>
                <w:sz w:val="18"/>
                <w:szCs w:val="18"/>
              </w:rPr>
            </w:pPr>
            <w:r>
              <w:rPr>
                <w:rFonts w:ascii="宋体" w:hAnsi="宋体" w:cs="宋体" w:eastAsia="宋体" w:hint="default"/>
                <w:sz w:val="18"/>
                <w:szCs w:val="18"/>
              </w:rPr>
              <w:t>应收账款押汇</w:t>
            </w:r>
          </w:p>
        </w:tc>
      </w:tr>
      <w:tr>
        <w:trPr>
          <w:trHeight w:val="34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w:t>
            </w:r>
            <w:r>
              <w:rPr>
                <w:rFonts w:ascii="宋体" w:hAnsi="宋体" w:cs="宋体" w:eastAsia="宋体" w:hint="default"/>
                <w:sz w:val="18"/>
                <w:szCs w:val="18"/>
              </w:rPr>
              <w:t>理财产品</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55,000,000.00</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0" w:right="0"/>
              <w:jc w:val="left"/>
              <w:rPr>
                <w:rFonts w:ascii="宋体" w:hAnsi="宋体" w:cs="宋体" w:eastAsia="宋体" w:hint="default"/>
                <w:sz w:val="18"/>
                <w:szCs w:val="18"/>
              </w:rPr>
            </w:pPr>
            <w:r>
              <w:rPr>
                <w:rFonts w:ascii="宋体" w:hAnsi="宋体" w:cs="宋体" w:eastAsia="宋体" w:hint="default"/>
                <w:sz w:val="18"/>
                <w:szCs w:val="18"/>
              </w:rPr>
              <w:t>银行承兑票据保证金</w:t>
            </w:r>
          </w:p>
        </w:tc>
      </w:tr>
      <w:tr>
        <w:trPr>
          <w:trHeight w:val="34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347,435,227.86</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0"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34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24,528,079.78</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0" w:right="0"/>
              <w:jc w:val="left"/>
              <w:rPr>
                <w:rFonts w:ascii="宋体" w:hAnsi="宋体" w:cs="宋体" w:eastAsia="宋体" w:hint="default"/>
                <w:sz w:val="18"/>
                <w:szCs w:val="18"/>
              </w:rPr>
            </w:pPr>
            <w:r>
              <w:rPr>
                <w:rFonts w:ascii="宋体" w:hAnsi="宋体" w:cs="宋体" w:eastAsia="宋体" w:hint="default"/>
                <w:sz w:val="18"/>
                <w:szCs w:val="18"/>
              </w:rPr>
              <w:t>质押贷款</w:t>
            </w:r>
          </w:p>
        </w:tc>
      </w:tr>
      <w:tr>
        <w:trPr>
          <w:trHeight w:val="34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511,776,597.93</w:t>
            </w:r>
            <w:r>
              <w:rPr>
                <w:rFonts w:ascii="Times New Roman"/>
                <w:spacing w:val="-1"/>
                <w:sz w:val="18"/>
              </w:rPr>
            </w:r>
          </w:p>
        </w:tc>
        <w:tc>
          <w:tcPr>
            <w:tcW w:w="37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1048"/>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8"/>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334,494,412.50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329,906,800.00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683"/>
        <w:gridCol w:w="692"/>
        <w:gridCol w:w="663"/>
        <w:gridCol w:w="661"/>
        <w:gridCol w:w="662"/>
        <w:gridCol w:w="663"/>
        <w:gridCol w:w="658"/>
        <w:gridCol w:w="655"/>
        <w:gridCol w:w="658"/>
        <w:gridCol w:w="629"/>
        <w:gridCol w:w="740"/>
        <w:gridCol w:w="734"/>
        <w:gridCol w:w="733"/>
        <w:gridCol w:w="712"/>
      </w:tblGrid>
      <w:tr>
        <w:trPr>
          <w:trHeight w:val="714"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0" w:right="72"/>
              <w:jc w:val="left"/>
              <w:rPr>
                <w:rFonts w:ascii="宋体" w:hAnsi="宋体" w:cs="宋体" w:eastAsia="宋体" w:hint="default"/>
                <w:sz w:val="18"/>
                <w:szCs w:val="18"/>
              </w:rPr>
            </w:pPr>
            <w:r>
              <w:rPr>
                <w:rFonts w:ascii="宋体" w:hAnsi="宋体" w:cs="宋体" w:eastAsia="宋体" w:hint="default"/>
                <w:sz w:val="18"/>
                <w:szCs w:val="18"/>
              </w:rPr>
              <w:t>被投资 公司名</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1" w:right="5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4"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91" w:right="90"/>
              <w:jc w:val="left"/>
              <w:rPr>
                <w:rFonts w:ascii="宋体" w:hAnsi="宋体" w:cs="宋体" w:eastAsia="宋体" w:hint="default"/>
                <w:sz w:val="18"/>
                <w:szCs w:val="18"/>
              </w:rPr>
            </w:pPr>
            <w:r>
              <w:rPr>
                <w:rFonts w:ascii="宋体" w:hAnsi="宋体" w:cs="宋体" w:eastAsia="宋体" w:hint="default"/>
                <w:sz w:val="18"/>
                <w:szCs w:val="18"/>
              </w:rPr>
              <w:t>披露日 期（如</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87" w:right="74"/>
              <w:jc w:val="left"/>
              <w:rPr>
                <w:rFonts w:ascii="宋体" w:hAnsi="宋体" w:cs="宋体" w:eastAsia="宋体" w:hint="default"/>
                <w:sz w:val="18"/>
                <w:szCs w:val="18"/>
              </w:rPr>
            </w:pPr>
            <w:r>
              <w:rPr>
                <w:rFonts w:ascii="宋体" w:hAnsi="宋体" w:cs="宋体" w:eastAsia="宋体" w:hint="default"/>
                <w:sz w:val="18"/>
                <w:szCs w:val="18"/>
              </w:rPr>
              <w:t>披露索 引（如</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362"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50"/>
              <w:jc w:val="right"/>
              <w:rPr>
                <w:rFonts w:ascii="宋体" w:hAnsi="宋体" w:cs="宋体" w:eastAsia="宋体" w:hint="default"/>
                <w:sz w:val="18"/>
                <w:szCs w:val="18"/>
              </w:rPr>
            </w:pPr>
            <w:r>
              <w:rPr>
                <w:rFonts w:ascii="宋体" w:hAnsi="宋体" w:cs="宋体" w:eastAsia="宋体" w:hint="default"/>
                <w:sz w:val="18"/>
                <w:szCs w:val="18"/>
              </w:rPr>
              <w:t>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有）</w:t>
            </w:r>
          </w:p>
        </w:tc>
      </w:tr>
      <w:tr>
        <w:trPr>
          <w:trHeight w:val="165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天津市 茂联科 技有限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新能源</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增资</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332,881</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,818.00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16.59%</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钴、铜</w:t>
            </w:r>
          </w:p>
          <w:p>
            <w:pPr>
              <w:pStyle w:val="TableParagraph"/>
              <w:spacing w:line="319" w:lineRule="auto" w:before="75"/>
              <w:ind w:left="22" w:right="83"/>
              <w:jc w:val="both"/>
              <w:rPr>
                <w:rFonts w:ascii="宋体" w:hAnsi="宋体" w:cs="宋体" w:eastAsia="宋体" w:hint="default"/>
                <w:sz w:val="18"/>
                <w:szCs w:val="18"/>
              </w:rPr>
            </w:pPr>
            <w:r>
              <w:rPr>
                <w:rFonts w:ascii="宋体" w:hAnsi="宋体" w:cs="宋体" w:eastAsia="宋体" w:hint="default"/>
                <w:sz w:val="18"/>
                <w:szCs w:val="18"/>
              </w:rPr>
              <w:t>（副产 品）及 锂等系 列产品</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149"/>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96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9"/>
              <w:jc w:val="both"/>
              <w:rPr>
                <w:rFonts w:ascii="宋体" w:hAnsi="宋体" w:cs="宋体" w:eastAsia="宋体" w:hint="default"/>
                <w:sz w:val="18"/>
                <w:szCs w:val="18"/>
              </w:rPr>
            </w:pPr>
            <w:r>
              <w:rPr>
                <w:rFonts w:ascii="宋体" w:hAnsi="宋体" w:cs="宋体" w:eastAsia="宋体" w:hint="default"/>
                <w:sz w:val="18"/>
                <w:szCs w:val="18"/>
              </w:rPr>
              <w:t>印尼合 纵电气 股份公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电力系 统输配 电的研 发、生 </w:t>
            </w:r>
            <w:r>
              <w:rPr>
                <w:rFonts w:ascii="宋体" w:hAnsi="宋体" w:cs="宋体" w:eastAsia="宋体" w:hint="default"/>
                <w:spacing w:val="-21"/>
                <w:sz w:val="18"/>
                <w:szCs w:val="18"/>
              </w:rPr>
              <w:t>产、销售</w:t>
            </w:r>
            <w:r>
              <w:rPr>
                <w:rFonts w:ascii="宋体" w:hAnsi="宋体" w:cs="宋体" w:eastAsia="宋体" w:hint="default"/>
                <w:sz w:val="18"/>
                <w:szCs w:val="18"/>
              </w:rPr>
              <w:t> 等服务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69"/>
              <w:jc w:val="righ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1,612,5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94.50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51.00%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2" w:right="53"/>
              <w:jc w:val="both"/>
              <w:rPr>
                <w:rFonts w:ascii="Times New Roman" w:hAnsi="Times New Roman" w:cs="Times New Roman" w:eastAsia="Times New Roman" w:hint="default"/>
                <w:sz w:val="18"/>
                <w:szCs w:val="18"/>
              </w:rPr>
            </w:pPr>
            <w:r>
              <w:rPr>
                <w:rFonts w:ascii="Times New Roman"/>
                <w:sz w:val="18"/>
              </w:rPr>
              <w:t>PTHulu</w:t>
            </w:r>
            <w:r>
              <w:rPr>
                <w:rFonts w:ascii="Times New Roman"/>
                <w:w w:val="99"/>
                <w:sz w:val="18"/>
              </w:rPr>
              <w:t> </w:t>
            </w:r>
            <w:r>
              <w:rPr>
                <w:rFonts w:ascii="Times New Roman"/>
                <w:sz w:val="18"/>
              </w:rPr>
              <w:t>MasMa</w:t>
            </w:r>
            <w:r>
              <w:rPr>
                <w:rFonts w:ascii="Times New Roman"/>
                <w:sz w:val="18"/>
              </w:rPr>
              <w:t> ndiriAb</w:t>
            </w:r>
            <w:r>
              <w:rPr>
                <w:rFonts w:ascii="Times New Roman"/>
                <w:w w:val="99"/>
                <w:sz w:val="18"/>
              </w:rPr>
              <w:t> </w:t>
            </w:r>
            <w:r>
              <w:rPr>
                <w:rFonts w:ascii="Times New Roman"/>
                <w:sz w:val="18"/>
              </w:rPr>
              <w:t>adi</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60"/>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配电设 备</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5"/>
              <w:jc w:val="right"/>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334,494</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,412.50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48"/>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48"/>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48"/>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33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非公开发 行购买资 产并募集 配套资金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46,764.91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4,642.21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28,074.03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19,106.95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详见（</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46,764.91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4,642.21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28,074.03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19,106.95</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62"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日，本公司已累计使用非公开发行募集资金人民币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280,740,297.10 </w:t>
            </w:r>
            <w:r>
              <w:rPr>
                <w:rFonts w:ascii="宋体" w:hAnsi="宋体" w:cs="宋体" w:eastAsia="宋体" w:hint="default"/>
                <w:sz w:val="18"/>
                <w:szCs w:val="18"/>
              </w:rPr>
              <w:t>元（包含与发行有关的费用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2254" w:lineRule="exact"/>
        <w:ind w:left="149" w:right="0" w:firstLine="0"/>
        <w:rPr>
          <w:rFonts w:ascii="宋体" w:hAnsi="宋体" w:cs="宋体" w:eastAsia="宋体" w:hint="default"/>
          <w:sz w:val="20"/>
          <w:szCs w:val="20"/>
        </w:rPr>
      </w:pPr>
      <w:r>
        <w:rPr>
          <w:rFonts w:ascii="宋体" w:hAnsi="宋体" w:cs="宋体" w:eastAsia="宋体" w:hint="default"/>
          <w:position w:val="-44"/>
          <w:sz w:val="20"/>
          <w:szCs w:val="20"/>
        </w:rPr>
        <w:pict>
          <v:group style="width:481.5pt;height:112.7pt;mso-position-horizontal-relative:char;mso-position-vertical-relative:line" coordorigin="0,0" coordsize="9630,2254">
            <v:group style="position:absolute;left:10;top:10;width:9555;height:2" coordorigin="10,10" coordsize="9555,2">
              <v:shape style="position:absolute;left:10;top:10;width:9555;height:2" coordorigin="10,10" coordsize="9555,0" path="m10,10l9564,10e" filled="false" stroked="true" strokeweight=".48pt" strokecolor="#000000">
                <v:path arrowok="t"/>
              </v:shape>
            </v:group>
            <v:group style="position:absolute;left:5;top:5;width:2;height:2245" coordorigin="5,5" coordsize="2,2245">
              <v:shape style="position:absolute;left:5;top:5;width:2;height:2245" coordorigin="5,5" coordsize="0,2245" path="m5,5l5,2249e" filled="false" stroked="true" strokeweight=".48pt" strokecolor="#000000">
                <v:path arrowok="t"/>
              </v:shape>
            </v:group>
            <v:group style="position:absolute;left:10;top:2244;width:9555;height:2" coordorigin="10,2244" coordsize="9555,2">
              <v:shape style="position:absolute;left:10;top:2244;width:9555;height:2" coordorigin="10,2244" coordsize="9555,0" path="m10,2244l9564,2244e" filled="false" stroked="true" strokeweight=".48001pt" strokecolor="#000000">
                <v:path arrowok="t"/>
              </v:shape>
            </v:group>
            <v:group style="position:absolute;left:9569;top:5;width:2;height:2245" coordorigin="9569,5" coordsize="2,2245">
              <v:shape style="position:absolute;left:9569;top:5;width:2;height:2245" coordorigin="9569,5" coordsize="0,2245" path="m9569,5l9569,2249e" filled="false" stroked="true" strokeweight=".48004pt" strokecolor="#000000">
                <v:path arrowok="t"/>
              </v:shape>
              <v:shape style="position:absolute;left:0;top:0;width:9630;height:2254" type="#_x0000_t202" filled="false" stroked="false">
                <v:textbox inset="0,0,0,0">
                  <w:txbxContent>
                    <w:p>
                      <w:pPr>
                        <w:spacing w:before="25"/>
                        <w:ind w:left="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19,479,245.29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尚未使用的募集资金余额人民币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191,069,543.87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元，包含募集资金账户累计取得利息收入、理财产品收</w:t>
                      </w:r>
                    </w:p>
                    <w:p>
                      <w:pPr>
                        <w:spacing w:before="63"/>
                        <w:ind w:left="32" w:right="0" w:firstLine="0"/>
                        <w:jc w:val="left"/>
                        <w:rPr>
                          <w:rFonts w:ascii="宋体" w:hAnsi="宋体" w:cs="宋体" w:eastAsia="宋体" w:hint="default"/>
                          <w:sz w:val="18"/>
                          <w:szCs w:val="18"/>
                        </w:rPr>
                      </w:pPr>
                      <w:r>
                        <w:rPr>
                          <w:rFonts w:ascii="宋体" w:hAnsi="宋体" w:cs="宋体" w:eastAsia="宋体" w:hint="default"/>
                          <w:sz w:val="18"/>
                          <w:szCs w:val="18"/>
                        </w:rPr>
                        <w:t>益共计人民币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4,160,740.97</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元。</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日，本公司开设的募集资金专用账户余额为人民币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483,594.97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spacing w:before="63"/>
                        <w:ind w:left="32" w:right="0" w:firstLine="0"/>
                        <w:jc w:val="left"/>
                        <w:rPr>
                          <w:rFonts w:ascii="宋体" w:hAnsi="宋体" w:cs="宋体" w:eastAsia="宋体" w:hint="default"/>
                          <w:sz w:val="18"/>
                          <w:szCs w:val="18"/>
                        </w:rPr>
                      </w:pPr>
                      <w:r>
                        <w:rPr>
                          <w:rFonts w:ascii="宋体" w:hAnsi="宋体" w:cs="宋体" w:eastAsia="宋体" w:hint="default"/>
                          <w:sz w:val="18"/>
                          <w:szCs w:val="18"/>
                        </w:rPr>
                        <w:t>子公司湖南雅城新材料有限公司开设的募投资金专用账户余额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85,948.90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元，累计余额为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569,543.87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元。募集资金账户余</w:t>
                      </w:r>
                    </w:p>
                    <w:p>
                      <w:pPr>
                        <w:spacing w:before="63"/>
                        <w:ind w:left="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额与尚未使用的募集资金余额差异为本公司使用闲置募集资金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190,500,000.00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元用于公司补充流动资金。</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p>
                    <w:p>
                      <w:pPr>
                        <w:spacing w:before="63"/>
                        <w:ind w:left="32" w:right="0" w:firstLine="0"/>
                        <w:jc w:val="left"/>
                        <w:rPr>
                          <w:rFonts w:ascii="宋体" w:hAnsi="宋体" w:cs="宋体" w:eastAsia="宋体" w:hint="default"/>
                          <w:sz w:val="18"/>
                          <w:szCs w:val="18"/>
                        </w:rPr>
                      </w:pPr>
                      <w:r>
                        <w:rPr>
                          <w:rFonts w:ascii="宋体" w:hAnsi="宋体" w:cs="宋体" w:eastAsia="宋体" w:hint="default"/>
                          <w:sz w:val="18"/>
                          <w:szCs w:val="18"/>
                        </w:rPr>
                        <w:t>本公司将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万元用于子公司湖南雅城新材料有限公司补充流动资金使用，使用期限不超过董事会审议通过之日起</w:t>
                      </w:r>
                    </w:p>
                    <w:p>
                      <w:pPr>
                        <w:spacing w:before="63"/>
                        <w:ind w:left="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57"/>
                          <w:sz w:val="18"/>
                          <w:szCs w:val="18"/>
                        </w:rPr>
                        <w:t>。</w:t>
                      </w:r>
                      <w:r>
                        <w:rPr>
                          <w:rFonts w:ascii="宋体" w:hAnsi="宋体" w:cs="宋体" w:eastAsia="宋体" w:hint="default"/>
                          <w:sz w:val="18"/>
                          <w:szCs w:val="18"/>
                        </w:rPr>
                        <w:t>该</w:t>
                      </w:r>
                      <w:r>
                        <w:rPr>
                          <w:rFonts w:ascii="宋体" w:hAnsi="宋体" w:cs="宋体" w:eastAsia="宋体" w:hint="default"/>
                          <w:spacing w:val="1"/>
                          <w:sz w:val="18"/>
                          <w:szCs w:val="18"/>
                        </w:rPr>
                        <w:t>事</w:t>
                      </w:r>
                      <w:r>
                        <w:rPr>
                          <w:rFonts w:ascii="宋体" w:hAnsi="宋体" w:cs="宋体" w:eastAsia="宋体" w:hint="default"/>
                          <w:sz w:val="18"/>
                          <w:szCs w:val="18"/>
                        </w:rPr>
                        <w:t>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日经董</w:t>
                      </w:r>
                      <w:r>
                        <w:rPr>
                          <w:rFonts w:ascii="宋体" w:hAnsi="宋体" w:cs="宋体" w:eastAsia="宋体" w:hint="default"/>
                          <w:spacing w:val="1"/>
                          <w:sz w:val="18"/>
                          <w:szCs w:val="18"/>
                        </w:rPr>
                        <w:t>事</w:t>
                      </w:r>
                      <w:r>
                        <w:rPr>
                          <w:rFonts w:ascii="宋体" w:hAnsi="宋体" w:cs="宋体" w:eastAsia="宋体" w:hint="default"/>
                          <w:sz w:val="18"/>
                          <w:szCs w:val="18"/>
                        </w:rPr>
                        <w:t>会</w:t>
                      </w:r>
                      <w:r>
                        <w:rPr>
                          <w:rFonts w:ascii="宋体" w:hAnsi="宋体" w:cs="宋体" w:eastAsia="宋体" w:hint="default"/>
                          <w:spacing w:val="-57"/>
                          <w:sz w:val="18"/>
                          <w:szCs w:val="18"/>
                        </w:rPr>
                        <w:t>、</w:t>
                      </w:r>
                      <w:r>
                        <w:rPr>
                          <w:rFonts w:ascii="宋体" w:hAnsi="宋体" w:cs="宋体" w:eastAsia="宋体" w:hint="default"/>
                          <w:sz w:val="18"/>
                          <w:szCs w:val="18"/>
                        </w:rPr>
                        <w:t>监事会审议并通</w:t>
                      </w:r>
                      <w:r>
                        <w:rPr>
                          <w:rFonts w:ascii="宋体" w:hAnsi="宋体" w:cs="宋体" w:eastAsia="宋体" w:hint="default"/>
                          <w:spacing w:val="-57"/>
                          <w:sz w:val="18"/>
                          <w:szCs w:val="18"/>
                        </w:rPr>
                        <w:t>过</w:t>
                      </w:r>
                      <w:r>
                        <w:rPr>
                          <w:rFonts w:ascii="宋体" w:hAnsi="宋体" w:cs="宋体" w:eastAsia="宋体" w:hint="default"/>
                          <w:sz w:val="18"/>
                          <w:szCs w:val="18"/>
                        </w:rPr>
                        <w:t>《关于使用部分闲置募集资金暂时补充流动资金的议案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w:t>
                      </w:r>
                    </w:p>
                    <w:p>
                      <w:pPr>
                        <w:spacing w:before="64"/>
                        <w:ind w:left="32" w:right="0" w:firstLine="0"/>
                        <w:jc w:val="left"/>
                        <w:rPr>
                          <w:rFonts w:ascii="宋体" w:hAnsi="宋体" w:cs="宋体" w:eastAsia="宋体" w:hint="default"/>
                          <w:sz w:val="18"/>
                          <w:szCs w:val="18"/>
                        </w:rPr>
                      </w:pPr>
                      <w:r>
                        <w:rPr>
                          <w:rFonts w:ascii="宋体" w:hAnsi="宋体" w:cs="宋体" w:eastAsia="宋体" w:hint="default"/>
                          <w:sz w:val="18"/>
                          <w:szCs w:val="18"/>
                        </w:rPr>
                        <w:t>同时在巨潮资讯网予以公告，公告编号：</w:t>
                      </w:r>
                      <w:r>
                        <w:rPr>
                          <w:rFonts w:ascii="Times New Roman" w:hAnsi="Times New Roman" w:cs="Times New Roman" w:eastAsia="Times New Roman" w:hint="default"/>
                          <w:sz w:val="18"/>
                          <w:szCs w:val="18"/>
                        </w:rPr>
                        <w:t>2018-026</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日，公司已还款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xbxContent>
                </v:textbox>
                <w10:wrap type="none"/>
              </v:shape>
            </v:group>
          </v:group>
        </w:pict>
      </w:r>
      <w:r>
        <w:rPr>
          <w:rFonts w:ascii="宋体" w:hAnsi="宋体" w:cs="宋体" w:eastAsia="宋体" w:hint="default"/>
          <w:position w:val="-44"/>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1048"/>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20"/>
        <w:gridCol w:w="914"/>
        <w:gridCol w:w="721"/>
        <w:gridCol w:w="721"/>
        <w:gridCol w:w="722"/>
        <w:gridCol w:w="720"/>
        <w:gridCol w:w="722"/>
        <w:gridCol w:w="721"/>
        <w:gridCol w:w="721"/>
        <w:gridCol w:w="723"/>
        <w:gridCol w:w="722"/>
        <w:gridCol w:w="721"/>
        <w:gridCol w:w="722"/>
      </w:tblGrid>
      <w:tr>
        <w:trPr>
          <w:trHeight w:val="1650"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1" w:right="93"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55" w:right="54"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6"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4"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5"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支付购买资产现金 对价</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21,366.8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21,366.8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21,366.8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支付交易税费</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2,133.19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2,133.19</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2,065.01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96.80%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湖南雅城年产 </w:t>
            </w:r>
            <w:r>
              <w:rPr>
                <w:rFonts w:ascii="Times New Roman" w:hAnsi="Times New Roman" w:cs="Times New Roman" w:eastAsia="Times New Roman" w:hint="default"/>
                <w:sz w:val="18"/>
                <w:szCs w:val="18"/>
              </w:rPr>
              <w:t>20,000 </w:t>
            </w:r>
            <w:r>
              <w:rPr>
                <w:rFonts w:ascii="宋体" w:hAnsi="宋体" w:cs="宋体" w:eastAsia="宋体" w:hint="default"/>
                <w:sz w:val="18"/>
                <w:szCs w:val="18"/>
              </w:rPr>
              <w:t>吨电池用磷 酸铁项目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23,264.9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23,264.9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4,642.21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4,642.21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46,764.9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46,764.9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4,642.21</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28,074.0</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3</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
        </w:tc>
        <w:tc>
          <w:tcPr>
            <w:tcW w:w="722" w:type="dxa"/>
            <w:vMerge w:val="restart"/>
            <w:tcBorders>
              <w:top w:val="single" w:sz="4" w:space="0" w:color="000000"/>
              <w:left w:val="single" w:sz="4" w:space="0" w:color="000000"/>
              <w:right w:val="single" w:sz="9" w:space="0" w:color="D2D2D2"/>
            </w:tcBorders>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46,764.9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46,764.9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4,642.21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28,074.0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635" w:type="dxa"/>
            <w:gridSpan w:val="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35" w:type="dxa"/>
            <w:gridSpan w:val="2"/>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7"/>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途及使用进展情况</w:t>
            </w:r>
          </w:p>
        </w:tc>
        <w:tc>
          <w:tcPr>
            <w:tcW w:w="721"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tcBorders>
              <w:left w:val="single" w:sz="4" w:space="0" w:color="000000"/>
              <w:bottom w:val="single" w:sz="4" w:space="0" w:color="FFFFFF"/>
              <w:right w:val="single" w:sz="4" w:space="0" w:color="000000"/>
            </w:tcBorders>
            <w:shd w:val="clear" w:color="auto" w:fill="D2D2D2"/>
          </w:tcPr>
          <w:p>
            <w:pPr/>
          </w:p>
        </w:tc>
        <w:tc>
          <w:tcPr>
            <w:tcW w:w="72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635" w:type="dxa"/>
            <w:gridSpan w:val="2"/>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1"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before="44"/>
        <w:ind w:left="0" w:right="1141"/>
        <w:jc w:val="right"/>
      </w:pPr>
      <w:r>
        <w:rPr/>
        <w:pict>
          <v:shape style="position:absolute;margin-left:56.459999pt;margin-top:-152.668304pt;width:479.35pt;height:373.1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5"/>
                    <w:gridCol w:w="721"/>
                    <w:gridCol w:w="7216"/>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160"/>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日，公司召开了第四届董事会第三十三次会议、第四届监事会第十六次会议 </w:t>
                        </w:r>
                        <w:r>
                          <w:rPr>
                            <w:rFonts w:ascii="宋体" w:hAnsi="宋体" w:cs="宋体" w:eastAsia="宋体" w:hint="default"/>
                            <w:spacing w:val="-3"/>
                            <w:sz w:val="18"/>
                            <w:szCs w:val="18"/>
                          </w:rPr>
                          <w:t>审议通过了《关于使用部分闲置募集资金暂时补充流动资金的议案》，同意公司使用不超过</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人民币</w:t>
                        </w:r>
                        <w:r>
                          <w:rPr>
                            <w:rFonts w:ascii="宋体" w:hAnsi="宋体" w:cs="宋体" w:eastAsia="宋体" w:hint="default"/>
                            <w:spacing w:val="-66"/>
                            <w:sz w:val="18"/>
                            <w:szCs w:val="18"/>
                          </w:rPr>
                          <w:t> </w:t>
                        </w:r>
                        <w:r>
                          <w:rPr>
                            <w:rFonts w:ascii="宋体" w:hAnsi="宋体" w:cs="宋体" w:eastAsia="宋体" w:hint="default"/>
                            <w:sz w:val="18"/>
                            <w:szCs w:val="18"/>
                          </w:rPr>
                          <w:t>2</w:t>
                        </w:r>
                        <w:r>
                          <w:rPr>
                            <w:rFonts w:ascii="宋体" w:hAnsi="宋体" w:cs="宋体" w:eastAsia="宋体" w:hint="default"/>
                            <w:spacing w:val="-66"/>
                            <w:sz w:val="18"/>
                            <w:szCs w:val="18"/>
                          </w:rPr>
                          <w:t> </w:t>
                        </w:r>
                        <w:r>
                          <w:rPr>
                            <w:rFonts w:ascii="宋体" w:hAnsi="宋体" w:cs="宋体" w:eastAsia="宋体" w:hint="default"/>
                            <w:sz w:val="18"/>
                            <w:szCs w:val="18"/>
                          </w:rPr>
                          <w:t>亿元的闲置募集资金暂时补充流动资金，使用期限自董事会审议通过之日起不超过</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pacing w:val="-5"/>
                            <w:sz w:val="18"/>
                            <w:szCs w:val="18"/>
                          </w:rPr>
                          <w:t>个月。截至</w:t>
                        </w:r>
                        <w:r>
                          <w:rPr>
                            <w:rFonts w:ascii="宋体" w:hAnsi="宋体" w:cs="宋体" w:eastAsia="宋体" w:hint="default"/>
                            <w:spacing w:val="-48"/>
                            <w:sz w:val="18"/>
                            <w:szCs w:val="18"/>
                          </w:rPr>
                          <w:t> </w:t>
                        </w: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日，公司使用暂时闲置募集资金补充流动资金金额为</w:t>
                        </w:r>
                        <w:r>
                          <w:rPr>
                            <w:rFonts w:ascii="宋体" w:hAnsi="宋体" w:cs="宋体" w:eastAsia="宋体" w:hint="default"/>
                            <w:spacing w:val="-48"/>
                            <w:sz w:val="18"/>
                            <w:szCs w:val="18"/>
                          </w:rPr>
                          <w:t> </w:t>
                        </w:r>
                        <w:r>
                          <w:rPr>
                            <w:rFonts w:ascii="宋体" w:hAnsi="宋体" w:cs="宋体" w:eastAsia="宋体" w:hint="default"/>
                            <w:sz w:val="18"/>
                            <w:szCs w:val="18"/>
                          </w:rPr>
                          <w:t>19,050</w:t>
                        </w:r>
                      </w:p>
                      <w:p>
                        <w:pPr>
                          <w:pStyle w:val="TableParagraph"/>
                          <w:spacing w:line="240" w:lineRule="auto" w:before="77"/>
                          <w:ind w:left="23" w:right="0"/>
                          <w:jc w:val="both"/>
                          <w:rPr>
                            <w:rFonts w:ascii="宋体" w:hAnsi="宋体" w:cs="宋体" w:eastAsia="宋体" w:hint="default"/>
                            <w:sz w:val="18"/>
                            <w:szCs w:val="18"/>
                          </w:rPr>
                        </w:pP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日，上述资金已全部归还至募集资金专户。</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日尚未使用的募集资金用于公司暂时补充流动资金和用于支付项目建 设款项。</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before="35"/>
        <w:ind w:right="1048"/>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1048"/>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8"/>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1048"/>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048"/>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254" w:right="1124"/>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993"/>
        <w:gridCol w:w="851"/>
        <w:gridCol w:w="851"/>
        <w:gridCol w:w="1276"/>
        <w:gridCol w:w="1417"/>
        <w:gridCol w:w="1186"/>
        <w:gridCol w:w="1224"/>
        <w:gridCol w:w="1134"/>
        <w:gridCol w:w="1134"/>
      </w:tblGrid>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北京合纵实 科电力科技 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输配电设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1,243,834,198.67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464,719,188.71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943,359,004.23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36,020,224.12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31,229,836.72</w:t>
            </w: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天津合纵电 力设备有限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输配电设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1,110,175,163.40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112,824,010.41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701,448,092.13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-8,480,037.64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-5,012,120.81</w:t>
            </w: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湖南雅城新 材料有限公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76,679,495.00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1,206,341,124.18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357,839,852.01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466,750,603.55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48,649,476.63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45,299,391.28</w:t>
            </w: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江苏鹏创电 力设计有限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电力工程 服务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85,669,078.38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68,653,432.95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49,740,114.30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19,842,259.75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17,103,969.46</w:t>
            </w:r>
          </w:p>
        </w:tc>
      </w:tr>
    </w:tbl>
    <w:p>
      <w:pPr>
        <w:pStyle w:val="BodyText"/>
        <w:spacing w:line="240" w:lineRule="auto" w:before="51"/>
        <w:ind w:left="254" w:right="1124"/>
        <w:jc w:val="left"/>
      </w:pPr>
      <w:r>
        <w:rPr/>
        <w:t>报告期内取得和处置子公司的情况</w:t>
      </w:r>
    </w:p>
    <w:p>
      <w:pPr>
        <w:pStyle w:val="BodyText"/>
        <w:spacing w:line="338" w:lineRule="auto" w:before="117"/>
        <w:ind w:left="254"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主要控股参股公司情况说明</w:t>
      </w:r>
    </w:p>
    <w:p>
      <w:pPr>
        <w:spacing w:line="240" w:lineRule="auto" w:before="4"/>
        <w:rPr>
          <w:rFonts w:ascii="宋体" w:hAnsi="宋体" w:cs="宋体" w:eastAsia="宋体" w:hint="default"/>
          <w:sz w:val="19"/>
          <w:szCs w:val="19"/>
        </w:rPr>
      </w:pPr>
    </w:p>
    <w:p>
      <w:pPr>
        <w:pStyle w:val="Heading2"/>
        <w:spacing w:line="240" w:lineRule="auto"/>
        <w:ind w:left="254" w:right="1124"/>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54"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254" w:right="1124"/>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254" w:right="1124" w:firstLine="360"/>
        <w:jc w:val="left"/>
      </w:pPr>
      <w:r>
        <w:rPr>
          <w:spacing w:val="-1"/>
        </w:rPr>
        <w:t>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日</w:t>
      </w:r>
      <w:r>
        <w:rPr>
          <w:rFonts w:ascii="Times New Roman" w:hAnsi="Times New Roman" w:cs="Times New Roman" w:eastAsia="Times New Roman" w:hint="default"/>
          <w:spacing w:val="-1"/>
        </w:rPr>
        <w:t>31</w:t>
      </w:r>
      <w:r>
        <w:rPr>
          <w:spacing w:val="-1"/>
        </w:rPr>
        <w:t>届董事会通过的《北京合纵科技股份有限公司未来三年发展与规划（</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-2017</w:t>
      </w:r>
      <w:r>
        <w:rPr>
          <w:spacing w:val="-1"/>
        </w:rPr>
        <w:t>年）》，提出到</w:t>
      </w:r>
      <w:r>
        <w:rPr>
          <w:rFonts w:ascii="Times New Roman" w:hAnsi="Times New Roman" w:cs="Times New Roman" w:eastAsia="Times New Roman" w:hint="default"/>
          <w:spacing w:val="-1"/>
        </w:rPr>
        <w:t>2017</w:t>
      </w:r>
      <w:r>
        <w:rPr>
          <w:rFonts w:ascii="Times New Roman" w:hAnsi="Times New Roman" w:cs="Times New Roman" w:eastAsia="Times New Roman" w:hint="default"/>
        </w:rPr>
        <w:t> </w:t>
      </w:r>
      <w:r>
        <w:rPr/>
        <w:t>年，公司营业额达到</w:t>
      </w:r>
      <w:r>
        <w:rPr>
          <w:rFonts w:ascii="Times New Roman" w:hAnsi="Times New Roman" w:cs="Times New Roman" w:eastAsia="Times New Roman" w:hint="default"/>
        </w:rPr>
        <w:t>20</w:t>
      </w:r>
      <w:r>
        <w:rPr/>
        <w:t>亿人民币</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，根据公司</w:t>
      </w:r>
      <w:r>
        <w:rPr>
          <w:rFonts w:ascii="Times New Roman" w:hAnsi="Times New Roman" w:cs="Times New Roman" w:eastAsia="Times New Roman" w:hint="default"/>
        </w:rPr>
        <w:t>2017</w:t>
      </w:r>
      <w:r>
        <w:rPr/>
        <w:t>年度审计报告，公司</w:t>
      </w:r>
      <w:r>
        <w:rPr>
          <w:rFonts w:ascii="Times New Roman" w:hAnsi="Times New Roman" w:cs="Times New Roman" w:eastAsia="Times New Roman" w:hint="default"/>
        </w:rPr>
        <w:t>2017</w:t>
      </w:r>
      <w:r>
        <w:rPr/>
        <w:t>年度营业额达到</w:t>
      </w:r>
      <w:r>
        <w:rPr>
          <w:rFonts w:ascii="Times New Roman" w:hAnsi="Times New Roman" w:cs="Times New Roman" w:eastAsia="Times New Roman" w:hint="default"/>
        </w:rPr>
        <w:t>24</w:t>
      </w:r>
      <w:r>
        <w:rPr/>
        <w:t>亿（含税）。</w:t>
      </w:r>
    </w:p>
    <w:p>
      <w:pPr>
        <w:pStyle w:val="BodyText"/>
        <w:spacing w:line="314" w:lineRule="auto" w:before="13"/>
        <w:ind w:left="254" w:right="1032" w:firstLine="360"/>
        <w:jc w:val="left"/>
      </w:pPr>
      <w:r>
        <w:rPr/>
        <w:t>行业格局和趋势：公司目前所属的电力配电设备制造行业，属于与国民经济密切相关的基础工业，行业总体规模较大； </w:t>
      </w:r>
      <w:r>
        <w:rPr>
          <w:spacing w:val="-2"/>
        </w:rPr>
        <w:t>但是由于从业企业的数量较多，市场较为分散，龙头企业的规模并不大。未来电网市场的基本趋于平稳，因为经过十年的高</w:t>
      </w:r>
      <w:r>
        <w:rPr>
          <w:spacing w:val="-66"/>
        </w:rPr>
        <w:t> </w:t>
      </w:r>
      <w:r>
        <w:rPr>
          <w:spacing w:val="-66"/>
        </w:rPr>
      </w:r>
      <w:r>
        <w:rPr/>
        <w:t>速发展，我国的骨干电力网络已经是一个投资比较充分的领域，下一步的工作重点将主要是网络的智能化；然而另一方面， </w:t>
      </w:r>
      <w:r>
        <w:rPr>
          <w:spacing w:val="-2"/>
        </w:rPr>
        <w:t>随着我国能源结构的调整，能源的最终消费形式将越来越集中于电力：工业领域如油田、港口正在大量实施煤改电、油改电</w:t>
      </w:r>
      <w:r>
        <w:rPr>
          <w:spacing w:val="-66"/>
        </w:rPr>
        <w:t> </w:t>
      </w:r>
      <w:r>
        <w:rPr>
          <w:spacing w:val="-66"/>
        </w:rPr>
      </w:r>
      <w:r>
        <w:rPr>
          <w:spacing w:val="-2"/>
        </w:rPr>
        <w:t>项目；生活领域大力推进的集中供暖系统电能替代方案，尤其是呈爆发式增长的电动汽车，都对我国目前现有的配电网络提</w:t>
      </w:r>
      <w:r>
        <w:rPr>
          <w:spacing w:val="-66"/>
        </w:rPr>
        <w:t> </w:t>
      </w:r>
      <w:r>
        <w:rPr>
          <w:spacing w:val="-66"/>
        </w:rPr>
      </w:r>
      <w:r>
        <w:rPr/>
        <w:t>出了更高的要求。仅十三五规划中电能替代新增的用电量，就达到</w:t>
      </w:r>
      <w:r>
        <w:rPr>
          <w:rFonts w:ascii="Times New Roman" w:hAnsi="Times New Roman" w:cs="Times New Roman" w:eastAsia="Times New Roman" w:hint="default"/>
        </w:rPr>
        <w:t>4500</w:t>
      </w:r>
      <w:r>
        <w:rPr/>
        <w:t>亿千瓦时，因此可以预计未来</w:t>
      </w:r>
      <w:r>
        <w:rPr>
          <w:rFonts w:ascii="Times New Roman" w:hAnsi="Times New Roman" w:cs="Times New Roman" w:eastAsia="Times New Roman" w:hint="default"/>
        </w:rPr>
        <w:t>5</w:t>
      </w:r>
      <w:r>
        <w:rPr/>
        <w:t>年我国的配电网建设 </w:t>
      </w:r>
      <w:r>
        <w:rPr>
          <w:spacing w:val="-2"/>
        </w:rPr>
        <w:t>需求依然处于比较旺盛的时期，只不过就投资主体而言，用户投资的比例会越来越高，这也是公司越来越重视用户市场的原</w:t>
      </w:r>
      <w:r>
        <w:rPr>
          <w:spacing w:val="-66"/>
        </w:rPr>
        <w:t> </w:t>
      </w:r>
      <w:r>
        <w:rPr>
          <w:spacing w:val="-66"/>
        </w:rPr>
      </w:r>
      <w:r>
        <w:rPr/>
        <w:t>因。这部分新增业务的市场化程度，从一开始就会是比较高的，有利于规模较大、综合实力较强的企业，公司预计未来的</w:t>
      </w:r>
      <w:r>
        <w:rPr>
          <w:rFonts w:ascii="Times New Roman" w:hAnsi="Times New Roman" w:cs="Times New Roman" w:eastAsia="Times New Roman" w:hint="default"/>
        </w:rPr>
        <w:t>5 </w:t>
      </w:r>
      <w:r>
        <w:rPr/>
        <w:t>年，行业企业将进入优胜劣汰的洗牌阶段，行业的集中度会有所提高，优势企业的规模效应将逐步体现。</w:t>
      </w:r>
    </w:p>
    <w:p>
      <w:pPr>
        <w:pStyle w:val="BodyText"/>
        <w:spacing w:line="300" w:lineRule="auto" w:before="20"/>
        <w:ind w:left="254" w:right="1130" w:firstLine="360"/>
        <w:jc w:val="both"/>
      </w:pPr>
      <w:r>
        <w:rPr/>
        <w:t>在新能源材料领域，随着新能源汽车行业的持续高速发展，将迎来历史性机遇。我国新能源汽车领域近</w:t>
      </w:r>
      <w:r>
        <w:rPr>
          <w:rFonts w:ascii="Times New Roman" w:hAnsi="Times New Roman" w:cs="Times New Roman" w:eastAsia="Times New Roman" w:hint="default"/>
        </w:rPr>
        <w:t>3</w:t>
      </w:r>
      <w:r>
        <w:rPr/>
        <w:t>年的复合增长 在</w:t>
      </w:r>
      <w:r>
        <w:rPr>
          <w:rFonts w:ascii="Times New Roman" w:hAnsi="Times New Roman" w:cs="Times New Roman" w:eastAsia="Times New Roman" w:hint="default"/>
        </w:rPr>
        <w:t>40%</w:t>
      </w:r>
      <w:r>
        <w:rPr/>
        <w:t>左右，预计未来</w:t>
      </w:r>
      <w:r>
        <w:rPr>
          <w:rFonts w:ascii="Times New Roman" w:hAnsi="Times New Roman" w:cs="Times New Roman" w:eastAsia="Times New Roman" w:hint="default"/>
        </w:rPr>
        <w:t>3</w:t>
      </w:r>
      <w:r>
        <w:rPr/>
        <w:t>年依然会保持这个趋势，其中用于三元前驱体的复合增长应保持在</w:t>
      </w:r>
      <w:r>
        <w:rPr>
          <w:rFonts w:ascii="Times New Roman" w:hAnsi="Times New Roman" w:cs="Times New Roman" w:eastAsia="Times New Roman" w:hint="default"/>
        </w:rPr>
        <w:t>70%</w:t>
      </w:r>
      <w:r>
        <w:rPr/>
        <w:t>左右；国际市场近年来的增 </w:t>
      </w:r>
      <w:r>
        <w:rPr>
          <w:spacing w:val="-1"/>
        </w:rPr>
        <w:t>速也在加快，</w:t>
      </w:r>
      <w:r>
        <w:rPr>
          <w:rFonts w:ascii="Times New Roman" w:hAnsi="Times New Roman" w:cs="Times New Roman" w:eastAsia="Times New Roman" w:hint="default"/>
          <w:spacing w:val="-1"/>
        </w:rPr>
        <w:t>2017</w:t>
      </w:r>
      <w:r>
        <w:rPr>
          <w:spacing w:val="-1"/>
        </w:rPr>
        <w:t>年亦已达到</w:t>
      </w:r>
      <w:r>
        <w:rPr>
          <w:rFonts w:ascii="Times New Roman" w:hAnsi="Times New Roman" w:cs="Times New Roman" w:eastAsia="Times New Roman" w:hint="default"/>
          <w:spacing w:val="-1"/>
        </w:rPr>
        <w:t>40%</w:t>
      </w:r>
      <w:r>
        <w:rPr>
          <w:spacing w:val="-1"/>
        </w:rPr>
        <w:t>，这充分表明新能源汽车的快速发展已经不是局限在中国，而且成为了全球的行业发展趋</w:t>
      </w:r>
      <w:r>
        <w:rPr>
          <w:spacing w:val="-86"/>
        </w:rPr>
        <w:t> </w:t>
      </w:r>
      <w:r>
        <w:rPr>
          <w:spacing w:val="-86"/>
        </w:rPr>
      </w:r>
      <w:r>
        <w:rPr/>
        <w:t>势。</w:t>
      </w:r>
    </w:p>
    <w:p>
      <w:pPr>
        <w:pStyle w:val="BodyText"/>
        <w:spacing w:line="316" w:lineRule="auto" w:before="31"/>
        <w:ind w:left="254" w:right="1032" w:firstLine="360"/>
        <w:jc w:val="left"/>
      </w:pPr>
      <w:r>
        <w:rPr>
          <w:spacing w:val="-2"/>
        </w:rPr>
        <w:t>公司未来发展战略：公司将继续专注于电力配电领域，打造行业产业链，使公司由一家专业提供电力设备的公司转型为</w:t>
      </w:r>
      <w:r>
        <w:rPr/>
        <w:t> 配电领域的综合服务商。公司将通过整合设计咨询公司、电力工程公司、设备制造公司、运维服务公司，暨全行业产业链，</w:t>
      </w:r>
    </w:p>
    <w:p>
      <w:pPr>
        <w:spacing w:after="0" w:line="316" w:lineRule="auto"/>
        <w:jc w:val="left"/>
        <w:sectPr>
          <w:pgSz w:w="11910" w:h="16840"/>
          <w:pgMar w:header="747" w:footer="979" w:top="1060" w:bottom="1160" w:left="880" w:right="0"/>
        </w:sectPr>
      </w:pPr>
    </w:p>
    <w:p>
      <w:pPr>
        <w:spacing w:line="240" w:lineRule="auto" w:before="12"/>
        <w:rPr>
          <w:rFonts w:ascii="宋体" w:hAnsi="宋体" w:cs="宋体" w:eastAsia="宋体" w:hint="default"/>
          <w:sz w:val="25"/>
          <w:szCs w:val="25"/>
        </w:rPr>
      </w:pPr>
    </w:p>
    <w:p>
      <w:pPr>
        <w:pStyle w:val="BodyText"/>
        <w:spacing w:line="307" w:lineRule="auto" w:before="44"/>
        <w:ind w:right="1131"/>
        <w:jc w:val="both"/>
      </w:pPr>
      <w:r>
        <w:rPr>
          <w:spacing w:val="-2"/>
        </w:rPr>
        <w:t>形成为客户提供一体化解决方案的能力；依托上述能力，在继续开拓配电设备制造业务的同时，快速进入电力工程总包业务</w:t>
      </w:r>
      <w:r>
        <w:rPr>
          <w:spacing w:val="-66"/>
        </w:rPr>
        <w:t> </w:t>
      </w:r>
      <w:r>
        <w:rPr>
          <w:spacing w:val="-66"/>
        </w:rPr>
      </w:r>
      <w:r>
        <w:rPr>
          <w:spacing w:val="-2"/>
        </w:rPr>
        <w:t>领域（例如</w:t>
      </w:r>
      <w:r>
        <w:rPr>
          <w:rFonts w:ascii="Times New Roman" w:hAnsi="Times New Roman" w:cs="Times New Roman" w:eastAsia="Times New Roman" w:hint="default"/>
          <w:spacing w:val="-2"/>
        </w:rPr>
        <w:t>EPC</w:t>
      </w:r>
      <w:r>
        <w:rPr>
          <w:spacing w:val="-2"/>
        </w:rPr>
        <w:t>），从而成为综合服务商；在新能源材料领域，公司将依托湖南雅城，集中加大在锂电池正极材料前驱体领</w:t>
      </w:r>
      <w:r>
        <w:rPr>
          <w:spacing w:val="-37"/>
        </w:rPr>
        <w:t> </w:t>
      </w:r>
      <w:r>
        <w:rPr>
          <w:spacing w:val="-37"/>
        </w:rPr>
      </w:r>
      <w:r>
        <w:rPr>
          <w:spacing w:val="-2"/>
        </w:rPr>
        <w:t>域，并向上游稀缺钴资源延伸。公司在</w:t>
      </w:r>
      <w:r>
        <w:rPr>
          <w:rFonts w:ascii="Times New Roman" w:hAnsi="Times New Roman" w:cs="Times New Roman" w:eastAsia="Times New Roman" w:hint="default"/>
          <w:spacing w:val="-2"/>
        </w:rPr>
        <w:t>2017</w:t>
      </w:r>
      <w:r>
        <w:rPr>
          <w:spacing w:val="-2"/>
        </w:rPr>
        <w:t>年通过并购基金参股天津市茂联科技有限公司，就是这一思路的体现。公司力争</w:t>
      </w:r>
      <w:r>
        <w:rPr>
          <w:spacing w:val="-62"/>
        </w:rPr>
        <w:t> </w:t>
      </w:r>
      <w:r>
        <w:rPr>
          <w:spacing w:val="-62"/>
        </w:rPr>
      </w:r>
      <w:r>
        <w:rPr/>
        <w:t>在未来的</w:t>
      </w:r>
      <w:r>
        <w:rPr>
          <w:rFonts w:ascii="Times New Roman" w:hAnsi="Times New Roman" w:cs="Times New Roman" w:eastAsia="Times New Roman" w:hint="default"/>
        </w:rPr>
        <w:t>5</w:t>
      </w:r>
      <w:r>
        <w:rPr/>
        <w:t>年内，成为锂电池正极材料前驱体细分市场的龙头企业；未来</w:t>
      </w:r>
      <w:r>
        <w:rPr>
          <w:rFonts w:ascii="Times New Roman" w:hAnsi="Times New Roman" w:cs="Times New Roman" w:eastAsia="Times New Roman" w:hint="default"/>
        </w:rPr>
        <w:t>5</w:t>
      </w:r>
      <w:r>
        <w:rPr/>
        <w:t>年随着湖南雅城募集资金建设的</w:t>
      </w:r>
      <w:r>
        <w:rPr>
          <w:rFonts w:ascii="Times New Roman" w:hAnsi="Times New Roman" w:cs="Times New Roman" w:eastAsia="Times New Roman" w:hint="default"/>
        </w:rPr>
        <w:t>2</w:t>
      </w:r>
      <w:r>
        <w:rPr/>
        <w:t>万吨磷酸铁锂生 </w:t>
      </w:r>
      <w:r>
        <w:rPr>
          <w:spacing w:val="-2"/>
        </w:rPr>
        <w:t>产线投产，以及公司参股的天津茂联的硫酸镍、硫酸钴、三元前驱体产品线开通、赞比亚矿山开发量产，公司将成为行业中</w:t>
      </w:r>
      <w:r>
        <w:rPr>
          <w:spacing w:val="-66"/>
        </w:rPr>
        <w:t> </w:t>
      </w:r>
      <w:r>
        <w:rPr>
          <w:spacing w:val="-66"/>
        </w:rPr>
      </w:r>
      <w:r>
        <w:rPr/>
        <w:t>规模较大、产品线最为齐全，且拥有上游稀缺钴资源的企业，具备较强的业绩增长能力。</w:t>
      </w:r>
    </w:p>
    <w:p>
      <w:pPr>
        <w:pStyle w:val="BodyText"/>
        <w:spacing w:line="300" w:lineRule="auto" w:before="26"/>
        <w:ind w:left="514" w:right="4722"/>
        <w:jc w:val="left"/>
      </w:pPr>
      <w:r>
        <w:rPr/>
        <w:t>经营计划：到</w:t>
      </w:r>
      <w:r>
        <w:rPr>
          <w:rFonts w:ascii="Times New Roman" w:hAnsi="Times New Roman" w:cs="Times New Roman" w:eastAsia="Times New Roman" w:hint="default"/>
        </w:rPr>
        <w:t>2021</w:t>
      </w:r>
      <w:r>
        <w:rPr/>
        <w:t>年实现公司的营业收入达到</w:t>
      </w:r>
      <w:r>
        <w:rPr>
          <w:rFonts w:ascii="Times New Roman" w:hAnsi="Times New Roman" w:cs="Times New Roman" w:eastAsia="Times New Roman" w:hint="default"/>
        </w:rPr>
        <w:t>100</w:t>
      </w:r>
      <w:r>
        <w:rPr/>
        <w:t>亿元人民币（含税）。 公司制定此经营计划的依据主要基于以下几个方面：</w:t>
      </w:r>
    </w:p>
    <w:p>
      <w:pPr>
        <w:pStyle w:val="BodyText"/>
        <w:spacing w:line="316" w:lineRule="auto" w:before="31"/>
        <w:ind w:left="514" w:right="7602"/>
        <w:jc w:val="left"/>
      </w:pPr>
      <w:r>
        <w:rPr/>
        <w:t>①电力板块： </w:t>
      </w:r>
      <w:r>
        <w:rPr>
          <w:rFonts w:ascii="宋体" w:hAnsi="宋体" w:cs="宋体" w:eastAsia="宋体" w:hint="default"/>
        </w:rPr>
        <w:t>A</w:t>
      </w:r>
      <w:r>
        <w:rPr/>
        <w:t>、行业宏观规划及电力体制改革：</w:t>
      </w:r>
    </w:p>
    <w:p>
      <w:pPr>
        <w:pStyle w:val="BodyText"/>
        <w:spacing w:line="316" w:lineRule="auto" w:before="19"/>
        <w:ind w:right="1129" w:firstLine="360"/>
        <w:jc w:val="both"/>
      </w:pPr>
      <w:r>
        <w:rPr>
          <w:rFonts w:ascii="宋体" w:hAnsi="宋体" w:cs="宋体" w:eastAsia="宋体" w:hint="default"/>
        </w:rPr>
        <w:t>2015</w:t>
      </w:r>
      <w:r>
        <w:rPr/>
        <w:t>年</w:t>
      </w:r>
      <w:r>
        <w:rPr>
          <w:rFonts w:ascii="宋体" w:hAnsi="宋体" w:cs="宋体" w:eastAsia="宋体" w:hint="default"/>
        </w:rPr>
        <w:t>9</w:t>
      </w:r>
      <w:r>
        <w:rPr/>
        <w:t>月，国家能源局发布了《配电网建设改造行动计划（</w:t>
      </w:r>
      <w:r>
        <w:rPr>
          <w:rFonts w:ascii="宋体" w:hAnsi="宋体" w:cs="宋体" w:eastAsia="宋体" w:hint="default"/>
        </w:rPr>
        <w:t>2015~2020</w:t>
      </w:r>
      <w:r>
        <w:rPr/>
        <w:t>年）》，明确了未来</w:t>
      </w:r>
      <w:r>
        <w:rPr>
          <w:rFonts w:ascii="宋体" w:hAnsi="宋体" w:cs="宋体" w:eastAsia="宋体" w:hint="default"/>
        </w:rPr>
        <w:t>5</w:t>
      </w:r>
      <w:r>
        <w:rPr/>
        <w:t>年内我国配电网的建设投 资不少于</w:t>
      </w:r>
      <w:r>
        <w:rPr>
          <w:rFonts w:ascii="宋体" w:hAnsi="宋体" w:cs="宋体" w:eastAsia="宋体" w:hint="default"/>
        </w:rPr>
        <w:t>2</w:t>
      </w:r>
      <w:r>
        <w:rPr/>
        <w:t>万亿元，这一规划的出台，比较有力地推动了本行业的业务增长；从细分市场看，农村电网的相关设备增长明显 </w:t>
      </w:r>
      <w:r>
        <w:rPr>
          <w:spacing w:val="-2"/>
        </w:rPr>
        <w:t>高于其他市场，这与国家发改委《关于“十三五”期间实施新一轮农村电网改造升级工程的意见》提出的十三五期间，农村</w:t>
      </w:r>
      <w:r>
        <w:rPr>
          <w:spacing w:val="-67"/>
        </w:rPr>
        <w:t> </w:t>
      </w:r>
      <w:r>
        <w:rPr>
          <w:spacing w:val="-67"/>
        </w:rPr>
      </w:r>
      <w:r>
        <w:rPr/>
        <w:t>电网投资将达到</w:t>
      </w:r>
      <w:r>
        <w:rPr>
          <w:rFonts w:ascii="宋体" w:hAnsi="宋体" w:cs="宋体" w:eastAsia="宋体" w:hint="default"/>
        </w:rPr>
        <w:t>7000</w:t>
      </w:r>
      <w:r>
        <w:rPr/>
        <w:t>亿元相印证，可以预计，在未来</w:t>
      </w:r>
      <w:r>
        <w:rPr>
          <w:rFonts w:ascii="宋体" w:hAnsi="宋体" w:cs="宋体" w:eastAsia="宋体" w:hint="default"/>
        </w:rPr>
        <w:t>3</w:t>
      </w:r>
      <w:r>
        <w:rPr/>
        <w:t>年内，变压器、柱上开关、低压配电柜等产品将是公司业务保持增长 的一个主要动力来源。</w:t>
      </w:r>
    </w:p>
    <w:p>
      <w:pPr>
        <w:pStyle w:val="BodyText"/>
        <w:spacing w:line="316" w:lineRule="auto" w:before="19"/>
        <w:ind w:right="1130" w:firstLine="360"/>
        <w:jc w:val="both"/>
      </w:pPr>
      <w:r>
        <w:rPr>
          <w:spacing w:val="-2"/>
        </w:rPr>
        <w:t>国家电网</w:t>
      </w:r>
      <w:r>
        <w:rPr>
          <w:rFonts w:ascii="宋体" w:hAnsi="宋体" w:cs="宋体" w:eastAsia="宋体" w:hint="default"/>
          <w:spacing w:val="-2"/>
        </w:rPr>
        <w:t>2018</w:t>
      </w:r>
      <w:r>
        <w:rPr>
          <w:spacing w:val="-2"/>
        </w:rPr>
        <w:t>年全年电网投资</w:t>
      </w:r>
      <w:r>
        <w:rPr>
          <w:rFonts w:ascii="宋体" w:hAnsi="宋体" w:cs="宋体" w:eastAsia="宋体" w:hint="default"/>
          <w:spacing w:val="-2"/>
        </w:rPr>
        <w:t>4889.40</w:t>
      </w:r>
      <w:r>
        <w:rPr>
          <w:spacing w:val="-2"/>
        </w:rPr>
        <w:t>亿元，同比增加</w:t>
      </w:r>
      <w:r>
        <w:rPr>
          <w:rFonts w:ascii="宋体" w:hAnsi="宋体" w:cs="宋体" w:eastAsia="宋体" w:hint="default"/>
          <w:spacing w:val="-2"/>
        </w:rPr>
        <w:t>0.74%</w:t>
      </w:r>
      <w:r>
        <w:rPr>
          <w:spacing w:val="-2"/>
        </w:rPr>
        <w:t>，近三年电网投资趋于平稳；完成农网投资</w:t>
      </w:r>
      <w:r>
        <w:rPr>
          <w:rFonts w:ascii="宋体" w:hAnsi="宋体" w:cs="宋体" w:eastAsia="宋体" w:hint="default"/>
          <w:spacing w:val="-2"/>
        </w:rPr>
        <w:t>1495</w:t>
      </w:r>
      <w:r>
        <w:rPr>
          <w:spacing w:val="-2"/>
        </w:rPr>
        <w:t>亿元，同比</w:t>
      </w:r>
      <w:r>
        <w:rPr/>
        <w:t> 增加</w:t>
      </w:r>
      <w:r>
        <w:rPr>
          <w:rFonts w:ascii="宋体" w:hAnsi="宋体" w:cs="宋体" w:eastAsia="宋体" w:hint="default"/>
        </w:rPr>
        <w:t>1.42%</w:t>
      </w:r>
      <w:r>
        <w:rPr/>
        <w:t>，规划未来三年农网投资</w:t>
      </w:r>
      <w:r>
        <w:rPr>
          <w:rFonts w:ascii="宋体" w:hAnsi="宋体" w:cs="宋体" w:eastAsia="宋体" w:hint="default"/>
        </w:rPr>
        <w:t>3300</w:t>
      </w:r>
      <w:r>
        <w:rPr/>
        <w:t>亿元。</w:t>
      </w:r>
      <w:r>
        <w:rPr>
          <w:rFonts w:ascii="宋体" w:hAnsi="宋体" w:cs="宋体" w:eastAsia="宋体" w:hint="default"/>
        </w:rPr>
        <w:t>2019</w:t>
      </w:r>
      <w:r>
        <w:rPr/>
        <w:t>年国家电网规划电网投资</w:t>
      </w:r>
      <w:r>
        <w:rPr>
          <w:rFonts w:ascii="宋体" w:hAnsi="宋体" w:cs="宋体" w:eastAsia="宋体" w:hint="default"/>
        </w:rPr>
        <w:t>5126</w:t>
      </w:r>
      <w:r>
        <w:rPr/>
        <w:t>亿元。</w:t>
      </w:r>
    </w:p>
    <w:p>
      <w:pPr>
        <w:pStyle w:val="BodyText"/>
        <w:spacing w:line="316" w:lineRule="auto" w:before="19"/>
        <w:ind w:right="1132" w:firstLine="360"/>
        <w:jc w:val="both"/>
      </w:pPr>
      <w:r>
        <w:rPr>
          <w:rFonts w:ascii="宋体" w:hAnsi="宋体" w:cs="宋体" w:eastAsia="宋体" w:hint="default"/>
          <w:spacing w:val="-2"/>
        </w:rPr>
        <w:t>2015</w:t>
      </w:r>
      <w:r>
        <w:rPr>
          <w:spacing w:val="-2"/>
        </w:rPr>
        <w:t>年</w:t>
      </w:r>
      <w:r>
        <w:rPr>
          <w:rFonts w:ascii="宋体" w:hAnsi="宋体" w:cs="宋体" w:eastAsia="宋体" w:hint="default"/>
          <w:spacing w:val="-2"/>
        </w:rPr>
        <w:t>3</w:t>
      </w:r>
      <w:r>
        <w:rPr>
          <w:spacing w:val="-2"/>
        </w:rPr>
        <w:t>月，中共中央、国务院发布《关于进一步深化电力体制改革的若干意见》（中发</w:t>
      </w:r>
      <w:r>
        <w:rPr>
          <w:rFonts w:ascii="宋体" w:hAnsi="宋体" w:cs="宋体" w:eastAsia="宋体" w:hint="default"/>
          <w:spacing w:val="-2"/>
        </w:rPr>
        <w:t>[2015]9</w:t>
      </w:r>
      <w:r>
        <w:rPr>
          <w:spacing w:val="-2"/>
        </w:rPr>
        <w:t>号），新电改方案的出</w:t>
      </w:r>
      <w:r>
        <w:rPr/>
        <w:t> 台有序向社会资本开放配售电业务，是未来公司快速发展的历史性机遇。</w:t>
      </w:r>
    </w:p>
    <w:p>
      <w:pPr>
        <w:pStyle w:val="BodyText"/>
        <w:spacing w:line="316" w:lineRule="auto" w:before="19"/>
        <w:ind w:left="514" w:right="5532"/>
        <w:jc w:val="left"/>
      </w:pPr>
      <w:r>
        <w:rPr>
          <w:rFonts w:ascii="宋体" w:hAnsi="宋体" w:cs="宋体" w:eastAsia="宋体" w:hint="default"/>
        </w:rPr>
        <w:t>B</w:t>
      </w:r>
      <w:r>
        <w:rPr/>
        <w:t>．产品市场占有率及其变化情况 公司主要产品在</w:t>
      </w:r>
      <w:r>
        <w:rPr>
          <w:rFonts w:ascii="宋体" w:hAnsi="宋体" w:cs="宋体" w:eastAsia="宋体" w:hint="default"/>
        </w:rPr>
        <w:t>12kV</w:t>
      </w:r>
      <w:r>
        <w:rPr/>
        <w:t>电压等级市场占有率和行业排名如下表：</w:t>
      </w:r>
    </w:p>
    <w:tbl>
      <w:tblPr>
        <w:tblW w:w="0" w:type="auto"/>
        <w:jc w:val="left"/>
        <w:tblInd w:w="431" w:type="dxa"/>
        <w:tblLayout w:type="fixed"/>
        <w:tblCellMar>
          <w:top w:w="0" w:type="dxa"/>
          <w:left w:w="0" w:type="dxa"/>
          <w:bottom w:w="0" w:type="dxa"/>
          <w:right w:w="0" w:type="dxa"/>
        </w:tblCellMar>
        <w:tblLook w:val="01E0"/>
      </w:tblPr>
      <w:tblGrid>
        <w:gridCol w:w="1559"/>
        <w:gridCol w:w="709"/>
        <w:gridCol w:w="1134"/>
        <w:gridCol w:w="1134"/>
        <w:gridCol w:w="1134"/>
        <w:gridCol w:w="1134"/>
        <w:gridCol w:w="1276"/>
        <w:gridCol w:w="1134"/>
      </w:tblGrid>
      <w:tr>
        <w:trPr>
          <w:trHeight w:val="428" w:hRule="exact"/>
        </w:trPr>
        <w:tc>
          <w:tcPr>
            <w:tcW w:w="1559" w:type="dxa"/>
            <w:vMerge w:val="restart"/>
            <w:tcBorders>
              <w:top w:val="single" w:sz="6" w:space="0" w:color="000000"/>
              <w:left w:val="single" w:sz="6" w:space="0" w:color="000000"/>
              <w:right w:val="single" w:sz="6" w:space="0" w:color="000000"/>
            </w:tcBorders>
          </w:tcPr>
          <w:p>
            <w:pPr>
              <w:pStyle w:val="TableParagraph"/>
              <w:spacing w:line="240" w:lineRule="auto" w:before="62"/>
              <w:ind w:left="411"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709" w:type="dxa"/>
            <w:vMerge w:val="restart"/>
            <w:tcBorders>
              <w:top w:val="single" w:sz="6" w:space="0" w:color="000000"/>
              <w:left w:val="single" w:sz="6" w:space="0" w:color="000000"/>
              <w:right w:val="single" w:sz="6" w:space="0" w:color="000000"/>
            </w:tcBorders>
          </w:tcPr>
          <w:p>
            <w:pPr>
              <w:pStyle w:val="TableParagraph"/>
              <w:spacing w:line="240" w:lineRule="auto" w:before="62"/>
              <w:ind w:left="166" w:right="0"/>
              <w:jc w:val="left"/>
              <w:rPr>
                <w:rFonts w:ascii="宋体" w:hAnsi="宋体" w:cs="宋体" w:eastAsia="宋体" w:hint="default"/>
                <w:sz w:val="18"/>
                <w:szCs w:val="18"/>
              </w:rPr>
            </w:pPr>
            <w:r>
              <w:rPr>
                <w:rFonts w:ascii="宋体" w:hAnsi="宋体" w:cs="宋体" w:eastAsia="宋体" w:hint="default"/>
                <w:sz w:val="18"/>
                <w:szCs w:val="18"/>
              </w:rPr>
              <w:t>单位</w:t>
            </w:r>
          </w:p>
        </w:tc>
        <w:tc>
          <w:tcPr>
            <w:tcW w:w="22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sz w:val="18"/>
                <w:szCs w:val="18"/>
              </w:rPr>
              <w:t>年</w:t>
            </w:r>
          </w:p>
        </w:tc>
        <w:tc>
          <w:tcPr>
            <w:tcW w:w="22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宋体" w:hAnsi="宋体" w:cs="宋体" w:eastAsia="宋体" w:hint="default"/>
                <w:sz w:val="18"/>
                <w:szCs w:val="18"/>
              </w:rPr>
              <w:t>年</w:t>
            </w:r>
          </w:p>
        </w:tc>
        <w:tc>
          <w:tcPr>
            <w:tcW w:w="24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宋体" w:hAnsi="宋体" w:cs="宋体" w:eastAsia="宋体" w:hint="default"/>
                <w:sz w:val="18"/>
                <w:szCs w:val="18"/>
              </w:rPr>
              <w:t>年</w:t>
            </w:r>
          </w:p>
        </w:tc>
      </w:tr>
      <w:tr>
        <w:trPr>
          <w:trHeight w:val="427" w:hRule="exact"/>
        </w:trPr>
        <w:tc>
          <w:tcPr>
            <w:tcW w:w="1559" w:type="dxa"/>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行业排名</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产量</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行业排名</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79" w:right="0"/>
              <w:jc w:val="left"/>
              <w:rPr>
                <w:rFonts w:ascii="宋体" w:hAnsi="宋体" w:cs="宋体" w:eastAsia="宋体" w:hint="default"/>
                <w:sz w:val="18"/>
                <w:szCs w:val="18"/>
              </w:rPr>
            </w:pPr>
            <w:r>
              <w:rPr>
                <w:rFonts w:ascii="宋体" w:hAnsi="宋体" w:cs="宋体" w:eastAsia="宋体" w:hint="default"/>
                <w:sz w:val="18"/>
                <w:szCs w:val="18"/>
              </w:rPr>
              <w:t>产量</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行业排名</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79" w:right="0"/>
              <w:jc w:val="left"/>
              <w:rPr>
                <w:rFonts w:ascii="宋体" w:hAnsi="宋体" w:cs="宋体" w:eastAsia="宋体" w:hint="default"/>
                <w:sz w:val="18"/>
                <w:szCs w:val="18"/>
              </w:rPr>
            </w:pPr>
            <w:r>
              <w:rPr>
                <w:rFonts w:ascii="宋体" w:hAnsi="宋体" w:cs="宋体" w:eastAsia="宋体" w:hint="default"/>
                <w:sz w:val="18"/>
                <w:szCs w:val="18"/>
              </w:rPr>
              <w:t>产量</w:t>
            </w:r>
          </w:p>
        </w:tc>
      </w:tr>
      <w:tr>
        <w:trPr>
          <w:trHeight w:val="426" w:hRule="exact"/>
        </w:trPr>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12kV</w:t>
            </w:r>
            <w:r>
              <w:rPr>
                <w:rFonts w:ascii="宋体" w:hAnsi="宋体" w:cs="宋体" w:eastAsia="宋体" w:hint="default"/>
                <w:sz w:val="18"/>
                <w:szCs w:val="18"/>
              </w:rPr>
              <w:t>环网柜</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回路</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32,362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11" w:right="0"/>
              <w:jc w:val="left"/>
              <w:rPr>
                <w:rFonts w:ascii="Times New Roman" w:hAnsi="Times New Roman" w:cs="Times New Roman" w:eastAsia="Times New Roman" w:hint="default"/>
                <w:sz w:val="18"/>
                <w:szCs w:val="18"/>
              </w:rPr>
            </w:pPr>
            <w:r>
              <w:rPr>
                <w:rFonts w:ascii="Times New Roman"/>
                <w:sz w:val="18"/>
              </w:rPr>
              <w:t>26,296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11" w:right="0"/>
              <w:jc w:val="left"/>
              <w:rPr>
                <w:rFonts w:ascii="Times New Roman" w:hAnsi="Times New Roman" w:cs="Times New Roman" w:eastAsia="Times New Roman" w:hint="default"/>
                <w:sz w:val="18"/>
                <w:szCs w:val="18"/>
              </w:rPr>
            </w:pPr>
            <w:r>
              <w:rPr>
                <w:rFonts w:ascii="Times New Roman"/>
                <w:sz w:val="18"/>
              </w:rPr>
              <w:t>17,637</w:t>
            </w:r>
          </w:p>
        </w:tc>
      </w:tr>
      <w:tr>
        <w:trPr>
          <w:trHeight w:val="427" w:hRule="exact"/>
        </w:trPr>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12kV</w:t>
            </w:r>
            <w:r>
              <w:rPr>
                <w:rFonts w:ascii="宋体" w:hAnsi="宋体" w:cs="宋体" w:eastAsia="宋体" w:hint="default"/>
                <w:sz w:val="18"/>
                <w:szCs w:val="18"/>
              </w:rPr>
              <w:t>真空断路器</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6056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56" w:right="0"/>
              <w:jc w:val="left"/>
              <w:rPr>
                <w:rFonts w:ascii="Times New Roman" w:hAnsi="Times New Roman" w:cs="Times New Roman" w:eastAsia="Times New Roman" w:hint="default"/>
                <w:sz w:val="18"/>
                <w:szCs w:val="18"/>
              </w:rPr>
            </w:pPr>
            <w:r>
              <w:rPr>
                <w:rFonts w:ascii="Times New Roman"/>
                <w:sz w:val="18"/>
              </w:rPr>
              <w:t>4,734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56" w:right="0"/>
              <w:jc w:val="left"/>
              <w:rPr>
                <w:rFonts w:ascii="Times New Roman" w:hAnsi="Times New Roman" w:cs="Times New Roman" w:eastAsia="Times New Roman" w:hint="default"/>
                <w:sz w:val="18"/>
                <w:szCs w:val="18"/>
              </w:rPr>
            </w:pPr>
            <w:r>
              <w:rPr>
                <w:rFonts w:ascii="Times New Roman"/>
                <w:sz w:val="18"/>
              </w:rPr>
              <w:t>8,603</w:t>
            </w:r>
          </w:p>
        </w:tc>
      </w:tr>
      <w:tr>
        <w:trPr>
          <w:trHeight w:val="428" w:hRule="exact"/>
        </w:trPr>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12kV</w:t>
            </w:r>
            <w:r>
              <w:rPr>
                <w:rFonts w:ascii="宋体" w:hAnsi="宋体" w:cs="宋体" w:eastAsia="宋体" w:hint="default"/>
                <w:sz w:val="18"/>
                <w:szCs w:val="18"/>
              </w:rPr>
              <w:t>箱式变电站</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1954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56" w:right="0"/>
              <w:jc w:val="left"/>
              <w:rPr>
                <w:rFonts w:ascii="Times New Roman" w:hAnsi="Times New Roman" w:cs="Times New Roman" w:eastAsia="Times New Roman" w:hint="default"/>
                <w:sz w:val="18"/>
                <w:szCs w:val="18"/>
              </w:rPr>
            </w:pPr>
            <w:r>
              <w:rPr>
                <w:rFonts w:ascii="Times New Roman"/>
                <w:sz w:val="18"/>
              </w:rPr>
              <w:t>1,529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56" w:right="0"/>
              <w:jc w:val="left"/>
              <w:rPr>
                <w:rFonts w:ascii="Times New Roman" w:hAnsi="Times New Roman" w:cs="Times New Roman" w:eastAsia="Times New Roman" w:hint="default"/>
                <w:sz w:val="18"/>
                <w:szCs w:val="18"/>
              </w:rPr>
            </w:pPr>
            <w:r>
              <w:rPr>
                <w:rFonts w:ascii="Times New Roman"/>
                <w:sz w:val="18"/>
              </w:rPr>
              <w:t>1,349</w:t>
            </w:r>
          </w:p>
        </w:tc>
      </w:tr>
    </w:tbl>
    <w:p>
      <w:pPr>
        <w:pStyle w:val="BodyText"/>
        <w:spacing w:line="316" w:lineRule="auto" w:before="19"/>
        <w:ind w:left="514" w:right="1048"/>
        <w:jc w:val="left"/>
      </w:pPr>
      <w:r>
        <w:rPr>
          <w:rFonts w:ascii="宋体" w:hAnsi="宋体" w:cs="宋体" w:eastAsia="宋体" w:hint="default"/>
        </w:rPr>
        <w:t>C</w:t>
      </w:r>
      <w:r>
        <w:rPr/>
        <w:t>．公司的市场前景 </w:t>
      </w:r>
      <w:r>
        <w:rPr>
          <w:spacing w:val="-2"/>
        </w:rPr>
        <w:t>当前，我国正处于国民经济和社会发展的恢复期，国家仍然在加快全国骨干电网的建设速度、完善智能电网规划以及推</w:t>
      </w:r>
    </w:p>
    <w:p>
      <w:pPr>
        <w:pStyle w:val="BodyText"/>
        <w:spacing w:line="316" w:lineRule="auto" w:before="19"/>
        <w:ind w:right="1131"/>
        <w:jc w:val="both"/>
      </w:pPr>
      <w:r>
        <w:rPr>
          <w:spacing w:val="-2"/>
        </w:rPr>
        <w:t>进城市化建设，输配电设备需求相应较大；我国能源消费的最终形式越来越趋向于电力，北上广深等大型城市的能源供给在</w:t>
      </w:r>
      <w:r>
        <w:rPr>
          <w:spacing w:val="-66"/>
        </w:rPr>
        <w:t> </w:t>
      </w:r>
      <w:r>
        <w:rPr>
          <w:spacing w:val="-66"/>
        </w:rPr>
      </w:r>
      <w:r>
        <w:rPr>
          <w:spacing w:val="-2"/>
        </w:rPr>
        <w:t>未来的几年内将逐步电气化，新能源汽车（主要是电动汽车）的发展也已经进入了一个爆发期，这也对未来我国的电力配电</w:t>
      </w:r>
      <w:r>
        <w:rPr>
          <w:spacing w:val="-66"/>
        </w:rPr>
        <w:t> </w:t>
      </w:r>
      <w:r>
        <w:rPr>
          <w:spacing w:val="-66"/>
        </w:rPr>
      </w:r>
      <w:r>
        <w:rPr>
          <w:spacing w:val="-2"/>
        </w:rPr>
        <w:t>设施的建设提出了很高的要求；最为重要的，</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月以来，国务院发布的新电改</w:t>
      </w:r>
      <w:r>
        <w:rPr>
          <w:rFonts w:ascii="宋体" w:hAnsi="宋体" w:cs="宋体" w:eastAsia="宋体" w:hint="default"/>
          <w:spacing w:val="-2"/>
        </w:rPr>
        <w:t>9</w:t>
      </w:r>
      <w:r>
        <w:rPr>
          <w:spacing w:val="-2"/>
        </w:rPr>
        <w:t>号文首次提出了鼓励社会资金参与配电</w:t>
      </w:r>
      <w:r>
        <w:rPr>
          <w:spacing w:val="-61"/>
        </w:rPr>
        <w:t> </w:t>
      </w:r>
      <w:r>
        <w:rPr/>
        <w:t>网络的建设，这为公司业务的拓展提供了巨大的增长空间。</w:t>
      </w:r>
    </w:p>
    <w:p>
      <w:pPr>
        <w:pStyle w:val="BodyText"/>
        <w:spacing w:line="316" w:lineRule="auto" w:before="19"/>
        <w:ind w:right="1139" w:firstLine="360"/>
        <w:jc w:val="both"/>
      </w:pPr>
      <w:r>
        <w:rPr/>
        <w:t>公司在</w:t>
      </w:r>
      <w:r>
        <w:rPr>
          <w:rFonts w:ascii="宋体" w:hAnsi="宋体" w:cs="宋体" w:eastAsia="宋体" w:hint="default"/>
        </w:rPr>
        <w:t>2018</w:t>
      </w:r>
      <w:r>
        <w:rPr/>
        <w:t>年电力板块实现销售收入</w:t>
      </w:r>
      <w:r>
        <w:rPr>
          <w:rFonts w:ascii="宋体" w:hAnsi="宋体" w:cs="宋体" w:eastAsia="宋体" w:hint="default"/>
        </w:rPr>
        <w:t>14.91</w:t>
      </w:r>
      <w:r>
        <w:rPr/>
        <w:t>亿元的基础上，积极开拓</w:t>
      </w:r>
      <w:r>
        <w:rPr>
          <w:rFonts w:ascii="宋体" w:hAnsi="宋体" w:cs="宋体" w:eastAsia="宋体" w:hint="default"/>
        </w:rPr>
        <w:t>EPC</w:t>
      </w:r>
      <w:r>
        <w:rPr/>
        <w:t>市场，到</w:t>
      </w:r>
      <w:r>
        <w:rPr>
          <w:rFonts w:ascii="宋体" w:hAnsi="宋体" w:cs="宋体" w:eastAsia="宋体" w:hint="default"/>
        </w:rPr>
        <w:t>2021</w:t>
      </w:r>
      <w:r>
        <w:rPr/>
        <w:t>年，电力板块的收入达到</w:t>
      </w:r>
      <w:r>
        <w:rPr>
          <w:rFonts w:ascii="宋体" w:hAnsi="宋体" w:cs="宋体" w:eastAsia="宋体" w:hint="default"/>
        </w:rPr>
        <w:t>25-30</w:t>
      </w:r>
      <w:r>
        <w:rPr/>
        <w:t>亿 元。</w:t>
      </w:r>
    </w:p>
    <w:p>
      <w:pPr>
        <w:pStyle w:val="BodyText"/>
        <w:spacing w:line="316" w:lineRule="auto" w:before="19"/>
        <w:ind w:left="514" w:right="9312"/>
        <w:jc w:val="left"/>
      </w:pPr>
      <w:r>
        <w:rPr/>
        <w:t>②新能源板块 </w:t>
      </w:r>
      <w:r>
        <w:rPr>
          <w:rFonts w:ascii="宋体" w:hAnsi="宋体" w:cs="宋体" w:eastAsia="宋体" w:hint="default"/>
        </w:rPr>
        <w:t>A.</w:t>
      </w:r>
      <w:r>
        <w:rPr/>
        <w:t>宏观规划</w:t>
      </w:r>
    </w:p>
    <w:p>
      <w:pPr>
        <w:pStyle w:val="BodyText"/>
        <w:spacing w:line="316" w:lineRule="auto" w:before="19"/>
        <w:ind w:right="1132" w:firstLine="360"/>
        <w:jc w:val="both"/>
      </w:pPr>
      <w:r>
        <w:rPr>
          <w:spacing w:val="-2"/>
        </w:rPr>
        <w:t>根据新能源汽车、储能、电动叉车、船用及其他市场发展需求，</w:t>
      </w:r>
      <w:r>
        <w:rPr>
          <w:rFonts w:ascii="宋体" w:hAnsi="宋体" w:cs="宋体" w:eastAsia="宋体" w:hint="default"/>
          <w:spacing w:val="-2"/>
        </w:rPr>
        <w:t>2019</w:t>
      </w:r>
      <w:r>
        <w:rPr>
          <w:spacing w:val="-2"/>
        </w:rPr>
        <w:t>年磷酸铁锂需求量将达到</w:t>
      </w:r>
      <w:r>
        <w:rPr>
          <w:rFonts w:ascii="宋体" w:hAnsi="宋体" w:cs="宋体" w:eastAsia="宋体" w:hint="default"/>
          <w:spacing w:val="-2"/>
        </w:rPr>
        <w:t>15</w:t>
      </w:r>
      <w:r>
        <w:rPr>
          <w:spacing w:val="-2"/>
        </w:rPr>
        <w:t>万吨，将在</w:t>
      </w:r>
      <w:r>
        <w:rPr>
          <w:rFonts w:ascii="宋体" w:hAnsi="宋体" w:cs="宋体" w:eastAsia="宋体" w:hint="default"/>
          <w:spacing w:val="-2"/>
        </w:rPr>
        <w:t>18</w:t>
      </w:r>
      <w:r>
        <w:rPr>
          <w:spacing w:val="-2"/>
        </w:rPr>
        <w:t>年基础上</w:t>
      </w:r>
      <w:r>
        <w:rPr/>
        <w:t> 增加近</w:t>
      </w:r>
      <w:r>
        <w:rPr>
          <w:rFonts w:ascii="宋体" w:hAnsi="宋体" w:cs="宋体" w:eastAsia="宋体" w:hint="default"/>
        </w:rPr>
        <w:t>8</w:t>
      </w:r>
      <w:r>
        <w:rPr/>
        <w:t>万吨。未来几年磷酸铁锂的需求量会逐步增加。</w:t>
      </w:r>
      <w:r>
        <w:rPr>
          <w:rFonts w:ascii="宋体" w:hAnsi="宋体" w:cs="宋体" w:eastAsia="宋体" w:hint="default"/>
        </w:rPr>
        <w:t>B.</w:t>
      </w:r>
      <w:r>
        <w:rPr/>
        <w:t>行业竞争地位</w:t>
      </w:r>
    </w:p>
    <w:p>
      <w:pPr>
        <w:pStyle w:val="BodyText"/>
        <w:spacing w:line="316" w:lineRule="auto" w:before="19"/>
        <w:ind w:right="1131" w:firstLine="360"/>
        <w:jc w:val="both"/>
      </w:pPr>
      <w:r>
        <w:rPr>
          <w:spacing w:val="-2"/>
        </w:rPr>
        <w:t>湖南雅城目前的业务主要集中在新能源汽车领域和</w:t>
      </w:r>
      <w:r>
        <w:rPr>
          <w:rFonts w:ascii="宋体" w:hAnsi="宋体" w:cs="宋体" w:eastAsia="宋体" w:hint="default"/>
          <w:spacing w:val="-2"/>
        </w:rPr>
        <w:t>3C</w:t>
      </w:r>
      <w:r>
        <w:rPr>
          <w:spacing w:val="-2"/>
        </w:rPr>
        <w:t>电子产业领域，其自成立以来，一直专注于锂电池正极材料前驱体</w:t>
      </w:r>
      <w:r>
        <w:rPr/>
        <w:t> </w:t>
      </w:r>
      <w:r>
        <w:rPr>
          <w:spacing w:val="-2"/>
        </w:rPr>
        <w:t>的生产、研发及销售，凭借多年深耕锂电池正极材料前驱体领域的所积累的生产研发经验和优质的产品性能，已与韩国三星</w:t>
      </w:r>
      <w:r>
        <w:rPr>
          <w:spacing w:val="-66"/>
        </w:rPr>
        <w:t> </w:t>
      </w:r>
      <w:r>
        <w:rPr>
          <w:spacing w:val="-66"/>
        </w:rPr>
      </w:r>
      <w:r>
        <w:rPr/>
        <w:t>电子、北大先行旗下子公司泰丰先行、贝特瑞、江门科恒等国内外主要客户建立了良好的合作关系。</w:t>
      </w:r>
    </w:p>
    <w:p>
      <w:pPr>
        <w:pStyle w:val="BodyText"/>
        <w:spacing w:line="240" w:lineRule="auto" w:before="19"/>
        <w:ind w:left="514" w:right="1048"/>
        <w:jc w:val="left"/>
      </w:pPr>
      <w:r>
        <w:rPr>
          <w:rFonts w:ascii="宋体" w:hAnsi="宋体" w:cs="宋体" w:eastAsia="宋体" w:hint="default"/>
        </w:rPr>
        <w:t>C.</w:t>
      </w:r>
      <w:r>
        <w:rPr/>
        <w:t>行业发展趋势</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2" w:firstLine="360"/>
        <w:jc w:val="left"/>
      </w:pPr>
      <w:r>
        <w:rPr>
          <w:spacing w:val="-2"/>
        </w:rPr>
        <w:t>电动汽车的发展给电池级磷酸铁的成长带来了很大的市场空间，应用于动力锂电的正极材料在未来将保持快速增长。根</w:t>
      </w:r>
      <w:r>
        <w:rPr/>
        <w:t> 据</w:t>
      </w:r>
      <w:r>
        <w:rPr>
          <w:rFonts w:ascii="宋体" w:hAnsi="宋体" w:cs="宋体" w:eastAsia="宋体" w:hint="default"/>
        </w:rPr>
        <w:t>IIT</w:t>
      </w:r>
      <w:r>
        <w:rPr/>
        <w:t>对动力锂电的总容量需求的统计和预测：</w:t>
      </w:r>
      <w:r>
        <w:rPr>
          <w:rFonts w:ascii="宋体" w:hAnsi="宋体" w:cs="宋体" w:eastAsia="宋体" w:hint="default"/>
        </w:rPr>
        <w:t>2010</w:t>
      </w:r>
      <w:r>
        <w:rPr/>
        <w:t>－</w:t>
      </w:r>
      <w:r>
        <w:rPr>
          <w:rFonts w:ascii="宋体" w:hAnsi="宋体" w:cs="宋体" w:eastAsia="宋体" w:hint="default"/>
        </w:rPr>
        <w:t>2013</w:t>
      </w:r>
      <w:r>
        <w:rPr/>
        <w:t>年动力锂电汽车对锂电池的总容量需求的复合增长率为</w:t>
      </w:r>
      <w:r>
        <w:rPr>
          <w:rFonts w:ascii="宋体" w:hAnsi="宋体" w:cs="宋体" w:eastAsia="宋体" w:hint="default"/>
        </w:rPr>
        <w:t>116.12%</w:t>
      </w:r>
      <w:r>
        <w:rPr/>
        <w:t>， </w:t>
      </w:r>
      <w:r>
        <w:rPr>
          <w:rFonts w:ascii="宋体" w:hAnsi="宋体" w:cs="宋体" w:eastAsia="宋体" w:hint="default"/>
          <w:spacing w:val="-3"/>
        </w:rPr>
        <w:t>2013</w:t>
      </w:r>
      <w:r>
        <w:rPr>
          <w:spacing w:val="-3"/>
        </w:rPr>
        <w:t>－</w:t>
      </w:r>
      <w:r>
        <w:rPr>
          <w:rFonts w:ascii="宋体" w:hAnsi="宋体" w:cs="宋体" w:eastAsia="宋体" w:hint="default"/>
          <w:spacing w:val="-3"/>
        </w:rPr>
        <w:t>2018</w:t>
      </w:r>
      <w:r>
        <w:rPr>
          <w:spacing w:val="-3"/>
        </w:rPr>
        <w:t>年的复合增长率将保持在</w:t>
      </w:r>
      <w:r>
        <w:rPr>
          <w:rFonts w:ascii="宋体" w:hAnsi="宋体" w:cs="宋体" w:eastAsia="宋体" w:hint="default"/>
          <w:spacing w:val="-3"/>
        </w:rPr>
        <w:t>26.04%</w:t>
      </w:r>
      <w:r>
        <w:rPr>
          <w:spacing w:val="-3"/>
        </w:rPr>
        <w:t>；目前全球用于动力锂电的正极材料主要包括锰酸锂、三元材料以及磷酸亚铁锂。</w:t>
      </w:r>
      <w:r>
        <w:rPr>
          <w:spacing w:val="-78"/>
        </w:rPr>
        <w:t> </w:t>
      </w:r>
      <w:r>
        <w:rPr>
          <w:spacing w:val="-78"/>
        </w:rPr>
      </w:r>
      <w:r>
        <w:rPr>
          <w:spacing w:val="-2"/>
        </w:rPr>
        <w:t>在日本和韩国，电池制造商目前倾向于使用锰酸锂和三元材料作为锂电正极材料，而国内的电动汽车电池制造商倾向于使用</w:t>
      </w:r>
      <w:r>
        <w:rPr>
          <w:spacing w:val="-64"/>
        </w:rPr>
        <w:t> </w:t>
      </w:r>
      <w:r>
        <w:rPr>
          <w:spacing w:val="-64"/>
        </w:rPr>
      </w:r>
      <w:r>
        <w:rPr>
          <w:spacing w:val="-2"/>
        </w:rPr>
        <w:t>磷酸亚铁锂。根据动力锂电的总容量需求及汽车锂电厂商对动力锂电正极材料的选择，以锰酸锂的能量密度约</w:t>
      </w:r>
      <w:r>
        <w:rPr>
          <w:rFonts w:ascii="宋体" w:hAnsi="宋体" w:cs="宋体" w:eastAsia="宋体" w:hint="default"/>
          <w:spacing w:val="-2"/>
        </w:rPr>
        <w:t>370Wh/kg</w:t>
      </w:r>
      <w:r>
        <w:rPr>
          <w:spacing w:val="-2"/>
        </w:rPr>
        <w:t>，磷</w:t>
      </w:r>
      <w:r>
        <w:rPr>
          <w:spacing w:val="-85"/>
        </w:rPr>
        <w:t> </w:t>
      </w:r>
      <w:r>
        <w:rPr>
          <w:spacing w:val="-3"/>
        </w:rPr>
        <w:t>酸亚铁锂的能量密度约</w:t>
      </w:r>
      <w:r>
        <w:rPr>
          <w:rFonts w:ascii="宋体" w:hAnsi="宋体" w:cs="宋体" w:eastAsia="宋体" w:hint="default"/>
          <w:spacing w:val="-3"/>
        </w:rPr>
        <w:t>432Wh/kg</w:t>
      </w:r>
      <w:r>
        <w:rPr>
          <w:spacing w:val="-3"/>
        </w:rPr>
        <w:t>，三元材料的能量密度约</w:t>
      </w:r>
      <w:r>
        <w:rPr>
          <w:rFonts w:ascii="宋体" w:hAnsi="宋体" w:cs="宋体" w:eastAsia="宋体" w:hint="default"/>
          <w:spacing w:val="-3"/>
        </w:rPr>
        <w:t>525Wh/kg</w:t>
      </w:r>
      <w:r>
        <w:rPr>
          <w:spacing w:val="-3"/>
        </w:rPr>
        <w:t>来测算，到</w:t>
      </w:r>
      <w:r>
        <w:rPr>
          <w:rFonts w:ascii="宋体" w:hAnsi="宋体" w:cs="宋体" w:eastAsia="宋体" w:hint="default"/>
          <w:spacing w:val="-3"/>
        </w:rPr>
        <w:t>2019</w:t>
      </w:r>
      <w:r>
        <w:rPr>
          <w:spacing w:val="-3"/>
        </w:rPr>
        <w:t>年，预计需要磷酸亚铁锂正极材料</w:t>
      </w:r>
      <w:r>
        <w:rPr>
          <w:rFonts w:ascii="宋体" w:hAnsi="宋体" w:cs="宋体" w:eastAsia="宋体" w:hint="default"/>
          <w:spacing w:val="-3"/>
        </w:rPr>
        <w:t>16</w:t>
      </w:r>
      <w:r>
        <w:rPr>
          <w:spacing w:val="-3"/>
        </w:rPr>
        <w:t>万吨，</w:t>
      </w:r>
      <w:r>
        <w:rPr>
          <w:spacing w:val="-66"/>
        </w:rPr>
        <w:t> </w:t>
      </w:r>
      <w:r>
        <w:rPr/>
        <w:t>即磷酸铁的市场需求量将达到</w:t>
      </w:r>
      <w:r>
        <w:rPr>
          <w:rFonts w:ascii="宋体" w:hAnsi="宋体" w:cs="宋体" w:eastAsia="宋体" w:hint="default"/>
        </w:rPr>
        <w:t>15.5~15.8</w:t>
      </w:r>
      <w:r>
        <w:rPr/>
        <w:t>万吨。</w:t>
      </w:r>
    </w:p>
    <w:p>
      <w:pPr>
        <w:pStyle w:val="BodyText"/>
        <w:spacing w:line="316" w:lineRule="auto" w:before="19"/>
        <w:ind w:left="514" w:right="1048"/>
        <w:jc w:val="left"/>
      </w:pPr>
      <w:r>
        <w:rPr>
          <w:rFonts w:ascii="宋体" w:hAnsi="宋体" w:cs="宋体" w:eastAsia="宋体" w:hint="default"/>
        </w:rPr>
        <w:t>D.</w:t>
      </w:r>
      <w:r>
        <w:rPr/>
        <w:t>公司发展规划 </w:t>
      </w:r>
      <w:r>
        <w:rPr>
          <w:spacing w:val="-2"/>
        </w:rPr>
        <w:t>湖南雅城</w:t>
      </w:r>
      <w:r>
        <w:rPr>
          <w:rFonts w:ascii="宋体" w:hAnsi="宋体" w:cs="宋体" w:eastAsia="宋体" w:hint="default"/>
          <w:spacing w:val="-2"/>
        </w:rPr>
        <w:t>2017</w:t>
      </w:r>
      <w:r>
        <w:rPr>
          <w:spacing w:val="-2"/>
        </w:rPr>
        <w:t>年的销售收入达到了</w:t>
      </w:r>
      <w:r>
        <w:rPr>
          <w:rFonts w:ascii="宋体" w:hAnsi="宋体" w:cs="宋体" w:eastAsia="宋体" w:hint="default"/>
          <w:spacing w:val="-2"/>
        </w:rPr>
        <w:t>9.53</w:t>
      </w:r>
      <w:r>
        <w:rPr>
          <w:spacing w:val="-2"/>
        </w:rPr>
        <w:t>亿元，</w:t>
      </w:r>
      <w:r>
        <w:rPr>
          <w:rFonts w:ascii="宋体" w:hAnsi="宋体" w:cs="宋体" w:eastAsia="宋体" w:hint="default"/>
          <w:spacing w:val="-2"/>
        </w:rPr>
        <w:t>2018</w:t>
      </w:r>
      <w:r>
        <w:rPr>
          <w:spacing w:val="-2"/>
        </w:rPr>
        <w:t>年受行业景气度影响，收入下降为</w:t>
      </w:r>
      <w:r>
        <w:rPr>
          <w:rFonts w:ascii="宋体" w:hAnsi="宋体" w:cs="宋体" w:eastAsia="宋体" w:hint="default"/>
          <w:spacing w:val="-2"/>
        </w:rPr>
        <w:t>4.67</w:t>
      </w:r>
      <w:r>
        <w:rPr>
          <w:spacing w:val="-2"/>
        </w:rPr>
        <w:t>亿元；鉴于行业大幅波动已经</w:t>
      </w:r>
    </w:p>
    <w:p>
      <w:pPr>
        <w:pStyle w:val="BodyText"/>
        <w:spacing w:line="316" w:lineRule="auto" w:before="19"/>
        <w:ind w:right="1130"/>
        <w:jc w:val="both"/>
      </w:pPr>
      <w:r>
        <w:rPr>
          <w:spacing w:val="-5"/>
        </w:rPr>
        <w:t>趋于稳定，预计</w:t>
      </w:r>
      <w:r>
        <w:rPr>
          <w:rFonts w:ascii="宋体" w:hAnsi="宋体" w:cs="宋体" w:eastAsia="宋体" w:hint="default"/>
          <w:spacing w:val="-5"/>
        </w:rPr>
        <w:t>2019</w:t>
      </w:r>
      <w:r>
        <w:rPr>
          <w:spacing w:val="-5"/>
        </w:rPr>
        <w:t>年湖南雅城的销售收入可以达到</w:t>
      </w:r>
      <w:r>
        <w:rPr>
          <w:rFonts w:ascii="宋体" w:hAnsi="宋体" w:cs="宋体" w:eastAsia="宋体" w:hint="default"/>
          <w:spacing w:val="-5"/>
        </w:rPr>
        <w:t>2017</w:t>
      </w:r>
      <w:r>
        <w:rPr>
          <w:spacing w:val="-5"/>
        </w:rPr>
        <w:t>年的水平，（</w:t>
      </w:r>
      <w:r>
        <w:rPr>
          <w:rFonts w:ascii="宋体" w:hAnsi="宋体" w:cs="宋体" w:eastAsia="宋体" w:hint="default"/>
          <w:spacing w:val="-5"/>
        </w:rPr>
        <w:t>2019</w:t>
      </w:r>
      <w:r>
        <w:rPr>
          <w:spacing w:val="-5"/>
        </w:rPr>
        <w:t>年一季度已经实现销售收入</w:t>
      </w:r>
      <w:r>
        <w:rPr>
          <w:rFonts w:ascii="宋体" w:hAnsi="宋体" w:cs="宋体" w:eastAsia="宋体" w:hint="default"/>
          <w:spacing w:val="-5"/>
        </w:rPr>
        <w:t>2.08</w:t>
      </w:r>
      <w:r>
        <w:rPr>
          <w:spacing w:val="-5"/>
        </w:rPr>
        <w:t>亿元），考虑</w:t>
      </w:r>
      <w:r>
        <w:rPr>
          <w:rFonts w:ascii="宋体" w:hAnsi="宋体" w:cs="宋体" w:eastAsia="宋体" w:hint="default"/>
          <w:spacing w:val="-5"/>
        </w:rPr>
        <w:t>2019</w:t>
      </w:r>
      <w:r>
        <w:rPr>
          <w:rFonts w:ascii="宋体" w:hAnsi="宋体" w:cs="宋体" w:eastAsia="宋体" w:hint="default"/>
          <w:spacing w:val="-28"/>
        </w:rPr>
        <w:t> </w:t>
      </w:r>
      <w:r>
        <w:rPr/>
        <w:t>年募投项目建成增加的产能，到</w:t>
      </w:r>
      <w:r>
        <w:rPr>
          <w:rFonts w:ascii="宋体" w:hAnsi="宋体" w:cs="宋体" w:eastAsia="宋体" w:hint="default"/>
        </w:rPr>
        <w:t>2021</w:t>
      </w:r>
      <w:r>
        <w:rPr/>
        <w:t>年可以达到磷酸铁</w:t>
      </w:r>
      <w:r>
        <w:rPr>
          <w:rFonts w:ascii="宋体" w:hAnsi="宋体" w:cs="宋体" w:eastAsia="宋体" w:hint="default"/>
        </w:rPr>
        <w:t>30</w:t>
      </w:r>
      <w:r>
        <w:rPr/>
        <w:t>，</w:t>
      </w:r>
      <w:r>
        <w:rPr>
          <w:rFonts w:ascii="宋体" w:hAnsi="宋体" w:cs="宋体" w:eastAsia="宋体" w:hint="default"/>
        </w:rPr>
        <w:t>000</w:t>
      </w:r>
      <w:r>
        <w:rPr/>
        <w:t>吨，四氧化三钴</w:t>
      </w:r>
      <w:r>
        <w:rPr>
          <w:rFonts w:ascii="宋体" w:hAnsi="宋体" w:cs="宋体" w:eastAsia="宋体" w:hint="default"/>
        </w:rPr>
        <w:t>8,000</w:t>
      </w:r>
      <w:r>
        <w:rPr/>
        <w:t>吨，氢氧化钴</w:t>
      </w:r>
      <w:r>
        <w:rPr>
          <w:rFonts w:ascii="宋体" w:hAnsi="宋体" w:cs="宋体" w:eastAsia="宋体" w:hint="default"/>
        </w:rPr>
        <w:t>1,000</w:t>
      </w:r>
      <w:r>
        <w:rPr/>
        <w:t>吨，预计</w:t>
      </w:r>
      <w:r>
        <w:rPr>
          <w:rFonts w:ascii="宋体" w:hAnsi="宋体" w:cs="宋体" w:eastAsia="宋体" w:hint="default"/>
        </w:rPr>
        <w:t>2021</w:t>
      </w:r>
      <w:r>
        <w:rPr/>
        <w:t>年达 到</w:t>
      </w:r>
      <w:r>
        <w:rPr>
          <w:rFonts w:ascii="宋体" w:hAnsi="宋体" w:cs="宋体" w:eastAsia="宋体" w:hint="default"/>
        </w:rPr>
        <w:t>15-20</w:t>
      </w:r>
      <w:r>
        <w:rPr/>
        <w:t>亿元的收入。</w:t>
      </w:r>
    </w:p>
    <w:p>
      <w:pPr>
        <w:pStyle w:val="BodyText"/>
        <w:spacing w:line="316" w:lineRule="auto" w:before="19"/>
        <w:ind w:left="514" w:right="1212"/>
        <w:jc w:val="left"/>
        <w:rPr>
          <w:rFonts w:ascii="宋体" w:hAnsi="宋体" w:cs="宋体" w:eastAsia="宋体" w:hint="default"/>
        </w:rPr>
      </w:pPr>
      <w:r>
        <w:rPr/>
        <w:t>③公司参股的天津茂联公司 </w:t>
      </w:r>
      <w:r>
        <w:rPr>
          <w:rFonts w:ascii="宋体" w:hAnsi="宋体" w:cs="宋体" w:eastAsia="宋体" w:hint="default"/>
        </w:rPr>
        <w:t>2019</w:t>
      </w:r>
      <w:r>
        <w:rPr/>
        <w:t>年茂联年度生产计划为铜</w:t>
      </w:r>
      <w:r>
        <w:rPr>
          <w:rFonts w:ascii="宋体" w:hAnsi="宋体" w:cs="宋体" w:eastAsia="宋体" w:hint="default"/>
        </w:rPr>
        <w:t>15000</w:t>
      </w:r>
      <w:r>
        <w:rPr/>
        <w:t>吨，硫酸镍</w:t>
      </w:r>
      <w:r>
        <w:rPr>
          <w:rFonts w:ascii="宋体" w:hAnsi="宋体" w:cs="宋体" w:eastAsia="宋体" w:hint="default"/>
        </w:rPr>
        <w:t>45000</w:t>
      </w:r>
      <w:r>
        <w:rPr/>
        <w:t>实物吨，电镍</w:t>
      </w:r>
      <w:r>
        <w:rPr>
          <w:rFonts w:ascii="宋体" w:hAnsi="宋体" w:cs="宋体" w:eastAsia="宋体" w:hint="default"/>
        </w:rPr>
        <w:t>5000</w:t>
      </w:r>
      <w:r>
        <w:rPr/>
        <w:t>吨，氯化钴</w:t>
      </w:r>
      <w:r>
        <w:rPr>
          <w:rFonts w:ascii="宋体" w:hAnsi="宋体" w:cs="宋体" w:eastAsia="宋体" w:hint="default"/>
        </w:rPr>
        <w:t>5000</w:t>
      </w:r>
      <w:r>
        <w:rPr/>
        <w:t>金吨，产值分别预计</w:t>
      </w:r>
      <w:r>
        <w:rPr>
          <w:rFonts w:ascii="宋体" w:hAnsi="宋体" w:cs="宋体" w:eastAsia="宋体" w:hint="default"/>
        </w:rPr>
        <w:t>6.3</w:t>
      </w:r>
      <w:r>
        <w:rPr/>
        <w:t>亿、</w:t>
      </w:r>
      <w:r>
        <w:rPr>
          <w:rFonts w:ascii="宋体" w:hAnsi="宋体" w:cs="宋体" w:eastAsia="宋体" w:hint="default"/>
        </w:rPr>
        <w:t>9</w:t>
      </w:r>
    </w:p>
    <w:p>
      <w:pPr>
        <w:pStyle w:val="BodyText"/>
        <w:spacing w:line="316" w:lineRule="auto" w:before="19"/>
        <w:ind w:right="1131"/>
        <w:jc w:val="both"/>
      </w:pPr>
      <w:r>
        <w:rPr/>
        <w:t>亿、</w:t>
      </w:r>
      <w:r>
        <w:rPr>
          <w:rFonts w:ascii="宋体" w:hAnsi="宋体" w:cs="宋体" w:eastAsia="宋体" w:hint="default"/>
        </w:rPr>
        <w:t>4.3</w:t>
      </w:r>
      <w:r>
        <w:rPr/>
        <w:t>亿、</w:t>
      </w:r>
      <w:r>
        <w:rPr>
          <w:rFonts w:ascii="宋体" w:hAnsi="宋体" w:cs="宋体" w:eastAsia="宋体" w:hint="default"/>
        </w:rPr>
        <w:t>11</w:t>
      </w:r>
      <w:r>
        <w:rPr/>
        <w:t>亿元，产值预计合计</w:t>
      </w:r>
      <w:r>
        <w:rPr>
          <w:rFonts w:ascii="宋体" w:hAnsi="宋体" w:cs="宋体" w:eastAsia="宋体" w:hint="default"/>
        </w:rPr>
        <w:t>30.6</w:t>
      </w:r>
      <w:r>
        <w:rPr/>
        <w:t>亿元，完成上述产品所需原料主要为硫化镍、钴精矿、少量铜钴合金，原料方面均 </w:t>
      </w:r>
      <w:r>
        <w:rPr>
          <w:spacing w:val="-2"/>
        </w:rPr>
        <w:t>与供应商签订长单，保障了生产所需原料。销售方面硫酸镍与氯化钴与客户也分别签订了长单，且客户为长期合作客户，回</w:t>
      </w:r>
      <w:r>
        <w:rPr>
          <w:spacing w:val="-66"/>
        </w:rPr>
        <w:t> </w:t>
      </w:r>
      <w:r>
        <w:rPr>
          <w:spacing w:val="-66"/>
        </w:rPr>
      </w:r>
      <w:r>
        <w:rPr>
          <w:spacing w:val="-2"/>
        </w:rPr>
        <w:t>款可控；电铜、电镍金融属性较强，市场流通性好，变现能力强，一般通过款到发货或当天发货当天回款方式销售。当前销</w:t>
      </w:r>
      <w:r>
        <w:rPr>
          <w:spacing w:val="-68"/>
        </w:rPr>
        <w:t> </w:t>
      </w:r>
      <w:r>
        <w:rPr>
          <w:spacing w:val="-68"/>
        </w:rPr>
      </w:r>
      <w:r>
        <w:rPr/>
        <w:t>售客户主要为：托克（中国）投资有限公司、万宝矿产有限公司等。</w:t>
      </w:r>
    </w:p>
    <w:p>
      <w:pPr>
        <w:pStyle w:val="BodyText"/>
        <w:spacing w:line="316" w:lineRule="auto" w:before="19"/>
        <w:ind w:right="0" w:firstLine="360"/>
        <w:jc w:val="left"/>
      </w:pPr>
      <w:r>
        <w:rPr>
          <w:rFonts w:ascii="宋体" w:hAnsi="宋体" w:cs="宋体" w:eastAsia="宋体" w:hint="default"/>
        </w:rPr>
        <w:t>2020</w:t>
      </w:r>
      <w:r>
        <w:rPr/>
        <w:t>年在</w:t>
      </w:r>
      <w:r>
        <w:rPr>
          <w:rFonts w:ascii="宋体" w:hAnsi="宋体" w:cs="宋体" w:eastAsia="宋体" w:hint="default"/>
        </w:rPr>
        <w:t>2019</w:t>
      </w:r>
      <w:r>
        <w:rPr/>
        <w:t>年基础上增加其下属赞比亚冶炼厂矿山开采业务，此项目在</w:t>
      </w:r>
      <w:r>
        <w:rPr>
          <w:rFonts w:ascii="宋体" w:hAnsi="宋体" w:cs="宋体" w:eastAsia="宋体" w:hint="default"/>
        </w:rPr>
        <w:t>2018</w:t>
      </w:r>
      <w:r>
        <w:rPr/>
        <w:t>年</w:t>
      </w:r>
      <w:r>
        <w:rPr>
          <w:rFonts w:ascii="宋体" w:hAnsi="宋体" w:cs="宋体" w:eastAsia="宋体" w:hint="default"/>
        </w:rPr>
        <w:t>4</w:t>
      </w:r>
      <w:r>
        <w:rPr/>
        <w:t>月份已启动，目前其中施工图设计已 </w:t>
      </w:r>
      <w:r>
        <w:rPr>
          <w:spacing w:val="-2"/>
        </w:rPr>
        <w:t>完成</w:t>
      </w:r>
      <w:r>
        <w:rPr>
          <w:rFonts w:ascii="宋体" w:hAnsi="宋体" w:cs="宋体" w:eastAsia="宋体" w:hint="default"/>
          <w:spacing w:val="-2"/>
        </w:rPr>
        <w:t>90%</w:t>
      </w:r>
      <w:r>
        <w:rPr>
          <w:spacing w:val="-2"/>
        </w:rPr>
        <w:t>。主体设备氧压釜、闪蒸罐、球磨机、制氧站等已完成采购并开始加工制作，制氧站和氧压釜、闪蒸罐已完成制作，</w:t>
      </w:r>
      <w:r>
        <w:rPr>
          <w:spacing w:val="-64"/>
        </w:rPr>
        <w:t> </w:t>
      </w:r>
      <w:r>
        <w:rPr>
          <w:spacing w:val="-64"/>
        </w:rPr>
      </w:r>
      <w:r>
        <w:rPr>
          <w:spacing w:val="-2"/>
        </w:rPr>
        <w:t>其它主要工艺设备已完成招标并确定中标单位，等待后续的合同签订；工艺管道、阀门及电气设备材料已按照施工图完成目</w:t>
      </w:r>
      <w:r>
        <w:rPr>
          <w:spacing w:val="-66"/>
        </w:rPr>
        <w:t> </w:t>
      </w:r>
      <w:r>
        <w:rPr>
          <w:spacing w:val="-66"/>
        </w:rPr>
      </w:r>
      <w:r>
        <w:rPr>
          <w:spacing w:val="-2"/>
        </w:rPr>
        <w:t>统计，待设计优化完成后更新清单。目前现场厂房基础施工工作已全面铺开，其中备品备件库、综合仓库、成品库、维修车</w:t>
      </w:r>
      <w:r>
        <w:rPr>
          <w:spacing w:val="-68"/>
        </w:rPr>
        <w:t> </w:t>
      </w:r>
      <w:r>
        <w:rPr>
          <w:spacing w:val="-68"/>
        </w:rPr>
      </w:r>
      <w:r>
        <w:rPr>
          <w:spacing w:val="-5"/>
        </w:rPr>
        <w:t>间、铜电积车间、沉钴车间、氧压浸出、润浸及预浸、除铁车间、氧气站、化验室</w:t>
      </w:r>
      <w:r>
        <w:rPr>
          <w:rFonts w:ascii="宋体" w:hAnsi="宋体" w:cs="宋体" w:eastAsia="宋体" w:hint="default"/>
          <w:spacing w:val="-5"/>
        </w:rPr>
        <w:t>9</w:t>
      </w:r>
      <w:r>
        <w:rPr>
          <w:spacing w:val="-5"/>
        </w:rPr>
        <w:t>个车间厂房基础施工已完工，化验室</w:t>
      </w:r>
      <w:r>
        <w:rPr>
          <w:rFonts w:ascii="宋体" w:hAnsi="宋体" w:cs="宋体" w:eastAsia="宋体" w:hint="default"/>
          <w:spacing w:val="-5"/>
        </w:rPr>
        <w:t>,10kv</w:t>
      </w:r>
      <w:r>
        <w:rPr>
          <w:rFonts w:ascii="宋体" w:hAnsi="宋体" w:cs="宋体" w:eastAsia="宋体" w:hint="default"/>
          <w:spacing w:val="-68"/>
        </w:rPr>
        <w:t> </w:t>
      </w:r>
      <w:r>
        <w:rPr>
          <w:spacing w:val="-2"/>
        </w:rPr>
        <w:t>配电室墙体砌筑完成，办公楼基础回填完成，食堂浴室基础正在施工；厂区围墙、现场办公室、会议室、厕所等已施工已完</w:t>
      </w:r>
      <w:r>
        <w:rPr>
          <w:spacing w:val="-67"/>
        </w:rPr>
        <w:t> </w:t>
      </w:r>
      <w:r>
        <w:rPr>
          <w:spacing w:val="-67"/>
        </w:rPr>
      </w:r>
      <w:r>
        <w:rPr/>
        <w:t>成；现场加工区域已完成；厂区道路已全部开挖并完成铺设矿渣层；生活区</w:t>
      </w:r>
      <w:r>
        <w:rPr>
          <w:rFonts w:ascii="宋体" w:hAnsi="宋体" w:cs="宋体" w:eastAsia="宋体" w:hint="default"/>
        </w:rPr>
        <w:t>1~18#</w:t>
      </w:r>
      <w:r>
        <w:rPr/>
        <w:t>房砖墙砌筑全部完成，内外墙抹灰全部完 </w:t>
      </w:r>
      <w:r>
        <w:rPr>
          <w:spacing w:val="-3"/>
        </w:rPr>
        <w:t>成，房屋屋面瓦铺设完成</w:t>
      </w:r>
      <w:r>
        <w:rPr>
          <w:rFonts w:ascii="宋体" w:hAnsi="宋体" w:cs="宋体" w:eastAsia="宋体" w:hint="default"/>
          <w:spacing w:val="-3"/>
        </w:rPr>
        <w:t>90%</w:t>
      </w:r>
      <w:r>
        <w:rPr>
          <w:spacing w:val="-3"/>
        </w:rPr>
        <w:t>，房屋吊顶木龙骨完成</w:t>
      </w:r>
      <w:r>
        <w:rPr>
          <w:rFonts w:ascii="宋体" w:hAnsi="宋体" w:cs="宋体" w:eastAsia="宋体" w:hint="default"/>
          <w:spacing w:val="-3"/>
        </w:rPr>
        <w:t>80%.</w:t>
      </w:r>
      <w:r>
        <w:rPr>
          <w:spacing w:val="-3"/>
        </w:rPr>
        <w:t>地砖铺设完成</w:t>
      </w:r>
      <w:r>
        <w:rPr>
          <w:rFonts w:ascii="宋体" w:hAnsi="宋体" w:cs="宋体" w:eastAsia="宋体" w:hint="default"/>
          <w:spacing w:val="-3"/>
        </w:rPr>
        <w:t>75%</w:t>
      </w:r>
      <w:r>
        <w:rPr>
          <w:spacing w:val="-3"/>
        </w:rPr>
        <w:t>；室外防盗门安装完成</w:t>
      </w:r>
      <w:r>
        <w:rPr>
          <w:rFonts w:ascii="宋体" w:hAnsi="宋体" w:cs="宋体" w:eastAsia="宋体" w:hint="default"/>
          <w:spacing w:val="-3"/>
        </w:rPr>
        <w:t>80%</w:t>
      </w:r>
      <w:r>
        <w:rPr>
          <w:spacing w:val="-3"/>
        </w:rPr>
        <w:t>，卫生间门安装完成</w:t>
      </w:r>
      <w:r>
        <w:rPr>
          <w:rFonts w:ascii="宋体" w:hAnsi="宋体" w:cs="宋体" w:eastAsia="宋体" w:hint="default"/>
          <w:spacing w:val="-3"/>
        </w:rPr>
        <w:t>70%</w:t>
      </w:r>
      <w:r>
        <w:rPr>
          <w:spacing w:val="-3"/>
        </w:rPr>
        <w:t>，</w:t>
      </w:r>
      <w:r>
        <w:rPr>
          <w:spacing w:val="-77"/>
        </w:rPr>
        <w:t> </w:t>
      </w:r>
      <w:r>
        <w:rPr/>
        <w:t>预计</w:t>
      </w:r>
      <w:r>
        <w:rPr>
          <w:rFonts w:ascii="宋体" w:hAnsi="宋体" w:cs="宋体" w:eastAsia="宋体" w:hint="default"/>
        </w:rPr>
        <w:t>2019</w:t>
      </w:r>
      <w:r>
        <w:rPr/>
        <w:t>年末项目投产，一期可以实现年处理能力</w:t>
      </w:r>
      <w:r>
        <w:rPr>
          <w:rFonts w:ascii="宋体" w:hAnsi="宋体" w:cs="宋体" w:eastAsia="宋体" w:hint="default"/>
        </w:rPr>
        <w:t>50</w:t>
      </w:r>
      <w:r>
        <w:rPr/>
        <w:t>万吨，年产粗制氢氧化钴</w:t>
      </w:r>
      <w:r>
        <w:rPr>
          <w:rFonts w:ascii="宋体" w:hAnsi="宋体" w:cs="宋体" w:eastAsia="宋体" w:hint="default"/>
        </w:rPr>
        <w:t>3000</w:t>
      </w:r>
      <w:r>
        <w:rPr/>
        <w:t>金吨，电解铜</w:t>
      </w:r>
      <w:r>
        <w:rPr>
          <w:rFonts w:ascii="宋体" w:hAnsi="宋体" w:cs="宋体" w:eastAsia="宋体" w:hint="default"/>
        </w:rPr>
        <w:t>5000</w:t>
      </w:r>
      <w:r>
        <w:rPr/>
        <w:t>吨；</w:t>
      </w:r>
    </w:p>
    <w:p>
      <w:pPr>
        <w:pStyle w:val="BodyText"/>
        <w:spacing w:line="316" w:lineRule="auto" w:before="19"/>
        <w:ind w:right="1122" w:firstLine="360"/>
        <w:jc w:val="left"/>
      </w:pPr>
      <w:r>
        <w:rPr>
          <w:rFonts w:ascii="宋体" w:hAnsi="宋体" w:cs="宋体" w:eastAsia="宋体" w:hint="default"/>
        </w:rPr>
        <w:t>2021</w:t>
      </w:r>
      <w:r>
        <w:rPr/>
        <w:t>年，赞比亚冶炼厂二期投产，年处理量可达</w:t>
      </w:r>
      <w:r>
        <w:rPr>
          <w:rFonts w:ascii="宋体" w:hAnsi="宋体" w:cs="宋体" w:eastAsia="宋体" w:hint="default"/>
        </w:rPr>
        <w:t>100</w:t>
      </w:r>
      <w:r>
        <w:rPr/>
        <w:t>万吨原矿，产值在</w:t>
      </w:r>
      <w:r>
        <w:rPr>
          <w:rFonts w:ascii="宋体" w:hAnsi="宋体" w:cs="宋体" w:eastAsia="宋体" w:hint="default"/>
        </w:rPr>
        <w:t>2020</w:t>
      </w:r>
      <w:r>
        <w:rPr/>
        <w:t>年基础上可增加一倍。同时公司计划在</w:t>
      </w:r>
      <w:r>
        <w:rPr>
          <w:rFonts w:ascii="宋体" w:hAnsi="宋体" w:cs="宋体" w:eastAsia="宋体" w:hint="default"/>
        </w:rPr>
        <w:t>2020 </w:t>
      </w:r>
      <w:r>
        <w:rPr/>
        <w:t>年启动建设三元前驱体项目，计划在</w:t>
      </w:r>
      <w:r>
        <w:rPr>
          <w:rFonts w:ascii="宋体" w:hAnsi="宋体" w:cs="宋体" w:eastAsia="宋体" w:hint="default"/>
        </w:rPr>
        <w:t>2020</w:t>
      </w:r>
      <w:r>
        <w:rPr/>
        <w:t>年末投产，</w:t>
      </w:r>
      <w:r>
        <w:rPr>
          <w:rFonts w:ascii="宋体" w:hAnsi="宋体" w:cs="宋体" w:eastAsia="宋体" w:hint="default"/>
        </w:rPr>
        <w:t>2021</w:t>
      </w:r>
      <w:r>
        <w:rPr/>
        <w:t>年实现</w:t>
      </w:r>
      <w:r>
        <w:rPr>
          <w:rFonts w:ascii="宋体" w:hAnsi="宋体" w:cs="宋体" w:eastAsia="宋体" w:hint="default"/>
        </w:rPr>
        <w:t>1</w:t>
      </w:r>
      <w:r>
        <w:rPr/>
        <w:t>万吨产量。</w:t>
      </w:r>
    </w:p>
    <w:p>
      <w:pPr>
        <w:pStyle w:val="BodyText"/>
        <w:spacing w:line="316" w:lineRule="auto" w:before="19"/>
        <w:ind w:right="1132" w:firstLine="360"/>
        <w:jc w:val="left"/>
      </w:pPr>
      <w:r>
        <w:rPr>
          <w:rFonts w:ascii="宋体" w:hAnsi="宋体" w:cs="宋体" w:eastAsia="宋体" w:hint="default"/>
          <w:spacing w:val="-2"/>
        </w:rPr>
        <w:t>2018</w:t>
      </w:r>
      <w:r>
        <w:rPr>
          <w:spacing w:val="-2"/>
        </w:rPr>
        <w:t>年实现收入</w:t>
      </w:r>
      <w:r>
        <w:rPr>
          <w:rFonts w:ascii="宋体" w:hAnsi="宋体" w:cs="宋体" w:eastAsia="宋体" w:hint="default"/>
          <w:spacing w:val="-2"/>
        </w:rPr>
        <w:t>20.72</w:t>
      </w:r>
      <w:r>
        <w:rPr>
          <w:spacing w:val="-2"/>
        </w:rPr>
        <w:t>亿元，</w:t>
      </w:r>
      <w:r>
        <w:rPr>
          <w:rFonts w:ascii="宋体" w:hAnsi="宋体" w:cs="宋体" w:eastAsia="宋体" w:hint="default"/>
          <w:spacing w:val="-2"/>
        </w:rPr>
        <w:t>2019</w:t>
      </w:r>
      <w:r>
        <w:rPr>
          <w:spacing w:val="-2"/>
        </w:rPr>
        <w:t>年</w:t>
      </w:r>
      <w:r>
        <w:rPr>
          <w:rFonts w:ascii="宋体" w:hAnsi="宋体" w:cs="宋体" w:eastAsia="宋体" w:hint="default"/>
          <w:spacing w:val="-2"/>
        </w:rPr>
        <w:t>2</w:t>
      </w:r>
      <w:r>
        <w:rPr>
          <w:spacing w:val="-2"/>
        </w:rPr>
        <w:t>月其与万宝矿业签订的钴精矿购销合同，按照目前的市场价格，预计可以新增销售</w:t>
      </w:r>
      <w:r>
        <w:rPr/>
        <w:t> 收入约</w:t>
      </w:r>
      <w:r>
        <w:rPr>
          <w:rFonts w:ascii="宋体" w:hAnsi="宋体" w:cs="宋体" w:eastAsia="宋体" w:hint="default"/>
        </w:rPr>
        <w:t>14</w:t>
      </w:r>
      <w:r>
        <w:rPr/>
        <w:t>亿元，预计</w:t>
      </w:r>
      <w:r>
        <w:rPr>
          <w:rFonts w:ascii="宋体" w:hAnsi="宋体" w:cs="宋体" w:eastAsia="宋体" w:hint="default"/>
        </w:rPr>
        <w:t>2019</w:t>
      </w:r>
      <w:r>
        <w:rPr/>
        <w:t>年可以实现销售收入</w:t>
      </w:r>
      <w:r>
        <w:rPr>
          <w:rFonts w:ascii="宋体" w:hAnsi="宋体" w:cs="宋体" w:eastAsia="宋体" w:hint="default"/>
        </w:rPr>
        <w:t>30</w:t>
      </w:r>
      <w:r>
        <w:rPr/>
        <w:t>亿</w:t>
      </w:r>
      <w:r>
        <w:rPr>
          <w:rFonts w:ascii="宋体" w:hAnsi="宋体" w:cs="宋体" w:eastAsia="宋体" w:hint="default"/>
        </w:rPr>
        <w:t>-35</w:t>
      </w:r>
      <w:r>
        <w:rPr/>
        <w:t>亿元。</w:t>
      </w:r>
    </w:p>
    <w:tbl>
      <w:tblPr>
        <w:tblW w:w="0" w:type="auto"/>
        <w:jc w:val="left"/>
        <w:tblInd w:w="433" w:type="dxa"/>
        <w:tblLayout w:type="fixed"/>
        <w:tblCellMar>
          <w:top w:w="0" w:type="dxa"/>
          <w:left w:w="0" w:type="dxa"/>
          <w:bottom w:w="0" w:type="dxa"/>
          <w:right w:w="0" w:type="dxa"/>
        </w:tblCellMar>
        <w:tblLook w:val="01E0"/>
      </w:tblPr>
      <w:tblGrid>
        <w:gridCol w:w="3227"/>
        <w:gridCol w:w="2091"/>
        <w:gridCol w:w="1950"/>
        <w:gridCol w:w="2195"/>
      </w:tblGrid>
      <w:tr>
        <w:trPr>
          <w:trHeight w:val="402" w:hRule="exact"/>
        </w:trPr>
        <w:tc>
          <w:tcPr>
            <w:tcW w:w="5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9"/>
              <w:jc w:val="righ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天津茂联现有生产线</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亿</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89"/>
              <w:jc w:val="righ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亿</w:t>
            </w:r>
          </w:p>
        </w:tc>
      </w:tr>
      <w:tr>
        <w:trPr>
          <w:trHeight w:val="402" w:hRule="exact"/>
        </w:trPr>
        <w:tc>
          <w:tcPr>
            <w:tcW w:w="32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68" w:right="0"/>
              <w:jc w:val="left"/>
              <w:rPr>
                <w:rFonts w:ascii="宋体" w:hAnsi="宋体" w:cs="宋体" w:eastAsia="宋体" w:hint="default"/>
                <w:sz w:val="18"/>
                <w:szCs w:val="18"/>
              </w:rPr>
            </w:pPr>
            <w:r>
              <w:rPr>
                <w:rFonts w:ascii="宋体" w:hAnsi="宋体" w:cs="宋体" w:eastAsia="宋体" w:hint="default"/>
                <w:sz w:val="18"/>
                <w:szCs w:val="18"/>
              </w:rPr>
              <w:t>赞比亚冶炼厂</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年处理能力（万吨）</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50</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w:t>
            </w:r>
          </w:p>
        </w:tc>
      </w:tr>
      <w:tr>
        <w:trPr>
          <w:trHeight w:val="402" w:hRule="exact"/>
        </w:trPr>
        <w:tc>
          <w:tcPr>
            <w:tcW w:w="3227" w:type="dxa"/>
            <w:vMerge/>
            <w:tcBorders>
              <w:left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粗制氢氧化钴（金吨）</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3000</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2"/>
              <w:jc w:val="right"/>
              <w:rPr>
                <w:rFonts w:ascii="宋体" w:hAnsi="宋体" w:cs="宋体" w:eastAsia="宋体" w:hint="default"/>
                <w:sz w:val="18"/>
                <w:szCs w:val="18"/>
              </w:rPr>
            </w:pPr>
            <w:r>
              <w:rPr>
                <w:rFonts w:ascii="宋体"/>
                <w:sz w:val="18"/>
              </w:rPr>
              <w:t>6000</w:t>
            </w:r>
          </w:p>
        </w:tc>
      </w:tr>
      <w:tr>
        <w:trPr>
          <w:trHeight w:val="402" w:hRule="exact"/>
        </w:trPr>
        <w:tc>
          <w:tcPr>
            <w:tcW w:w="3227" w:type="dxa"/>
            <w:vMerge/>
            <w:tcBorders>
              <w:left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电解铜（吨）</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5000</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6"/>
              <w:jc w:val="right"/>
              <w:rPr>
                <w:rFonts w:ascii="宋体" w:hAnsi="宋体" w:cs="宋体" w:eastAsia="宋体" w:hint="default"/>
                <w:sz w:val="18"/>
                <w:szCs w:val="18"/>
              </w:rPr>
            </w:pPr>
            <w:r>
              <w:rPr>
                <w:rFonts w:ascii="宋体"/>
                <w:sz w:val="18"/>
              </w:rPr>
              <w:t>10000</w:t>
            </w:r>
          </w:p>
        </w:tc>
      </w:tr>
      <w:tr>
        <w:trPr>
          <w:trHeight w:val="402" w:hRule="exact"/>
        </w:trPr>
        <w:tc>
          <w:tcPr>
            <w:tcW w:w="3227" w:type="dxa"/>
            <w:vMerge/>
            <w:tcBorders>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22" w:right="0"/>
              <w:jc w:val="left"/>
              <w:rPr>
                <w:rFonts w:ascii="宋体" w:hAnsi="宋体" w:cs="宋体" w:eastAsia="宋体" w:hint="default"/>
                <w:sz w:val="18"/>
                <w:szCs w:val="18"/>
              </w:rPr>
            </w:pPr>
            <w:r>
              <w:rPr>
                <w:rFonts w:ascii="宋体" w:hAnsi="宋体" w:cs="宋体" w:eastAsia="宋体" w:hint="default"/>
                <w:sz w:val="18"/>
                <w:szCs w:val="18"/>
              </w:rPr>
              <w:t>8.5</w:t>
            </w:r>
            <w:r>
              <w:rPr>
                <w:rFonts w:ascii="宋体" w:hAnsi="宋体" w:cs="宋体" w:eastAsia="宋体" w:hint="default"/>
                <w:spacing w:val="-46"/>
                <w:sz w:val="18"/>
                <w:szCs w:val="18"/>
              </w:rPr>
              <w:t> </w:t>
            </w:r>
            <w:r>
              <w:rPr>
                <w:rFonts w:ascii="宋体" w:hAnsi="宋体" w:cs="宋体" w:eastAsia="宋体" w:hint="default"/>
                <w:sz w:val="18"/>
                <w:szCs w:val="18"/>
              </w:rPr>
              <w:t>亿</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89"/>
              <w:jc w:val="righ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亿</w:t>
            </w: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天津茂联三元前驱体生产线</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50" w:type="dxa"/>
            <w:tcBorders>
              <w:top w:val="single" w:sz="4" w:space="0" w:color="000000"/>
              <w:left w:val="single" w:sz="4" w:space="0" w:color="000000"/>
              <w:bottom w:val="single" w:sz="4" w:space="0" w:color="000000"/>
              <w:right w:val="single" w:sz="4" w:space="0" w:color="000000"/>
            </w:tcBorders>
          </w:tcPr>
          <w:p>
            <w:pP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亿</w:t>
            </w:r>
          </w:p>
        </w:tc>
      </w:tr>
    </w:tbl>
    <w:p>
      <w:pPr>
        <w:pStyle w:val="BodyText"/>
        <w:spacing w:line="316" w:lineRule="auto" w:before="19"/>
        <w:ind w:right="1122" w:firstLine="360"/>
        <w:jc w:val="left"/>
      </w:pPr>
      <w:r>
        <w:rPr/>
        <w:t>综上分析：预计到</w:t>
      </w:r>
      <w:r>
        <w:rPr>
          <w:rFonts w:ascii="宋体" w:hAnsi="宋体" w:cs="宋体" w:eastAsia="宋体" w:hint="default"/>
        </w:rPr>
        <w:t>2021</w:t>
      </w:r>
      <w:r>
        <w:rPr/>
        <w:t>年，公司电力板块收入达到</w:t>
      </w:r>
      <w:r>
        <w:rPr>
          <w:rFonts w:ascii="宋体" w:hAnsi="宋体" w:cs="宋体" w:eastAsia="宋体" w:hint="default"/>
        </w:rPr>
        <w:t>25-30</w:t>
      </w:r>
      <w:r>
        <w:rPr/>
        <w:t>亿元，湖南雅城</w:t>
      </w:r>
      <w:r>
        <w:rPr>
          <w:rFonts w:ascii="宋体" w:hAnsi="宋体" w:cs="宋体" w:eastAsia="宋体" w:hint="default"/>
        </w:rPr>
        <w:t>15-20</w:t>
      </w:r>
      <w:r>
        <w:rPr/>
        <w:t>亿元，天津茂联</w:t>
      </w:r>
      <w:r>
        <w:rPr>
          <w:rFonts w:ascii="宋体" w:hAnsi="宋体" w:cs="宋体" w:eastAsia="宋体" w:hint="default"/>
        </w:rPr>
        <w:t>60</w:t>
      </w:r>
      <w:r>
        <w:rPr/>
        <w:t>亿元，共计</w:t>
      </w:r>
      <w:r>
        <w:rPr>
          <w:rFonts w:ascii="宋体" w:hAnsi="宋体" w:cs="宋体" w:eastAsia="宋体" w:hint="default"/>
        </w:rPr>
        <w:t>100-110</w:t>
      </w:r>
      <w:r>
        <w:rPr/>
        <w:t>亿 元。</w:t>
      </w:r>
    </w:p>
    <w:p>
      <w:pPr>
        <w:pStyle w:val="BodyText"/>
        <w:spacing w:line="316" w:lineRule="auto" w:before="19"/>
        <w:ind w:right="1048" w:firstLine="360"/>
        <w:jc w:val="left"/>
      </w:pPr>
      <w:r>
        <w:rPr>
          <w:spacing w:val="-2"/>
        </w:rPr>
        <w:t>该经营计划为公司基于目前的行业、市场环境制定的公司战略发展规划及业绩预测，并不构成业绩承诺。影响上述经营</w:t>
      </w:r>
      <w:r>
        <w:rPr/>
        <w:t> 计划存在的风险：</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67" w:lineRule="auto"/>
        <w:ind w:right="0" w:firstLine="360"/>
        <w:jc w:val="left"/>
      </w:pPr>
      <w:r>
        <w:rPr>
          <w:spacing w:val="-4"/>
        </w:rPr>
        <w:t>电力行业：经过十年的高速发展，我国的骨干电力网络已经是一个投资比较充分的领域，未来电网市场的基本趋于平稳，</w:t>
      </w:r>
      <w:r>
        <w:rPr/>
        <w:t> </w:t>
      </w:r>
      <w:r>
        <w:rPr>
          <w:spacing w:val="-2"/>
        </w:rPr>
        <w:t>下一步的工作重点将主要是网络的智能化；一次设备的投资总量将逐步放缓；同时面临日益加剧的市场竞争，为获取更多中</w:t>
      </w:r>
      <w:r>
        <w:rPr>
          <w:spacing w:val="-66"/>
        </w:rPr>
        <w:t> </w:t>
      </w:r>
      <w:r>
        <w:rPr>
          <w:spacing w:val="-66"/>
        </w:rPr>
      </w:r>
      <w:r>
        <w:rPr/>
        <w:t>标订单，各竞标企业趋于降低报价，进而挤压产品的毛利空间，从而给公司的盈利能力带来负面影响。</w:t>
      </w:r>
    </w:p>
    <w:p>
      <w:pPr>
        <w:spacing w:line="240" w:lineRule="auto" w:before="1"/>
        <w:rPr>
          <w:rFonts w:ascii="宋体" w:hAnsi="宋体" w:cs="宋体" w:eastAsia="宋体" w:hint="default"/>
          <w:sz w:val="14"/>
          <w:szCs w:val="14"/>
        </w:rPr>
      </w:pPr>
    </w:p>
    <w:p>
      <w:pPr>
        <w:pStyle w:val="BodyText"/>
        <w:spacing w:line="367" w:lineRule="auto"/>
        <w:ind w:right="1032" w:firstLine="360"/>
        <w:jc w:val="left"/>
      </w:pPr>
      <w:r>
        <w:rPr/>
        <w:t>新能源锂电池产业：由于锂电池的应用集中在</w:t>
      </w:r>
      <w:r>
        <w:rPr>
          <w:spacing w:val="5"/>
        </w:rPr>
        <w:t> </w:t>
      </w:r>
      <w:r>
        <w:rPr>
          <w:rFonts w:ascii="宋体" w:hAnsi="宋体" w:cs="宋体" w:eastAsia="宋体" w:hint="default"/>
        </w:rPr>
        <w:t>3C(</w:t>
      </w:r>
      <w:r>
        <w:rPr/>
        <w:t>智能手机、笔记本电脑等</w:t>
      </w:r>
      <w:r>
        <w:rPr>
          <w:rFonts w:ascii="宋体" w:hAnsi="宋体" w:cs="宋体" w:eastAsia="宋体" w:hint="default"/>
        </w:rPr>
        <w:t>)</w:t>
      </w:r>
      <w:r>
        <w:rPr/>
        <w:t>以及新能源电动汽车领域，这两个领域的 行业波动对该产业的影响巨大。</w:t>
      </w:r>
      <w:r>
        <w:rPr>
          <w:rFonts w:ascii="宋体" w:hAnsi="宋体" w:cs="宋体" w:eastAsia="宋体" w:hint="default"/>
        </w:rPr>
        <w:t>2018 </w:t>
      </w:r>
      <w:r>
        <w:rPr/>
        <w:t>年智能手机的出货量首次出现下滑，如果该趋势不能得到有效扭转，对湖南雅城的钴</w:t>
      </w:r>
      <w:r>
        <w:rPr>
          <w:spacing w:val="-83"/>
        </w:rPr>
        <w:t> </w:t>
      </w:r>
      <w:r>
        <w:rPr>
          <w:spacing w:val="-83"/>
        </w:rPr>
      </w:r>
      <w:r>
        <w:rPr/>
        <w:t>系列产品会带来负面影响；此外如果钴原料价格出现较大幅度的下降，对处于行业下游的湖南雅城会带来较大的不利影响。 </w:t>
      </w:r>
      <w:r>
        <w:rPr>
          <w:spacing w:val="-2"/>
        </w:rPr>
        <w:t>新能源汽车方面，由于磷酸铁锂电池的能量密度较低，在现行补贴政策下处于不利地位，因此存在用量下滑的风险；且由于</w:t>
      </w:r>
      <w:r>
        <w:rPr>
          <w:spacing w:val="-66"/>
        </w:rPr>
        <w:t> </w:t>
      </w:r>
      <w:r>
        <w:rPr>
          <w:spacing w:val="-66"/>
        </w:rPr>
      </w:r>
      <w:r>
        <w:rPr/>
        <w:t>行业产能存在过剩，磷酸铁产品的价格也存在下滑的风险。</w:t>
      </w:r>
    </w:p>
    <w:p>
      <w:pPr>
        <w:spacing w:line="240" w:lineRule="auto" w:before="1"/>
        <w:rPr>
          <w:rFonts w:ascii="宋体" w:hAnsi="宋体" w:cs="宋体" w:eastAsia="宋体" w:hint="default"/>
          <w:sz w:val="14"/>
          <w:szCs w:val="14"/>
        </w:rPr>
      </w:pPr>
    </w:p>
    <w:p>
      <w:pPr>
        <w:pStyle w:val="BodyText"/>
        <w:spacing w:line="367" w:lineRule="auto"/>
        <w:ind w:right="1130" w:firstLine="360"/>
        <w:jc w:val="both"/>
      </w:pPr>
      <w:r>
        <w:rPr>
          <w:spacing w:val="-2"/>
        </w:rPr>
        <w:t>天津茂联及赞比亚矿山：由于业务主要集中于铜、钴、镍类资源的冶炼和开发，因此上述金属的价格波动是公司业务的</w:t>
      </w:r>
      <w:r>
        <w:rPr/>
        <w:t> </w:t>
      </w:r>
      <w:r>
        <w:rPr>
          <w:spacing w:val="-2"/>
        </w:rPr>
        <w:t>主要风险。此外赞比亚项目地处非洲且尚未投产，存在较大的不确定性，主要集中在当地法律、税收、生产线工艺、海上运</w:t>
      </w:r>
      <w:r>
        <w:rPr>
          <w:spacing w:val="-68"/>
        </w:rPr>
        <w:t> </w:t>
      </w:r>
      <w:r>
        <w:rPr>
          <w:spacing w:val="-68"/>
        </w:rPr>
      </w:r>
      <w:r>
        <w:rPr/>
        <w:t>输等环节。</w:t>
      </w:r>
    </w:p>
    <w:p>
      <w:pPr>
        <w:spacing w:line="240" w:lineRule="auto" w:before="4"/>
        <w:rPr>
          <w:rFonts w:ascii="宋体" w:hAnsi="宋体" w:cs="宋体" w:eastAsia="宋体" w:hint="default"/>
          <w:sz w:val="16"/>
          <w:szCs w:val="16"/>
        </w:rPr>
      </w:pPr>
    </w:p>
    <w:p>
      <w:pPr>
        <w:pStyle w:val="Heading2"/>
        <w:spacing w:line="240" w:lineRule="auto"/>
        <w:ind w:right="1048"/>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8"/>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22"/>
              <w:jc w:val="right"/>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839996pt;margin-top:616.619995pt;width:290.95pt;height:20.75pt;mso-position-horizontal-relative:page;mso-position-vertical-relative:page;z-index:-969400" coordorigin="4857,12332" coordsize="5819,415">
            <v:group style="position:absolute;left:4868;top:12344;width:2;height:392" coordorigin="4868,12344" coordsize="2,392">
              <v:shape style="position:absolute;left:4868;top:12344;width:2;height:392" coordorigin="4868,12344" coordsize="0,392" path="m4868,12344l4868,12735e" filled="false" stroked="true" strokeweight="1.160pt" strokecolor="#ffffff">
                <v:path arrowok="t"/>
              </v:shape>
            </v:group>
            <v:group style="position:absolute;left:4880;top:12344;width:5796;height:392" coordorigin="4880,12344" coordsize="5796,392">
              <v:shape style="position:absolute;left:4880;top:12344;width:5796;height:392" coordorigin="4880,12344" coordsize="5796,392" path="m4880,12735l10675,12735,10675,12344,4880,12344,4880,12735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_TOC_250007" w:id="61"/>
      <w:bookmarkStart w:name="第五节 重要事项" w:id="62"/>
      <w:r>
        <w:rPr>
          <w:b w:val="0"/>
          <w:bCs w:val="0"/>
        </w:rPr>
      </w:r>
      <w:r>
        <w:rPr/>
        <w:t>第五节</w:t>
      </w:r>
      <w:r>
        <w:rPr>
          <w:spacing w:val="-5"/>
        </w:rPr>
        <w:t> </w:t>
      </w:r>
      <w:r>
        <w:rPr/>
        <w:t>重要事项</w:t>
      </w:r>
      <w:bookmarkEnd w:id="6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48"/>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报告期内普通股利润分配政策，特别是现金分红政策的制定、执行或调整情况</w:t>
      </w:r>
    </w:p>
    <w:p>
      <w:pPr>
        <w:pStyle w:val="BodyText"/>
        <w:spacing w:line="338" w:lineRule="auto" w:before="117"/>
        <w:ind w:left="514" w:right="1048"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根据公司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日召开第四届董事会第三十七次会议决议及</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日公司</w:t>
      </w:r>
      <w:r>
        <w:rPr>
          <w:rFonts w:ascii="Times New Roman" w:hAnsi="Times New Roman" w:cs="Times New Roman" w:eastAsia="Times New Roman" w:hint="default"/>
          <w:spacing w:val="-2"/>
        </w:rPr>
        <w:t>2017</w:t>
      </w:r>
      <w:r>
        <w:rPr>
          <w:spacing w:val="-2"/>
        </w:rPr>
        <w:t>年度股东大会审议批准，</w:t>
      </w:r>
      <w:r>
        <w:rPr>
          <w:rFonts w:ascii="Times New Roman" w:hAnsi="Times New Roman" w:cs="Times New Roman" w:eastAsia="Times New Roman" w:hint="default"/>
          <w:spacing w:val="-2"/>
        </w:rPr>
        <w:t>2017</w:t>
      </w:r>
    </w:p>
    <w:p>
      <w:pPr>
        <w:pStyle w:val="BodyText"/>
        <w:spacing w:line="230" w:lineRule="exact"/>
        <w:ind w:right="1048"/>
        <w:jc w:val="left"/>
      </w:pPr>
      <w:r>
        <w:rPr/>
        <w:t>年度利润分配方案如下：以</w:t>
      </w:r>
      <w:r>
        <w:rPr>
          <w:spacing w:val="-22"/>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323,441,468</w:t>
      </w:r>
      <w:r>
        <w:rPr/>
        <w:t>股为基数，向全体股东按每</w:t>
      </w:r>
      <w:r>
        <w:rPr>
          <w:rFonts w:ascii="Times New Roman" w:hAnsi="Times New Roman" w:cs="Times New Roman" w:eastAsia="Times New Roman" w:hint="default"/>
        </w:rPr>
        <w:t>10</w:t>
      </w:r>
      <w:r>
        <w:rPr/>
        <w:t>股分配现金股利</w:t>
      </w:r>
      <w:r>
        <w:rPr>
          <w:rFonts w:ascii="Times New Roman" w:hAnsi="Times New Roman" w:cs="Times New Roman" w:eastAsia="Times New Roman" w:hint="default"/>
        </w:rPr>
        <w:t>1.00</w:t>
      </w:r>
      <w:r>
        <w:rPr/>
        <w:t>元（含</w:t>
      </w:r>
    </w:p>
    <w:p>
      <w:pPr>
        <w:pStyle w:val="BodyText"/>
        <w:spacing w:line="302" w:lineRule="auto" w:before="63"/>
        <w:ind w:right="1048"/>
        <w:jc w:val="left"/>
      </w:pPr>
      <w:r>
        <w:rPr>
          <w:spacing w:val="-1"/>
        </w:rPr>
        <w:t>税），共派发现金股利</w:t>
      </w:r>
      <w:r>
        <w:rPr>
          <w:rFonts w:ascii="Times New Roman" w:hAnsi="Times New Roman" w:cs="Times New Roman" w:eastAsia="Times New Roman" w:hint="default"/>
          <w:spacing w:val="-1"/>
        </w:rPr>
        <w:t>32,344,146.80</w:t>
      </w:r>
      <w:r>
        <w:rPr>
          <w:spacing w:val="-1"/>
        </w:rPr>
        <w:t>元；同时进行资本公积金转增股本，向全体股东每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8</w:t>
      </w:r>
      <w:r>
        <w:rPr>
          <w:spacing w:val="-1"/>
        </w:rPr>
        <w:t>股。</w:t>
      </w:r>
      <w:r>
        <w:rPr>
          <w:rFonts w:ascii="宋体" w:hAnsi="宋体" w:cs="宋体" w:eastAsia="宋体" w:hint="default"/>
          <w:spacing w:val="-1"/>
        </w:rPr>
        <w:t>2018</w:t>
      </w:r>
      <w:r>
        <w:rPr>
          <w:spacing w:val="-1"/>
        </w:rPr>
        <w:t>年</w:t>
      </w:r>
      <w:r>
        <w:rPr>
          <w:rFonts w:ascii="宋体" w:hAnsi="宋体" w:cs="宋体" w:eastAsia="宋体" w:hint="default"/>
          <w:spacing w:val="-1"/>
        </w:rPr>
        <w:t>7</w:t>
      </w:r>
      <w:r>
        <w:rPr>
          <w:spacing w:val="-1"/>
        </w:rPr>
        <w:t>年</w:t>
      </w:r>
      <w:r>
        <w:rPr>
          <w:rFonts w:ascii="宋体" w:hAnsi="宋体" w:cs="宋体" w:eastAsia="宋体" w:hint="default"/>
          <w:spacing w:val="-1"/>
        </w:rPr>
        <w:t>13</w:t>
      </w:r>
      <w:r>
        <w:rPr>
          <w:spacing w:val="-1"/>
        </w:rPr>
        <w:t>日上述分</w:t>
      </w:r>
      <w:r>
        <w:rPr>
          <w:spacing w:val="-68"/>
        </w:rPr>
        <w:t> </w:t>
      </w:r>
      <w:r>
        <w:rPr/>
        <w:t>红方案一致行完毕。</w:t>
      </w:r>
    </w:p>
    <w:p>
      <w:pPr>
        <w:spacing w:line="240" w:lineRule="auto" w:before="6"/>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1048"/>
        <w:jc w:val="left"/>
      </w:pPr>
      <w:r>
        <w:rPr/>
        <w:t>公司报告期利润分配预案及资本公积金转增股本预案与公司章程和分红管理办法等的相关规定一致</w:t>
      </w:r>
    </w:p>
    <w:p>
      <w:pPr>
        <w:pStyle w:val="BodyText"/>
        <w:spacing w:line="348" w:lineRule="auto" w:before="116"/>
        <w:ind w:right="42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582,194,642</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11,643,892.84</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tabs>
                <w:tab w:pos="5503" w:val="left" w:leader="none"/>
              </w:tabs>
              <w:spacing w:line="240" w:lineRule="auto" w:before="52"/>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11,643,892.84</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210,581,591.60</w:t>
            </w:r>
          </w:p>
        </w:tc>
      </w:tr>
      <w:tr>
        <w:trPr>
          <w:trHeight w:val="714"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38"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经天职国际会计师事务所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审计，公司（母公司）</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年度实现净利润</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25,107,770.58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元，加年初未分配利润</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186,731,928.90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元，减去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年度提取的法定公积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2,510,777.06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元，可供投资者分配的利润为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209,328,922.42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元；资本公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积金余额为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820,043,583.73 </w:t>
            </w:r>
            <w:r>
              <w:rPr>
                <w:rFonts w:ascii="宋体" w:hAnsi="宋体" w:cs="宋体" w:eastAsia="宋体" w:hint="default"/>
                <w:sz w:val="18"/>
                <w:szCs w:val="18"/>
              </w:rPr>
              <w:t>元。本公司拟以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582,194,642 </w:t>
            </w:r>
            <w:r>
              <w:rPr>
                <w:rFonts w:ascii="宋体" w:hAnsi="宋体" w:cs="宋体" w:eastAsia="宋体" w:hint="default"/>
                <w:sz w:val="18"/>
                <w:szCs w:val="18"/>
              </w:rPr>
              <w:t>股为基数，向全体股东按每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股分</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配现金股利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，共派发现金股利</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1,643,892.</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4 </w:t>
            </w:r>
            <w:r>
              <w:rPr>
                <w:rFonts w:ascii="宋体" w:hAnsi="宋体" w:cs="宋体" w:eastAsia="宋体" w:hint="default"/>
                <w:sz w:val="18"/>
                <w:szCs w:val="18"/>
              </w:rPr>
              <w:t>元。</w:t>
            </w:r>
          </w:p>
        </w:tc>
      </w:tr>
    </w:tbl>
    <w:p>
      <w:pPr>
        <w:pStyle w:val="BodyText"/>
        <w:spacing w:line="319" w:lineRule="auto" w:before="51"/>
        <w:ind w:right="1122"/>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rPr>
        <w:t>1</w:t>
      </w:r>
      <w:r>
        <w:rPr/>
        <w:t>、根据公司召开第四届董事会第十八次会议决议以及公司</w:t>
      </w:r>
      <w:r>
        <w:rPr>
          <w:rFonts w:ascii="Times New Roman" w:hAnsi="Times New Roman" w:cs="Times New Roman" w:eastAsia="Times New Roman" w:hint="default"/>
        </w:rPr>
        <w:t>2016</w:t>
      </w:r>
      <w:r>
        <w:rPr/>
        <w:t>年度股东大会审议批准，审议通过的</w:t>
      </w:r>
      <w:r>
        <w:rPr>
          <w:rFonts w:ascii="Times New Roman" w:hAnsi="Times New Roman" w:cs="Times New Roman" w:eastAsia="Times New Roman" w:hint="default"/>
        </w:rPr>
        <w:t>2016</w:t>
      </w:r>
      <w:r>
        <w:rPr/>
        <w:t>年度利润分配预案 </w:t>
      </w:r>
      <w:r>
        <w:rPr>
          <w:spacing w:val="-1"/>
        </w:rPr>
        <w:t>如下：以</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日的总股本</w:t>
      </w:r>
      <w:r>
        <w:rPr>
          <w:rFonts w:ascii="Times New Roman" w:hAnsi="Times New Roman" w:cs="Times New Roman" w:eastAsia="Times New Roman" w:hint="default"/>
          <w:spacing w:val="-1"/>
        </w:rPr>
        <w:t>279,768,466</w:t>
      </w:r>
      <w:r>
        <w:rPr>
          <w:spacing w:val="-1"/>
        </w:rPr>
        <w:t>股为基数，向全体股东按每</w:t>
      </w:r>
      <w:r>
        <w:rPr>
          <w:rFonts w:ascii="Times New Roman" w:hAnsi="Times New Roman" w:cs="Times New Roman" w:eastAsia="Times New Roman" w:hint="default"/>
          <w:spacing w:val="-1"/>
        </w:rPr>
        <w:t>10</w:t>
      </w:r>
      <w:r>
        <w:rPr>
          <w:spacing w:val="-1"/>
        </w:rPr>
        <w:t>股分配现金股利</w:t>
      </w:r>
      <w:r>
        <w:rPr>
          <w:rFonts w:ascii="Times New Roman" w:hAnsi="Times New Roman" w:cs="Times New Roman" w:eastAsia="Times New Roman" w:hint="default"/>
          <w:spacing w:val="-1"/>
        </w:rPr>
        <w:t>1.50</w:t>
      </w:r>
      <w:r>
        <w:rPr>
          <w:spacing w:val="-1"/>
        </w:rPr>
        <w:t>元（含税），共派发现金股</w:t>
      </w:r>
    </w:p>
    <w:p>
      <w:pPr>
        <w:pStyle w:val="BodyText"/>
        <w:spacing w:line="319" w:lineRule="auto"/>
        <w:ind w:right="1122"/>
        <w:jc w:val="left"/>
      </w:pPr>
      <w:r>
        <w:rPr/>
        <w:t>利</w:t>
      </w:r>
      <w:r>
        <w:rPr>
          <w:rFonts w:ascii="Times New Roman" w:hAnsi="Times New Roman" w:cs="Times New Roman" w:eastAsia="Times New Roman" w:hint="default"/>
        </w:rPr>
        <w:t>41,965,269.90</w:t>
      </w:r>
      <w:r>
        <w:rPr/>
        <w:t>元（含税）。 </w:t>
      </w:r>
      <w:r>
        <w:rPr>
          <w:rFonts w:ascii="Times New Roman" w:hAnsi="Times New Roman" w:cs="Times New Roman" w:eastAsia="Times New Roman" w:hint="default"/>
        </w:rPr>
        <w:t>2</w:t>
      </w:r>
      <w:r>
        <w:rPr/>
        <w:t>、根据公司召开第四届董事会第三十七次会议决议及公司</w:t>
      </w:r>
      <w:r>
        <w:rPr>
          <w:rFonts w:ascii="Times New Roman" w:hAnsi="Times New Roman" w:cs="Times New Roman" w:eastAsia="Times New Roman" w:hint="default"/>
        </w:rPr>
        <w:t>2017</w:t>
      </w:r>
      <w:r>
        <w:rPr/>
        <w:t>年度股东大会审议批准，审议通过的</w:t>
      </w:r>
      <w:r>
        <w:rPr>
          <w:rFonts w:ascii="Times New Roman" w:hAnsi="Times New Roman" w:cs="Times New Roman" w:eastAsia="Times New Roman" w:hint="default"/>
        </w:rPr>
        <w:t>2017</w:t>
      </w:r>
      <w:r>
        <w:rPr/>
        <w:t>年度利润分配方案 如下：以</w:t>
      </w:r>
      <w:r>
        <w:rPr>
          <w:spacing w:val="-22"/>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323,441,468</w:t>
      </w:r>
      <w:r>
        <w:rPr/>
        <w:t>股为基数，向全体股东按每</w:t>
      </w:r>
      <w:r>
        <w:rPr>
          <w:rFonts w:ascii="Times New Roman" w:hAnsi="Times New Roman" w:cs="Times New Roman" w:eastAsia="Times New Roman" w:hint="default"/>
        </w:rPr>
        <w:t>10</w:t>
      </w:r>
      <w:r>
        <w:rPr/>
        <w:t>股分配现金股利</w:t>
      </w:r>
      <w:r>
        <w:rPr>
          <w:rFonts w:ascii="Times New Roman" w:hAnsi="Times New Roman" w:cs="Times New Roman" w:eastAsia="Times New Roman" w:hint="default"/>
        </w:rPr>
        <w:t>1.00</w:t>
      </w:r>
      <w:r>
        <w:rPr/>
        <w:t>元（含税），共派发现金</w:t>
      </w:r>
    </w:p>
    <w:p>
      <w:pPr>
        <w:pStyle w:val="BodyText"/>
        <w:spacing w:line="247" w:lineRule="exact"/>
        <w:ind w:right="1048"/>
        <w:jc w:val="left"/>
      </w:pPr>
      <w:r>
        <w:rPr/>
        <w:t>股利</w:t>
      </w:r>
      <w:r>
        <w:rPr>
          <w:rFonts w:ascii="Times New Roman" w:hAnsi="Times New Roman" w:cs="Times New Roman" w:eastAsia="Times New Roman" w:hint="default"/>
        </w:rPr>
        <w:t>32,344,146.80</w:t>
      </w:r>
      <w:r>
        <w:rPr/>
        <w:t>元；同时进行资本公积金转增股本，向全体股东每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w:t>
      </w:r>
    </w:p>
    <w:p>
      <w:pPr>
        <w:pStyle w:val="BodyText"/>
        <w:spacing w:line="240" w:lineRule="auto" w:before="102"/>
        <w:ind w:right="1048"/>
        <w:jc w:val="left"/>
      </w:pPr>
      <w:r>
        <w:rPr>
          <w:rFonts w:ascii="Times New Roman" w:hAnsi="Times New Roman" w:cs="Times New Roman" w:eastAsia="Times New Roman" w:hint="default"/>
        </w:rPr>
        <w:t>3</w:t>
      </w:r>
      <w:r>
        <w:rPr/>
        <w:t>、根据公司召开第五届董事会第六次会议决议，经全体董事审议并全票通过了公司</w:t>
      </w:r>
      <w:r>
        <w:rPr>
          <w:rFonts w:ascii="Times New Roman" w:hAnsi="Times New Roman" w:cs="Times New Roman" w:eastAsia="Times New Roman" w:hint="default"/>
        </w:rPr>
        <w:t>2018</w:t>
      </w:r>
      <w:r>
        <w:rPr/>
        <w:t>年度利润分配预案如下：以</w:t>
      </w:r>
      <w:r>
        <w:rPr>
          <w:rFonts w:ascii="Times New Roman" w:hAnsi="Times New Roman" w:cs="Times New Roman" w:eastAsia="Times New Roman" w:hint="default"/>
        </w:rPr>
        <w:t>2018</w:t>
      </w:r>
      <w:r>
        <w:rPr/>
        <w:t>年</w:t>
      </w:r>
    </w:p>
    <w:p>
      <w:pPr>
        <w:pStyle w:val="BodyText"/>
        <w:spacing w:line="240" w:lineRule="auto" w:before="63"/>
        <w:ind w:right="1048"/>
        <w:jc w:val="left"/>
        <w:rPr>
          <w:rFonts w:ascii="Times New Roman" w:hAnsi="Times New Roman" w:cs="Times New Roman" w:eastAsia="Times New Roman" w:hint="default"/>
        </w:rPr>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582,194,642</w:t>
      </w:r>
      <w:r>
        <w:rPr/>
        <w:t>股为基数，向全体股东按每</w:t>
      </w:r>
      <w:r>
        <w:rPr>
          <w:rFonts w:ascii="Times New Roman" w:hAnsi="Times New Roman" w:cs="Times New Roman" w:eastAsia="Times New Roman" w:hint="default"/>
        </w:rPr>
        <w:t>10</w:t>
      </w:r>
      <w:r>
        <w:rPr/>
        <w:t>股分配现金股利</w:t>
      </w:r>
      <w:r>
        <w:rPr>
          <w:rFonts w:ascii="Times New Roman" w:hAnsi="Times New Roman" w:cs="Times New Roman" w:eastAsia="Times New Roman" w:hint="default"/>
        </w:rPr>
        <w:t>0.20</w:t>
      </w:r>
      <w:r>
        <w:rPr/>
        <w:t>元（含税），共派发现金股利</w:t>
      </w:r>
      <w:r>
        <w:rPr>
          <w:rFonts w:ascii="Times New Roman" w:hAnsi="Times New Roman" w:cs="Times New Roman" w:eastAsia="Times New Roman" w:hint="default"/>
        </w:rPr>
        <w:t>11,643,892.84</w:t>
      </w:r>
    </w:p>
    <w:p>
      <w:pPr>
        <w:pStyle w:val="BodyText"/>
        <w:spacing w:line="357" w:lineRule="auto" w:before="64"/>
        <w:ind w:right="6612"/>
        <w:jc w:val="left"/>
      </w:pPr>
      <w:r>
        <w:rPr/>
        <w:t>元。 公司近三年（包括本报告期）普通股现金分红情况表</w:t>
      </w:r>
    </w:p>
    <w:p>
      <w:pPr>
        <w:pStyle w:val="BodyText"/>
        <w:spacing w:line="240" w:lineRule="auto" w:before="28"/>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85"/>
        <w:gridCol w:w="1208"/>
        <w:gridCol w:w="1185"/>
        <w:gridCol w:w="120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4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8"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64"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3"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11,643,892.84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51,043,523.98</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22.81%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11,643,892.84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22.81%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32,344,146.80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131,255,188.67</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24.64%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32,344,146.80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24.64%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41,965,269.90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87,793,742.23</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47.80%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41,965,269.90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47.80%</w:t>
            </w:r>
          </w:p>
        </w:tc>
      </w:tr>
    </w:tbl>
    <w:p>
      <w:pPr>
        <w:pStyle w:val="BodyText"/>
        <w:spacing w:line="240" w:lineRule="auto" w:before="51"/>
        <w:ind w:right="1048"/>
        <w:jc w:val="left"/>
      </w:pPr>
      <w:r>
        <w:rPr/>
        <w:t>公司报告期内盈利且母公司可供普通股股东分配利润为正但未提出普通股现金红利分配预案</w:t>
      </w:r>
    </w:p>
    <w:p>
      <w:pPr>
        <w:pStyle w:val="BodyText"/>
        <w:spacing w:line="240" w:lineRule="auto" w:before="117"/>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48"/>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1048"/>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20"/>
        <w:gridCol w:w="1146"/>
        <w:gridCol w:w="1134"/>
        <w:gridCol w:w="2410"/>
        <w:gridCol w:w="993"/>
        <w:gridCol w:w="1134"/>
        <w:gridCol w:w="921"/>
      </w:tblGrid>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0"/>
              <w:jc w:val="right"/>
              <w:rPr>
                <w:rFonts w:ascii="宋体" w:hAnsi="宋体" w:cs="宋体" w:eastAsia="宋体" w:hint="default"/>
                <w:sz w:val="18"/>
                <w:szCs w:val="18"/>
              </w:rPr>
            </w:pPr>
            <w:r>
              <w:rPr>
                <w:rFonts w:ascii="宋体" w:hAnsi="宋体" w:cs="宋体" w:eastAsia="宋体" w:hint="default"/>
                <w:sz w:val="18"/>
                <w:szCs w:val="18"/>
              </w:rPr>
              <w:t>承诺类型</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
              <w:jc w:val="right"/>
              <w:rPr>
                <w:rFonts w:ascii="宋体" w:hAnsi="宋体" w:cs="宋体" w:eastAsia="宋体" w:hint="default"/>
                <w:sz w:val="18"/>
                <w:szCs w:val="18"/>
              </w:rPr>
            </w:pPr>
            <w:r>
              <w:rPr>
                <w:rFonts w:ascii="宋体" w:hAnsi="宋体" w:cs="宋体" w:eastAsia="宋体" w:hint="default"/>
                <w:sz w:val="18"/>
                <w:szCs w:val="18"/>
              </w:rPr>
              <w:t>承诺时间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77"/>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7737"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公司控股股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9"/>
              <w:jc w:val="right"/>
              <w:rPr>
                <w:rFonts w:ascii="宋体" w:hAnsi="宋体" w:cs="宋体" w:eastAsia="宋体" w:hint="default"/>
                <w:sz w:val="18"/>
                <w:szCs w:val="18"/>
              </w:rPr>
            </w:pPr>
            <w:r>
              <w:rPr>
                <w:rFonts w:ascii="宋体" w:hAnsi="宋体" w:cs="宋体" w:eastAsia="宋体" w:hint="default"/>
                <w:sz w:val="18"/>
                <w:szCs w:val="18"/>
              </w:rPr>
              <w:t>关于重组信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
              <w:jc w:val="center"/>
              <w:rPr>
                <w:rFonts w:ascii="宋体" w:hAnsi="宋体" w:cs="宋体" w:eastAsia="宋体" w:hint="default"/>
                <w:sz w:val="18"/>
                <w:szCs w:val="18"/>
              </w:rPr>
            </w:pPr>
            <w:r>
              <w:rPr>
                <w:rFonts w:ascii="宋体" w:hAnsi="宋体" w:cs="宋体" w:eastAsia="宋体" w:hint="default"/>
                <w:sz w:val="18"/>
                <w:szCs w:val="18"/>
              </w:rPr>
              <w:t>本人保证本次交易的信息披露</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4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严格遵守</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77.899994pt;margin-top:90.11998pt;width:154.3pt;height:468.05pt;mso-position-horizontal-relative:page;mso-position-vertical-relative:page;z-index:-9693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6"/>
                      <w:szCs w:val="16"/>
                    </w:rPr>
                  </w:pPr>
                </w:p>
                <w:p>
                  <w:pPr>
                    <w:pStyle w:val="BodyText"/>
                    <w:spacing w:line="240" w:lineRule="auto"/>
                    <w:ind w:left="0" w:right="0"/>
                    <w:jc w:val="left"/>
                  </w:pPr>
                  <w:r>
                    <w:rPr/>
                    <w:t>误导性陈述或者重大遗漏，</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134"/>
        <w:gridCol w:w="1134"/>
        <w:gridCol w:w="2410"/>
        <w:gridCol w:w="993"/>
        <w:gridCol w:w="1134"/>
        <w:gridCol w:w="920"/>
      </w:tblGrid>
      <w:tr>
        <w:trPr>
          <w:trHeight w:val="9723"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东、实际控制 人、董事、高 级管理人员</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息准确性、完 整性、合法性 的承诺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35"/>
              <w:jc w:val="left"/>
              <w:rPr>
                <w:rFonts w:ascii="宋体" w:hAnsi="宋体" w:cs="宋体" w:eastAsia="宋体" w:hint="default"/>
                <w:sz w:val="18"/>
                <w:szCs w:val="18"/>
              </w:rPr>
            </w:pPr>
            <w:r>
              <w:rPr>
                <w:rFonts w:ascii="宋体" w:hAnsi="宋体" w:cs="宋体" w:eastAsia="宋体" w:hint="default"/>
                <w:sz w:val="18"/>
                <w:szCs w:val="18"/>
              </w:rPr>
              <w:t>和申请文件均为真实、完整、 准确的，不存在虚假记载、误 导性陈述或重大遗漏，并对披 露信息和申请文件的真实性、 准确性和完整性承担个别和连 带的法律责任。如本次交易所 提供或披露的信息涉嫌虚假记 载、 被司法机关立案侦查或者被中 国证监会立案调查的，在形成 调查结论以前，本人不转让在 合纵科技拥有权益的股份，并 于收到立案稽查通知的两个交 易日内将暂停转让的书面申请 和股票账户提交合纵科技董事 会，由合纵科技董事会代本人 向证券交易所和登记结算公司 申请锁定；本人未在两个交易 日内提交锁定申请的，授权合 纵科技董事会核实后直接向证 券交易所和登记结算公司报送 本人的身份信息和账户信息并 申请锁定；合纵科技董事会未 向证券交易所和登记结算公司 报送本人的身份信息和账户信 息的，本人授权证券交易所和 登记结算公司直接锁定相关股 份。如调查结论发现本人存在 违法违规情节，本人承诺锁定 股份自愿用于相关投资者赔偿 安排。</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0"/>
                <w:szCs w:val="10"/>
              </w:rPr>
            </w:pPr>
          </w:p>
          <w:p>
            <w:pPr>
              <w:pStyle w:val="TableParagraph"/>
              <w:spacing w:line="93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49.2pt;height:468.05pt;mso-position-horizontal-relative:char;mso-position-vertical-relative:line" coordorigin="0,0" coordsize="984,9361">
                  <v:group style="position:absolute;left:0;top:0;width:984;height:9361" coordorigin="0,0" coordsize="984,9361">
                    <v:shape style="position:absolute;left:0;top:0;width:984;height:9361" coordorigin="0,0" coordsize="984,9361" path="m0,9361l983,9361,983,0,0,0,0,9361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1650" w:hRule="exact"/>
        </w:trPr>
        <w:tc>
          <w:tcPr>
            <w:tcW w:w="1844"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公司控股股 东、实际控制 人、董事、高 级管理人员</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1"/>
              <w:jc w:val="both"/>
              <w:rPr>
                <w:rFonts w:ascii="宋体" w:hAnsi="宋体" w:cs="宋体" w:eastAsia="宋体" w:hint="default"/>
                <w:sz w:val="18"/>
                <w:szCs w:val="18"/>
              </w:rPr>
            </w:pPr>
            <w:r>
              <w:rPr>
                <w:rFonts w:ascii="宋体" w:hAnsi="宋体" w:cs="宋体" w:eastAsia="宋体" w:hint="default"/>
                <w:sz w:val="18"/>
                <w:szCs w:val="18"/>
              </w:rPr>
              <w:t>关于摊薄即 期回报及填 补措施的承 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为保证公司填补即期回报措施 </w:t>
            </w:r>
            <w:r>
              <w:rPr>
                <w:rFonts w:ascii="宋体" w:hAnsi="宋体" w:cs="宋体" w:eastAsia="宋体" w:hint="default"/>
                <w:spacing w:val="-8"/>
                <w:sz w:val="18"/>
                <w:szCs w:val="18"/>
              </w:rPr>
              <w:t>切实履行，特承诺如下：</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、本</w:t>
            </w:r>
            <w:r>
              <w:rPr>
                <w:rFonts w:ascii="宋体" w:hAnsi="宋体" w:cs="宋体" w:eastAsia="宋体" w:hint="default"/>
                <w:spacing w:val="-82"/>
                <w:sz w:val="18"/>
                <w:szCs w:val="18"/>
              </w:rPr>
              <w:t> </w:t>
            </w:r>
            <w:r>
              <w:rPr>
                <w:rFonts w:ascii="宋体" w:hAnsi="宋体" w:cs="宋体" w:eastAsia="宋体" w:hint="default"/>
                <w:sz w:val="18"/>
                <w:szCs w:val="18"/>
              </w:rPr>
              <w:t>人承诺不越权干预公司经营管</w:t>
            </w:r>
            <w:r>
              <w:rPr>
                <w:rFonts w:ascii="宋体" w:hAnsi="宋体" w:cs="宋体" w:eastAsia="宋体" w:hint="default"/>
                <w:sz w:val="18"/>
                <w:szCs w:val="18"/>
              </w:rPr>
              <w:t> </w:t>
            </w:r>
            <w:r>
              <w:rPr>
                <w:rFonts w:ascii="宋体" w:hAnsi="宋体" w:cs="宋体" w:eastAsia="宋体" w:hint="default"/>
                <w:spacing w:val="-6"/>
                <w:sz w:val="18"/>
                <w:szCs w:val="18"/>
              </w:rPr>
              <w:t>理活动；</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、本人承诺不侵占公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司利益。</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2547"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21"/>
              <w:jc w:val="both"/>
              <w:rPr>
                <w:rFonts w:ascii="宋体" w:hAnsi="宋体" w:cs="宋体" w:eastAsia="宋体" w:hint="default"/>
                <w:sz w:val="18"/>
                <w:szCs w:val="18"/>
              </w:rPr>
            </w:pPr>
            <w:r>
              <w:rPr>
                <w:rFonts w:ascii="宋体" w:hAnsi="宋体" w:cs="宋体" w:eastAsia="宋体" w:hint="default"/>
                <w:sz w:val="18"/>
                <w:szCs w:val="18"/>
              </w:rPr>
              <w:t>公司董事、监 事、高级管理 人员</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201"/>
              <w:jc w:val="left"/>
              <w:rPr>
                <w:rFonts w:ascii="宋体" w:hAnsi="宋体" w:cs="宋体" w:eastAsia="宋体" w:hint="default"/>
                <w:sz w:val="18"/>
                <w:szCs w:val="18"/>
              </w:rPr>
            </w:pPr>
            <w:r>
              <w:rPr>
                <w:rFonts w:ascii="宋体" w:hAnsi="宋体" w:cs="宋体" w:eastAsia="宋体" w:hint="default"/>
                <w:sz w:val="18"/>
                <w:szCs w:val="18"/>
              </w:rPr>
              <w:t>关于无违法 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、本人最近三年内未受到过刑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事处罚、中国证监会的行政处 罚；最近十二个月未受到过证 </w:t>
            </w:r>
            <w:r>
              <w:rPr>
                <w:rFonts w:ascii="宋体" w:hAnsi="宋体" w:cs="宋体" w:eastAsia="宋体" w:hint="default"/>
                <w:spacing w:val="-6"/>
                <w:sz w:val="18"/>
                <w:szCs w:val="18"/>
              </w:rPr>
              <w:t>券交易所公开谴责。</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、本人不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存在因涉嫌犯罪正被司法机关 立案侦查或涉嫌违法违规正被 中国证监会等行政主管部门立 </w:t>
            </w:r>
            <w:r>
              <w:rPr>
                <w:rFonts w:ascii="宋体" w:hAnsi="宋体" w:cs="宋体" w:eastAsia="宋体" w:hint="default"/>
                <w:spacing w:val="-6"/>
                <w:sz w:val="18"/>
                <w:szCs w:val="18"/>
              </w:rPr>
              <w:t>案调查之情形。</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、本人不存在</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2.899994pt;margin-top:72.47998pt;width:109.3pt;height:142.5pt;mso-position-horizontal-relative:page;mso-position-vertical-relative:page;z-index:-969328" type="#_x0000_t202" filled="false" stroked="false">
            <v:textbox inset="0,0,0,0">
              <w:txbxContent>
                <w:p>
                  <w:pPr>
                    <w:pStyle w:val="BodyText"/>
                    <w:spacing w:line="240" w:lineRule="auto" w:before="10"/>
                    <w:ind w:left="0" w:right="0"/>
                    <w:jc w:val="left"/>
                  </w:pPr>
                  <w:r>
                    <w:rPr/>
                    <w:t>第一百四十七、</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pStyle w:val="BodyText"/>
                    <w:spacing w:line="240" w:lineRule="auto"/>
                    <w:ind w:left="538" w:right="0"/>
                    <w:jc w:val="left"/>
                  </w:pPr>
                  <w:r>
                    <w:rPr/>
                    <w:t>完整的，</w:t>
                  </w:r>
                </w:p>
              </w:txbxContent>
            </v:textbox>
            <w10:wrap type="none"/>
          </v:shape>
        </w:pict>
      </w:r>
      <w:r>
        <w:rPr/>
        <w:pict>
          <v:shape style="position:absolute;margin-left:358.899994pt;margin-top:367.639984pt;width:73.3pt;height:117.05pt;mso-position-horizontal-relative:page;mso-position-vertical-relative:page;z-index:-9693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pStyle w:val="BodyText"/>
                    <w:spacing w:line="240" w:lineRule="auto"/>
                    <w:ind w:left="0" w:right="0"/>
                    <w:jc w:val="left"/>
                  </w:pPr>
                  <w:r>
                    <w:rPr/>
                    <w:t>同时，</w:t>
                  </w:r>
                </w:p>
              </w:txbxContent>
            </v:textbox>
            <w10:wrap type="none"/>
          </v:shape>
        </w:pict>
      </w:r>
      <w:r>
        <w:rPr/>
        <w:pict>
          <v:shape style="position:absolute;margin-left:277.899994pt;margin-top:621.76001pt;width:154.3pt;height:101.45pt;mso-position-horizontal-relative:page;mso-position-vertical-relative:page;z-index:-9692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9"/>
                    <w:ind w:left="0" w:right="0"/>
                    <w:jc w:val="left"/>
                  </w:pPr>
                  <w:r>
                    <w:rPr/>
                    <w:t>信息披露义务等相关事宜；</w:t>
                  </w:r>
                </w:p>
              </w:txbxContent>
            </v:textbox>
            <w10:wrap type="none"/>
          </v:shape>
        </w:pict>
      </w:r>
      <w:r>
        <w:rPr/>
        <w:pict>
          <v:group style="position:absolute;margin-left:383.019989pt;margin-top:72.47998pt;width:49.2pt;height:142.5pt;mso-position-horizontal-relative:page;mso-position-vertical-relative:page;z-index:-969256" coordorigin="7660,1450" coordsize="984,2850">
            <v:shape style="position:absolute;left:7660;top:1450;width:984;height:2850" coordorigin="7660,1450" coordsize="984,2850" path="m7660,4299l8644,4299,8644,1450,7660,1450,7660,4299xe" filled="true" fillcolor="#ffffff" stroked="false">
              <v:path arrowok="t"/>
              <v:fill type="solid"/>
            </v:shape>
            <w10:wrap type="none"/>
          </v:group>
        </w:pict>
      </w:r>
      <w:r>
        <w:rPr/>
        <w:pict>
          <v:group style="position:absolute;margin-left:383.019989pt;margin-top:367.639984pt;width:49.2pt;height:117.05pt;mso-position-horizontal-relative:page;mso-position-vertical-relative:page;z-index:-969232" coordorigin="7660,7353" coordsize="984,2341">
            <v:shape style="position:absolute;left:7660;top:7353;width:984;height:2341" coordorigin="7660,7353" coordsize="984,2341" path="m7660,9693l8644,9693,8644,7353,7660,7353,7660,9693xe" filled="true" fillcolor="#ffffff" stroked="false">
              <v:path arrowok="t"/>
              <v:fill type="solid"/>
            </v:shape>
            <w10:wrap type="none"/>
          </v:group>
        </w:pict>
      </w:r>
      <w:r>
        <w:rPr/>
        <w:pict>
          <v:group style="position:absolute;margin-left:383.019989pt;margin-top:621.76001pt;width:49.2pt;height:119.5pt;mso-position-horizontal-relative:page;mso-position-vertical-relative:page;z-index:-969208" coordorigin="7660,12435" coordsize="984,2390">
            <v:group style="position:absolute;left:7660;top:12435;width:984;height:2029" coordorigin="7660,12435" coordsize="984,2029">
              <v:shape style="position:absolute;left:7660;top:12435;width:984;height:2029" coordorigin="7660,12435" coordsize="984,2029" path="m7660,14464l8644,14464,8644,12435,7660,12435,7660,14464xe" filled="true" fillcolor="#ffffff" stroked="false">
                <v:path arrowok="t"/>
                <v:fill type="solid"/>
              </v:shape>
            </v:group>
            <v:group style="position:absolute;left:7683;top:14473;width:937;height:352" coordorigin="7683,14473" coordsize="937,352">
              <v:shape style="position:absolute;left:7683;top:14473;width:937;height:352" coordorigin="7683,14473" coordsize="937,352" path="m7683,14825l8620,14825,8620,14473,7683,14473,7683,1482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134"/>
        <w:gridCol w:w="1134"/>
        <w:gridCol w:w="2410"/>
        <w:gridCol w:w="993"/>
        <w:gridCol w:w="1134"/>
        <w:gridCol w:w="920"/>
      </w:tblGrid>
      <w:tr>
        <w:trPr>
          <w:trHeight w:val="317"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24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违反《公司法》</w:t>
            </w:r>
          </w:p>
        </w:tc>
        <w:tc>
          <w:tcPr>
            <w:tcW w:w="993"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一百四十八条规定的行为。</w:t>
            </w:r>
            <w:r>
              <w:rPr>
                <w:rFonts w:ascii="Times New Roman" w:hAnsi="Times New Roman" w:cs="Times New Roman" w:eastAsia="Times New Roman" w:hint="default"/>
                <w:sz w:val="18"/>
                <w:szCs w:val="18"/>
              </w:rPr>
              <w:t>4</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1134"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本人与本次交易的交易对方及</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其股东（出资人）均不存在一</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致行动关系及关联关系。上述</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声明均为真实、准确、</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且不存在任何虚假、误导及遗</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3" w:hRule="exact"/>
        </w:trPr>
        <w:tc>
          <w:tcPr>
            <w:tcW w:w="184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漏之处，本人愿就上述声明内</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容承担相应法律责任。</w:t>
            </w:r>
          </w:p>
        </w:tc>
        <w:tc>
          <w:tcPr>
            <w:tcW w:w="993"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362" w:hRule="exact"/>
        </w:trPr>
        <w:tc>
          <w:tcPr>
            <w:tcW w:w="1844"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24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本人及本人控制的其他公司</w:t>
            </w:r>
            <w:r>
              <w:rPr>
                <w:rFonts w:ascii="Times New Roman" w:hAnsi="Times New Roman" w:cs="Times New Roman" w:eastAsia="Times New Roman" w:hint="default"/>
                <w:sz w:val="18"/>
                <w:szCs w:val="18"/>
              </w:rPr>
              <w:t>/</w:t>
            </w:r>
          </w:p>
        </w:tc>
        <w:tc>
          <w:tcPr>
            <w:tcW w:w="99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企业未来不会从事或开展任何</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与合纵科技及其子公司构成同</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业竞争或可能构成同业竞争的</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业务；不直接或间接投资任何</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与合纵科技及其子公司构成同</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控股股东刘</w:t>
            </w: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业竞争或可能构成同业竞争的</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严格遵守</w:t>
            </w:r>
          </w:p>
        </w:tc>
      </w:tr>
      <w:tr>
        <w:trPr>
          <w:trHeight w:val="935"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
              <w:jc w:val="left"/>
              <w:rPr>
                <w:rFonts w:ascii="宋体" w:hAnsi="宋体" w:cs="宋体" w:eastAsia="宋体" w:hint="default"/>
                <w:sz w:val="18"/>
                <w:szCs w:val="18"/>
              </w:rPr>
            </w:pPr>
            <w:r>
              <w:rPr>
                <w:rFonts w:ascii="宋体" w:hAnsi="宋体" w:cs="宋体" w:eastAsia="宋体" w:hint="default"/>
                <w:sz w:val="18"/>
                <w:szCs w:val="18"/>
              </w:rPr>
              <w:t>泽刚及一致 行动人韦强、 张仁增、何</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01"/>
              <w:jc w:val="left"/>
              <w:rPr>
                <w:rFonts w:ascii="宋体" w:hAnsi="宋体" w:cs="宋体" w:eastAsia="宋体" w:hint="default"/>
                <w:sz w:val="18"/>
                <w:szCs w:val="18"/>
              </w:rPr>
            </w:pPr>
            <w:r>
              <w:rPr>
                <w:rFonts w:ascii="宋体" w:hAnsi="宋体" w:cs="宋体" w:eastAsia="宋体" w:hint="default"/>
                <w:sz w:val="18"/>
                <w:szCs w:val="18"/>
              </w:rPr>
              <w:t>关于避免同 业竞争承诺</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35"/>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企业。</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、本人及本人控 制的其他公司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企业违反本承 诺的，本人及本人控制的其他</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w:t>
            </w: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昀、高星</w:t>
            </w: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企业所获相关收益将无</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的情形</w:t>
            </w: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条件地归合纵科技享有；</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若造成合纵科技及其子公司损</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失的（包括直接损失和间接损</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w:t>
            </w:r>
            <w:r>
              <w:rPr>
                <w:rFonts w:ascii="宋体" w:hAnsi="宋体" w:cs="宋体" w:eastAsia="宋体" w:hint="default"/>
                <w:spacing w:val="-90"/>
                <w:sz w:val="18"/>
                <w:szCs w:val="18"/>
              </w:rPr>
              <w:t>）</w:t>
            </w:r>
            <w:r>
              <w:rPr>
                <w:rFonts w:ascii="宋体" w:hAnsi="宋体" w:cs="宋体" w:eastAsia="宋体" w:hint="default"/>
                <w:spacing w:val="-76"/>
                <w:sz w:val="18"/>
                <w:szCs w:val="18"/>
              </w:rPr>
              <w:t>，</w:t>
            </w:r>
            <w:r>
              <w:rPr>
                <w:rFonts w:ascii="宋体" w:hAnsi="宋体" w:cs="宋体" w:eastAsia="宋体" w:hint="default"/>
                <w:sz w:val="18"/>
                <w:szCs w:val="18"/>
              </w:rPr>
              <w:t>本人及本人控制的其他公</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企业将无条件的承担全部</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赔偿责任。</w:t>
            </w:r>
          </w:p>
        </w:tc>
        <w:tc>
          <w:tcPr>
            <w:tcW w:w="99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24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在本次交易完成后，本人及本</w:t>
            </w:r>
          </w:p>
        </w:tc>
        <w:tc>
          <w:tcPr>
            <w:tcW w:w="99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人控制的其他公司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企业将尽</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量减少与合纵科技发生关联交</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易。若发生不可避免且必要的</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关联交易，本人及本人控制的</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控股股东刘</w:t>
            </w: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企业与合纵科技将根据公平、</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严格遵守</w:t>
            </w:r>
          </w:p>
        </w:tc>
      </w:tr>
      <w:tr>
        <w:trPr>
          <w:trHeight w:val="936"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
              <w:jc w:val="left"/>
              <w:rPr>
                <w:rFonts w:ascii="宋体" w:hAnsi="宋体" w:cs="宋体" w:eastAsia="宋体" w:hint="default"/>
                <w:sz w:val="18"/>
                <w:szCs w:val="18"/>
              </w:rPr>
            </w:pPr>
            <w:r>
              <w:rPr>
                <w:rFonts w:ascii="宋体" w:hAnsi="宋体" w:cs="宋体" w:eastAsia="宋体" w:hint="default"/>
                <w:sz w:val="18"/>
                <w:szCs w:val="18"/>
              </w:rPr>
              <w:t>泽刚及一致 行动人韦强、 张仁增、何</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01"/>
              <w:jc w:val="both"/>
              <w:rPr>
                <w:rFonts w:ascii="宋体" w:hAnsi="宋体" w:cs="宋体" w:eastAsia="宋体" w:hint="default"/>
                <w:sz w:val="18"/>
                <w:szCs w:val="18"/>
              </w:rPr>
            </w:pPr>
            <w:r>
              <w:rPr>
                <w:rFonts w:ascii="宋体" w:hAnsi="宋体" w:cs="宋体" w:eastAsia="宋体" w:hint="default"/>
                <w:sz w:val="18"/>
                <w:szCs w:val="18"/>
              </w:rPr>
              <w:t>关于规范与 公司关联交 易的承诺</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35"/>
              <w:jc w:val="both"/>
              <w:rPr>
                <w:rFonts w:ascii="宋体" w:hAnsi="宋体" w:cs="宋体" w:eastAsia="宋体" w:hint="default"/>
                <w:sz w:val="18"/>
                <w:szCs w:val="18"/>
              </w:rPr>
            </w:pPr>
            <w:r>
              <w:rPr>
                <w:rFonts w:ascii="宋体" w:hAnsi="宋体" w:cs="宋体" w:eastAsia="宋体" w:hint="default"/>
                <w:sz w:val="18"/>
                <w:szCs w:val="18"/>
              </w:rPr>
              <w:t>公允、等价有偿等原则，依法 签署合法有效的协议文件，并 将按照有关法律、法规和规范</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w:t>
            </w: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昀、高星</w:t>
            </w: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性文件以及合纵科技章程之规</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的情形</w:t>
            </w:r>
          </w:p>
        </w:tc>
      </w:tr>
      <w:tr>
        <w:trPr>
          <w:trHeight w:val="311"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定，履行关联交易审批决策程</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序、</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确保从根本上杜绝通过关联交</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易损害合纵科技及其他股东合</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法权益的情形发生。</w:t>
            </w:r>
          </w:p>
        </w:tc>
        <w:tc>
          <w:tcPr>
            <w:tcW w:w="99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01"/>
              <w:jc w:val="left"/>
              <w:rPr>
                <w:rFonts w:ascii="宋体" w:hAnsi="宋体" w:cs="宋体" w:eastAsia="宋体" w:hint="default"/>
                <w:sz w:val="18"/>
                <w:szCs w:val="18"/>
              </w:rPr>
            </w:pPr>
            <w:r>
              <w:rPr>
                <w:rFonts w:ascii="宋体" w:hAnsi="宋体" w:cs="宋体" w:eastAsia="宋体" w:hint="default"/>
                <w:sz w:val="18"/>
                <w:szCs w:val="18"/>
              </w:rPr>
              <w:t>公司关于发 行股份及支</w:t>
            </w:r>
          </w:p>
        </w:tc>
        <w:tc>
          <w:tcPr>
            <w:tcW w:w="2410" w:type="dxa"/>
            <w:tcBorders>
              <w:top w:val="single" w:sz="4" w:space="0" w:color="000000"/>
              <w:left w:val="single" w:sz="4" w:space="0" w:color="000000"/>
              <w:bottom w:val="single" w:sz="4" w:space="0" w:color="000000"/>
              <w:right w:val="single" w:sz="9" w:space="0" w:color="FFFFFF"/>
            </w:tcBorders>
          </w:tcPr>
          <w:p>
            <w:pPr>
              <w:pStyle w:val="TableParagraph"/>
              <w:spacing w:line="300" w:lineRule="auto" w:before="71"/>
              <w:ind w:left="22" w:right="-3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、本公司及本公司现任董事、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监事、高级管理人员不存在因</w:t>
            </w:r>
          </w:p>
        </w:tc>
        <w:tc>
          <w:tcPr>
            <w:tcW w:w="99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7"/>
              <w:jc w:val="left"/>
              <w:rPr>
                <w:rFonts w:ascii="宋体" w:hAnsi="宋体" w:cs="宋体" w:eastAsia="宋体" w:hint="default"/>
                <w:sz w:val="18"/>
                <w:szCs w:val="18"/>
              </w:rPr>
            </w:pPr>
            <w:r>
              <w:rPr>
                <w:rFonts w:ascii="宋体" w:hAnsi="宋体" w:cs="宋体" w:eastAsia="宋体" w:hint="default"/>
                <w:sz w:val="18"/>
                <w:szCs w:val="18"/>
              </w:rPr>
              <w:t>严格遵守 所做的承</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77.899994pt;margin-top:72.47998pt;width:154.3pt;height:594.9pt;mso-position-horizontal-relative:page;mso-position-vertical-relative:page;z-index:-9691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pStyle w:val="BodyText"/>
                    <w:spacing w:line="240" w:lineRule="auto"/>
                    <w:ind w:left="0" w:right="0"/>
                    <w:jc w:val="left"/>
                  </w:pPr>
                  <w:r>
                    <w:rPr/>
                    <w:t>误导性陈述或者重大遗漏。</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8"/>
                      <w:szCs w:val="18"/>
                    </w:rPr>
                  </w:pPr>
                </w:p>
                <w:p>
                  <w:pPr>
                    <w:pStyle w:val="BodyText"/>
                    <w:spacing w:line="240" w:lineRule="auto"/>
                    <w:ind w:left="1260" w:right="0"/>
                    <w:jc w:val="left"/>
                  </w:pPr>
                  <w:r>
                    <w:rPr/>
                    <w:t>《公司法》</w:t>
                  </w:r>
                </w:p>
              </w:txbxContent>
            </v:textbox>
            <w10:wrap type="none"/>
          </v:shape>
        </w:pict>
      </w:r>
      <w:r>
        <w:rPr/>
        <w:pict>
          <v:group style="position:absolute;margin-left:383.019989pt;margin-top:72.47998pt;width:49.2pt;height:594.9pt;mso-position-horizontal-relative:page;mso-position-vertical-relative:page;z-index:-969160" coordorigin="7660,1450" coordsize="984,11898">
            <v:shape style="position:absolute;left:7660;top:1450;width:984;height:11898" coordorigin="7660,1450" coordsize="984,11898" path="m7660,13347l8644,13347,8644,1450,7660,1450,7660,13347xe" filled="true" fillcolor="#ffffff" stroked="false">
              <v:path arrowok="t"/>
              <v:fill type="solid"/>
            </v:shape>
            <w10:wrap type="none"/>
          </v:group>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134"/>
        <w:gridCol w:w="1134"/>
        <w:gridCol w:w="2410"/>
        <w:gridCol w:w="993"/>
        <w:gridCol w:w="1134"/>
        <w:gridCol w:w="923"/>
      </w:tblGrid>
      <w:tr>
        <w:trPr>
          <w:trHeight w:val="11907"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1"/>
              <w:jc w:val="both"/>
              <w:rPr>
                <w:rFonts w:ascii="宋体" w:hAnsi="宋体" w:cs="宋体" w:eastAsia="宋体" w:hint="default"/>
                <w:sz w:val="18"/>
                <w:szCs w:val="18"/>
              </w:rPr>
            </w:pPr>
            <w:r>
              <w:rPr>
                <w:rFonts w:ascii="宋体" w:hAnsi="宋体" w:cs="宋体" w:eastAsia="宋体" w:hint="default"/>
                <w:sz w:val="18"/>
                <w:szCs w:val="18"/>
              </w:rPr>
              <w:t>付现金购买 资产并募集 配套资金相 关事项承诺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涉嫌犯罪正被司法机关立案侦 查或涉嫌违法违规正被中国证 </w:t>
            </w:r>
            <w:r>
              <w:rPr>
                <w:rFonts w:ascii="宋体" w:hAnsi="宋体" w:cs="宋体" w:eastAsia="宋体" w:hint="default"/>
                <w:spacing w:val="-6"/>
                <w:sz w:val="18"/>
                <w:szCs w:val="18"/>
              </w:rPr>
              <w:t>监会立案调查的情形。</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、本次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交易申请文件不存在虚假记 载、 </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、本公司最近十二个月内不存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在未履行向投资者作出的公开 </w:t>
            </w:r>
            <w:r>
              <w:rPr>
                <w:rFonts w:ascii="宋体" w:hAnsi="宋体" w:cs="宋体" w:eastAsia="宋体" w:hint="default"/>
                <w:spacing w:val="-6"/>
                <w:sz w:val="18"/>
                <w:szCs w:val="18"/>
              </w:rPr>
              <w:t>承诺的情形。</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、本公司及下属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子公司最近三年不存在因违反 法律、行政法规、规章受到行 政处罚且情节严重，或者受到 刑事处罚，或者因违反证券法 律、行政法规、规章受到中国 证监会的行政处罚的情形；最 近十二个月内未受到过证券交 易所的公开谴责；不存在因涉 嫌犯罪被司法机关立案侦查或 者涉嫌违法违规被中国证监会 </w:t>
            </w:r>
            <w:r>
              <w:rPr>
                <w:rFonts w:ascii="宋体" w:hAnsi="宋体" w:cs="宋体" w:eastAsia="宋体" w:hint="default"/>
                <w:spacing w:val="-6"/>
                <w:sz w:val="18"/>
                <w:szCs w:val="18"/>
              </w:rPr>
              <w:t>立案调查的情形。</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、本公司实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际控制人刘泽刚及其一致行动 人韦强、张仁增、何昀、高星 最近十二个月内不存在因违反 证券法律、行政法规、规章， 受到中国证监会的行政处罚， 或者受到刑事处罚的情形。</w:t>
            </w:r>
            <w:r>
              <w:rPr>
                <w:rFonts w:ascii="Times New Roman" w:hAnsi="Times New Roman" w:cs="Times New Roman" w:eastAsia="Times New Roman" w:hint="default"/>
                <w:sz w:val="18"/>
                <w:szCs w:val="18"/>
              </w:rPr>
              <w:t>6 </w:t>
            </w:r>
            <w:r>
              <w:rPr>
                <w:rFonts w:ascii="宋体" w:hAnsi="宋体" w:cs="宋体" w:eastAsia="宋体" w:hint="default"/>
                <w:sz w:val="18"/>
                <w:szCs w:val="18"/>
              </w:rPr>
              <w:t>本公司现任董事、监事和高级 管理人员不存在违反 第一百四十七条、第一百四十 八条规定的行为，或者最近三 年内受到中国证监会的行政处 罚、最近十二个月内受到证券 交易所的公开谴责的情形；不 存在因涉嫌犯罪被司法机关立 案侦查或者涉嫌违法违规被中 国证监会立案调查的情形。</w:t>
            </w:r>
            <w:r>
              <w:rPr>
                <w:rFonts w:ascii="Times New Roman" w:hAnsi="Times New Roman" w:cs="Times New Roman" w:eastAsia="Times New Roman" w:hint="default"/>
                <w:sz w:val="18"/>
                <w:szCs w:val="18"/>
              </w:rPr>
              <w:t>7 </w:t>
            </w:r>
            <w:r>
              <w:rPr>
                <w:rFonts w:ascii="宋体" w:hAnsi="宋体" w:cs="宋体" w:eastAsia="宋体" w:hint="default"/>
                <w:sz w:val="18"/>
                <w:szCs w:val="18"/>
              </w:rPr>
              <w:t>本公司不存在损害投资者的合 法权益和社会公共利益的其他 情形。</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left"/>
              <w:rPr>
                <w:rFonts w:ascii="宋体" w:hAnsi="宋体" w:cs="宋体" w:eastAsia="宋体" w:hint="default"/>
                <w:sz w:val="18"/>
                <w:szCs w:val="18"/>
              </w:rPr>
            </w:pP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1923"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9"/>
              <w:jc w:val="left"/>
              <w:rPr>
                <w:rFonts w:ascii="宋体" w:hAnsi="宋体" w:cs="宋体" w:eastAsia="宋体" w:hint="default"/>
                <w:sz w:val="18"/>
                <w:szCs w:val="18"/>
              </w:rPr>
            </w:pPr>
            <w:r>
              <w:rPr>
                <w:rFonts w:ascii="宋体" w:hAnsi="宋体" w:cs="宋体" w:eastAsia="宋体" w:hint="default"/>
                <w:sz w:val="18"/>
                <w:szCs w:val="18"/>
              </w:rPr>
              <w:t>控股股东刘 泽刚及一致 行动人韦强、 张仁增、何 昀、高星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锁定承诺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12"/>
                <w:sz w:val="18"/>
                <w:szCs w:val="18"/>
              </w:rPr>
              <w:t>根据《重组办法》，为保护上市</w:t>
            </w:r>
            <w:r>
              <w:rPr>
                <w:rFonts w:ascii="宋体" w:hAnsi="宋体" w:cs="宋体" w:eastAsia="宋体" w:hint="default"/>
                <w:sz w:val="18"/>
                <w:szCs w:val="18"/>
              </w:rPr>
              <w:t> 公司全体股东利益，特别是保 护上市公司中小股东的利益， 全体认购人均出具了关于本次 认购上市公司股份的锁定期的 承诺函，具体情况详见本报告</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2.899994pt;margin-top:672.339966pt;width:109.3pt;height:30.2pt;mso-position-horizontal-relative:page;mso-position-vertical-relative:page;z-index:-9690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《招股说明书》</w:t>
                  </w:r>
                </w:p>
              </w:txbxContent>
            </v:textbox>
            <w10:wrap type="none"/>
          </v:shape>
        </w:pict>
      </w:r>
      <w:r>
        <w:rPr/>
        <w:pict>
          <v:group style="position:absolute;margin-left:383.019989pt;margin-top:106.199982pt;width:49.2pt;height:265.25pt;mso-position-horizontal-relative:page;mso-position-vertical-relative:page;z-index:-969064" coordorigin="7660,2124" coordsize="984,5305">
            <v:shape style="position:absolute;left:7660;top:2124;width:984;height:5305" coordorigin="7660,2124" coordsize="984,5305" path="m7660,7428l8644,7428,8644,2124,7660,2124,7660,742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134"/>
        <w:gridCol w:w="1134"/>
        <w:gridCol w:w="2410"/>
        <w:gridCol w:w="993"/>
        <w:gridCol w:w="1134"/>
        <w:gridCol w:w="920"/>
      </w:tblGrid>
      <w:tr>
        <w:trPr>
          <w:trHeight w:val="67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w:t>
            </w:r>
            <w:r>
              <w:rPr>
                <w:rFonts w:ascii="Times New Roman" w:hAnsi="Times New Roman" w:cs="Times New Roman" w:eastAsia="Times New Roman" w:hint="default"/>
                <w:sz w:val="18"/>
                <w:szCs w:val="18"/>
              </w:rPr>
              <w:t>“</w:t>
            </w:r>
            <w:r>
              <w:rPr>
                <w:rFonts w:ascii="宋体" w:hAnsi="宋体" w:cs="宋体" w:eastAsia="宋体" w:hint="default"/>
                <w:sz w:val="18"/>
                <w:szCs w:val="18"/>
              </w:rPr>
              <w:t>第一节 本次交易概述</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六、股份锁定安排</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1323"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7"/>
              <w:ind w:left="22" w:right="19"/>
              <w:jc w:val="left"/>
              <w:rPr>
                <w:rFonts w:ascii="宋体" w:hAnsi="宋体" w:cs="宋体" w:eastAsia="宋体" w:hint="default"/>
                <w:sz w:val="18"/>
                <w:szCs w:val="18"/>
              </w:rPr>
            </w:pPr>
            <w:r>
              <w:rPr>
                <w:rFonts w:ascii="宋体" w:hAnsi="宋体" w:cs="宋体" w:eastAsia="宋体" w:hint="default"/>
                <w:sz w:val="18"/>
                <w:szCs w:val="18"/>
              </w:rPr>
              <w:t>控股股东刘 泽刚及一致 行动人韦强、 张仁增、何 昀、高星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6" w:lineRule="auto"/>
              <w:ind w:left="22" w:right="201"/>
              <w:jc w:val="left"/>
              <w:rPr>
                <w:rFonts w:ascii="宋体" w:hAnsi="宋体" w:cs="宋体" w:eastAsia="宋体" w:hint="default"/>
                <w:sz w:val="18"/>
                <w:szCs w:val="18"/>
              </w:rPr>
            </w:pPr>
            <w:r>
              <w:rPr>
                <w:rFonts w:ascii="宋体" w:hAnsi="宋体" w:cs="宋体" w:eastAsia="宋体" w:hint="default"/>
                <w:sz w:val="18"/>
                <w:szCs w:val="18"/>
              </w:rPr>
              <w:t>自愿锁定股 份的承诺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、自公司股票上市之日起三十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六个月内，不转让或者委托他 人管理其直接和间接持有的公 司股份，也不由公司回购该部 分股份。</w:t>
            </w:r>
            <w:r>
              <w:rPr>
                <w:rFonts w:ascii="Times New Roman" w:hAnsi="Times New Roman" w:cs="Times New Roman" w:eastAsia="Times New Roman" w:hint="default"/>
                <w:sz w:val="18"/>
                <w:szCs w:val="18"/>
              </w:rPr>
              <w:t>2</w:t>
            </w:r>
            <w:r>
              <w:rPr>
                <w:rFonts w:ascii="宋体" w:hAnsi="宋体" w:cs="宋体" w:eastAsia="宋体" w:hint="default"/>
                <w:sz w:val="18"/>
                <w:szCs w:val="18"/>
              </w:rPr>
              <w:t>、前述限售期满后 在任职期间每年转让的股份不 超过其直接和间接持有公司股 份总数的百分之二十五；在首 次公开发行股票上市之日起六 个月内申报离职的，自申报离 职之日起十八个月内不转让其 直接持有的本公司股份；在首 次公开发行股票上市之日起第 七个月至第十二个月之间申报 离职的，自申报离职之日起十 二个月内不转让其直接持有的 </w:t>
            </w:r>
            <w:r>
              <w:rPr>
                <w:rFonts w:ascii="宋体" w:hAnsi="宋体" w:cs="宋体" w:eastAsia="宋体" w:hint="default"/>
                <w:spacing w:val="-6"/>
                <w:sz w:val="18"/>
                <w:szCs w:val="18"/>
              </w:rPr>
              <w:t>本公司股份。</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、在限售期满后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两年内减持的，减持价格不低 于发行价（若股份公司上市后 发生派发现金股利、送红股、 转增股本、增发新股或配股等 除息、除权行为的，则发行价 格按照上述情形出现的先后顺 </w:t>
            </w:r>
            <w:r>
              <w:rPr>
                <w:rFonts w:ascii="宋体" w:hAnsi="宋体" w:cs="宋体" w:eastAsia="宋体" w:hint="default"/>
                <w:spacing w:val="-7"/>
                <w:sz w:val="18"/>
                <w:szCs w:val="18"/>
              </w:rPr>
              <w:t>序进行累积调整，下同）。</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w:t>
            </w:r>
            <w:r>
              <w:rPr>
                <w:rFonts w:ascii="宋体" w:hAnsi="宋体" w:cs="宋体" w:eastAsia="宋体" w:hint="default"/>
                <w:spacing w:val="-82"/>
                <w:sz w:val="18"/>
                <w:szCs w:val="18"/>
              </w:rPr>
              <w:t> </w:t>
            </w:r>
            <w:r>
              <w:rPr>
                <w:rFonts w:ascii="宋体" w:hAnsi="宋体" w:cs="宋体" w:eastAsia="宋体" w:hint="default"/>
                <w:sz w:val="18"/>
                <w:szCs w:val="18"/>
              </w:rPr>
              <w:t>股份公司上市后六个月内如公 司股票连续二十个交易日的收 盘价均低于发行价，或者上市 后六个月期末（</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日）收盘价低于发行价，本</w:t>
            </w:r>
            <w:r>
              <w:rPr>
                <w:rFonts w:ascii="宋体" w:hAnsi="宋体" w:cs="宋体" w:eastAsia="宋体" w:hint="default"/>
                <w:sz w:val="18"/>
                <w:szCs w:val="18"/>
              </w:rPr>
              <w:t> 人持有公司股票的限售期限自 </w:t>
            </w:r>
            <w:r>
              <w:rPr>
                <w:rFonts w:ascii="宋体" w:hAnsi="宋体" w:cs="宋体" w:eastAsia="宋体" w:hint="default"/>
                <w:spacing w:val="-6"/>
                <w:sz w:val="18"/>
                <w:szCs w:val="18"/>
              </w:rPr>
              <w:t>动延长六个月。</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、本人若发生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职务变更、离职的情况，仍将 遵守上述承诺。除此之外，本 人还将严格遵守有关法律法规 和规范性文件中关于股份流通 的限制性规定。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7"/>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1923"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9"/>
              <w:jc w:val="left"/>
              <w:rPr>
                <w:rFonts w:ascii="宋体" w:hAnsi="宋体" w:cs="宋体" w:eastAsia="宋体" w:hint="default"/>
                <w:sz w:val="18"/>
                <w:szCs w:val="18"/>
              </w:rPr>
            </w:pPr>
            <w:r>
              <w:rPr>
                <w:rFonts w:ascii="宋体" w:hAnsi="宋体" w:cs="宋体" w:eastAsia="宋体" w:hint="default"/>
                <w:sz w:val="18"/>
                <w:szCs w:val="18"/>
              </w:rPr>
              <w:t>控股股东刘 泽刚及一致 行动人韦强、 张仁增、何 昀、高星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关于《招股说 明书》的承诺</w:t>
            </w:r>
          </w:p>
        </w:tc>
        <w:tc>
          <w:tcPr>
            <w:tcW w:w="2410"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股份公司首次公开发行股票并 在创业板上市的 及相关申请材料真实、准确、 </w:t>
            </w:r>
            <w:r>
              <w:rPr>
                <w:rFonts w:ascii="宋体" w:hAnsi="宋体" w:cs="宋体" w:eastAsia="宋体" w:hint="default"/>
                <w:spacing w:val="-8"/>
                <w:sz w:val="18"/>
                <w:szCs w:val="18"/>
              </w:rPr>
              <w:t>完整、及时，不存在虚假记载、</w:t>
            </w:r>
            <w:r>
              <w:rPr>
                <w:rFonts w:ascii="宋体" w:hAnsi="宋体" w:cs="宋体" w:eastAsia="宋体" w:hint="default"/>
                <w:spacing w:val="-35"/>
                <w:sz w:val="18"/>
                <w:szCs w:val="18"/>
              </w:rPr>
              <w:t> </w:t>
            </w:r>
            <w:r>
              <w:rPr>
                <w:rFonts w:ascii="宋体" w:hAnsi="宋体" w:cs="宋体" w:eastAsia="宋体" w:hint="default"/>
                <w:spacing w:val="-12"/>
                <w:sz w:val="18"/>
                <w:szCs w:val="18"/>
              </w:rPr>
              <w:t>误导性陈述或重大遗漏；如《招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股说明书》及相关申请材料出</w:t>
            </w:r>
          </w:p>
        </w:tc>
        <w:tc>
          <w:tcPr>
            <w:tcW w:w="993" w:type="dxa"/>
            <w:tcBorders>
              <w:top w:val="single" w:sz="4" w:space="0" w:color="000000"/>
              <w:left w:val="single" w:sz="9" w:space="0" w:color="FFFFFF"/>
              <w:bottom w:val="single" w:sz="4" w:space="0" w:color="000000"/>
              <w:right w:val="single" w:sz="4" w:space="0" w:color="000000"/>
            </w:tcBorders>
          </w:tcPr>
          <w:p>
            <w:pPr>
              <w:pStyle w:val="TableParagraph"/>
              <w:spacing w:line="604"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49.2pt;height:30.2pt;mso-position-horizontal-relative:char;mso-position-vertical-relative:line" coordorigin="0,0" coordsize="984,604">
                  <v:group style="position:absolute;left:0;top:0;width:984;height:604" coordorigin="0,0" coordsize="984,604">
                    <v:shape style="position:absolute;left:0;top:0;width:984;height:604" coordorigin="0,0" coordsize="984,604" path="m0,604l983,604,983,0,0,0,0,60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51" w:lineRule="exact"/>
              <w:ind w:left="16"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46.85pt;height:17.6pt;mso-position-horizontal-relative:char;mso-position-vertical-relative:line" coordorigin="0,0" coordsize="937,352">
                  <v:group style="position:absolute;left:0;top:0;width:937;height:352" coordorigin="0,0" coordsize="937,352">
                    <v:shape style="position:absolute;left:0;top:0;width:937;height:352" coordorigin="0,0" coordsize="937,352" path="m0,352l936,352,936,0,0,0,0,352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83.019989pt;margin-top:344.719971pt;width:49.2pt;height:134.6pt;mso-position-horizontal-relative:page;mso-position-vertical-relative:page;z-index:-969040" coordorigin="7660,6894" coordsize="984,2692">
            <v:group style="position:absolute;left:7660;top:6894;width:984;height:2341" coordorigin="7660,6894" coordsize="984,2341">
              <v:shape style="position:absolute;left:7660;top:6894;width:984;height:2341" coordorigin="7660,6894" coordsize="984,2341" path="m7660,9235l8644,9235,8644,6894,7660,6894,7660,9235xe" filled="true" fillcolor="#ffffff" stroked="false">
                <v:path arrowok="t"/>
                <v:fill type="solid"/>
              </v:shape>
            </v:group>
            <v:group style="position:absolute;left:7683;top:9235;width:937;height:352" coordorigin="7683,9235" coordsize="937,352">
              <v:shape style="position:absolute;left:7683;top:9235;width:937;height:352" coordorigin="7683,9235" coordsize="937,352" path="m7683,9586l8620,9586,8620,9235,7683,9235,7683,958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134"/>
        <w:gridCol w:w="1134"/>
        <w:gridCol w:w="2410"/>
        <w:gridCol w:w="993"/>
        <w:gridCol w:w="1134"/>
        <w:gridCol w:w="920"/>
      </w:tblGrid>
      <w:tr>
        <w:trPr>
          <w:trHeight w:val="317"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24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现虚假记载、误导性陈述或重</w:t>
            </w:r>
          </w:p>
        </w:tc>
        <w:tc>
          <w:tcPr>
            <w:tcW w:w="993"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大遗漏，对判断本公司是否符</w:t>
            </w:r>
          </w:p>
        </w:tc>
        <w:tc>
          <w:tcPr>
            <w:tcW w:w="99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合法律规定的发行条件构成重</w:t>
            </w:r>
          </w:p>
        </w:tc>
        <w:tc>
          <w:tcPr>
            <w:tcW w:w="99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大、实质影响的，本人将按公</w:t>
            </w:r>
          </w:p>
        </w:tc>
        <w:tc>
          <w:tcPr>
            <w:tcW w:w="99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司股票的二级市场价格购回已</w:t>
            </w:r>
          </w:p>
        </w:tc>
        <w:tc>
          <w:tcPr>
            <w:tcW w:w="99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转让的原限售股份；如《招股</w:t>
            </w:r>
          </w:p>
        </w:tc>
        <w:tc>
          <w:tcPr>
            <w:tcW w:w="99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说明书》及相关申请材料出现</w:t>
            </w:r>
          </w:p>
        </w:tc>
        <w:tc>
          <w:tcPr>
            <w:tcW w:w="99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虚假记载、误导性陈述或重大</w:t>
            </w:r>
          </w:p>
        </w:tc>
        <w:tc>
          <w:tcPr>
            <w:tcW w:w="99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遗漏，致使投资者在证券交易</w:t>
            </w:r>
          </w:p>
        </w:tc>
        <w:tc>
          <w:tcPr>
            <w:tcW w:w="99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3" w:hRule="exact"/>
        </w:trPr>
        <w:tc>
          <w:tcPr>
            <w:tcW w:w="184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中遭受损失的，本人将依法赔</w:t>
            </w:r>
          </w:p>
        </w:tc>
        <w:tc>
          <w:tcPr>
            <w:tcW w:w="99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偿投资者损失。</w:t>
            </w:r>
          </w:p>
        </w:tc>
        <w:tc>
          <w:tcPr>
            <w:tcW w:w="993"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1962" w:hRule="exact"/>
        </w:trPr>
        <w:tc>
          <w:tcPr>
            <w:tcW w:w="1844"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6"/>
              <w:ind w:left="22" w:right="19"/>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股东刘泽刚、 韦强、张仁 增、何昀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201"/>
              <w:jc w:val="both"/>
              <w:rPr>
                <w:rFonts w:ascii="宋体" w:hAnsi="宋体" w:cs="宋体" w:eastAsia="宋体" w:hint="default"/>
                <w:sz w:val="18"/>
                <w:szCs w:val="18"/>
              </w:rPr>
            </w:pPr>
            <w:r>
              <w:rPr>
                <w:rFonts w:ascii="宋体" w:hAnsi="宋体" w:cs="宋体" w:eastAsia="宋体" w:hint="default"/>
                <w:sz w:val="18"/>
                <w:szCs w:val="18"/>
              </w:rPr>
              <w:t>对持股意向 和减持意向 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公司上市后，刘泽刚、韦强、 张仁增、何昀所持发行人股份 在限售期满后两年内，可能根 据个人资金需求，以不低于发 行价的价格依法减持不超过届 时所持发行人股份的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362" w:hRule="exact"/>
        </w:trPr>
        <w:tc>
          <w:tcPr>
            <w:tcW w:w="1844"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24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76"/>
                <w:sz w:val="18"/>
                <w:szCs w:val="18"/>
              </w:rPr>
              <w:t>、</w:t>
            </w:r>
            <w:r>
              <w:rPr>
                <w:rFonts w:ascii="宋体" w:hAnsi="宋体" w:cs="宋体" w:eastAsia="宋体" w:hint="default"/>
                <w:sz w:val="18"/>
                <w:szCs w:val="18"/>
              </w:rPr>
              <w:t>本人将不在中国境内外直接</w:t>
            </w:r>
          </w:p>
        </w:tc>
        <w:tc>
          <w:tcPr>
            <w:tcW w:w="99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或间接从事或参与任何在商业</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上对股份公司构成竞争的业务</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及活动；或拥有与股份公司存</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在竞争关系的任何经济实体、</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发行人控股 股东刘泽刚 及一致行动 人韦强、张仁 增、何昀、高 星</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201"/>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2410" w:type="dxa"/>
            <w:tcBorders>
              <w:top w:val="nil" w:sz="6" w:space="0" w:color="auto"/>
              <w:left w:val="single" w:sz="4" w:space="0" w:color="000000"/>
              <w:bottom w:val="nil" w:sz="6" w:space="0" w:color="auto"/>
              <w:right w:val="single" w:sz="9" w:space="0" w:color="FFFFFF"/>
            </w:tcBorders>
          </w:tcPr>
          <w:p>
            <w:pPr>
              <w:pStyle w:val="TableParagraph"/>
              <w:spacing w:line="314" w:lineRule="auto" w:before="10"/>
              <w:ind w:left="22" w:right="15"/>
              <w:jc w:val="left"/>
              <w:rPr>
                <w:rFonts w:ascii="宋体" w:hAnsi="宋体" w:cs="宋体" w:eastAsia="宋体" w:hint="default"/>
                <w:sz w:val="18"/>
                <w:szCs w:val="18"/>
              </w:rPr>
            </w:pPr>
            <w:r>
              <w:rPr>
                <w:rFonts w:ascii="宋体" w:hAnsi="宋体" w:cs="宋体" w:eastAsia="宋体" w:hint="default"/>
                <w:sz w:val="18"/>
                <w:szCs w:val="18"/>
              </w:rPr>
              <w:t>机构、经济组织的权益；或以 其他任何形式取得该经济实 </w:t>
            </w:r>
            <w:r>
              <w:rPr>
                <w:rFonts w:ascii="宋体" w:hAnsi="宋体" w:cs="宋体" w:eastAsia="宋体" w:hint="default"/>
                <w:spacing w:val="-6"/>
                <w:sz w:val="18"/>
                <w:szCs w:val="18"/>
              </w:rPr>
              <w:t>体、机构、经济组织的控制权</w:t>
            </w:r>
            <w:r>
              <w:rPr>
                <w:rFonts w:ascii="宋体" w:hAnsi="宋体" w:cs="宋体" w:eastAsia="宋体" w:hint="default"/>
                <w:sz w:val="18"/>
                <w:szCs w:val="18"/>
              </w:rPr>
              <w:t> 或在该经济实体、机构、经济 组织中担任高级管理人员或核 </w:t>
            </w:r>
            <w:r>
              <w:rPr>
                <w:rFonts w:ascii="宋体" w:hAnsi="宋体" w:cs="宋体" w:eastAsia="宋体" w:hint="default"/>
                <w:spacing w:val="-6"/>
                <w:sz w:val="18"/>
                <w:szCs w:val="18"/>
              </w:rPr>
              <w:t>心技术人员。</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、在担任股份公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司董事、高级管理人员期间及</w:t>
            </w:r>
          </w:p>
        </w:tc>
        <w:tc>
          <w:tcPr>
            <w:tcW w:w="993" w:type="dxa"/>
            <w:tcBorders>
              <w:top w:val="nil" w:sz="6" w:space="0" w:color="auto"/>
              <w:left w:val="single" w:sz="9"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196" w:lineRule="exact"/>
              <w:ind w:left="-12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不再担任董事、高级管理人员</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职务之日起六个月内，本承诺</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持续有效。</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、本人愿意承担因</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违反上述承诺而给股份公司造</w:t>
            </w:r>
          </w:p>
        </w:tc>
        <w:tc>
          <w:tcPr>
            <w:tcW w:w="993"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成的全部经济损失。</w:t>
            </w:r>
          </w:p>
        </w:tc>
        <w:tc>
          <w:tcPr>
            <w:tcW w:w="99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844"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24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76"/>
                <w:sz w:val="18"/>
                <w:szCs w:val="18"/>
              </w:rPr>
              <w:t>、</w:t>
            </w:r>
            <w:r>
              <w:rPr>
                <w:rFonts w:ascii="宋体" w:hAnsi="宋体" w:cs="宋体" w:eastAsia="宋体" w:hint="default"/>
                <w:sz w:val="18"/>
                <w:szCs w:val="18"/>
              </w:rPr>
              <w:t>本人及本人控制的子公司将</w:t>
            </w:r>
          </w:p>
        </w:tc>
        <w:tc>
          <w:tcPr>
            <w:tcW w:w="99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2179" w:hRule="exact"/>
        </w:trPr>
        <w:tc>
          <w:tcPr>
            <w:tcW w:w="184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9" w:lineRule="auto" w:before="141"/>
              <w:ind w:left="22" w:right="21"/>
              <w:jc w:val="left"/>
              <w:rPr>
                <w:rFonts w:ascii="宋体" w:hAnsi="宋体" w:cs="宋体" w:eastAsia="宋体" w:hint="default"/>
                <w:sz w:val="18"/>
                <w:szCs w:val="18"/>
              </w:rPr>
            </w:pPr>
            <w:r>
              <w:rPr>
                <w:rFonts w:ascii="宋体" w:hAnsi="宋体" w:cs="宋体" w:eastAsia="宋体" w:hint="default"/>
                <w:sz w:val="18"/>
                <w:szCs w:val="18"/>
              </w:rPr>
              <w:t>发行人控股 股东刘泽刚 及一致行动 人韦强、张仁 增、何昀、高 星</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319" w:lineRule="auto"/>
              <w:ind w:left="22" w:right="201"/>
              <w:jc w:val="both"/>
              <w:rPr>
                <w:rFonts w:ascii="宋体" w:hAnsi="宋体" w:cs="宋体" w:eastAsia="宋体" w:hint="default"/>
                <w:sz w:val="18"/>
                <w:szCs w:val="18"/>
              </w:rPr>
            </w:pPr>
            <w:r>
              <w:rPr>
                <w:rFonts w:ascii="宋体" w:hAnsi="宋体" w:cs="宋体" w:eastAsia="宋体" w:hint="default"/>
                <w:sz w:val="18"/>
                <w:szCs w:val="18"/>
              </w:rPr>
              <w:t>关于规范关 联交易的承 诺</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2" w:right="20"/>
              <w:jc w:val="both"/>
              <w:rPr>
                <w:rFonts w:ascii="宋体" w:hAnsi="宋体" w:cs="宋体" w:eastAsia="宋体" w:hint="default"/>
                <w:sz w:val="18"/>
                <w:szCs w:val="18"/>
              </w:rPr>
            </w:pPr>
            <w:r>
              <w:rPr>
                <w:rFonts w:ascii="宋体" w:hAnsi="宋体" w:cs="宋体" w:eastAsia="宋体" w:hint="default"/>
                <w:sz w:val="18"/>
                <w:szCs w:val="18"/>
              </w:rPr>
              <w:t>尽量避免与股份公司和其控股 或控制的子公司之间发生关联 </w:t>
            </w:r>
            <w:r>
              <w:rPr>
                <w:rFonts w:ascii="宋体" w:hAnsi="宋体" w:cs="宋体" w:eastAsia="宋体" w:hint="default"/>
                <w:spacing w:val="-6"/>
                <w:sz w:val="18"/>
                <w:szCs w:val="18"/>
              </w:rPr>
              <w:t>交易。</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、如果关联交易难以避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免，交易双方将严格按照正常 商业行为准则进行。关联交易 的定价政策遵循市场公平、公 正、公开的原则，交易价格依</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318"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据与市场独立第三方交易价格</w:t>
            </w:r>
          </w:p>
        </w:tc>
        <w:tc>
          <w:tcPr>
            <w:tcW w:w="99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77.899994pt;margin-top:282.319977pt;width:154.3pt;height:101.4pt;mso-position-horizontal-relative:page;mso-position-vertical-relative:page;z-index:-968920" type="#_x0000_t202" filled="false" stroked="false">
            <v:textbox inset="0,0,0,0">
              <w:txbxContent>
                <w:p>
                  <w:pPr>
                    <w:pStyle w:val="BodyText"/>
                    <w:spacing w:line="240" w:lineRule="auto" w:before="51"/>
                    <w:ind w:left="0" w:right="0"/>
                    <w:jc w:val="left"/>
                  </w:pPr>
                  <w:r>
                    <w:rPr/>
                    <w:t>《中华人民共和国证券法》</w:t>
                  </w:r>
                </w:p>
              </w:txbxContent>
            </v:textbox>
            <w10:wrap type="none"/>
          </v:shape>
        </w:pict>
      </w:r>
      <w:r>
        <w:rPr/>
        <w:pict>
          <v:shape style="position:absolute;margin-left:277.899994pt;margin-top:520.839966pt;width:154.3pt;height:78pt;mso-position-horizontal-relative:page;mso-position-vertical-relative:page;z-index:-968896" type="#_x0000_t202" filled="false" stroked="false">
            <v:textbox inset="0,0,0,0">
              <w:txbxContent>
                <w:p>
                  <w:pPr>
                    <w:pStyle w:val="BodyText"/>
                    <w:spacing w:line="240" w:lineRule="auto" w:before="51"/>
                    <w:ind w:left="0" w:right="0"/>
                    <w:jc w:val="left"/>
                  </w:pPr>
                  <w:r>
                    <w:rPr/>
                    <w:t>《中华人民共和国证券法》</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134"/>
        <w:gridCol w:w="1134"/>
        <w:gridCol w:w="2410"/>
        <w:gridCol w:w="993"/>
        <w:gridCol w:w="1134"/>
        <w:gridCol w:w="920"/>
      </w:tblGrid>
      <w:tr>
        <w:trPr>
          <w:trHeight w:val="1923"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5"/>
              <w:jc w:val="left"/>
              <w:rPr>
                <w:rFonts w:ascii="宋体" w:hAnsi="宋体" w:cs="宋体" w:eastAsia="宋体" w:hint="default"/>
                <w:sz w:val="18"/>
                <w:szCs w:val="18"/>
              </w:rPr>
            </w:pPr>
            <w:r>
              <w:rPr>
                <w:rFonts w:ascii="宋体" w:hAnsi="宋体" w:cs="宋体" w:eastAsia="宋体" w:hint="default"/>
                <w:sz w:val="18"/>
                <w:szCs w:val="18"/>
              </w:rPr>
              <w:t>确定。无市场价格可资比较或 定价受到限制的重大关联交 易，按照交易的商品或劳务的 成本基础上加合理利润的标准 予以确定交易价格，以保证交 易价格的公允性。</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21"/>
              <w:jc w:val="left"/>
              <w:rPr>
                <w:rFonts w:ascii="宋体" w:hAnsi="宋体" w:cs="宋体" w:eastAsia="宋体" w:hint="default"/>
                <w:sz w:val="18"/>
                <w:szCs w:val="18"/>
              </w:rPr>
            </w:pPr>
            <w:r>
              <w:rPr>
                <w:rFonts w:ascii="宋体" w:hAnsi="宋体" w:cs="宋体" w:eastAsia="宋体" w:hint="default"/>
                <w:sz w:val="18"/>
                <w:szCs w:val="18"/>
              </w:rPr>
              <w:t>控股股东及 实际控制人 刘泽刚、合纵 投资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201"/>
              <w:jc w:val="left"/>
              <w:rPr>
                <w:rFonts w:ascii="宋体" w:hAnsi="宋体" w:cs="宋体" w:eastAsia="宋体" w:hint="default"/>
                <w:sz w:val="18"/>
                <w:szCs w:val="18"/>
              </w:rPr>
            </w:pPr>
            <w:r>
              <w:rPr>
                <w:rFonts w:ascii="宋体" w:hAnsi="宋体" w:cs="宋体" w:eastAsia="宋体" w:hint="default"/>
                <w:sz w:val="18"/>
                <w:szCs w:val="18"/>
              </w:rPr>
              <w:t>股份转让的 承诺</w:t>
            </w:r>
          </w:p>
        </w:tc>
        <w:tc>
          <w:tcPr>
            <w:tcW w:w="2410"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刘泽刚、合纵投资承诺本次认 购公司配套募集资金发行的股 份自本次发行完成之日起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6"/>
                <w:sz w:val="18"/>
                <w:szCs w:val="18"/>
              </w:rPr>
              <w:t>个月不转让。本次发行完成后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由于上市公司送红股、转增股 本等原因增持的公司股份，亦 应遵守上述约定。</w:t>
            </w:r>
          </w:p>
        </w:tc>
        <w:tc>
          <w:tcPr>
            <w:tcW w:w="99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02" w:lineRule="exact"/>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149" w:lineRule="exact"/>
              <w:ind w:left="-12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704" w:lineRule="exact"/>
              <w:ind w:left="16"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46.85pt;height:35.25pt;mso-position-horizontal-relative:char;mso-position-vertical-relative:line" coordorigin="0,0" coordsize="937,705">
                  <v:group style="position:absolute;left:0;top:0;width:937;height:352" coordorigin="0,0" coordsize="937,352">
                    <v:shape style="position:absolute;left:0;top:0;width:937;height:352" coordorigin="0,0" coordsize="937,352" path="m0,352l936,352,936,0,0,0,0,352xe" filled="true" fillcolor="#ffffff" stroked="false">
                      <v:path arrowok="t"/>
                      <v:fill type="solid"/>
                    </v:shape>
                  </v:group>
                  <v:group style="position:absolute;left:0;top:352;width:937;height:353" coordorigin="0,352" coordsize="937,353">
                    <v:shape style="position:absolute;left:0;top:352;width:937;height:353" coordorigin="0,352" coordsize="937,353" path="m0,704l936,704,936,352,0,352,0,704xe" filled="true" fillcolor="#ffffff" stroked="false">
                      <v:path arrowok="t"/>
                      <v:fill type="solid"/>
                    </v:shape>
                  </v:group>
                </v:group>
              </w:pict>
            </w:r>
            <w:r>
              <w:rPr>
                <w:rFonts w:ascii="Times New Roman" w:hAnsi="Times New Roman" w:cs="Times New Roman" w:eastAsia="Times New Roman" w:hint="default"/>
                <w:position w:val="-13"/>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4770"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1"/>
              <w:ind w:left="22" w:right="201"/>
              <w:jc w:val="both"/>
              <w:rPr>
                <w:rFonts w:ascii="宋体" w:hAnsi="宋体" w:cs="宋体" w:eastAsia="宋体" w:hint="default"/>
                <w:sz w:val="18"/>
                <w:szCs w:val="18"/>
              </w:rPr>
            </w:pPr>
            <w:r>
              <w:rPr>
                <w:rFonts w:ascii="宋体" w:hAnsi="宋体" w:cs="宋体" w:eastAsia="宋体" w:hint="default"/>
                <w:sz w:val="18"/>
                <w:szCs w:val="18"/>
              </w:rPr>
              <w:t>关于公司不 存在分级收 益等结构化 安排的承诺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根据 等有关法律、法规及中国证券 监督管理委员会的相关规定， 就本公司非公开发行股票（员 工持股计划）事宜，本公司承 诺如下：</w:t>
            </w:r>
            <w:r>
              <w:rPr>
                <w:rFonts w:ascii="Times New Roman" w:hAnsi="Times New Roman" w:cs="Times New Roman" w:eastAsia="Times New Roman" w:hint="default"/>
                <w:sz w:val="18"/>
                <w:szCs w:val="18"/>
              </w:rPr>
              <w:t>“</w:t>
            </w:r>
            <w:r>
              <w:rPr>
                <w:rFonts w:ascii="宋体" w:hAnsi="宋体" w:cs="宋体" w:eastAsia="宋体" w:hint="default"/>
                <w:sz w:val="18"/>
                <w:szCs w:val="18"/>
              </w:rPr>
              <w:t>上银基金合纵科技</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号资产管理计划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的委托人为 合纵科技第一期员工持股计 划，合纵科技第一期员工持股 计划不存在分级收益、杠杆融 资及其他结构化安排；合纵科 技第一期员工持股计划的资金 来源为持有人合法薪酬、自筹 资金，持有人之间亦不存在分 级收益等结构化安排。</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2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pict>
                <v:group style="width:49.2pt;height:101.4pt;mso-position-horizontal-relative:char;mso-position-vertical-relative:line" coordorigin="0,0" coordsize="984,2028">
                  <v:group style="position:absolute;left:0;top:0;width:984;height:2028" coordorigin="0,0" coordsize="984,2028">
                    <v:shape style="position:absolute;left:0;top:0;width:984;height:2028" coordorigin="0,0" coordsize="984,2028" path="m0,2028l983,2028,983,0,0,0,0,2028xe" filled="true" fillcolor="#ffffff" stroked="false">
                      <v:path arrowok="t"/>
                      <v:fill type="solid"/>
                    </v:shape>
                  </v:group>
                </v:group>
              </w:pict>
            </w:r>
            <w:r>
              <w:rPr>
                <w:rFonts w:ascii="Times New Roman" w:hAnsi="Times New Roman" w:cs="Times New Roman" w:eastAsia="Times New Roman" w:hint="default"/>
                <w:position w:val="-40"/>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3834" w:hRule="exact"/>
        </w:trPr>
        <w:tc>
          <w:tcPr>
            <w:tcW w:w="1844"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201"/>
              <w:jc w:val="both"/>
              <w:rPr>
                <w:rFonts w:ascii="宋体" w:hAnsi="宋体" w:cs="宋体" w:eastAsia="宋体" w:hint="default"/>
                <w:sz w:val="18"/>
                <w:szCs w:val="18"/>
              </w:rPr>
            </w:pPr>
            <w:r>
              <w:rPr>
                <w:rFonts w:ascii="宋体" w:hAnsi="宋体" w:cs="宋体" w:eastAsia="宋体" w:hint="default"/>
                <w:sz w:val="18"/>
                <w:szCs w:val="18"/>
              </w:rPr>
              <w:t>关于公司没 有为发行对 象提供财务 资助的承诺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根据 等有关法律、法规及中国证券 监督管理委员会的相关规定， 就本公司非公开发行股票（员 工持股计划）事宜，本公司承 诺如下：本公司及关联方不会 违反《证券发行与承销管理办 法》第十六条等有关法规的规 定，直接或通过利益相关方间 接对参与公司本次非公开发行 股票认购的资管产品及其委托 人提供财务资助或者补偿。</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15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49.2pt;height:78pt;mso-position-horizontal-relative:char;mso-position-vertical-relative:line" coordorigin="0,0" coordsize="984,1560">
                  <v:group style="position:absolute;left:0;top:0;width:984;height:1560" coordorigin="0,0" coordsize="984,1560">
                    <v:shape style="position:absolute;left:0;top:0;width:984;height:1560" coordorigin="0,0" coordsize="984,1560" path="m0,1560l983,1560,983,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986"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发行人控股 股东、实际控 制人刘泽刚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关于发行人 控股股东、实 际控制人没</w:t>
            </w:r>
          </w:p>
        </w:tc>
        <w:tc>
          <w:tcPr>
            <w:tcW w:w="2410"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刘泽刚先生及一致行动人韦强 </w:t>
            </w:r>
            <w:r>
              <w:rPr>
                <w:rFonts w:ascii="宋体" w:hAnsi="宋体" w:cs="宋体" w:eastAsia="宋体" w:hint="default"/>
                <w:spacing w:val="-6"/>
                <w:sz w:val="18"/>
                <w:szCs w:val="18"/>
              </w:rPr>
              <w:t>先生、张仁增先生、何昀先生</w:t>
            </w:r>
            <w:r>
              <w:rPr>
                <w:rFonts w:ascii="宋体" w:hAnsi="宋体" w:cs="宋体" w:eastAsia="宋体" w:hint="default"/>
                <w:sz w:val="18"/>
                <w:szCs w:val="18"/>
              </w:rPr>
              <w:t> 高星女士以及关联方不会违反</w:t>
            </w:r>
          </w:p>
        </w:tc>
        <w:tc>
          <w:tcPr>
            <w:tcW w:w="99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12" w:lineRule="exact"/>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150"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704" w:lineRule="exact"/>
              <w:ind w:left="16"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46.85pt;height:35.25pt;mso-position-horizontal-relative:char;mso-position-vertical-relative:line" coordorigin="0,0" coordsize="937,705">
                  <v:group style="position:absolute;left:0;top:0;width:937;height:353" coordorigin="0,0" coordsize="937,353">
                    <v:shape style="position:absolute;left:0;top:0;width:937;height:353" coordorigin="0,0" coordsize="937,353" path="m0,353l936,353,936,0,0,0,0,353xe" filled="true" fillcolor="#ffffff" stroked="false">
                      <v:path arrowok="t"/>
                      <v:fill type="solid"/>
                    </v:shape>
                  </v:group>
                  <v:group style="position:absolute;left:0;top:353;width:937;height:352" coordorigin="0,353" coordsize="937,352">
                    <v:shape style="position:absolute;left:0;top:353;width:937;height:352" coordorigin="0,353" coordsize="937,352" path="m0,704l936,704,936,353,0,353,0,704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0.899994pt;margin-top:168.61998pt;width:91.3pt;height:179.4pt;mso-position-horizontal-relative:page;mso-position-vertical-relative:page;z-index:-9688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3"/>
                      <w:szCs w:val="23"/>
                    </w:rPr>
                  </w:pPr>
                </w:p>
                <w:p>
                  <w:pPr>
                    <w:pStyle w:val="BodyText"/>
                    <w:spacing w:line="240" w:lineRule="auto"/>
                    <w:ind w:left="0" w:right="0"/>
                    <w:jc w:val="left"/>
                  </w:pPr>
                  <w:r>
                    <w:rPr/>
                    <w:t>消费活动。</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134"/>
        <w:gridCol w:w="1134"/>
        <w:gridCol w:w="2410"/>
        <w:gridCol w:w="993"/>
        <w:gridCol w:w="1134"/>
        <w:gridCol w:w="920"/>
      </w:tblGrid>
      <w:tr>
        <w:trPr>
          <w:trHeight w:val="1923"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及一致行动 人韦强、张仁 增、何昀、高 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1"/>
              <w:jc w:val="both"/>
              <w:rPr>
                <w:rFonts w:ascii="宋体" w:hAnsi="宋体" w:cs="宋体" w:eastAsia="宋体" w:hint="default"/>
                <w:sz w:val="18"/>
                <w:szCs w:val="18"/>
              </w:rPr>
            </w:pPr>
            <w:r>
              <w:rPr>
                <w:rFonts w:ascii="宋体" w:hAnsi="宋体" w:cs="宋体" w:eastAsia="宋体" w:hint="default"/>
                <w:sz w:val="18"/>
                <w:szCs w:val="18"/>
              </w:rPr>
              <w:t>有为发行对 象提供财务 资助的承诺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5"/>
              <w:jc w:val="both"/>
              <w:rPr>
                <w:rFonts w:ascii="宋体" w:hAnsi="宋体" w:cs="宋体" w:eastAsia="宋体" w:hint="default"/>
                <w:sz w:val="18"/>
                <w:szCs w:val="18"/>
              </w:rPr>
            </w:pPr>
            <w:r>
              <w:rPr>
                <w:rFonts w:ascii="宋体" w:hAnsi="宋体" w:cs="宋体" w:eastAsia="宋体" w:hint="default"/>
                <w:sz w:val="18"/>
                <w:szCs w:val="18"/>
              </w:rPr>
              <w:t>《证券发行与承销管理办法》 第十六条及其他有关法规的规 定，直接或通过利益相关方间 接对参与公司本次非公开发行 股票认购的资管产品及其委托 人提供财务资助或者补偿。</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left"/>
              <w:rPr>
                <w:rFonts w:ascii="宋体" w:hAnsi="宋体" w:cs="宋体" w:eastAsia="宋体" w:hint="default"/>
                <w:sz w:val="18"/>
                <w:szCs w:val="18"/>
              </w:rPr>
            </w:pPr>
            <w:r>
              <w:rPr>
                <w:rFonts w:ascii="宋体" w:hAnsi="宋体" w:cs="宋体" w:eastAsia="宋体" w:hint="default"/>
                <w:sz w:val="18"/>
                <w:szCs w:val="18"/>
              </w:rPr>
              <w:t>违反承诺 的情形</w:t>
            </w:r>
          </w:p>
        </w:tc>
      </w:tr>
      <w:tr>
        <w:trPr>
          <w:trHeight w:val="7890" w:hRule="exact"/>
        </w:trPr>
        <w:tc>
          <w:tcPr>
            <w:tcW w:w="1844"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2" w:right="21"/>
              <w:jc w:val="left"/>
              <w:rPr>
                <w:rFonts w:ascii="宋体" w:hAnsi="宋体" w:cs="宋体" w:eastAsia="宋体" w:hint="default"/>
                <w:sz w:val="18"/>
                <w:szCs w:val="18"/>
              </w:rPr>
            </w:pPr>
            <w:r>
              <w:rPr>
                <w:rFonts w:ascii="宋体" w:hAnsi="宋体" w:cs="宋体" w:eastAsia="宋体" w:hint="default"/>
                <w:sz w:val="18"/>
                <w:szCs w:val="18"/>
              </w:rPr>
              <w:t>公司控股股 东、实际控制 人及一致行 动人、公司董 事、高级管理 人员</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2" w:right="201"/>
              <w:jc w:val="both"/>
              <w:rPr>
                <w:rFonts w:ascii="宋体" w:hAnsi="宋体" w:cs="宋体" w:eastAsia="宋体" w:hint="default"/>
                <w:sz w:val="18"/>
                <w:szCs w:val="18"/>
              </w:rPr>
            </w:pPr>
            <w:r>
              <w:rPr>
                <w:rFonts w:ascii="宋体" w:hAnsi="宋体" w:cs="宋体" w:eastAsia="宋体" w:hint="default"/>
                <w:sz w:val="18"/>
                <w:szCs w:val="18"/>
              </w:rPr>
              <w:t>关于公司非 公开发行股 票摊薄即期 回报及填补 回报措施的 承诺</w:t>
            </w:r>
          </w:p>
        </w:tc>
        <w:tc>
          <w:tcPr>
            <w:tcW w:w="2410"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公司董事、高级管理人员根据 中国证监会相关规定，对公司 填补回报措施能够得到切实履 行作出如下承诺：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、承诺不 无偿或以不公平条件向其他单 位或者个人输送利益，也不采 用其他方式损害公司利益。</w:t>
            </w:r>
            <w:r>
              <w:rPr>
                <w:rFonts w:ascii="Times New Roman" w:hAnsi="Times New Roman" w:cs="Times New Roman" w:eastAsia="Times New Roman" w:hint="default"/>
                <w:sz w:val="18"/>
                <w:szCs w:val="18"/>
              </w:rPr>
              <w:t>2 </w:t>
            </w:r>
            <w:r>
              <w:rPr>
                <w:rFonts w:ascii="宋体" w:hAnsi="宋体" w:cs="宋体" w:eastAsia="宋体" w:hint="default"/>
                <w:sz w:val="18"/>
                <w:szCs w:val="18"/>
              </w:rPr>
              <w:t>承诺对董事和高级管理人员的 </w:t>
            </w:r>
            <w:r>
              <w:rPr>
                <w:rFonts w:ascii="宋体" w:hAnsi="宋体" w:cs="宋体" w:eastAsia="宋体" w:hint="default"/>
                <w:spacing w:val="-9"/>
                <w:sz w:val="18"/>
                <w:szCs w:val="18"/>
              </w:rPr>
              <w:t>职务消费行为进行约束。</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、承</w:t>
            </w:r>
            <w:r>
              <w:rPr>
                <w:rFonts w:ascii="宋体" w:hAnsi="宋体" w:cs="宋体" w:eastAsia="宋体" w:hint="default"/>
                <w:spacing w:val="-79"/>
                <w:sz w:val="18"/>
                <w:szCs w:val="18"/>
              </w:rPr>
              <w:t> </w:t>
            </w:r>
            <w:r>
              <w:rPr>
                <w:rFonts w:ascii="宋体" w:hAnsi="宋体" w:cs="宋体" w:eastAsia="宋体" w:hint="default"/>
                <w:sz w:val="18"/>
                <w:szCs w:val="18"/>
              </w:rPr>
              <w:t>诺不动用公司资产从事与其履</w:t>
            </w:r>
            <w:r>
              <w:rPr>
                <w:rFonts w:ascii="宋体" w:hAnsi="宋体" w:cs="宋体" w:eastAsia="宋体" w:hint="default"/>
                <w:sz w:val="18"/>
                <w:szCs w:val="18"/>
              </w:rPr>
              <w:t> 行职责无关的投资、 </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、承诺由董事会或薪酬委员会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制定的薪酬制度与公司填补回 报措施的执行情况相挂钩。</w:t>
            </w:r>
            <w:r>
              <w:rPr>
                <w:rFonts w:ascii="Times New Roman" w:hAnsi="Times New Roman" w:cs="Times New Roman" w:eastAsia="Times New Roman" w:hint="default"/>
                <w:sz w:val="18"/>
                <w:szCs w:val="18"/>
              </w:rPr>
              <w:t>5 </w:t>
            </w:r>
            <w:r>
              <w:rPr>
                <w:rFonts w:ascii="宋体" w:hAnsi="宋体" w:cs="宋体" w:eastAsia="宋体" w:hint="default"/>
                <w:sz w:val="18"/>
                <w:szCs w:val="18"/>
              </w:rPr>
              <w:t>承诺拟公布的公司股权激励的 行权条件与公司填补回报措施 </w:t>
            </w:r>
            <w:r>
              <w:rPr>
                <w:rFonts w:ascii="宋体" w:hAnsi="宋体" w:cs="宋体" w:eastAsia="宋体" w:hint="default"/>
                <w:spacing w:val="-5"/>
                <w:sz w:val="18"/>
                <w:szCs w:val="18"/>
              </w:rPr>
              <w:t>的执行情况相挂钩。</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公司的第</w:t>
            </w:r>
            <w:r>
              <w:rPr>
                <w:rFonts w:ascii="宋体" w:hAnsi="宋体" w:cs="宋体" w:eastAsia="宋体" w:hint="default"/>
                <w:spacing w:val="-86"/>
                <w:sz w:val="18"/>
                <w:szCs w:val="18"/>
              </w:rPr>
              <w:t> </w:t>
            </w:r>
            <w:r>
              <w:rPr>
                <w:rFonts w:ascii="宋体" w:hAnsi="宋体" w:cs="宋体" w:eastAsia="宋体" w:hint="default"/>
                <w:sz w:val="18"/>
                <w:szCs w:val="18"/>
              </w:rPr>
              <w:t>一大股东刘泽刚、实际控制人 刘泽刚及其一致行动人韦强、 张仁增、何昀、高星根据中国 证监会相关规定，对公司填补 回报措施能够得到切实履行作 </w:t>
            </w:r>
            <w:r>
              <w:rPr>
                <w:rFonts w:ascii="宋体" w:hAnsi="宋体" w:cs="宋体" w:eastAsia="宋体" w:hint="default"/>
                <w:spacing w:val="-5"/>
                <w:sz w:val="18"/>
                <w:szCs w:val="18"/>
              </w:rPr>
              <w:t>出如下承诺：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不越权干预公司</w:t>
            </w:r>
            <w:r>
              <w:rPr>
                <w:rFonts w:ascii="宋体" w:hAnsi="宋体" w:cs="宋体" w:eastAsia="宋体" w:hint="default"/>
                <w:spacing w:val="-86"/>
                <w:sz w:val="18"/>
                <w:szCs w:val="18"/>
              </w:rPr>
              <w:t> </w:t>
            </w:r>
            <w:r>
              <w:rPr>
                <w:rFonts w:ascii="宋体" w:hAnsi="宋体" w:cs="宋体" w:eastAsia="宋体" w:hint="default"/>
                <w:sz w:val="18"/>
                <w:szCs w:val="18"/>
              </w:rPr>
              <w:t>经营管理活动，不侵占公司利 益。</w:t>
            </w:r>
          </w:p>
        </w:tc>
        <w:tc>
          <w:tcPr>
            <w:tcW w:w="99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02" w:lineRule="exact"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8" w:lineRule="exact"/>
              <w:ind w:left="-14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3588"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1"/>
                <w:sz w:val="20"/>
                <w:szCs w:val="20"/>
              </w:rPr>
              <w:pict>
                <v:group style="width:49.2pt;height:179.4pt;mso-position-horizontal-relative:char;mso-position-vertical-relative:line" coordorigin="0,0" coordsize="984,3588">
                  <v:group style="position:absolute;left:0;top:0;width:984;height:3588" coordorigin="0,0" coordsize="984,3588">
                    <v:shape style="position:absolute;left:0;top:0;width:984;height:3588" coordorigin="0,0" coordsize="984,3588" path="m0,3588l983,3588,983,0,0,0,0,3588xe" filled="true" fillcolor="#ffffff" stroked="false">
                      <v:path arrowok="t"/>
                      <v:fill type="solid"/>
                    </v:shape>
                  </v:group>
                </v:group>
              </w:pict>
            </w:r>
            <w:r>
              <w:rPr>
                <w:rFonts w:ascii="Times New Roman" w:hAnsi="Times New Roman" w:cs="Times New Roman" w:eastAsia="Times New Roman" w:hint="default"/>
                <w:position w:val="-7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0"/>
                <w:szCs w:val="10"/>
              </w:rPr>
            </w:pPr>
          </w:p>
          <w:p>
            <w:pPr>
              <w:pStyle w:val="TableParagraph"/>
              <w:spacing w:line="3941"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8"/>
                <w:sz w:val="20"/>
                <w:szCs w:val="20"/>
              </w:rPr>
              <w:pict>
                <v:group style="width:49.2pt;height:197.1pt;mso-position-horizontal-relative:char;mso-position-vertical-relative:line" coordorigin="0,0" coordsize="984,3942">
                  <v:group style="position:absolute;left:0;top:353;width:984;height:3589" coordorigin="0,353" coordsize="984,3589">
                    <v:shape style="position:absolute;left:0;top:353;width:984;height:3589" coordorigin="0,353" coordsize="984,3589" path="m0,3941l983,3941,983,353,0,353,0,3941xe" filled="true" fillcolor="#ffffff" stroked="false">
                      <v:path arrowok="t"/>
                      <v:fill type="solid"/>
                    </v:shape>
                  </v:group>
                  <v:group style="position:absolute;left:23;top:0;width:937;height:353" coordorigin="23,0" coordsize="937,353">
                    <v:shape style="position:absolute;left:23;top:0;width:937;height:353" coordorigin="23,0" coordsize="937,353" path="m23,353l959,353,959,0,23,0,23,353xe" filled="true" fillcolor="#ffffff" stroked="false">
                      <v:path arrowok="t"/>
                      <v:fill type="solid"/>
                    </v:shape>
                  </v:group>
                </v:group>
              </w:pict>
            </w:r>
            <w:r>
              <w:rPr>
                <w:rFonts w:ascii="Times New Roman" w:hAnsi="Times New Roman" w:cs="Times New Roman" w:eastAsia="Times New Roman" w:hint="default"/>
                <w:position w:val="-78"/>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1650"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严格遵守 所做的承 </w:t>
            </w:r>
            <w:r>
              <w:rPr>
                <w:rFonts w:ascii="宋体" w:hAnsi="宋体" w:cs="宋体" w:eastAsia="宋体" w:hint="default"/>
                <w:spacing w:val="-8"/>
                <w:sz w:val="18"/>
                <w:szCs w:val="18"/>
              </w:rPr>
              <w:t>诺，未发生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 的情形</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3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2"/>
                <w:sz w:val="18"/>
                <w:szCs w:val="18"/>
              </w:rPr>
              <w:t>毕的，应当详细说明未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完成履行的具体原因 及下一步的工作计划</w:t>
            </w:r>
          </w:p>
        </w:tc>
        <w:tc>
          <w:tcPr>
            <w:tcW w:w="77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421" w:lineRule="exact"/>
        <w:ind w:left="14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1832;top:14;width:2;height:393" coordorigin="1832,14" coordsize="2,393">
              <v:shape style="position:absolute;left:1832;top:14;width:2;height:393" coordorigin="1832,14" coordsize="0,393" path="m1832,14l1832,407e" filled="false" stroked="true" strokeweight="1.2pt" strokecolor="#d2d2d2">
                <v:path arrowok="t"/>
              </v:shape>
            </v:group>
            <v:group style="position:absolute;left:32;top:14;width:1788;height:393" coordorigin="32,14" coordsize="1788,393">
              <v:shape style="position:absolute;left:32;top:14;width:1788;height:393" coordorigin="32,14" coordsize="1788,393" path="m32,407l1820,407,1820,14,32,14,32,407xe" filled="true" fillcolor="#d2d2d2" stroked="false">
                <v:path arrowok="t"/>
                <v:fill type="solid"/>
              </v:shape>
            </v:group>
            <v:group style="position:absolute;left:1865;top:14;width:2;height:393" coordorigin="1865,14" coordsize="2,393">
              <v:shape style="position:absolute;left:1865;top:14;width:2;height:393" coordorigin="1865,14" coordsize="0,393" path="m1865,14l1865,407e" filled="false" stroked="true" strokeweight="1.140pt" strokecolor="#d2d2d2">
                <v:path arrowok="t"/>
              </v:shape>
            </v:group>
            <v:group style="position:absolute;left:9556;top:14;width:2;height:393" coordorigin="9556,14" coordsize="2,393">
              <v:shape style="position:absolute;left:9556;top:14;width:2;height:393" coordorigin="9556,14" coordsize="0,393" path="m9556,14l9556,407e" filled="false" stroked="true" strokeweight="1.140pt" strokecolor="#d2d2d2">
                <v:path arrowok="t"/>
              </v:shape>
            </v:group>
            <v:group style="position:absolute;left:1876;top:14;width:7669;height:393" coordorigin="1876,14" coordsize="7669,393">
              <v:shape style="position:absolute;left:1876;top:14;width:7669;height:393" coordorigin="1876,14" coordsize="7669,393" path="m1876,407l9545,407,9545,14,1876,14,1876,407xe" filled="true" fillcolor="#d2d2d2" stroked="false">
                <v:path arrowok="t"/>
                <v:fill type="solid"/>
              </v:shape>
            </v:group>
            <v:group style="position:absolute;left:10;top:10;width:1834;height:2" coordorigin="10,10" coordsize="1834,2">
              <v:shape style="position:absolute;left:10;top:10;width:1834;height:2" coordorigin="10,10" coordsize="1834,0" path="m10,10l1844,10e" filled="false" stroked="true" strokeweight=".48pt" strokecolor="#000000">
                <v:path arrowok="t"/>
              </v:shape>
            </v:group>
            <v:group style="position:absolute;left:1853;top:10;width:7716;height:2" coordorigin="1853,10" coordsize="7716,2">
              <v:shape style="position:absolute;left:1853;top:10;width:7716;height:2" coordorigin="1853,10" coordsize="7716,0" path="m1853,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1834;height:2" coordorigin="10,412" coordsize="1834,2">
              <v:shape style="position:absolute;left:10;top:412;width:1834;height:2" coordorigin="10,412" coordsize="1834,0" path="m10,412l1844,412e" filled="false" stroked="true" strokeweight=".48pt" strokecolor="#000000">
                <v:path arrowok="t"/>
              </v:shape>
            </v:group>
            <v:group style="position:absolute;left:1848;top:5;width:2;height:412" coordorigin="1848,5" coordsize="2,412">
              <v:shape style="position:absolute;left:1848;top:5;width:2;height:412" coordorigin="1848,5" coordsize="0,412" path="m1848,5l1848,416e" filled="false" stroked="true" strokeweight=".48pt" strokecolor="#000000">
                <v:path arrowok="t"/>
              </v:shape>
            </v:group>
            <v:group style="position:absolute;left:1853;top:412;width:7716;height:2" coordorigin="1853,412" coordsize="7716,2">
              <v:shape style="position:absolute;left:1853;top:412;width:7716;height:2" coordorigin="1853,412" coordsize="7716,0" path="m1853,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group>
          </v:group>
        </w:pict>
      </w:r>
      <w:r>
        <w:rPr>
          <w:rFonts w:ascii="Times New Roman" w:hAnsi="Times New Roman" w:cs="Times New Roman" w:eastAsia="Times New Roman" w:hint="default"/>
          <w:position w:val="-7"/>
          <w:sz w:val="20"/>
          <w:szCs w:val="20"/>
        </w:rPr>
      </w:r>
    </w:p>
    <w:p>
      <w:pPr>
        <w:spacing w:line="240" w:lineRule="auto" w:before="5"/>
        <w:rPr>
          <w:rFonts w:ascii="Times New Roman" w:hAnsi="Times New Roman" w:cs="Times New Roman" w:eastAsia="Times New Roman" w:hint="default"/>
          <w:sz w:val="21"/>
          <w:szCs w:val="21"/>
        </w:rPr>
      </w:pPr>
    </w:p>
    <w:p>
      <w:pPr>
        <w:pStyle w:val="Heading3"/>
        <w:spacing w:line="259" w:lineRule="auto" w:before="35"/>
        <w:ind w:right="1048"/>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71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714"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湖南雅城</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3,935.35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国家政策影响</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湖南雅城</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9,100.47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不适应</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湖南雅城</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3,817.01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不适应</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BodyText"/>
        <w:spacing w:line="240" w:lineRule="auto" w:before="51"/>
        <w:ind w:right="1048"/>
        <w:jc w:val="left"/>
      </w:pPr>
      <w:r>
        <w:rPr/>
        <w:t>公司股东、交易对手方对公司或相关资产年度经营业绩作出的承诺情况</w:t>
      </w:r>
    </w:p>
    <w:p>
      <w:pPr>
        <w:pStyle w:val="BodyText"/>
        <w:spacing w:line="338" w:lineRule="auto" w:before="117"/>
        <w:ind w:left="514" w:right="1048"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5"/>
        </w:rPr>
        <w:t>李智军、科恒股份、臻泰新能源、傅文伟、谢红根、泓科投资、张大星、孙资光、廖扬青承诺，湖南雅城</w:t>
      </w:r>
      <w:r>
        <w:rPr>
          <w:rFonts w:ascii="Times New Roman" w:hAnsi="Times New Roman" w:cs="Times New Roman" w:eastAsia="Times New Roman" w:hint="default"/>
          <w:spacing w:val="-5"/>
        </w:rPr>
        <w:t>2016</w:t>
      </w:r>
      <w:r>
        <w:rPr>
          <w:spacing w:val="-5"/>
        </w:rPr>
        <w:t>年度、</w:t>
      </w:r>
      <w:r>
        <w:rPr>
          <w:rFonts w:ascii="Times New Roman" w:hAnsi="Times New Roman" w:cs="Times New Roman" w:eastAsia="Times New Roman" w:hint="default"/>
          <w:spacing w:val="-5"/>
        </w:rPr>
        <w:t>2017</w:t>
      </w:r>
    </w:p>
    <w:p>
      <w:pPr>
        <w:pStyle w:val="BodyText"/>
        <w:spacing w:line="231" w:lineRule="exact"/>
        <w:ind w:right="1048"/>
        <w:jc w:val="left"/>
      </w:pPr>
      <w:r>
        <w:rPr/>
        <w:t>年度、</w:t>
      </w:r>
      <w:r>
        <w:rPr>
          <w:rFonts w:ascii="Times New Roman" w:hAnsi="Times New Roman" w:cs="Times New Roman" w:eastAsia="Times New Roman" w:hint="default"/>
        </w:rPr>
        <w:t>2018</w:t>
      </w:r>
      <w:r>
        <w:rPr/>
        <w:t>年度实现的净利润分别不低于</w:t>
      </w:r>
      <w:r>
        <w:rPr>
          <w:rFonts w:ascii="Times New Roman" w:hAnsi="Times New Roman" w:cs="Times New Roman" w:eastAsia="Times New Roman" w:hint="default"/>
        </w:rPr>
        <w:t>3,814</w:t>
      </w:r>
      <w:r>
        <w:rPr/>
        <w:t>万元、</w:t>
      </w:r>
      <w:r>
        <w:rPr>
          <w:rFonts w:ascii="Times New Roman" w:hAnsi="Times New Roman" w:cs="Times New Roman" w:eastAsia="Times New Roman" w:hint="default"/>
        </w:rPr>
        <w:t>5,152</w:t>
      </w:r>
      <w:r>
        <w:rPr/>
        <w:t>万元和</w:t>
      </w:r>
      <w:r>
        <w:rPr>
          <w:rFonts w:ascii="Times New Roman" w:hAnsi="Times New Roman" w:cs="Times New Roman" w:eastAsia="Times New Roman" w:hint="default"/>
        </w:rPr>
        <w:t>6,629</w:t>
      </w:r>
      <w:r>
        <w:rPr/>
        <w:t>万元。</w:t>
      </w:r>
    </w:p>
    <w:p>
      <w:pPr>
        <w:pStyle w:val="BodyText"/>
        <w:spacing w:line="302" w:lineRule="auto" w:before="101"/>
        <w:ind w:right="1048" w:firstLine="360"/>
        <w:jc w:val="left"/>
      </w:pPr>
      <w:r>
        <w:rPr>
          <w:spacing w:val="-2"/>
        </w:rPr>
        <w:t>毛科娟、朱梅芬、金友功、叶勤、刘骐玮承诺江苏鹏创</w:t>
      </w:r>
      <w:r>
        <w:rPr>
          <w:rFonts w:ascii="Times New Roman" w:hAnsi="Times New Roman" w:cs="Times New Roman" w:eastAsia="Times New Roman" w:hint="default"/>
          <w:spacing w:val="-2"/>
        </w:rPr>
        <w:t>2016</w:t>
      </w:r>
      <w:r>
        <w:rPr>
          <w:spacing w:val="-2"/>
        </w:rPr>
        <w:t>年度、</w:t>
      </w:r>
      <w:r>
        <w:rPr>
          <w:rFonts w:ascii="Times New Roman" w:hAnsi="Times New Roman" w:cs="Times New Roman" w:eastAsia="Times New Roman" w:hint="default"/>
          <w:spacing w:val="-2"/>
        </w:rPr>
        <w:t>2017</w:t>
      </w:r>
      <w:r>
        <w:rPr>
          <w:spacing w:val="-2"/>
        </w:rPr>
        <w:t>年度、</w:t>
      </w:r>
      <w:r>
        <w:rPr>
          <w:rFonts w:ascii="Times New Roman" w:hAnsi="Times New Roman" w:cs="Times New Roman" w:eastAsia="Times New Roman" w:hint="default"/>
          <w:spacing w:val="-2"/>
        </w:rPr>
        <w:t>2018</w:t>
      </w:r>
      <w:r>
        <w:rPr>
          <w:spacing w:val="-2"/>
        </w:rPr>
        <w:t>年度、</w:t>
      </w:r>
      <w:r>
        <w:rPr>
          <w:rFonts w:ascii="Times New Roman" w:hAnsi="Times New Roman" w:cs="Times New Roman" w:eastAsia="Times New Roman" w:hint="default"/>
          <w:spacing w:val="-2"/>
        </w:rPr>
        <w:t>2019</w:t>
      </w:r>
      <w:r>
        <w:rPr>
          <w:spacing w:val="-2"/>
        </w:rPr>
        <w:t>年度实现的净利润合计不</w:t>
      </w:r>
      <w:r>
        <w:rPr/>
        <w:t> 低于</w:t>
      </w:r>
      <w:r>
        <w:rPr>
          <w:rFonts w:ascii="Times New Roman" w:hAnsi="Times New Roman" w:cs="Times New Roman" w:eastAsia="Times New Roman" w:hint="default"/>
        </w:rPr>
        <w:t>6,715</w:t>
      </w:r>
      <w:r>
        <w:rPr/>
        <w:t>万元。</w:t>
      </w:r>
    </w:p>
    <w:p>
      <w:pPr>
        <w:pStyle w:val="BodyText"/>
        <w:spacing w:line="240" w:lineRule="auto" w:before="52"/>
        <w:ind w:right="1048"/>
        <w:jc w:val="left"/>
      </w:pPr>
      <w:r>
        <w:rPr/>
        <w:t>业绩承诺的完成情况及其对商誉减值测试的影响</w:t>
      </w:r>
    </w:p>
    <w:p>
      <w:pPr>
        <w:spacing w:line="240" w:lineRule="auto" w:before="13"/>
        <w:rPr>
          <w:rFonts w:ascii="宋体" w:hAnsi="宋体" w:cs="宋体" w:eastAsia="宋体" w:hint="default"/>
          <w:sz w:val="24"/>
          <w:szCs w:val="24"/>
        </w:rPr>
      </w:pPr>
    </w:p>
    <w:p>
      <w:pPr>
        <w:pStyle w:val="Heading2"/>
        <w:spacing w:line="240" w:lineRule="auto"/>
        <w:ind w:right="1048"/>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1048"/>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48"/>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48"/>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048"/>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48"/>
        <w:jc w:val="left"/>
      </w:pPr>
      <w:r>
        <w:rPr/>
        <w:t>公司报告期无合并报表范围发生变化的情况。</w:t>
      </w:r>
    </w:p>
    <w:p>
      <w:pPr>
        <w:spacing w:line="240" w:lineRule="auto" w:before="13"/>
        <w:rPr>
          <w:rFonts w:ascii="宋体" w:hAnsi="宋体" w:cs="宋体" w:eastAsia="宋体" w:hint="default"/>
          <w:sz w:val="24"/>
          <w:szCs w:val="24"/>
        </w:rPr>
      </w:pPr>
    </w:p>
    <w:p>
      <w:pPr>
        <w:pStyle w:val="Heading2"/>
        <w:spacing w:line="240" w:lineRule="auto"/>
        <w:ind w:right="1048"/>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莫伟、袁刚、迟文洲</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1048"/>
        <w:jc w:val="left"/>
      </w:pPr>
      <w:r>
        <w:rPr/>
        <w:t>是否改聘会计师事务所</w:t>
      </w:r>
    </w:p>
    <w:p>
      <w:pPr>
        <w:pStyle w:val="BodyText"/>
        <w:spacing w:line="340" w:lineRule="auto" w:before="116"/>
        <w:ind w:right="80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是否在审计期间改聘会计师事务所</w:t>
      </w:r>
    </w:p>
    <w:p>
      <w:pPr>
        <w:pStyle w:val="BodyText"/>
        <w:spacing w:line="338" w:lineRule="auto" w:before="40"/>
        <w:ind w:right="78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更换会计师事务所是否履行审批程序</w:t>
      </w:r>
    </w:p>
    <w:p>
      <w:pPr>
        <w:pStyle w:val="BodyText"/>
        <w:spacing w:line="338" w:lineRule="auto" w:before="43"/>
        <w:ind w:right="80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聘任、解聘会计师事务所情况说明</w:t>
      </w:r>
    </w:p>
    <w:p>
      <w:pPr>
        <w:pStyle w:val="BodyText"/>
        <w:spacing w:line="340" w:lineRule="auto" w:before="41"/>
        <w:ind w:right="2652"/>
        <w:jc w:val="left"/>
      </w:pPr>
      <w:r>
        <w:rPr/>
        <w:t>公司将更换</w:t>
      </w:r>
      <w:r>
        <w:rPr>
          <w:rFonts w:ascii="Times New Roman" w:hAnsi="Times New Roman" w:cs="Times New Roman" w:eastAsia="Times New Roman" w:hint="default"/>
        </w:rPr>
        <w:t>2019</w:t>
      </w:r>
      <w:r>
        <w:rPr/>
        <w:t>年度的审计会计师事务所，具体事项将在</w:t>
      </w:r>
      <w:r>
        <w:rPr>
          <w:rFonts w:ascii="Times New Roman" w:hAnsi="Times New Roman" w:cs="Times New Roman" w:eastAsia="Times New Roman" w:hint="default"/>
        </w:rPr>
        <w:t>2019</w:t>
      </w:r>
      <w:r>
        <w:rPr/>
        <w:t>年度履行审批程序并在巨潮资讯网公告。 聘请内部控制审计会计师事务所、财务顾问或保荐人情况</w:t>
      </w:r>
    </w:p>
    <w:p>
      <w:pPr>
        <w:pStyle w:val="BodyText"/>
        <w:spacing w:line="240" w:lineRule="auto" w:before="42"/>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48"/>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48"/>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1048"/>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1048"/>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048"/>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9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报告期内公司及其控股股东、实际控制人不存在未履行法院生效判决、所负数额较大的债务到期未偿清等情况。</w:t>
      </w:r>
    </w:p>
    <w:p>
      <w:pPr>
        <w:spacing w:line="240" w:lineRule="auto" w:before="6"/>
        <w:rPr>
          <w:rFonts w:ascii="宋体" w:hAnsi="宋体" w:cs="宋体" w:eastAsia="宋体" w:hint="default"/>
          <w:sz w:val="19"/>
          <w:szCs w:val="19"/>
        </w:rPr>
      </w:pPr>
    </w:p>
    <w:p>
      <w:pPr>
        <w:pStyle w:val="Heading2"/>
        <w:spacing w:line="240" w:lineRule="auto"/>
        <w:ind w:right="1048"/>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4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3"/>
        <w:rPr>
          <w:rFonts w:ascii="宋体" w:hAnsi="宋体" w:cs="宋体" w:eastAsia="宋体" w:hint="default"/>
          <w:sz w:val="19"/>
          <w:szCs w:val="19"/>
        </w:rPr>
      </w:pPr>
    </w:p>
    <w:p>
      <w:pPr>
        <w:pStyle w:val="Heading2"/>
        <w:spacing w:line="240" w:lineRule="auto"/>
        <w:ind w:right="1048"/>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8"/>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1048"/>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3"/>
        <w:rPr>
          <w:rFonts w:ascii="宋体" w:hAnsi="宋体" w:cs="宋体" w:eastAsia="宋体" w:hint="default"/>
          <w:sz w:val="20"/>
          <w:szCs w:val="20"/>
        </w:rPr>
      </w:pPr>
    </w:p>
    <w:p>
      <w:pPr>
        <w:pStyle w:val="Heading3"/>
        <w:spacing w:line="240" w:lineRule="auto"/>
        <w:ind w:right="1048"/>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right="1048"/>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1048"/>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2"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月宁波源纵拟与天津市盛雅投资有限公司、冯德茂、陈刚、彭大庆、方建英以现金的方式向天津茂联共同投</w:t>
      </w:r>
      <w:r>
        <w:rPr/>
        <w:t> </w:t>
      </w:r>
      <w:r>
        <w:rPr>
          <w:spacing w:val="-6"/>
        </w:rPr>
        <w:t>资</w:t>
      </w:r>
      <w:r>
        <w:rPr>
          <w:rFonts w:ascii="Times New Roman" w:hAnsi="Times New Roman" w:cs="Times New Roman" w:eastAsia="Times New Roman" w:hint="default"/>
          <w:spacing w:val="-6"/>
        </w:rPr>
        <w:t>55562.83</w:t>
      </w:r>
      <w:r>
        <w:rPr>
          <w:spacing w:val="-6"/>
        </w:rPr>
        <w:t>万元，以上各方签署了《天津市茂联科技有限公司增资协议》。本次增资完成后，宁波源纵将持有天津茂联</w:t>
      </w:r>
      <w:r>
        <w:rPr>
          <w:rFonts w:ascii="Times New Roman" w:hAnsi="Times New Roman" w:cs="Times New Roman" w:eastAsia="Times New Roman" w:hint="default"/>
          <w:spacing w:val="-6"/>
        </w:rPr>
        <w:t>55.876%</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的股份，天津茂联注册资本将由</w:t>
      </w:r>
      <w:r>
        <w:rPr>
          <w:rFonts w:ascii="Times New Roman" w:hAnsi="Times New Roman" w:cs="Times New Roman" w:eastAsia="Times New Roman" w:hint="default"/>
        </w:rPr>
        <w:t>428,000,000</w:t>
      </w:r>
      <w:r>
        <w:rPr/>
        <w:t>元增至</w:t>
      </w:r>
      <w:r>
        <w:rPr>
          <w:rFonts w:ascii="Times New Roman" w:hAnsi="Times New Roman" w:cs="Times New Roman" w:eastAsia="Times New Roman" w:hint="default"/>
        </w:rPr>
        <w:t>658,656,482</w:t>
      </w:r>
      <w:r>
        <w:rPr/>
        <w:t>元。</w:t>
      </w:r>
    </w:p>
    <w:p>
      <w:pPr>
        <w:pStyle w:val="BodyText"/>
        <w:spacing w:line="300" w:lineRule="auto" w:before="13"/>
        <w:ind w:right="1132" w:firstLine="360"/>
        <w:jc w:val="both"/>
      </w:pPr>
      <w:r>
        <w:rPr>
          <w:rFonts w:ascii="Times New Roman" w:hAnsi="Times New Roman" w:cs="Times New Roman" w:eastAsia="Times New Roman" w:hint="default"/>
          <w:spacing w:val="-2"/>
        </w:rPr>
        <w:t>2</w:t>
      </w:r>
      <w:r>
        <w:rPr>
          <w:spacing w:val="-2"/>
        </w:rPr>
        <w:t>、于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日召开公司第四届董事会第三十六次会议，会议审议通过了《关于公司参与增资天津市茂联科技有限</w:t>
      </w:r>
      <w:r>
        <w:rPr/>
        <w:t> </w:t>
      </w:r>
      <w:r>
        <w:rPr>
          <w:spacing w:val="-2"/>
        </w:rPr>
        <w:t>公司的议案》，公司以总额</w:t>
      </w:r>
      <w:r>
        <w:rPr>
          <w:rFonts w:ascii="Times New Roman" w:hAnsi="Times New Roman" w:cs="Times New Roman" w:eastAsia="Times New Roman" w:hint="default"/>
          <w:spacing w:val="-2"/>
        </w:rPr>
        <w:t>29,288.1818</w:t>
      </w:r>
      <w:r>
        <w:rPr>
          <w:spacing w:val="-2"/>
        </w:rPr>
        <w:t>万元投资天津茂联，其中</w:t>
      </w:r>
      <w:r>
        <w:rPr>
          <w:rFonts w:ascii="Times New Roman" w:hAnsi="Times New Roman" w:cs="Times New Roman" w:eastAsia="Times New Roman" w:hint="default"/>
          <w:spacing w:val="-2"/>
        </w:rPr>
        <w:t>12,158.3219</w:t>
      </w:r>
      <w:r>
        <w:rPr>
          <w:spacing w:val="-2"/>
        </w:rPr>
        <w:t>万元计入注册资本，</w:t>
      </w:r>
      <w:r>
        <w:rPr>
          <w:rFonts w:ascii="Times New Roman" w:hAnsi="Times New Roman" w:cs="Times New Roman" w:eastAsia="Times New Roman" w:hint="default"/>
          <w:spacing w:val="-2"/>
        </w:rPr>
        <w:t>17,129.8599</w:t>
      </w:r>
      <w:r>
        <w:rPr>
          <w:spacing w:val="-2"/>
        </w:rPr>
        <w:t>万元计入资本公</w:t>
      </w:r>
      <w:r>
        <w:rPr>
          <w:spacing w:val="-37"/>
        </w:rPr>
        <w:t> </w:t>
      </w:r>
      <w:r>
        <w:rPr/>
        <w:t>积，本次增资完成后公司持有天津茂联股权的比例为</w:t>
      </w:r>
      <w:r>
        <w:rPr>
          <w:rFonts w:ascii="Times New Roman" w:hAnsi="Times New Roman" w:cs="Times New Roman" w:eastAsia="Times New Roman" w:hint="default"/>
        </w:rPr>
        <w:t>14.60%</w:t>
      </w:r>
      <w:r>
        <w:rPr/>
        <w:t>。</w:t>
      </w:r>
    </w:p>
    <w:p>
      <w:pPr>
        <w:pStyle w:val="BodyText"/>
        <w:spacing w:line="300" w:lineRule="auto" w:before="13"/>
        <w:ind w:right="1131"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日召开公司第四届董事会第三十九次会议，会议审议通过了《关于公司追加投资天津市茂联科技有限公</w:t>
      </w:r>
      <w:r>
        <w:rPr/>
        <w:t> </w:t>
      </w:r>
      <w:r>
        <w:rPr>
          <w:spacing w:val="-2"/>
        </w:rPr>
        <w:t>司的议案》，公司拟追加投资天津茂联，受让方建英先生对天津茂联的认缴出资额，以现金出资</w:t>
      </w:r>
      <w:r>
        <w:rPr>
          <w:rFonts w:ascii="Times New Roman" w:hAnsi="Times New Roman" w:cs="Times New Roman" w:eastAsia="Times New Roman" w:hint="default"/>
          <w:spacing w:val="-2"/>
        </w:rPr>
        <w:t>4000</w:t>
      </w:r>
      <w:r>
        <w:rPr>
          <w:spacing w:val="-2"/>
        </w:rPr>
        <w:t>万元增资天津茂联，并</w:t>
      </w:r>
      <w:r>
        <w:rPr>
          <w:spacing w:val="-61"/>
        </w:rPr>
        <w:t> </w:t>
      </w:r>
      <w:r>
        <w:rPr>
          <w:spacing w:val="-61"/>
        </w:rPr>
      </w:r>
      <w:r>
        <w:rPr/>
        <w:t>签署《天津市茂联科技有限公司增资协议之补充协议》。</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0" w:firstLine="360"/>
        <w:jc w:val="both"/>
      </w:pP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28</w:t>
      </w:r>
      <w:r>
        <w:rPr>
          <w:spacing w:val="-5"/>
        </w:rPr>
        <w:t>日公司召开第四届董事会第四十五次会议、</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24</w:t>
      </w:r>
      <w:r>
        <w:rPr>
          <w:spacing w:val="-5"/>
        </w:rPr>
        <w:t>日召开</w:t>
      </w:r>
      <w:r>
        <w:rPr>
          <w:rFonts w:ascii="Times New Roman" w:hAnsi="Times New Roman" w:cs="Times New Roman" w:eastAsia="Times New Roman" w:hint="default"/>
          <w:spacing w:val="-5"/>
        </w:rPr>
        <w:t>2018</w:t>
      </w:r>
      <w:r>
        <w:rPr>
          <w:spacing w:val="-5"/>
        </w:rPr>
        <w:t>年第十次临时股东大会审议通过《关</w:t>
      </w:r>
      <w:r>
        <w:rPr/>
        <w:t> </w:t>
      </w:r>
      <w:r>
        <w:rPr>
          <w:spacing w:val="-2"/>
        </w:rPr>
        <w:t>于公司全资子公司与公司关联方签署采购框架协议暨新增</w:t>
      </w:r>
      <w:r>
        <w:rPr>
          <w:rFonts w:ascii="Times New Roman" w:hAnsi="Times New Roman" w:cs="Times New Roman" w:eastAsia="Times New Roman" w:hint="default"/>
          <w:spacing w:val="-2"/>
        </w:rPr>
        <w:t>2018</w:t>
      </w:r>
      <w:r>
        <w:rPr>
          <w:spacing w:val="-2"/>
        </w:rPr>
        <w:t>年日常关联交易的议案》，预计</w:t>
      </w:r>
      <w:r>
        <w:rPr>
          <w:rFonts w:ascii="Times New Roman" w:hAnsi="Times New Roman" w:cs="Times New Roman" w:eastAsia="Times New Roman" w:hint="default"/>
          <w:spacing w:val="-2"/>
        </w:rPr>
        <w:t>2018</w:t>
      </w:r>
      <w:r>
        <w:rPr>
          <w:spacing w:val="-2"/>
        </w:rPr>
        <w:t>年度湖南雅城与天津茂联</w:t>
      </w:r>
      <w:r>
        <w:rPr>
          <w:spacing w:val="-56"/>
        </w:rPr>
        <w:t> </w:t>
      </w:r>
      <w:r>
        <w:rPr/>
        <w:t>发生日常关联交易</w:t>
      </w:r>
      <w:r>
        <w:rPr>
          <w:rFonts w:ascii="Times New Roman" w:hAnsi="Times New Roman" w:cs="Times New Roman" w:eastAsia="Times New Roman" w:hint="default"/>
        </w:rPr>
        <w:t>4,200</w:t>
      </w:r>
      <w:r>
        <w:rPr/>
        <w:t>万元。</w:t>
      </w:r>
    </w:p>
    <w:p>
      <w:pPr>
        <w:pStyle w:val="BodyText"/>
        <w:spacing w:line="240" w:lineRule="auto" w:before="53"/>
        <w:ind w:right="1048"/>
        <w:jc w:val="left"/>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关于新能源产业基金对外投资暨投资进展 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巨潮咨询网</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关于增资天津市茂联科技有限公司暨关联 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巨潮咨询网</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关于追加投资天津市茂联科技有限公司暨 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巨潮咨询网</w:t>
            </w:r>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关于公司全资子公司与公司关联方签署采 购框架协议暨新增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年日常关联交易的 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巨潮咨询网</w:t>
            </w:r>
          </w:p>
        </w:tc>
      </w:tr>
    </w:tbl>
    <w:p>
      <w:pPr>
        <w:spacing w:line="240" w:lineRule="auto" w:before="2"/>
        <w:rPr>
          <w:rFonts w:ascii="宋体" w:hAnsi="宋体" w:cs="宋体" w:eastAsia="宋体" w:hint="default"/>
          <w:sz w:val="18"/>
          <w:szCs w:val="18"/>
        </w:rPr>
      </w:pPr>
    </w:p>
    <w:p>
      <w:pPr>
        <w:pStyle w:val="Heading2"/>
        <w:spacing w:line="240" w:lineRule="auto" w:before="26"/>
        <w:ind w:right="1048"/>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8"/>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8"/>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1048"/>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1048"/>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1048"/>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1048"/>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4"/>
        <w:rPr>
          <w:rFonts w:ascii="宋体" w:hAnsi="宋体" w:cs="宋体" w:eastAsia="宋体" w:hint="default"/>
          <w:sz w:val="8"/>
          <w:szCs w:val="8"/>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75pt;height:20.1pt;mso-position-horizontal-relative:char;mso-position-vertical-relative:line" type="#_x0000_t202" filled="true" fillcolor="#d2d2d2" stroked="true" strokeweight=".47998pt" strokecolor="#000000">
            <w10:anchorlock/>
            <v:textbox inset="0,0,0,0">
              <w:txbxContent>
                <w:p>
                  <w:pPr>
                    <w:pStyle w:val="BodyText"/>
                    <w:spacing w:line="240" w:lineRule="auto" w:before="51"/>
                    <w:ind w:left="2531" w:right="0"/>
                    <w:jc w:val="left"/>
                  </w:pPr>
                  <w:r>
                    <w:rPr/>
                    <w:t>公司及其子公司对外担保情况（不包括对子公司的担保）</w:t>
                  </w:r>
                </w:p>
              </w:txbxContent>
            </v:textbox>
            <v:fill type="solid"/>
          </v:shape>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7"/>
        <w:gridCol w:w="923"/>
        <w:gridCol w:w="1296"/>
        <w:gridCol w:w="1063"/>
        <w:gridCol w:w="1034"/>
        <w:gridCol w:w="1049"/>
        <w:gridCol w:w="792"/>
        <w:gridCol w:w="780"/>
      </w:tblGrid>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9" w:lineRule="auto" w:before="51"/>
              <w:ind w:left="99"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天津市茂联科技有限 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天津市茂联科技有限 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天津市茂联科技有限 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天津市茂联科技有限 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47,000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47,000</w:t>
            </w:r>
          </w:p>
        </w:tc>
      </w:tr>
      <w:tr>
        <w:trPr>
          <w:trHeight w:val="719"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47,000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6" w:right="9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vMerge w:val="restart"/>
            <w:tcBorders>
              <w:top w:val="single" w:sz="4" w:space="0" w:color="000000"/>
              <w:left w:val="single" w:sz="4" w:space="0" w:color="000000"/>
              <w:right w:val="single" w:sz="4" w:space="0" w:color="000000"/>
            </w:tcBorders>
            <w:shd w:val="clear" w:color="auto" w:fill="D2D2D2"/>
          </w:tcPr>
          <w:p>
            <w:pPr/>
          </w:p>
        </w:tc>
        <w:tc>
          <w:tcPr>
            <w:tcW w:w="1296" w:type="dxa"/>
            <w:vMerge w:val="restart"/>
            <w:tcBorders>
              <w:top w:val="single" w:sz="4" w:space="0" w:color="000000"/>
              <w:left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c>
          <w:tcPr>
            <w:tcW w:w="923" w:type="dxa"/>
            <w:vMerge/>
            <w:tcBorders>
              <w:left w:val="single" w:sz="4" w:space="0" w:color="000000"/>
              <w:bottom w:val="nil" w:sz="6" w:space="0" w:color="auto"/>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vMerge/>
            <w:tcBorders>
              <w:left w:val="single" w:sz="4" w:space="0" w:color="000000"/>
              <w:right w:val="single" w:sz="4" w:space="0" w:color="000000"/>
            </w:tcBorders>
            <w:shd w:val="clear" w:color="auto" w:fill="D2D2D2"/>
          </w:tcPr>
          <w:p>
            <w:pPr/>
          </w:p>
        </w:tc>
        <w:tc>
          <w:tcPr>
            <w:tcW w:w="9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vMerge/>
            <w:tcBorders>
              <w:left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1"/>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c>
          <w:tcPr>
            <w:tcW w:w="923" w:type="dxa"/>
            <w:vMerge w:val="restart"/>
            <w:tcBorders>
              <w:top w:val="nil" w:sz="6" w:space="0" w:color="auto"/>
              <w:left w:val="single" w:sz="4" w:space="0" w:color="000000"/>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34"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北京合纵实科电力科 技有限公司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8,361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北京合纵实科电力科 技有限公司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天津合纵电力设备有 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湖南雅城新材料有限 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湖南雅城新材料有限 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湖南雅城新材料有限 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湖南雅城新材料有限 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湖南雅城新材料有限 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湖南雅城新材料有限 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天津合纵电力设备有 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698"/>
        <w:gridCol w:w="910"/>
        <w:gridCol w:w="932"/>
        <w:gridCol w:w="1307"/>
        <w:gridCol w:w="1051"/>
        <w:gridCol w:w="1036"/>
        <w:gridCol w:w="1053"/>
        <w:gridCol w:w="791"/>
        <w:gridCol w:w="785"/>
      </w:tblGrid>
      <w:tr>
        <w:trPr>
          <w:trHeight w:val="714"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 w:right="54"/>
              <w:jc w:val="left"/>
              <w:rPr>
                <w:rFonts w:ascii="宋体" w:hAnsi="宋体" w:cs="宋体" w:eastAsia="宋体" w:hint="default"/>
                <w:sz w:val="18"/>
                <w:szCs w:val="18"/>
              </w:rPr>
            </w:pPr>
            <w:r>
              <w:rPr>
                <w:rFonts w:ascii="宋体" w:hAnsi="宋体" w:cs="宋体" w:eastAsia="宋体" w:hint="default"/>
                <w:sz w:val="18"/>
                <w:szCs w:val="18"/>
              </w:rPr>
              <w:t>湖南雅城新材料有限 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14,000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14,000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9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117,000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94,741</w:t>
            </w:r>
          </w:p>
        </w:tc>
      </w:tr>
      <w:tr>
        <w:trPr>
          <w:trHeight w:val="719"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117,000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68,189.77</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698" w:type="dxa"/>
            <w:vMerge w:val="restart"/>
            <w:tcBorders>
              <w:top w:val="single" w:sz="4" w:space="0" w:color="000000"/>
              <w:left w:val="single" w:sz="4" w:space="0" w:color="000000"/>
              <w:right w:val="single" w:sz="4" w:space="0" w:color="000000"/>
            </w:tcBorders>
            <w:shd w:val="clear" w:color="auto" w:fill="D2D2D2"/>
          </w:tcPr>
          <w:p>
            <w:pPr/>
          </w:p>
        </w:tc>
        <w:tc>
          <w:tcPr>
            <w:tcW w:w="9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2" w:right="8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vMerge w:val="restart"/>
            <w:tcBorders>
              <w:top w:val="single" w:sz="4" w:space="0" w:color="000000"/>
              <w:left w:val="single" w:sz="4" w:space="0" w:color="000000"/>
              <w:right w:val="single" w:sz="4" w:space="0" w:color="000000"/>
            </w:tcBorders>
            <w:shd w:val="clear" w:color="auto" w:fill="D2D2D2"/>
          </w:tcPr>
          <w:p>
            <w:pPr/>
          </w:p>
        </w:tc>
        <w:tc>
          <w:tcPr>
            <w:tcW w:w="1307" w:type="dxa"/>
            <w:vMerge w:val="restart"/>
            <w:tcBorders>
              <w:top w:val="single" w:sz="4" w:space="0" w:color="000000"/>
              <w:left w:val="single" w:sz="4" w:space="0" w:color="000000"/>
              <w:right w:val="single" w:sz="4" w:space="0" w:color="000000"/>
            </w:tcBorders>
            <w:shd w:val="clear" w:color="auto" w:fill="D2D2D2"/>
          </w:tcPr>
          <w:p>
            <w:pPr/>
          </w:p>
        </w:tc>
        <w:tc>
          <w:tcPr>
            <w:tcW w:w="1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6" w:type="dxa"/>
            <w:vMerge w:val="restart"/>
            <w:tcBorders>
              <w:top w:val="single" w:sz="4" w:space="0" w:color="000000"/>
              <w:left w:val="single" w:sz="4" w:space="0" w:color="000000"/>
              <w:right w:val="single" w:sz="4" w:space="0" w:color="000000"/>
            </w:tcBorders>
            <w:shd w:val="clear" w:color="auto" w:fill="D2D2D2"/>
          </w:tcPr>
          <w:p>
            <w:pPr/>
          </w:p>
        </w:tc>
        <w:tc>
          <w:tcPr>
            <w:tcW w:w="1053" w:type="dxa"/>
            <w:vMerge w:val="restart"/>
            <w:tcBorders>
              <w:top w:val="single" w:sz="4" w:space="0" w:color="000000"/>
              <w:left w:val="single" w:sz="4" w:space="0" w:color="000000"/>
              <w:right w:val="single" w:sz="4" w:space="0" w:color="FFFFFF"/>
            </w:tcBorders>
            <w:shd w:val="clear" w:color="auto" w:fill="D2D2D2"/>
          </w:tcPr>
          <w:p>
            <w:pPr/>
          </w:p>
        </w:tc>
        <w:tc>
          <w:tcPr>
            <w:tcW w:w="791" w:type="dxa"/>
            <w:tcBorders>
              <w:top w:val="single" w:sz="4" w:space="0" w:color="000000"/>
              <w:left w:val="single" w:sz="4" w:space="0" w:color="FFFFFF"/>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698" w:type="dxa"/>
            <w:vMerge/>
            <w:tcBorders>
              <w:left w:val="single" w:sz="4" w:space="0" w:color="000000"/>
              <w:bottom w:val="nil" w:sz="6" w:space="0" w:color="auto"/>
              <w:right w:val="single" w:sz="4" w:space="0" w:color="000000"/>
            </w:tcBorders>
            <w:shd w:val="clear" w:color="auto" w:fill="D2D2D2"/>
          </w:tcPr>
          <w:p>
            <w:pPr/>
          </w:p>
        </w:tc>
        <w:tc>
          <w:tcPr>
            <w:tcW w:w="910" w:type="dxa"/>
            <w:vMerge/>
            <w:tcBorders>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1307" w:type="dxa"/>
            <w:vMerge/>
            <w:tcBorders>
              <w:left w:val="single" w:sz="4" w:space="0" w:color="000000"/>
              <w:bottom w:val="nil" w:sz="6" w:space="0" w:color="auto"/>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3"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6"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bottom w:val="nil" w:sz="6" w:space="0" w:color="auto"/>
              <w:right w:val="single" w:sz="4" w:space="0" w:color="FFFFFF"/>
            </w:tcBorders>
            <w:shd w:val="clear" w:color="auto" w:fill="D2D2D2"/>
          </w:tcPr>
          <w:p>
            <w:pPr/>
          </w:p>
        </w:tc>
        <w:tc>
          <w:tcPr>
            <w:tcW w:w="791" w:type="dxa"/>
            <w:vMerge w:val="restart"/>
            <w:tcBorders>
              <w:top w:val="nil" w:sz="6" w:space="0" w:color="auto"/>
              <w:left w:val="single" w:sz="4" w:space="0" w:color="FFFFFF"/>
              <w:right w:val="single" w:sz="4" w:space="0" w:color="000000"/>
            </w:tcBorders>
            <w:shd w:val="clear" w:color="auto" w:fill="D2D2D2"/>
          </w:tcPr>
          <w:p>
            <w:pPr>
              <w:pStyle w:val="TableParagraph"/>
              <w:spacing w:line="319" w:lineRule="auto" w:before="51"/>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6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0" w:type="dxa"/>
            <w:vMerge/>
            <w:tcBorders>
              <w:left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1" w:type="dxa"/>
            <w:vMerge/>
            <w:tcBorders>
              <w:left w:val="single" w:sz="4" w:space="0" w:color="000000"/>
              <w:right w:val="single" w:sz="4" w:space="0" w:color="000000"/>
            </w:tcBorders>
            <w:shd w:val="clear" w:color="auto" w:fill="D2D2D2"/>
          </w:tcPr>
          <w:p>
            <w:pPr/>
          </w:p>
        </w:tc>
        <w:tc>
          <w:tcPr>
            <w:tcW w:w="10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FFFFFF"/>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698" w:type="dxa"/>
            <w:vMerge w:val="restart"/>
            <w:tcBorders>
              <w:top w:val="nil" w:sz="6" w:space="0" w:color="auto"/>
              <w:left w:val="single" w:sz="4" w:space="0" w:color="000000"/>
              <w:right w:val="single" w:sz="4" w:space="0" w:color="000000"/>
            </w:tcBorders>
            <w:shd w:val="clear" w:color="auto" w:fill="D2D2D2"/>
          </w:tcPr>
          <w:p>
            <w:pPr/>
          </w:p>
        </w:tc>
        <w:tc>
          <w:tcPr>
            <w:tcW w:w="910" w:type="dxa"/>
            <w:vMerge/>
            <w:tcBorders>
              <w:left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c>
          <w:tcPr>
            <w:tcW w:w="1307" w:type="dxa"/>
            <w:vMerge w:val="restart"/>
            <w:tcBorders>
              <w:top w:val="nil" w:sz="6" w:space="0" w:color="auto"/>
              <w:left w:val="single" w:sz="4" w:space="0" w:color="000000"/>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1036" w:type="dxa"/>
            <w:vMerge w:val="restart"/>
            <w:tcBorders>
              <w:top w:val="nil" w:sz="6" w:space="0" w:color="auto"/>
              <w:left w:val="single" w:sz="4" w:space="0" w:color="000000"/>
              <w:right w:val="single" w:sz="4" w:space="0" w:color="000000"/>
            </w:tcBorders>
            <w:shd w:val="clear" w:color="auto" w:fill="D2D2D2"/>
          </w:tcPr>
          <w:p>
            <w:pPr/>
          </w:p>
        </w:tc>
        <w:tc>
          <w:tcPr>
            <w:tcW w:w="1053" w:type="dxa"/>
            <w:vMerge w:val="restart"/>
            <w:tcBorders>
              <w:top w:val="nil" w:sz="6" w:space="0" w:color="auto"/>
              <w:left w:val="single" w:sz="4" w:space="0" w:color="000000"/>
              <w:right w:val="single" w:sz="4" w:space="0" w:color="FFFFFF"/>
            </w:tcBorders>
            <w:shd w:val="clear" w:color="auto" w:fill="D2D2D2"/>
          </w:tcPr>
          <w:p>
            <w:pPr/>
          </w:p>
        </w:tc>
        <w:tc>
          <w:tcPr>
            <w:tcW w:w="791" w:type="dxa"/>
            <w:vMerge/>
            <w:tcBorders>
              <w:left w:val="single" w:sz="4" w:space="0" w:color="FFFFFF"/>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98" w:type="dxa"/>
            <w:vMerge/>
            <w:tcBorders>
              <w:left w:val="single" w:sz="4" w:space="0" w:color="000000"/>
              <w:bottom w:val="single" w:sz="4" w:space="0" w:color="000000"/>
              <w:right w:val="single" w:sz="4" w:space="0" w:color="000000"/>
            </w:tcBorders>
            <w:shd w:val="clear" w:color="auto" w:fill="D2D2D2"/>
          </w:tcPr>
          <w:p>
            <w:pPr/>
          </w:p>
        </w:tc>
        <w:tc>
          <w:tcPr>
            <w:tcW w:w="910"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307" w:type="dxa"/>
            <w:vMerge/>
            <w:tcBorders>
              <w:left w:val="single" w:sz="4" w:space="0" w:color="000000"/>
              <w:bottom w:val="single" w:sz="4" w:space="0" w:color="000000"/>
              <w:right w:val="single" w:sz="4" w:space="0" w:color="000000"/>
            </w:tcBorders>
            <w:shd w:val="clear" w:color="auto" w:fill="D2D2D2"/>
          </w:tcPr>
          <w:p>
            <w:pPr/>
          </w:p>
        </w:tc>
        <w:tc>
          <w:tcPr>
            <w:tcW w:w="1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6" w:type="dxa"/>
            <w:vMerge/>
            <w:tcBorders>
              <w:left w:val="single" w:sz="4" w:space="0" w:color="000000"/>
              <w:bottom w:val="single" w:sz="4" w:space="0" w:color="000000"/>
              <w:right w:val="single" w:sz="4" w:space="0" w:color="000000"/>
            </w:tcBorders>
            <w:shd w:val="clear" w:color="auto" w:fill="D2D2D2"/>
          </w:tcPr>
          <w:p>
            <w:pPr/>
          </w:p>
        </w:tc>
        <w:tc>
          <w:tcPr>
            <w:tcW w:w="1053" w:type="dxa"/>
            <w:vMerge/>
            <w:tcBorders>
              <w:left w:val="single" w:sz="4" w:space="0" w:color="000000"/>
              <w:bottom w:val="single" w:sz="4" w:space="0" w:color="000000"/>
              <w:right w:val="single" w:sz="4" w:space="0" w:color="FFFFFF"/>
            </w:tcBorders>
            <w:shd w:val="clear" w:color="auto" w:fill="D2D2D2"/>
          </w:tcPr>
          <w:p>
            <w:pPr/>
          </w:p>
        </w:tc>
        <w:tc>
          <w:tcPr>
            <w:tcW w:w="791" w:type="dxa"/>
            <w:tcBorders>
              <w:top w:val="nil" w:sz="6" w:space="0" w:color="auto"/>
              <w:left w:val="single" w:sz="4" w:space="0" w:color="FFFFFF"/>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 w:right="54"/>
              <w:jc w:val="left"/>
              <w:rPr>
                <w:rFonts w:ascii="宋体" w:hAnsi="宋体" w:cs="宋体" w:eastAsia="宋体" w:hint="default"/>
                <w:sz w:val="18"/>
                <w:szCs w:val="18"/>
              </w:rPr>
            </w:pPr>
            <w:r>
              <w:rPr>
                <w:rFonts w:ascii="宋体" w:hAnsi="宋体" w:cs="宋体" w:eastAsia="宋体" w:hint="default"/>
                <w:sz w:val="18"/>
                <w:szCs w:val="18"/>
              </w:rPr>
              <w:t>天津合纵电力设备有 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1,817.55</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3"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w:t>
            </w:r>
          </w:p>
        </w:tc>
        <w:tc>
          <w:tcPr>
            <w:tcW w:w="79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1,817.55</w:t>
            </w:r>
          </w:p>
        </w:tc>
      </w:tr>
      <w:tr>
        <w:trPr>
          <w:trHeight w:val="719"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1,132.26</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168,000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0"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143,558.55</w:t>
            </w:r>
          </w:p>
        </w:tc>
      </w:tr>
      <w:tr>
        <w:trPr>
          <w:trHeight w:val="714"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168,000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111,322.03</w:t>
            </w:r>
          </w:p>
        </w:tc>
      </w:tr>
      <w:tr>
        <w:trPr>
          <w:trHeight w:val="407"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57.38%</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2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w:t>
            </w:r>
          </w:p>
        </w:tc>
      </w:tr>
      <w:tr>
        <w:trPr>
          <w:trHeight w:val="402"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84,000</w:t>
            </w:r>
          </w:p>
        </w:tc>
      </w:tr>
      <w:tr>
        <w:trPr>
          <w:trHeight w:val="402"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88,200</w:t>
            </w:r>
          </w:p>
        </w:tc>
      </w:tr>
      <w:tr>
        <w:trPr>
          <w:trHeight w:val="714"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5"/>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1048"/>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1048"/>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48"/>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48"/>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1048"/>
        <w:jc w:val="left"/>
      </w:pPr>
      <w:r>
        <w:rPr/>
        <w:t>单项金额重大或安全性较低、流动性较差、不保本的高风险委托理财具体情况</w:t>
      </w:r>
    </w:p>
    <w:p>
      <w:pPr>
        <w:pStyle w:val="BodyText"/>
        <w:spacing w:line="338" w:lineRule="auto" w:before="117"/>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3"/>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48"/>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right="1048"/>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1048"/>
        <w:jc w:val="left"/>
        <w:rPr>
          <w:b w:val="0"/>
          <w:bCs w:val="0"/>
        </w:rPr>
      </w:pPr>
      <w:bookmarkStart w:name="十七、社会责任情况" w:id="97"/>
      <w:bookmarkEnd w:id="97"/>
      <w:r>
        <w:rPr>
          <w:b w:val="0"/>
          <w:bCs w:val="0"/>
        </w:rPr>
      </w:r>
      <w:r>
        <w:rPr/>
        <w:t>十七、社会责任情况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公司报告年度暂未开展精准扶贫工作，也暂无后续精准扶贫计划</w:t>
      </w:r>
    </w:p>
    <w:p>
      <w:pPr>
        <w:spacing w:line="240" w:lineRule="auto" w:before="2"/>
        <w:rPr>
          <w:rFonts w:ascii="宋体" w:hAnsi="宋体" w:cs="宋体" w:eastAsia="宋体" w:hint="default"/>
          <w:sz w:val="25"/>
          <w:szCs w:val="25"/>
        </w:rPr>
      </w:pPr>
    </w:p>
    <w:p>
      <w:pPr>
        <w:pStyle w:val="Heading2"/>
        <w:spacing w:line="240" w:lineRule="auto"/>
        <w:ind w:right="1048"/>
        <w:jc w:val="left"/>
        <w:rPr>
          <w:b w:val="0"/>
          <w:bCs w:val="0"/>
        </w:rPr>
      </w:pPr>
      <w:bookmarkStart w:name="十八、其他重大事项的说明" w:id="98"/>
      <w:bookmarkEnd w:id="98"/>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859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公开发行公司债券事项</w:t>
      </w:r>
    </w:p>
    <w:p>
      <w:pPr>
        <w:pStyle w:val="BodyText"/>
        <w:spacing w:line="300" w:lineRule="auto" w:before="41"/>
        <w:ind w:right="0" w:firstLine="578"/>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日召开公司第四届董事会第二十三次会议审议通过了《关于公司拟公开发行公司债券方案的议案》，公 </w:t>
      </w:r>
      <w:r>
        <w:rPr>
          <w:spacing w:val="-2"/>
        </w:rPr>
        <w:t>司拟面向合格投资者公开发行公司债券，发行的公司债券票面总额为不超过人民币</w:t>
      </w:r>
      <w:r>
        <w:rPr>
          <w:rFonts w:ascii="Times New Roman" w:hAnsi="Times New Roman" w:cs="Times New Roman" w:eastAsia="Times New Roman" w:hint="default"/>
          <w:spacing w:val="-2"/>
        </w:rPr>
        <w:t>3.5</w:t>
      </w:r>
      <w:r>
        <w:rPr>
          <w:spacing w:val="-2"/>
        </w:rPr>
        <w:t>亿元（含</w:t>
      </w:r>
      <w:r>
        <w:rPr>
          <w:rFonts w:ascii="Times New Roman" w:hAnsi="Times New Roman" w:cs="Times New Roman" w:eastAsia="Times New Roman" w:hint="default"/>
          <w:spacing w:val="-2"/>
        </w:rPr>
        <w:t>3.5</w:t>
      </w:r>
      <w:r>
        <w:rPr>
          <w:spacing w:val="-2"/>
        </w:rPr>
        <w:t>亿元）。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24</w:t>
      </w:r>
      <w:r>
        <w:rPr>
          <w:spacing w:val="-2"/>
        </w:rPr>
        <w:t>日，</w:t>
      </w:r>
      <w:r>
        <w:rPr>
          <w:spacing w:val="-54"/>
        </w:rPr>
        <w:t> </w:t>
      </w:r>
      <w:r>
        <w:rPr>
          <w:color w:val="0D0D0D"/>
        </w:rPr>
        <w:t>公司向深交所提交了公开发行公司债券的申请材料。</w:t>
      </w:r>
      <w:r>
        <w:rPr>
          <w:rFonts w:ascii="Times New Roman" w:hAnsi="Times New Roman" w:cs="Times New Roman" w:eastAsia="Times New Roman" w:hint="default"/>
          <w:color w:val="0D0D0D"/>
        </w:rPr>
        <w:t>2018</w:t>
      </w:r>
      <w:r>
        <w:rPr>
          <w:color w:val="0D0D0D"/>
        </w:rPr>
        <w:t>年</w:t>
      </w:r>
      <w:r>
        <w:rPr>
          <w:rFonts w:ascii="Times New Roman" w:hAnsi="Times New Roman" w:cs="Times New Roman" w:eastAsia="Times New Roman" w:hint="default"/>
          <w:color w:val="0D0D0D"/>
        </w:rPr>
        <w:t>3</w:t>
      </w:r>
      <w:r>
        <w:rPr>
          <w:color w:val="0D0D0D"/>
        </w:rPr>
        <w:t>月</w:t>
      </w:r>
      <w:r>
        <w:rPr>
          <w:rFonts w:ascii="Times New Roman" w:hAnsi="Times New Roman" w:cs="Times New Roman" w:eastAsia="Times New Roman" w:hint="default"/>
          <w:color w:val="0D0D0D"/>
        </w:rPr>
        <w:t>23</w:t>
      </w:r>
      <w:r>
        <w:rPr>
          <w:color w:val="0D0D0D"/>
        </w:rPr>
        <w:t>日</w:t>
      </w:r>
      <w:r>
        <w:rPr>
          <w:rFonts w:ascii="Times New Roman" w:hAnsi="Times New Roman" w:cs="Times New Roman" w:eastAsia="Times New Roman" w:hint="default"/>
          <w:color w:val="0D0D0D"/>
        </w:rPr>
        <w:t>,</w:t>
      </w:r>
      <w:r>
        <w:rPr>
          <w:color w:val="0D0D0D"/>
        </w:rPr>
        <w:t>公司发行公司债券</w:t>
      </w:r>
      <w:r>
        <w:rPr>
          <w:rFonts w:ascii="Times New Roman" w:hAnsi="Times New Roman" w:cs="Times New Roman" w:eastAsia="Times New Roman" w:hint="default"/>
          <w:color w:val="0D0D0D"/>
        </w:rPr>
        <w:t>(</w:t>
      </w:r>
      <w:r>
        <w:rPr>
          <w:color w:val="0D0D0D"/>
        </w:rPr>
        <w:t>面向合格投资者</w:t>
      </w:r>
      <w:r>
        <w:rPr>
          <w:rFonts w:ascii="Times New Roman" w:hAnsi="Times New Roman" w:cs="Times New Roman" w:eastAsia="Times New Roman" w:hint="default"/>
          <w:color w:val="0D0D0D"/>
        </w:rPr>
        <w:t>)</w:t>
      </w:r>
      <w:r>
        <w:rPr>
          <w:color w:val="0D0D0D"/>
        </w:rPr>
        <w:t>通过深交所申请文</w:t>
      </w:r>
      <w:r>
        <w:rPr>
          <w:color w:val="0D0D0D"/>
          <w:spacing w:val="-73"/>
        </w:rPr>
        <w:t> </w:t>
      </w:r>
      <w:r>
        <w:rPr>
          <w:color w:val="0D0D0D"/>
          <w:spacing w:val="-73"/>
        </w:rPr>
      </w:r>
      <w:r>
        <w:rPr>
          <w:color w:val="0D0D0D"/>
        </w:rPr>
        <w:t>件预审核反馈。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日中国证券监督管理委员向公司核发了《关于核准北京合纵科技股份有限公司向合格投资者公</w:t>
      </w:r>
      <w:r>
        <w:rPr>
          <w:spacing w:val="-83"/>
        </w:rPr>
        <w:t> </w:t>
      </w:r>
      <w:r>
        <w:rPr>
          <w:spacing w:val="-83"/>
        </w:rPr>
      </w:r>
      <w:r>
        <w:rPr/>
        <w:t>开发行公司债券的批复》（证监许可</w:t>
      </w:r>
      <w:r>
        <w:rPr>
          <w:rFonts w:ascii="Times New Roman" w:hAnsi="Times New Roman" w:cs="Times New Roman" w:eastAsia="Times New Roman" w:hint="default"/>
        </w:rPr>
        <w:t>[2018]730</w:t>
      </w:r>
      <w:r>
        <w:rPr/>
        <w:t>号）。</w:t>
      </w:r>
    </w:p>
    <w:p>
      <w:pPr>
        <w:pStyle w:val="BodyText"/>
        <w:spacing w:line="309" w:lineRule="auto" w:before="53"/>
        <w:ind w:right="1131" w:firstLine="506"/>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日第四届董事会第四十四次会议审议通过了《关于延长公司公开发行公司债券股东大会决议有效期的议 </w:t>
      </w:r>
      <w:r>
        <w:rPr>
          <w:spacing w:val="-2"/>
        </w:rPr>
        <w:t>案》及《关于提请股东大会延长本次公开发行公司债券授权事项有效期的议案》，公司拟延长本次公开发行公司债券股东大</w:t>
      </w:r>
      <w:r>
        <w:rPr>
          <w:spacing w:val="-66"/>
        </w:rPr>
        <w:t> </w:t>
      </w:r>
      <w:r>
        <w:rPr>
          <w:spacing w:val="-66"/>
        </w:rPr>
      </w:r>
      <w:r>
        <w:rPr/>
        <w:t>会决议和授权有效期为自前次决议有效期届满之日起</w:t>
      </w:r>
      <w:r>
        <w:rPr>
          <w:rFonts w:ascii="Times New Roman" w:hAnsi="Times New Roman" w:cs="Times New Roman" w:eastAsia="Times New Roman" w:hint="default"/>
        </w:rPr>
        <w:t>12</w:t>
      </w:r>
      <w:r>
        <w:rPr/>
        <w:t>个月，即有效期延长至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w:t>
      </w:r>
    </w:p>
    <w:p>
      <w:pPr>
        <w:pStyle w:val="BodyText"/>
        <w:spacing w:line="240" w:lineRule="auto" w:before="43"/>
        <w:ind w:left="588"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日由于资本市场的变化，公司未能在中国证券会核准之日起</w:t>
      </w:r>
      <w:r>
        <w:rPr>
          <w:rFonts w:ascii="Times New Roman" w:hAnsi="Times New Roman" w:cs="Times New Roman" w:eastAsia="Times New Roman" w:hint="default"/>
        </w:rPr>
        <w:t>6</w:t>
      </w:r>
      <w:r>
        <w:rPr/>
        <w:t>个月内完成向合格投资者公开发行公司债券</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345" w:right="4166" w:hanging="192"/>
        <w:jc w:val="left"/>
      </w:pPr>
      <w:r>
        <w:rPr/>
        <w:t>事宜，公司本次公开发行公司债券的批复到期自动失效。 以上事项公司均已在巨潮资讯网（</w:t>
      </w:r>
      <w:hyperlink r:id="rId12">
        <w:r>
          <w:rPr>
            <w:rFonts w:ascii="Times New Roman" w:hAnsi="Times New Roman" w:cs="Times New Roman" w:eastAsia="Times New Roman" w:hint="default"/>
          </w:rPr>
          <w:t>http://www.cninfo.com.cn</w:t>
        </w:r>
      </w:hyperlink>
      <w:r>
        <w:rPr/>
        <w:t>）进行了相应的公告。</w:t>
      </w:r>
    </w:p>
    <w:p>
      <w:pPr>
        <w:spacing w:line="240" w:lineRule="auto" w:before="7"/>
        <w:rPr>
          <w:rFonts w:ascii="宋体" w:hAnsi="宋体" w:cs="宋体" w:eastAsia="宋体" w:hint="default"/>
          <w:sz w:val="16"/>
          <w:szCs w:val="16"/>
        </w:rPr>
      </w:pPr>
    </w:p>
    <w:p>
      <w:pPr>
        <w:pStyle w:val="Heading2"/>
        <w:spacing w:line="240" w:lineRule="auto"/>
        <w:ind w:right="1048"/>
        <w:jc w:val="left"/>
        <w:rPr>
          <w:b w:val="0"/>
          <w:bCs w:val="0"/>
        </w:rPr>
      </w:pPr>
      <w:bookmarkStart w:name="十九、公司子公司重大事项" w:id="99"/>
      <w:bookmarkEnd w:id="99"/>
      <w:r>
        <w:rPr>
          <w:b w:val="0"/>
          <w:bCs w:val="0"/>
        </w:rPr>
      </w:r>
      <w:r>
        <w:rPr/>
        <w:t>十九、公司子公司重大事项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1048"/>
        <w:jc w:val="left"/>
        <w:rPr>
          <w:b w:val="0"/>
          <w:bCs w:val="0"/>
        </w:rPr>
      </w:pPr>
      <w:bookmarkStart w:name="_TOC_250006" w:id="100"/>
      <w:bookmarkStart w:name="第六节 股份变动及股东情况" w:id="101"/>
      <w:r>
        <w:rPr>
          <w:b w:val="0"/>
          <w:bCs w:val="0"/>
        </w:rPr>
      </w:r>
      <w:r>
        <w:rPr/>
        <w:t>第六节</w:t>
      </w:r>
      <w:r>
        <w:rPr>
          <w:spacing w:val="-10"/>
        </w:rPr>
        <w:t> </w:t>
      </w:r>
      <w:r>
        <w:rPr/>
        <w:t>股份变动及股东情况</w:t>
      </w:r>
      <w:bookmarkEnd w:id="10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48"/>
        <w:jc w:val="left"/>
        <w:rPr>
          <w:b w:val="0"/>
          <w:bCs w:val="0"/>
        </w:rPr>
      </w:pPr>
      <w:bookmarkStart w:name="一、股份变动情况" w:id="102"/>
      <w:bookmarkEnd w:id="10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8"/>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0"/>
        <w:gridCol w:w="1004"/>
        <w:gridCol w:w="708"/>
        <w:gridCol w:w="852"/>
        <w:gridCol w:w="425"/>
        <w:gridCol w:w="991"/>
        <w:gridCol w:w="992"/>
        <w:gridCol w:w="1180"/>
        <w:gridCol w:w="1088"/>
        <w:gridCol w:w="709"/>
      </w:tblGrid>
      <w:tr>
        <w:trPr>
          <w:trHeight w:val="205" w:hRule="exact"/>
        </w:trPr>
        <w:tc>
          <w:tcPr>
            <w:tcW w:w="1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44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2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820" w:type="dxa"/>
            <w:vMerge w:val="restart"/>
            <w:tcBorders>
              <w:top w:val="nil" w:sz="6" w:space="0" w:color="auto"/>
              <w:left w:val="single" w:sz="4" w:space="0" w:color="000000"/>
              <w:right w:val="single" w:sz="4" w:space="0" w:color="000000"/>
            </w:tcBorders>
            <w:shd w:val="clear" w:color="auto" w:fill="D2D2D2"/>
          </w:tcPr>
          <w:p>
            <w:pPr/>
          </w:p>
        </w:tc>
        <w:tc>
          <w:tcPr>
            <w:tcW w:w="1712" w:type="dxa"/>
            <w:gridSpan w:val="2"/>
            <w:vMerge/>
            <w:tcBorders>
              <w:left w:val="single" w:sz="4" w:space="0" w:color="000000"/>
              <w:bottom w:val="single" w:sz="4" w:space="0" w:color="000000"/>
              <w:right w:val="single" w:sz="4" w:space="0" w:color="000000"/>
            </w:tcBorders>
            <w:shd w:val="clear" w:color="auto" w:fill="D2D2D2"/>
          </w:tcPr>
          <w:p>
            <w:pPr/>
          </w:p>
        </w:tc>
        <w:tc>
          <w:tcPr>
            <w:tcW w:w="4441" w:type="dxa"/>
            <w:gridSpan w:val="5"/>
            <w:vMerge/>
            <w:tcBorders>
              <w:left w:val="single" w:sz="4" w:space="0" w:color="000000"/>
              <w:bottom w:val="single" w:sz="4" w:space="0" w:color="000000"/>
              <w:right w:val="single" w:sz="4" w:space="0" w:color="000000"/>
            </w:tcBorders>
            <w:shd w:val="clear" w:color="auto" w:fill="D2D2D2"/>
          </w:tcPr>
          <w:p>
            <w:pPr/>
          </w:p>
        </w:tc>
        <w:tc>
          <w:tcPr>
            <w:tcW w:w="179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20"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1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202,453,643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132,164,118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-69,430,557</w:t>
            </w:r>
            <w:r>
              <w:rPr>
                <w:rFonts w:ascii="Times New Roman"/>
                <w:sz w:val="18"/>
              </w:rPr>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62,733,561</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265,187,204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45.55%</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202,453,643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62.59%</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132,164,118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-69,430,557</w:t>
            </w:r>
            <w:r>
              <w:rPr>
                <w:rFonts w:ascii="Times New Roman"/>
                <w:sz w:val="18"/>
              </w:rPr>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62,733,561</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265,187,204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45.55%</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32,092,230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25,673,783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-19,148,281</w:t>
            </w:r>
            <w:r>
              <w:rPr>
                <w:rFonts w:ascii="Times New Roman"/>
                <w:sz w:val="18"/>
              </w:rPr>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6,525,502</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38,617,732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6.63%</w:t>
            </w:r>
          </w:p>
        </w:tc>
      </w:tr>
      <w:tr>
        <w:trPr>
          <w:trHeight w:val="71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170,361,413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106,490,335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-50,282,276</w:t>
            </w:r>
            <w:r>
              <w:rPr>
                <w:rFonts w:ascii="Times New Roman"/>
                <w:sz w:val="18"/>
              </w:rPr>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56,208,059</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226,569,472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38.92%</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120,987,825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126,589,056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69,430,557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196,019,613</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317,007,438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54.45%</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120,987,825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126,589,056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69,430,557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196,019,613</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317,007,438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54.45%</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323,441,468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258,753,174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258,753,174</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582,194,642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1048"/>
        <w:jc w:val="left"/>
      </w:pPr>
      <w:r>
        <w:rPr/>
        <w:t>股份变动的原因</w:t>
      </w:r>
    </w:p>
    <w:p>
      <w:pPr>
        <w:pStyle w:val="BodyText"/>
        <w:spacing w:line="240" w:lineRule="auto" w:before="117"/>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032"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日公司控股股东、实际控制人、董事长刘泽刚先生及董事韦强先生、董事张仁增先生、董事何昀先生、 董事高星女士解除首发前限售股份数量为</w:t>
      </w:r>
      <w:r>
        <w:rPr>
          <w:rFonts w:ascii="Times New Roman" w:hAnsi="Times New Roman" w:cs="Times New Roman" w:eastAsia="Times New Roman" w:hint="default"/>
        </w:rPr>
        <w:t>144,996,227</w:t>
      </w:r>
      <w:r>
        <w:rPr/>
        <w:t>股</w:t>
      </w:r>
      <w:r>
        <w:rPr>
          <w:rFonts w:ascii="Times New Roman" w:hAnsi="Times New Roman" w:cs="Times New Roman" w:eastAsia="Times New Roman" w:hint="default"/>
        </w:rPr>
        <w:t>,</w:t>
      </w:r>
      <w:r>
        <w:rPr/>
        <w:t>解限售无限售股增加</w:t>
      </w:r>
      <w:r>
        <w:rPr>
          <w:rFonts w:ascii="Times New Roman" w:hAnsi="Times New Roman" w:cs="Times New Roman" w:eastAsia="Times New Roman" w:hint="default"/>
        </w:rPr>
        <w:t>37,013,033</w:t>
      </w:r>
      <w:r>
        <w:rPr/>
        <w:t>股，限售股减少</w:t>
      </w:r>
      <w:r>
        <w:rPr>
          <w:rFonts w:ascii="Times New Roman" w:hAnsi="Times New Roman" w:cs="Times New Roman" w:eastAsia="Times New Roman" w:hint="default"/>
        </w:rPr>
        <w:t>37,013,033</w:t>
      </w:r>
      <w:r>
        <w:rPr/>
        <w:t>股；</w:t>
      </w:r>
    </w:p>
    <w:p>
      <w:pPr>
        <w:pStyle w:val="BodyText"/>
        <w:spacing w:line="240" w:lineRule="auto" w:before="13"/>
        <w:ind w:left="514" w:right="1048"/>
        <w:jc w:val="left"/>
      </w:pPr>
      <w:r>
        <w:rPr>
          <w:rFonts w:ascii="Times New Roman" w:hAnsi="Times New Roman" w:cs="Times New Roman" w:eastAsia="Times New Roman" w:hint="default"/>
        </w:rPr>
        <w:t>2</w:t>
      </w:r>
      <w:r>
        <w:rPr/>
        <w:t>、公司报告期内，因公司董监高持股变动，高管锁定股增加</w:t>
      </w:r>
      <w:r>
        <w:rPr>
          <w:rFonts w:ascii="Times New Roman" w:hAnsi="Times New Roman" w:cs="Times New Roman" w:eastAsia="Times New Roman" w:hint="default"/>
        </w:rPr>
        <w:t>235,462</w:t>
      </w:r>
      <w:r>
        <w:rPr/>
        <w:t>股；</w:t>
      </w:r>
    </w:p>
    <w:p>
      <w:pPr>
        <w:pStyle w:val="BodyText"/>
        <w:spacing w:line="300" w:lineRule="auto" w:before="63"/>
        <w:ind w:right="1122"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日实施完成</w:t>
      </w:r>
      <w:r>
        <w:rPr>
          <w:rFonts w:ascii="Times New Roman" w:hAnsi="Times New Roman" w:cs="Times New Roman" w:eastAsia="Times New Roman" w:hint="default"/>
        </w:rPr>
        <w:t>2017</w:t>
      </w:r>
      <w:r>
        <w:rPr/>
        <w:t>年度权益分派方案，其方案中以资本公积金向全体股东每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股，因此无限售流 通股相应增加</w:t>
      </w:r>
      <w:r>
        <w:rPr>
          <w:rFonts w:ascii="Times New Roman" w:hAnsi="Times New Roman" w:cs="Times New Roman" w:eastAsia="Times New Roman" w:hint="default"/>
        </w:rPr>
        <w:t>126,589,056</w:t>
      </w:r>
      <w:r>
        <w:rPr/>
        <w:t>股，限售股增加</w:t>
      </w:r>
      <w:r>
        <w:rPr>
          <w:rFonts w:ascii="Times New Roman" w:hAnsi="Times New Roman" w:cs="Times New Roman" w:eastAsia="Times New Roman" w:hint="default"/>
        </w:rPr>
        <w:t>132,164,118</w:t>
      </w:r>
      <w:r>
        <w:rPr/>
        <w:t>股；</w:t>
      </w:r>
    </w:p>
    <w:p>
      <w:pPr>
        <w:pStyle w:val="BodyText"/>
        <w:spacing w:line="300" w:lineRule="auto" w:before="13"/>
        <w:ind w:right="1122" w:firstLine="36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日，公司</w:t>
      </w:r>
      <w:r>
        <w:rPr>
          <w:rFonts w:ascii="Times New Roman" w:hAnsi="Times New Roman" w:cs="Times New Roman" w:eastAsia="Times New Roman" w:hint="default"/>
        </w:rPr>
        <w:t>2017</w:t>
      </w:r>
      <w:r>
        <w:rPr/>
        <w:t>年实施的发行股份及支付现金购买资产并并募集配套资金暨关联交易事项，其部分股份解 除限售导致无限售流通股增加</w:t>
      </w:r>
      <w:r>
        <w:rPr>
          <w:rFonts w:ascii="Times New Roman" w:hAnsi="Times New Roman" w:cs="Times New Roman" w:eastAsia="Times New Roman" w:hint="default"/>
        </w:rPr>
        <w:t>21,525,407</w:t>
      </w:r>
      <w:r>
        <w:rPr/>
        <w:t>股，同时限售股相应减少</w:t>
      </w:r>
      <w:r>
        <w:rPr>
          <w:rFonts w:ascii="Times New Roman" w:hAnsi="Times New Roman" w:cs="Times New Roman" w:eastAsia="Times New Roman" w:hint="default"/>
        </w:rPr>
        <w:t>21,525,407</w:t>
      </w:r>
      <w:r>
        <w:rPr/>
        <w:t>股；</w:t>
      </w:r>
    </w:p>
    <w:p>
      <w:pPr>
        <w:pStyle w:val="BodyText"/>
        <w:spacing w:line="300" w:lineRule="auto" w:before="13"/>
        <w:ind w:right="1122" w:firstLine="36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日，公司</w:t>
      </w:r>
      <w:r>
        <w:rPr>
          <w:rFonts w:ascii="Times New Roman" w:hAnsi="Times New Roman" w:cs="Times New Roman" w:eastAsia="Times New Roman" w:hint="default"/>
        </w:rPr>
        <w:t>2017</w:t>
      </w:r>
      <w:r>
        <w:rPr/>
        <w:t>年实施的发行股份及支付现金购买资产并并募集配套资金暨关联交易事项，其部分股份 解除限售导致无限售流通股增加</w:t>
      </w:r>
      <w:r>
        <w:rPr>
          <w:rFonts w:ascii="Times New Roman" w:hAnsi="Times New Roman" w:cs="Times New Roman" w:eastAsia="Times New Roman" w:hint="default"/>
        </w:rPr>
        <w:t>10,656,655</w:t>
      </w:r>
      <w:r>
        <w:rPr/>
        <w:t>股，同时限售股相应减少</w:t>
      </w:r>
      <w:r>
        <w:rPr>
          <w:rFonts w:ascii="Times New Roman" w:hAnsi="Times New Roman" w:cs="Times New Roman" w:eastAsia="Times New Roman" w:hint="default"/>
        </w:rPr>
        <w:t>10,656,655</w:t>
      </w:r>
      <w:r>
        <w:rPr/>
        <w:t>股；</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40" w:lineRule="auto" w:before="44"/>
        <w:ind w:right="3462" w:firstLine="360"/>
        <w:jc w:val="left"/>
      </w:pPr>
      <w:r>
        <w:rPr/>
        <w:t>综上所述，公司有限售条件股份增加</w:t>
      </w:r>
      <w:r>
        <w:rPr>
          <w:rFonts w:ascii="Times New Roman" w:hAnsi="Times New Roman" w:cs="Times New Roman" w:eastAsia="Times New Roman" w:hint="default"/>
        </w:rPr>
        <w:t>62,733,561</w:t>
      </w:r>
      <w:r>
        <w:rPr/>
        <w:t>股，无限售条件股份增加</w:t>
      </w:r>
      <w:r>
        <w:rPr>
          <w:rFonts w:ascii="Times New Roman" w:hAnsi="Times New Roman" w:cs="Times New Roman" w:eastAsia="Times New Roman" w:hint="default"/>
        </w:rPr>
        <w:t>196,019,613</w:t>
      </w:r>
      <w:r>
        <w:rPr/>
        <w:t>股。 股份变动的批准情况</w:t>
      </w:r>
    </w:p>
    <w:p>
      <w:pPr>
        <w:pStyle w:val="BodyText"/>
        <w:spacing w:line="338" w:lineRule="auto" w:before="41"/>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338" w:lineRule="auto" w:before="40"/>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38" w:lineRule="auto" w:before="43"/>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40" w:lineRule="auto" w:before="42"/>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0"/>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48"/>
        <w:jc w:val="left"/>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72,844,092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18,218,748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43,755,896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98,381,240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高管锁定股、首 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36,809,818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9,202,955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22,089,090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49,695,953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17,164,765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4,291,516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10,300,939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23,174,188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14,447,162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3,636,791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8,828,297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19,638,668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赣州合纵投资管 理合伙企业（有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9,595,600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7,676,480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17,272,080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北京合纵科技股 份有限公司－第 一期员工持股计 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9,318,466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7,454,773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16,773,239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7,362,140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1,854,973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4,509,684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10,016,851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李智军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6,445,547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6,381,092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5,156,438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5,220,893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319" w:lineRule="auto" w:before="61"/>
              <w:ind w:left="22"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日解限限售股中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3,141,295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968,611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3,057,813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5,230,497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毛科娟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2,206,311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1,765,049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3,971,360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其他股东合计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23,118,447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26,215,283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18,909,071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15,812,235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202,453,643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70,769,969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133,503,530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265,187,204</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634" w:right="1048"/>
        <w:jc w:val="left"/>
      </w:pPr>
      <w:r>
        <w:rPr/>
        <w:t>本公司</w:t>
      </w:r>
      <w:r>
        <w:rPr>
          <w:rFonts w:ascii="Times New Roman" w:hAnsi="Times New Roman" w:cs="Times New Roman" w:eastAsia="Times New Roman" w:hint="default"/>
        </w:rPr>
        <w:t>2017</w:t>
      </w:r>
      <w:r>
        <w:rPr/>
        <w:t>年年度权益分派方案为：以公司现有总股本</w:t>
      </w:r>
      <w:r>
        <w:rPr>
          <w:rFonts w:ascii="Times New Roman" w:hAnsi="Times New Roman" w:cs="Times New Roman" w:eastAsia="Times New Roman" w:hint="default"/>
        </w:rPr>
        <w:t>323,441,468</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1.00</w:t>
      </w:r>
      <w:r>
        <w:rPr/>
        <w:t>元人民币现金</w:t>
      </w:r>
    </w:p>
    <w:p>
      <w:pPr>
        <w:pStyle w:val="BodyText"/>
        <w:spacing w:line="304" w:lineRule="auto" w:before="63"/>
        <w:ind w:right="1130"/>
        <w:jc w:val="both"/>
      </w:pPr>
      <w:r>
        <w:rPr>
          <w:spacing w:val="-1"/>
        </w:rPr>
        <w:t>（含税；扣税后，</w:t>
      </w:r>
      <w:r>
        <w:rPr>
          <w:rFonts w:ascii="Times New Roman" w:hAnsi="Times New Roman" w:cs="Times New Roman" w:eastAsia="Times New Roman" w:hint="default"/>
          <w:spacing w:val="-1"/>
        </w:rPr>
        <w:t>QFII</w:t>
      </w:r>
      <w:r>
        <w:rPr>
          <w:spacing w:val="-1"/>
        </w:rPr>
        <w:t>、</w:t>
      </w:r>
      <w:r>
        <w:rPr>
          <w:rFonts w:ascii="Times New Roman" w:hAnsi="Times New Roman" w:cs="Times New Roman" w:eastAsia="Times New Roman" w:hint="default"/>
          <w:spacing w:val="-1"/>
        </w:rPr>
        <w:t>RQFII</w:t>
      </w:r>
      <w:r>
        <w:rPr>
          <w:spacing w:val="-1"/>
        </w:rPr>
        <w:t>以及持有股改限售股、首发限售股的个人和证券投资基金每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0.9</w:t>
      </w:r>
      <w:r>
        <w:rPr>
          <w:spacing w:val="-1"/>
        </w:rPr>
        <w:t>元；持有非股改、非首</w:t>
      </w:r>
      <w:r>
        <w:rPr>
          <w:spacing w:val="-82"/>
        </w:rPr>
        <w:t> </w:t>
      </w:r>
      <w:r>
        <w:rPr>
          <w:spacing w:val="-82"/>
        </w:rPr>
      </w:r>
      <w:r>
        <w:rPr>
          <w:spacing w:val="-1"/>
        </w:rPr>
        <w:t>发限售股及无限售流通股的个人股息红利税实行差别化税率征收，先按每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1.00</w:t>
      </w:r>
      <w:r>
        <w:rPr>
          <w:spacing w:val="-1"/>
        </w:rPr>
        <w:t>元，权益登记日后根据投资者减持股票</w:t>
      </w:r>
      <w:r>
        <w:rPr>
          <w:spacing w:val="-71"/>
        </w:rPr>
        <w:t> </w:t>
      </w:r>
      <w:r>
        <w:rPr>
          <w:spacing w:val="-71"/>
        </w:rPr>
      </w:r>
      <w:r>
        <w:rPr>
          <w:spacing w:val="-2"/>
        </w:rPr>
        <w:t>情况，再按实际持股期限补缴税款；持有非股改、非首发限售股及无限售流通股的证券投资基金所涉红利税，对香港投资者</w:t>
      </w:r>
      <w:r>
        <w:rPr>
          <w:spacing w:val="-67"/>
        </w:rPr>
        <w:t> </w:t>
      </w:r>
      <w:r>
        <w:rPr>
          <w:spacing w:val="-67"/>
        </w:rPr>
      </w:r>
      <w:r>
        <w:rPr>
          <w:spacing w:val="-1"/>
        </w:rPr>
        <w:t>持有基金份额部分按</w:t>
      </w:r>
      <w:r>
        <w:rPr>
          <w:rFonts w:ascii="Times New Roman" w:hAnsi="Times New Roman" w:cs="Times New Roman" w:eastAsia="Times New Roman" w:hint="default"/>
          <w:spacing w:val="-1"/>
        </w:rPr>
        <w:t>10%</w:t>
      </w:r>
      <w:r>
        <w:rPr>
          <w:spacing w:val="-1"/>
        </w:rPr>
        <w:t>征收，对内地投资者持有基金份额部分实行差别化税率征收</w:t>
      </w:r>
      <w:r>
        <w:rPr>
          <w:rFonts w:ascii="Times New Roman" w:hAnsi="Times New Roman" w:cs="Times New Roman" w:eastAsia="Times New Roman" w:hint="default"/>
          <w:spacing w:val="-1"/>
        </w:rPr>
        <w:t>ª</w:t>
      </w:r>
      <w:r>
        <w:rPr>
          <w:spacing w:val="-1"/>
        </w:rPr>
        <w:t>；对于</w:t>
      </w:r>
      <w:r>
        <w:rPr>
          <w:rFonts w:ascii="Times New Roman" w:hAnsi="Times New Roman" w:cs="Times New Roman" w:eastAsia="Times New Roman" w:hint="default"/>
          <w:spacing w:val="-1"/>
        </w:rPr>
        <w:t>QFII</w:t>
      </w:r>
      <w:r>
        <w:rPr>
          <w:spacing w:val="-1"/>
        </w:rPr>
        <w:t>、</w:t>
      </w:r>
      <w:r>
        <w:rPr>
          <w:rFonts w:ascii="Times New Roman" w:hAnsi="Times New Roman" w:cs="Times New Roman" w:eastAsia="Times New Roman" w:hint="default"/>
          <w:spacing w:val="-1"/>
        </w:rPr>
        <w:t>RQFII</w:t>
      </w:r>
      <w:r>
        <w:rPr>
          <w:spacing w:val="-1"/>
        </w:rPr>
        <w:t>外的其他非居民企</w:t>
      </w:r>
      <w:r>
        <w:rPr>
          <w:spacing w:val="-56"/>
        </w:rPr>
        <w:t> </w:t>
      </w:r>
      <w:r>
        <w:rPr>
          <w:spacing w:val="-56"/>
        </w:rPr>
      </w:r>
      <w:r>
        <w:rPr/>
        <w:t>业，本公司未代扣代缴所得税，由纳税人在所得发生地缴纳。）；同时，以资本公积金向全体股东每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w:t>
      </w:r>
    </w:p>
    <w:p>
      <w:pPr>
        <w:pStyle w:val="BodyText"/>
        <w:spacing w:line="240" w:lineRule="auto" w:before="9"/>
        <w:ind w:left="634" w:right="0"/>
        <w:jc w:val="left"/>
      </w:pPr>
      <w:r>
        <w:rPr/>
        <w:t>【</w:t>
      </w:r>
      <w:r>
        <w:rPr>
          <w:rFonts w:ascii="Times New Roman" w:hAnsi="Times New Roman" w:cs="Times New Roman" w:eastAsia="Times New Roman" w:hint="default"/>
        </w:rPr>
        <w:t>ª</w:t>
      </w:r>
      <w:r>
        <w:rPr/>
        <w:t>注：根据先进先出的原则，以投资者证券账户为单位计算持股期限，持股</w:t>
      </w:r>
      <w:r>
        <w:rPr>
          <w:rFonts w:ascii="Times New Roman" w:hAnsi="Times New Roman" w:cs="Times New Roman" w:eastAsia="Times New Roman" w:hint="default"/>
        </w:rPr>
        <w:t>1</w:t>
      </w:r>
      <w:r>
        <w:rPr/>
        <w:t>个月（含</w:t>
      </w:r>
      <w:r>
        <w:rPr>
          <w:rFonts w:ascii="Times New Roman" w:hAnsi="Times New Roman" w:cs="Times New Roman" w:eastAsia="Times New Roman" w:hint="default"/>
        </w:rPr>
        <w:t>1</w:t>
      </w:r>
      <w:r>
        <w:rPr/>
        <w:t>个月）以内，每</w:t>
      </w:r>
      <w:r>
        <w:rPr>
          <w:rFonts w:ascii="Times New Roman" w:hAnsi="Times New Roman" w:cs="Times New Roman" w:eastAsia="Times New Roman" w:hint="default"/>
        </w:rPr>
        <w:t>10</w:t>
      </w:r>
      <w:r>
        <w:rPr/>
        <w:t>股补缴税款</w:t>
      </w:r>
    </w:p>
    <w:p>
      <w:pPr>
        <w:pStyle w:val="BodyText"/>
        <w:spacing w:line="300" w:lineRule="auto" w:before="63"/>
        <w:ind w:left="634" w:right="1048" w:hanging="480"/>
        <w:jc w:val="left"/>
        <w:rPr>
          <w:rFonts w:ascii="Times New Roman" w:hAnsi="Times New Roman" w:cs="Times New Roman" w:eastAsia="Times New Roman" w:hint="default"/>
        </w:rPr>
      </w:pPr>
      <w:r>
        <w:rPr>
          <w:rFonts w:ascii="Times New Roman" w:hAnsi="Times New Roman" w:cs="Times New Roman" w:eastAsia="Times New Roman" w:hint="default"/>
        </w:rPr>
        <w:t>0.2</w:t>
      </w:r>
      <w:r>
        <w:rPr/>
        <w:t>元；持股</w:t>
      </w:r>
      <w:r>
        <w:rPr>
          <w:rFonts w:ascii="Times New Roman" w:hAnsi="Times New Roman" w:cs="Times New Roman" w:eastAsia="Times New Roman" w:hint="default"/>
        </w:rPr>
        <w:t>1</w:t>
      </w:r>
      <w:r>
        <w:rPr/>
        <w:t>个月以上至</w:t>
      </w:r>
      <w:r>
        <w:rPr>
          <w:rFonts w:ascii="Times New Roman" w:hAnsi="Times New Roman" w:cs="Times New Roman" w:eastAsia="Times New Roman" w:hint="default"/>
        </w:rPr>
        <w:t>1</w:t>
      </w:r>
      <w:r>
        <w:rPr/>
        <w:t>年（含</w:t>
      </w:r>
      <w:r>
        <w:rPr>
          <w:rFonts w:ascii="Times New Roman" w:hAnsi="Times New Roman" w:cs="Times New Roman" w:eastAsia="Times New Roman" w:hint="default"/>
        </w:rPr>
        <w:t>1</w:t>
      </w:r>
      <w:r>
        <w:rPr/>
        <w:t>年）的，每</w:t>
      </w:r>
      <w:r>
        <w:rPr>
          <w:rFonts w:ascii="Times New Roman" w:hAnsi="Times New Roman" w:cs="Times New Roman" w:eastAsia="Times New Roman" w:hint="default"/>
        </w:rPr>
        <w:t>10</w:t>
      </w:r>
      <w:r>
        <w:rPr/>
        <w:t>股补缴税款</w:t>
      </w:r>
      <w:r>
        <w:rPr>
          <w:rFonts w:ascii="Times New Roman" w:hAnsi="Times New Roman" w:cs="Times New Roman" w:eastAsia="Times New Roman" w:hint="default"/>
        </w:rPr>
        <w:t>0.1</w:t>
      </w:r>
      <w:r>
        <w:rPr/>
        <w:t>元；持股超过</w:t>
      </w:r>
      <w:r>
        <w:rPr>
          <w:rFonts w:ascii="Times New Roman" w:hAnsi="Times New Roman" w:cs="Times New Roman" w:eastAsia="Times New Roman" w:hint="default"/>
        </w:rPr>
        <w:t>1</w:t>
      </w:r>
      <w:r>
        <w:rPr/>
        <w:t>年的，不需补缴税款。】 分红前本公司总股本为</w:t>
      </w:r>
      <w:r>
        <w:rPr>
          <w:rFonts w:ascii="Times New Roman" w:hAnsi="Times New Roman" w:cs="Times New Roman" w:eastAsia="Times New Roman" w:hint="default"/>
        </w:rPr>
        <w:t>323,441,468</w:t>
      </w:r>
      <w:r>
        <w:rPr/>
        <w:t>股，分红后总股本增至</w:t>
      </w:r>
      <w:r>
        <w:rPr>
          <w:rFonts w:ascii="Times New Roman" w:hAnsi="Times New Roman" w:cs="Times New Roman" w:eastAsia="Times New Roman" w:hint="default"/>
        </w:rPr>
        <w:t>582,194,642</w:t>
      </w:r>
      <w:r>
        <w:rPr/>
        <w:t>股。本次权益分派股权登记日为：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p>
    <w:p>
      <w:pPr>
        <w:pStyle w:val="BodyText"/>
        <w:spacing w:line="240" w:lineRule="auto" w:before="13"/>
        <w:ind w:right="0"/>
        <w:jc w:val="both"/>
      </w:pPr>
      <w:r>
        <w:rPr/>
        <w:t>日，除权除息日为：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日。已实施完毕。</w:t>
      </w:r>
    </w:p>
    <w:p>
      <w:pPr>
        <w:pStyle w:val="BodyText"/>
        <w:spacing w:line="300" w:lineRule="auto" w:before="63"/>
        <w:ind w:right="1048" w:firstLine="48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日，公司已完成上述事项的工商变更手续，并于同日在中国证监会指定的信息披露网站巨潮资讯网发布 相关公告。</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529"/>
        <w:gridCol w:w="3848"/>
        <w:gridCol w:w="3191"/>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8" w:right="0"/>
              <w:jc w:val="left"/>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9,318,466</w:t>
            </w:r>
          </w:p>
        </w:tc>
      </w:tr>
      <w:tr>
        <w:trPr>
          <w:trHeight w:val="1338"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现存的内部职工股情况的说明</w:t>
            </w:r>
          </w:p>
        </w:tc>
        <w:tc>
          <w:tcPr>
            <w:tcW w:w="70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日，公司收到中国证监会出具的《关于核准北京合纵科技股份有限公司非</w:t>
            </w:r>
          </w:p>
          <w:p>
            <w:pPr>
              <w:pStyle w:val="TableParagraph"/>
              <w:spacing w:line="309" w:lineRule="auto" w:before="63"/>
              <w:ind w:left="23" w:right="20"/>
              <w:jc w:val="both"/>
              <w:rPr>
                <w:rFonts w:ascii="宋体" w:hAnsi="宋体" w:cs="宋体" w:eastAsia="宋体" w:hint="default"/>
                <w:sz w:val="18"/>
                <w:szCs w:val="18"/>
              </w:rPr>
            </w:pPr>
            <w:r>
              <w:rPr>
                <w:rFonts w:ascii="宋体" w:hAnsi="宋体" w:cs="宋体" w:eastAsia="宋体" w:hint="default"/>
                <w:spacing w:val="-8"/>
                <w:sz w:val="18"/>
                <w:szCs w:val="18"/>
              </w:rPr>
              <w:t>公开发行股票的批复》（证监许可【</w:t>
            </w:r>
            <w:r>
              <w:rPr>
                <w:rFonts w:ascii="Times New Roman" w:hAnsi="Times New Roman" w:cs="Times New Roman" w:eastAsia="Times New Roman" w:hint="default"/>
                <w:spacing w:val="-8"/>
                <w:sz w:val="18"/>
                <w:szCs w:val="18"/>
              </w:rPr>
              <w:t>2016</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1054</w:t>
            </w:r>
            <w:r>
              <w:rPr>
                <w:rFonts w:ascii="Times New Roman" w:hAnsi="Times New Roman" w:cs="Times New Roman" w:eastAsia="Times New Roman" w:hint="default"/>
                <w:spacing w:val="12"/>
                <w:sz w:val="18"/>
                <w:szCs w:val="18"/>
              </w:rPr>
              <w:t> </w:t>
            </w:r>
            <w:r>
              <w:rPr>
                <w:rFonts w:ascii="宋体" w:hAnsi="宋体" w:cs="宋体" w:eastAsia="宋体" w:hint="default"/>
                <w:spacing w:val="-9"/>
                <w:sz w:val="18"/>
                <w:szCs w:val="18"/>
              </w:rPr>
              <w:t>号），核准公司非公开发行不超过</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9,323,533</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宋体" w:hAnsi="宋体" w:cs="宋体" w:eastAsia="宋体" w:hint="default"/>
                <w:spacing w:val="-1"/>
                <w:sz w:val="18"/>
                <w:szCs w:val="18"/>
              </w:rPr>
              <w:t>股新股。本次非公开发行的发行对象为合纵科技第一期员工持股计划，该员工持股计划的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出资人全部为公司员工。</w:t>
            </w:r>
          </w:p>
        </w:tc>
      </w:tr>
    </w:tbl>
    <w:p>
      <w:pPr>
        <w:spacing w:line="240" w:lineRule="auto" w:before="2"/>
        <w:rPr>
          <w:rFonts w:ascii="宋体" w:hAnsi="宋体" w:cs="宋体" w:eastAsia="宋体" w:hint="default"/>
          <w:sz w:val="18"/>
          <w:szCs w:val="18"/>
        </w:rPr>
      </w:pPr>
    </w:p>
    <w:p>
      <w:pPr>
        <w:pStyle w:val="Heading2"/>
        <w:spacing w:line="240" w:lineRule="auto" w:before="26"/>
        <w:ind w:right="1048"/>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8"/>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4"/>
        <w:gridCol w:w="796"/>
        <w:gridCol w:w="1462"/>
        <w:gridCol w:w="1196"/>
        <w:gridCol w:w="1330"/>
        <w:gridCol w:w="1064"/>
        <w:gridCol w:w="1328"/>
        <w:gridCol w:w="1060"/>
      </w:tblGrid>
      <w:tr>
        <w:trPr>
          <w:trHeight w:val="382"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报告期末普通股</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69" w:right="0"/>
              <w:jc w:val="left"/>
              <w:rPr>
                <w:rFonts w:ascii="Times New Roman" w:hAnsi="Times New Roman" w:cs="Times New Roman" w:eastAsia="Times New Roman" w:hint="default"/>
                <w:sz w:val="18"/>
                <w:szCs w:val="18"/>
              </w:rPr>
            </w:pPr>
            <w:r>
              <w:rPr>
                <w:rFonts w:ascii="Times New Roman"/>
                <w:sz w:val="18"/>
              </w:rPr>
              <w:t>22,852</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68" w:right="0"/>
              <w:jc w:val="left"/>
              <w:rPr>
                <w:rFonts w:ascii="Times New Roman" w:hAnsi="Times New Roman" w:cs="Times New Roman" w:eastAsia="Times New Roman" w:hint="default"/>
                <w:sz w:val="18"/>
                <w:szCs w:val="18"/>
              </w:rPr>
            </w:pPr>
            <w:r>
              <w:rPr>
                <w:rFonts w:ascii="Times New Roman"/>
                <w:sz w:val="18"/>
              </w:rPr>
              <w:t>26,853</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报告期末表决权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z w:val="18"/>
              </w:rPr>
              <w:t>0</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49.277008pt;margin-top:72.47998pt;width:85.6pt;height:64.45pt;mso-position-horizontal-relative:page;mso-position-vertical-relative:page;z-index:-9687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pStyle w:val="BodyText"/>
                    <w:spacing w:line="240" w:lineRule="auto"/>
                    <w:ind w:left="0" w:right="0"/>
                    <w:jc w:val="left"/>
                  </w:pPr>
                  <w:r>
                    <w:rPr/>
                    <w:t>（如有）</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825"/>
        <w:gridCol w:w="138"/>
        <w:gridCol w:w="612"/>
        <w:gridCol w:w="239"/>
        <w:gridCol w:w="473"/>
        <w:gridCol w:w="520"/>
        <w:gridCol w:w="687"/>
        <w:gridCol w:w="445"/>
        <w:gridCol w:w="862"/>
        <w:gridCol w:w="133"/>
        <w:gridCol w:w="631"/>
        <w:gridCol w:w="342"/>
        <w:gridCol w:w="1007"/>
        <w:gridCol w:w="279"/>
        <w:gridCol w:w="1071"/>
      </w:tblGrid>
      <w:tr>
        <w:trPr>
          <w:trHeight w:val="358" w:hRule="exact"/>
        </w:trPr>
        <w:tc>
          <w:tcPr>
            <w:tcW w:w="130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股东总数</w:t>
            </w:r>
          </w:p>
        </w:tc>
        <w:tc>
          <w:tcPr>
            <w:tcW w:w="825" w:type="dxa"/>
            <w:vMerge w:val="restart"/>
            <w:tcBorders>
              <w:top w:val="single" w:sz="4" w:space="0" w:color="000000"/>
              <w:left w:val="single" w:sz="9" w:space="0" w:color="D2D2D2"/>
              <w:right w:val="single" w:sz="9" w:space="0" w:color="D2D2D2"/>
            </w:tcBorders>
          </w:tcPr>
          <w:p>
            <w:pPr/>
          </w:p>
        </w:tc>
        <w:tc>
          <w:tcPr>
            <w:tcW w:w="146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22" w:right="167"/>
              <w:jc w:val="left"/>
              <w:rPr>
                <w:rFonts w:ascii="宋体" w:hAnsi="宋体" w:cs="宋体" w:eastAsia="宋体" w:hint="default"/>
                <w:sz w:val="18"/>
                <w:szCs w:val="18"/>
              </w:rPr>
            </w:pPr>
            <w:r>
              <w:rPr>
                <w:rFonts w:ascii="宋体" w:hAnsi="宋体" w:cs="宋体" w:eastAsia="宋体" w:hint="default"/>
                <w:sz w:val="18"/>
                <w:szCs w:val="18"/>
              </w:rPr>
              <w:t>前上一月末普通 股股东总数</w:t>
            </w:r>
          </w:p>
        </w:tc>
        <w:tc>
          <w:tcPr>
            <w:tcW w:w="1207" w:type="dxa"/>
            <w:gridSpan w:val="2"/>
            <w:vMerge w:val="restart"/>
            <w:tcBorders>
              <w:top w:val="single" w:sz="4" w:space="0" w:color="000000"/>
              <w:left w:val="single" w:sz="9" w:space="0" w:color="D2D2D2"/>
              <w:right w:val="single" w:sz="9" w:space="0" w:color="D2D2D2"/>
            </w:tcBorders>
          </w:tcPr>
          <w:p>
            <w:pP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11" w:right="23"/>
              <w:jc w:val="left"/>
              <w:rPr>
                <w:rFonts w:ascii="宋体" w:hAnsi="宋体" w:cs="宋体" w:eastAsia="宋体" w:hint="default"/>
                <w:sz w:val="18"/>
                <w:szCs w:val="18"/>
              </w:rPr>
            </w:pPr>
            <w:r>
              <w:rPr>
                <w:rFonts w:ascii="宋体" w:hAnsi="宋体" w:cs="宋体" w:eastAsia="宋体" w:hint="default"/>
                <w:sz w:val="18"/>
                <w:szCs w:val="18"/>
              </w:rPr>
              <w:t>恢复的优先股股 东总数（如有）</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6" w:type="dxa"/>
            <w:gridSpan w:val="3"/>
            <w:vMerge w:val="restart"/>
            <w:tcBorders>
              <w:top w:val="single" w:sz="4" w:space="0" w:color="000000"/>
              <w:left w:val="single" w:sz="10" w:space="0" w:color="D2D2D2"/>
              <w:right w:val="single" w:sz="13" w:space="0" w:color="D2D2D2"/>
            </w:tcBorders>
          </w:tcPr>
          <w:p>
            <w:pPr/>
          </w:p>
        </w:tc>
        <w:tc>
          <w:tcPr>
            <w:tcW w:w="12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9" w:right="22"/>
              <w:jc w:val="both"/>
              <w:rPr>
                <w:rFonts w:ascii="宋体" w:hAnsi="宋体" w:cs="宋体" w:eastAsia="宋体" w:hint="default"/>
                <w:sz w:val="18"/>
                <w:szCs w:val="18"/>
              </w:rPr>
            </w:pPr>
            <w:r>
              <w:rPr>
                <w:rFonts w:ascii="宋体" w:hAnsi="宋体" w:cs="宋体" w:eastAsia="宋体" w:hint="default"/>
                <w:sz w:val="18"/>
                <w:szCs w:val="18"/>
              </w:rPr>
              <w:t>前上一月末表决 权恢复的优先股 股东总数</w:t>
            </w:r>
          </w:p>
          <w:p>
            <w:pPr>
              <w:pStyle w:val="TableParagraph"/>
              <w:spacing w:line="240" w:lineRule="auto" w:before="20"/>
              <w:ind w:left="-9"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1" w:type="dxa"/>
            <w:vMerge w:val="restart"/>
            <w:tcBorders>
              <w:top w:val="single" w:sz="4" w:space="0" w:color="000000"/>
              <w:left w:val="single" w:sz="13" w:space="0" w:color="D2D2D2"/>
              <w:right w:val="single" w:sz="4" w:space="0" w:color="000000"/>
            </w:tcBorders>
          </w:tcPr>
          <w:p>
            <w:pPr>
              <w:pStyle w:val="TableParagraph"/>
              <w:spacing w:line="1288"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pict>
                <v:group style="width:52.45pt;height:64.45pt;mso-position-horizontal-relative:char;mso-position-vertical-relative:line" coordorigin="0,0" coordsize="1049,1289">
                  <v:group style="position:absolute;left:0;top:0;width:1049;height:1289" coordorigin="0,0" coordsize="1049,1289">
                    <v:shape style="position:absolute;left:0;top:0;width:1049;height:1289" coordorigin="0,0" coordsize="1049,1289" path="m0,1289l1049,1289,1049,0,0,0,0,1289xe" filled="true" fillcolor="#ffffff" stroked="false">
                      <v:path arrowok="t"/>
                      <v:fill type="solid"/>
                    </v:shape>
                  </v:group>
                </v:group>
              </w:pict>
            </w:r>
            <w:r>
              <w:rPr>
                <w:rFonts w:ascii="Times New Roman" w:hAnsi="Times New Roman" w:cs="Times New Roman" w:eastAsia="Times New Roman" w:hint="default"/>
                <w:position w:val="-25"/>
                <w:sz w:val="20"/>
                <w:szCs w:val="20"/>
              </w:rPr>
            </w:r>
          </w:p>
        </w:tc>
      </w:tr>
      <w:tr>
        <w:trPr>
          <w:trHeight w:val="312" w:hRule="exact"/>
        </w:trPr>
        <w:tc>
          <w:tcPr>
            <w:tcW w:w="1305" w:type="dxa"/>
            <w:vMerge w:val="restart"/>
            <w:tcBorders>
              <w:top w:val="nil" w:sz="6" w:space="0" w:color="auto"/>
              <w:left w:val="single" w:sz="4" w:space="0" w:color="000000"/>
              <w:right w:val="single" w:sz="4" w:space="0" w:color="000000"/>
            </w:tcBorders>
            <w:shd w:val="clear" w:color="auto" w:fill="D2D2D2"/>
          </w:tcPr>
          <w:p>
            <w:pPr/>
          </w:p>
        </w:tc>
        <w:tc>
          <w:tcPr>
            <w:tcW w:w="825" w:type="dxa"/>
            <w:vMerge/>
            <w:tcBorders>
              <w:left w:val="single" w:sz="9" w:space="0" w:color="D2D2D2"/>
              <w:right w:val="single" w:sz="9" w:space="0" w:color="D2D2D2"/>
            </w:tcBorders>
          </w:tcPr>
          <w:p>
            <w:pPr/>
          </w:p>
        </w:tc>
        <w:tc>
          <w:tcPr>
            <w:tcW w:w="1462" w:type="dxa"/>
            <w:gridSpan w:val="4"/>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106" w:type="dxa"/>
            <w:gridSpan w:val="3"/>
            <w:vMerge/>
            <w:tcBorders>
              <w:left w:val="single" w:sz="10" w:space="0" w:color="D2D2D2"/>
              <w:right w:val="single" w:sz="13" w:space="0" w:color="D2D2D2"/>
            </w:tcBorders>
          </w:tcPr>
          <w:p>
            <w:pPr/>
          </w:p>
        </w:tc>
        <w:tc>
          <w:tcPr>
            <w:tcW w:w="1286" w:type="dxa"/>
            <w:gridSpan w:val="2"/>
            <w:vMerge/>
            <w:tcBorders>
              <w:left w:val="single" w:sz="4" w:space="0" w:color="000000"/>
              <w:right w:val="single" w:sz="4" w:space="0" w:color="000000"/>
            </w:tcBorders>
            <w:shd w:val="clear" w:color="auto" w:fill="D2D2D2"/>
          </w:tcPr>
          <w:p>
            <w:pPr/>
          </w:p>
        </w:tc>
        <w:tc>
          <w:tcPr>
            <w:tcW w:w="1071" w:type="dxa"/>
            <w:vMerge/>
            <w:tcBorders>
              <w:left w:val="single" w:sz="13" w:space="0" w:color="D2D2D2"/>
              <w:right w:val="single" w:sz="4" w:space="0" w:color="000000"/>
            </w:tcBorders>
          </w:tcPr>
          <w:p>
            <w:pPr/>
          </w:p>
        </w:tc>
      </w:tr>
      <w:tr>
        <w:trPr>
          <w:trHeight w:val="312" w:hRule="exact"/>
        </w:trPr>
        <w:tc>
          <w:tcPr>
            <w:tcW w:w="1305" w:type="dxa"/>
            <w:vMerge/>
            <w:tcBorders>
              <w:left w:val="single" w:sz="4" w:space="0" w:color="000000"/>
              <w:right w:val="single" w:sz="4" w:space="0" w:color="000000"/>
            </w:tcBorders>
            <w:shd w:val="clear" w:color="auto" w:fill="D2D2D2"/>
          </w:tcPr>
          <w:p>
            <w:pPr/>
          </w:p>
        </w:tc>
        <w:tc>
          <w:tcPr>
            <w:tcW w:w="825" w:type="dxa"/>
            <w:vMerge/>
            <w:tcBorders>
              <w:left w:val="single" w:sz="9" w:space="0" w:color="D2D2D2"/>
              <w:right w:val="single" w:sz="9" w:space="0" w:color="D2D2D2"/>
            </w:tcBorders>
          </w:tcPr>
          <w:p>
            <w:pPr/>
          </w:p>
        </w:tc>
        <w:tc>
          <w:tcPr>
            <w:tcW w:w="1462" w:type="dxa"/>
            <w:gridSpan w:val="4"/>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306" w:type="dxa"/>
            <w:gridSpan w:val="2"/>
            <w:vMerge/>
            <w:tcBorders>
              <w:left w:val="single" w:sz="4" w:space="0" w:color="000000"/>
              <w:bottom w:val="nil" w:sz="6" w:space="0" w:color="auto"/>
              <w:right w:val="single" w:sz="4" w:space="0" w:color="000000"/>
            </w:tcBorders>
            <w:shd w:val="clear" w:color="auto" w:fill="D2D2D2"/>
          </w:tcPr>
          <w:p>
            <w:pPr/>
          </w:p>
        </w:tc>
        <w:tc>
          <w:tcPr>
            <w:tcW w:w="1106" w:type="dxa"/>
            <w:gridSpan w:val="3"/>
            <w:vMerge/>
            <w:tcBorders>
              <w:left w:val="single" w:sz="10" w:space="0" w:color="D2D2D2"/>
              <w:right w:val="single" w:sz="13" w:space="0" w:color="D2D2D2"/>
            </w:tcBorders>
          </w:tcPr>
          <w:p>
            <w:pPr/>
          </w:p>
        </w:tc>
        <w:tc>
          <w:tcPr>
            <w:tcW w:w="1286" w:type="dxa"/>
            <w:gridSpan w:val="2"/>
            <w:vMerge/>
            <w:tcBorders>
              <w:left w:val="single" w:sz="4" w:space="0" w:color="000000"/>
              <w:right w:val="single" w:sz="4" w:space="0" w:color="000000"/>
            </w:tcBorders>
            <w:shd w:val="clear" w:color="auto" w:fill="D2D2D2"/>
          </w:tcPr>
          <w:p>
            <w:pPr/>
          </w:p>
        </w:tc>
        <w:tc>
          <w:tcPr>
            <w:tcW w:w="1071" w:type="dxa"/>
            <w:vMerge/>
            <w:tcBorders>
              <w:left w:val="single" w:sz="13" w:space="0" w:color="D2D2D2"/>
              <w:right w:val="single" w:sz="4" w:space="0" w:color="000000"/>
            </w:tcBorders>
          </w:tcPr>
          <w:p>
            <w:pPr/>
          </w:p>
        </w:tc>
      </w:tr>
      <w:tr>
        <w:trPr>
          <w:trHeight w:val="322" w:hRule="exact"/>
        </w:trPr>
        <w:tc>
          <w:tcPr>
            <w:tcW w:w="1305" w:type="dxa"/>
            <w:vMerge/>
            <w:tcBorders>
              <w:left w:val="single" w:sz="4" w:space="0" w:color="000000"/>
              <w:bottom w:val="single" w:sz="4" w:space="0" w:color="000000"/>
              <w:right w:val="single" w:sz="4" w:space="0" w:color="000000"/>
            </w:tcBorders>
            <w:shd w:val="clear" w:color="auto" w:fill="D2D2D2"/>
          </w:tcPr>
          <w:p>
            <w:pPr/>
          </w:p>
        </w:tc>
        <w:tc>
          <w:tcPr>
            <w:tcW w:w="825" w:type="dxa"/>
            <w:vMerge/>
            <w:tcBorders>
              <w:left w:val="single" w:sz="9" w:space="0" w:color="D2D2D2"/>
              <w:bottom w:val="single" w:sz="4" w:space="0" w:color="000000"/>
              <w:right w:val="single" w:sz="9" w:space="0" w:color="D2D2D2"/>
            </w:tcBorders>
          </w:tcPr>
          <w:p>
            <w:pPr/>
          </w:p>
        </w:tc>
        <w:tc>
          <w:tcPr>
            <w:tcW w:w="1462" w:type="dxa"/>
            <w:gridSpan w:val="4"/>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3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06" w:type="dxa"/>
            <w:gridSpan w:val="3"/>
            <w:vMerge/>
            <w:tcBorders>
              <w:left w:val="single" w:sz="10" w:space="0" w:color="D2D2D2"/>
              <w:bottom w:val="single" w:sz="4" w:space="0" w:color="000000"/>
              <w:right w:val="single" w:sz="13" w:space="0" w:color="D2D2D2"/>
            </w:tcBorders>
          </w:tcPr>
          <w:p>
            <w:pPr/>
          </w:p>
        </w:tc>
        <w:tc>
          <w:tcPr>
            <w:tcW w:w="1286" w:type="dxa"/>
            <w:gridSpan w:val="2"/>
            <w:vMerge/>
            <w:tcBorders>
              <w:left w:val="single" w:sz="4" w:space="0" w:color="000000"/>
              <w:bottom w:val="single" w:sz="4" w:space="0" w:color="000000"/>
              <w:right w:val="single" w:sz="4" w:space="0" w:color="000000"/>
            </w:tcBorders>
            <w:shd w:val="clear" w:color="auto" w:fill="D2D2D2"/>
          </w:tcPr>
          <w:p>
            <w:pPr/>
          </w:p>
        </w:tc>
        <w:tc>
          <w:tcPr>
            <w:tcW w:w="1071" w:type="dxa"/>
            <w:vMerge/>
            <w:tcBorders>
              <w:left w:val="single" w:sz="13" w:space="0" w:color="D2D2D2"/>
              <w:bottom w:val="single" w:sz="4" w:space="0" w:color="000000"/>
              <w:right w:val="single" w:sz="4" w:space="0" w:color="000000"/>
            </w:tcBorders>
          </w:tcPr>
          <w:p>
            <w:pPr/>
          </w:p>
        </w:tc>
      </w:tr>
      <w:tr>
        <w:trPr>
          <w:trHeight w:val="393" w:hRule="exact"/>
        </w:trPr>
        <w:tc>
          <w:tcPr>
            <w:tcW w:w="9569"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305" w:type="dxa"/>
            <w:vMerge w:val="restart"/>
            <w:tcBorders>
              <w:top w:val="single" w:sz="4" w:space="0" w:color="000000"/>
              <w:left w:val="single" w:sz="4" w:space="0" w:color="000000"/>
              <w:right w:val="single" w:sz="4" w:space="0" w:color="000000"/>
            </w:tcBorders>
            <w:shd w:val="clear" w:color="auto" w:fill="D2D2D2"/>
          </w:tcPr>
          <w:p>
            <w:pPr/>
          </w:p>
        </w:tc>
        <w:tc>
          <w:tcPr>
            <w:tcW w:w="963" w:type="dxa"/>
            <w:gridSpan w:val="2"/>
            <w:vMerge w:val="restart"/>
            <w:tcBorders>
              <w:top w:val="single" w:sz="4" w:space="0" w:color="000000"/>
              <w:left w:val="single" w:sz="4" w:space="0" w:color="000000"/>
              <w:right w:val="single" w:sz="4" w:space="0" w:color="000000"/>
            </w:tcBorders>
            <w:shd w:val="clear" w:color="auto" w:fill="D2D2D2"/>
          </w:tcPr>
          <w:p>
            <w:pP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
        </w:tc>
        <w:tc>
          <w:tcPr>
            <w:tcW w:w="9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1"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0" w:right="2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35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05" w:type="dxa"/>
            <w:vMerge/>
            <w:tcBorders>
              <w:left w:val="single" w:sz="4" w:space="0" w:color="000000"/>
              <w:bottom w:val="nil" w:sz="6" w:space="0" w:color="auto"/>
              <w:right w:val="single" w:sz="4" w:space="0" w:color="000000"/>
            </w:tcBorders>
            <w:shd w:val="clear" w:color="auto" w:fill="D2D2D2"/>
          </w:tcPr>
          <w:p>
            <w:pPr/>
          </w:p>
        </w:tc>
        <w:tc>
          <w:tcPr>
            <w:tcW w:w="963" w:type="dxa"/>
            <w:gridSpan w:val="2"/>
            <w:vMerge/>
            <w:tcBorders>
              <w:left w:val="single" w:sz="4" w:space="0" w:color="000000"/>
              <w:bottom w:val="nil" w:sz="6" w:space="0" w:color="auto"/>
              <w:right w:val="single" w:sz="4" w:space="0" w:color="000000"/>
            </w:tcBorders>
            <w:shd w:val="clear" w:color="auto" w:fill="D2D2D2"/>
          </w:tcPr>
          <w:p>
            <w:pPr/>
          </w:p>
        </w:tc>
        <w:tc>
          <w:tcPr>
            <w:tcW w:w="851" w:type="dxa"/>
            <w:gridSpan w:val="2"/>
            <w:vMerge/>
            <w:tcBorders>
              <w:left w:val="single" w:sz="4" w:space="0" w:color="000000"/>
              <w:bottom w:val="nil" w:sz="6" w:space="0" w:color="auto"/>
              <w:right w:val="single" w:sz="4" w:space="0" w:color="000000"/>
            </w:tcBorders>
            <w:shd w:val="clear" w:color="auto" w:fill="D2D2D2"/>
          </w:tcPr>
          <w:p>
            <w:pPr/>
          </w:p>
        </w:tc>
        <w:tc>
          <w:tcPr>
            <w:tcW w:w="99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0" w:right="4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0" w:right="10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5" w:type="dxa"/>
            <w:gridSpan w:val="2"/>
            <w:vMerge/>
            <w:tcBorders>
              <w:left w:val="single" w:sz="4" w:space="0" w:color="000000"/>
              <w:right w:val="single" w:sz="4" w:space="0" w:color="000000"/>
            </w:tcBorders>
            <w:shd w:val="clear" w:color="auto" w:fill="D2D2D2"/>
          </w:tcPr>
          <w:p>
            <w:pPr/>
          </w:p>
        </w:tc>
        <w:tc>
          <w:tcPr>
            <w:tcW w:w="973" w:type="dxa"/>
            <w:gridSpan w:val="2"/>
            <w:vMerge/>
            <w:tcBorders>
              <w:left w:val="single" w:sz="4" w:space="0" w:color="000000"/>
              <w:right w:val="single" w:sz="4" w:space="0" w:color="000000"/>
            </w:tcBorders>
            <w:shd w:val="clear" w:color="auto" w:fill="D2D2D2"/>
          </w:tcPr>
          <w:p>
            <w:pPr/>
          </w:p>
        </w:tc>
        <w:tc>
          <w:tcPr>
            <w:tcW w:w="2357" w:type="dxa"/>
            <w:gridSpan w:val="3"/>
            <w:vMerge/>
            <w:tcBorders>
              <w:left w:val="single" w:sz="4" w:space="0" w:color="000000"/>
              <w:right w:val="single" w:sz="4" w:space="0" w:color="000000"/>
            </w:tcBorders>
            <w:shd w:val="clear" w:color="auto" w:fill="D2D2D2"/>
          </w:tcPr>
          <w:p>
            <w:pPr/>
          </w:p>
        </w:tc>
      </w:tr>
      <w:tr>
        <w:trPr>
          <w:trHeight w:val="140" w:hRule="exact"/>
        </w:trPr>
        <w:tc>
          <w:tcPr>
            <w:tcW w:w="13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6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3" w:type="dxa"/>
            <w:gridSpan w:val="2"/>
            <w:vMerge/>
            <w:tcBorders>
              <w:left w:val="single" w:sz="4" w:space="0" w:color="000000"/>
              <w:right w:val="single" w:sz="4" w:space="0" w:color="000000"/>
            </w:tcBorders>
            <w:shd w:val="clear" w:color="auto" w:fill="D2D2D2"/>
          </w:tcPr>
          <w:p>
            <w:pPr/>
          </w:p>
        </w:tc>
        <w:tc>
          <w:tcPr>
            <w:tcW w:w="1132" w:type="dxa"/>
            <w:gridSpan w:val="2"/>
            <w:vMerge/>
            <w:tcBorders>
              <w:left w:val="single" w:sz="4" w:space="0" w:color="000000"/>
              <w:right w:val="single" w:sz="4" w:space="0" w:color="000000"/>
            </w:tcBorders>
            <w:shd w:val="clear" w:color="auto" w:fill="D2D2D2"/>
          </w:tcPr>
          <w:p>
            <w:pPr/>
          </w:p>
        </w:tc>
        <w:tc>
          <w:tcPr>
            <w:tcW w:w="995" w:type="dxa"/>
            <w:gridSpan w:val="2"/>
            <w:vMerge/>
            <w:tcBorders>
              <w:left w:val="single" w:sz="4" w:space="0" w:color="000000"/>
              <w:right w:val="single" w:sz="4" w:space="0" w:color="000000"/>
            </w:tcBorders>
            <w:shd w:val="clear" w:color="auto" w:fill="D2D2D2"/>
          </w:tcPr>
          <w:p>
            <w:pPr/>
          </w:p>
        </w:tc>
        <w:tc>
          <w:tcPr>
            <w:tcW w:w="973" w:type="dxa"/>
            <w:gridSpan w:val="2"/>
            <w:vMerge/>
            <w:tcBorders>
              <w:left w:val="single" w:sz="4" w:space="0" w:color="000000"/>
              <w:right w:val="single" w:sz="4" w:space="0" w:color="000000"/>
            </w:tcBorders>
            <w:shd w:val="clear" w:color="auto" w:fill="D2D2D2"/>
          </w:tcPr>
          <w:p>
            <w:pPr/>
          </w:p>
        </w:tc>
        <w:tc>
          <w:tcPr>
            <w:tcW w:w="2357"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305" w:type="dxa"/>
            <w:vMerge/>
            <w:tcBorders>
              <w:left w:val="single" w:sz="4" w:space="0" w:color="000000"/>
              <w:bottom w:val="nil" w:sz="6" w:space="0" w:color="auto"/>
              <w:right w:val="single" w:sz="4" w:space="0" w:color="000000"/>
            </w:tcBorders>
            <w:shd w:val="clear" w:color="auto" w:fill="D2D2D2"/>
          </w:tcPr>
          <w:p>
            <w:pPr/>
          </w:p>
        </w:tc>
        <w:tc>
          <w:tcPr>
            <w:tcW w:w="963" w:type="dxa"/>
            <w:gridSpan w:val="2"/>
            <w:vMerge/>
            <w:tcBorders>
              <w:left w:val="single" w:sz="4" w:space="0" w:color="000000"/>
              <w:bottom w:val="nil" w:sz="6" w:space="0" w:color="auto"/>
              <w:right w:val="single" w:sz="4" w:space="0" w:color="000000"/>
            </w:tcBorders>
            <w:shd w:val="clear" w:color="auto" w:fill="D2D2D2"/>
          </w:tcPr>
          <w:p>
            <w:pPr/>
          </w:p>
        </w:tc>
        <w:tc>
          <w:tcPr>
            <w:tcW w:w="851" w:type="dxa"/>
            <w:gridSpan w:val="2"/>
            <w:vMerge/>
            <w:tcBorders>
              <w:left w:val="single" w:sz="4" w:space="0" w:color="000000"/>
              <w:bottom w:val="nil" w:sz="6" w:space="0" w:color="auto"/>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1132" w:type="dxa"/>
            <w:gridSpan w:val="2"/>
            <w:vMerge/>
            <w:tcBorders>
              <w:left w:val="single" w:sz="4" w:space="0" w:color="000000"/>
              <w:right w:val="single" w:sz="4" w:space="0" w:color="000000"/>
            </w:tcBorders>
            <w:shd w:val="clear" w:color="auto" w:fill="D2D2D2"/>
          </w:tcPr>
          <w:p>
            <w:pPr/>
          </w:p>
        </w:tc>
        <w:tc>
          <w:tcPr>
            <w:tcW w:w="995" w:type="dxa"/>
            <w:gridSpan w:val="2"/>
            <w:vMerge/>
            <w:tcBorders>
              <w:left w:val="single" w:sz="4" w:space="0" w:color="000000"/>
              <w:right w:val="single" w:sz="4" w:space="0" w:color="000000"/>
            </w:tcBorders>
            <w:shd w:val="clear" w:color="auto" w:fill="D2D2D2"/>
          </w:tcPr>
          <w:p>
            <w:pPr/>
          </w:p>
        </w:tc>
        <w:tc>
          <w:tcPr>
            <w:tcW w:w="973" w:type="dxa"/>
            <w:gridSpan w:val="2"/>
            <w:vMerge/>
            <w:tcBorders>
              <w:left w:val="single" w:sz="4" w:space="0" w:color="000000"/>
              <w:right w:val="single" w:sz="4" w:space="0" w:color="000000"/>
            </w:tcBorders>
            <w:shd w:val="clear" w:color="auto" w:fill="D2D2D2"/>
          </w:tcPr>
          <w:p>
            <w:pPr/>
          </w:p>
        </w:tc>
        <w:tc>
          <w:tcPr>
            <w:tcW w:w="10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14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05" w:type="dxa"/>
            <w:vMerge w:val="restart"/>
            <w:tcBorders>
              <w:top w:val="nil" w:sz="6" w:space="0" w:color="auto"/>
              <w:left w:val="single" w:sz="4" w:space="0" w:color="000000"/>
              <w:right w:val="single" w:sz="4" w:space="0" w:color="000000"/>
            </w:tcBorders>
            <w:shd w:val="clear" w:color="auto" w:fill="D2D2D2"/>
          </w:tcPr>
          <w:p>
            <w:pPr/>
          </w:p>
        </w:tc>
        <w:tc>
          <w:tcPr>
            <w:tcW w:w="963" w:type="dxa"/>
            <w:gridSpan w:val="2"/>
            <w:vMerge w:val="restart"/>
            <w:tcBorders>
              <w:top w:val="nil" w:sz="6" w:space="0" w:color="auto"/>
              <w:left w:val="single" w:sz="4" w:space="0" w:color="000000"/>
              <w:right w:val="single" w:sz="4" w:space="0" w:color="000000"/>
            </w:tcBorders>
            <w:shd w:val="clear" w:color="auto" w:fill="D2D2D2"/>
          </w:tcPr>
          <w:p>
            <w:pPr/>
          </w:p>
        </w:tc>
        <w:tc>
          <w:tcPr>
            <w:tcW w:w="851" w:type="dxa"/>
            <w:gridSpan w:val="2"/>
            <w:vMerge w:val="restart"/>
            <w:tcBorders>
              <w:top w:val="nil" w:sz="6" w:space="0" w:color="auto"/>
              <w:left w:val="single" w:sz="4" w:space="0" w:color="000000"/>
              <w:right w:val="single" w:sz="4" w:space="0" w:color="000000"/>
            </w:tcBorders>
            <w:shd w:val="clear" w:color="auto" w:fill="D2D2D2"/>
          </w:tcPr>
          <w:p>
            <w:pPr/>
          </w:p>
        </w:tc>
        <w:tc>
          <w:tcPr>
            <w:tcW w:w="993" w:type="dxa"/>
            <w:gridSpan w:val="2"/>
            <w:vMerge/>
            <w:tcBorders>
              <w:left w:val="single" w:sz="4" w:space="0" w:color="000000"/>
              <w:bottom w:val="nil" w:sz="6" w:space="0" w:color="auto"/>
              <w:right w:val="single" w:sz="4" w:space="0" w:color="000000"/>
            </w:tcBorders>
            <w:shd w:val="clear" w:color="auto" w:fill="D2D2D2"/>
          </w:tcPr>
          <w:p>
            <w:pPr/>
          </w:p>
        </w:tc>
        <w:tc>
          <w:tcPr>
            <w:tcW w:w="1132" w:type="dxa"/>
            <w:gridSpan w:val="2"/>
            <w:vMerge/>
            <w:tcBorders>
              <w:left w:val="single" w:sz="4" w:space="0" w:color="000000"/>
              <w:bottom w:val="nil" w:sz="6" w:space="0" w:color="auto"/>
              <w:right w:val="single" w:sz="4" w:space="0" w:color="000000"/>
            </w:tcBorders>
            <w:shd w:val="clear" w:color="auto" w:fill="D2D2D2"/>
          </w:tcPr>
          <w:p>
            <w:pPr/>
          </w:p>
        </w:tc>
        <w:tc>
          <w:tcPr>
            <w:tcW w:w="995" w:type="dxa"/>
            <w:gridSpan w:val="2"/>
            <w:vMerge/>
            <w:tcBorders>
              <w:left w:val="single" w:sz="4" w:space="0" w:color="000000"/>
              <w:right w:val="single" w:sz="4" w:space="0" w:color="000000"/>
            </w:tcBorders>
            <w:shd w:val="clear" w:color="auto" w:fill="D2D2D2"/>
          </w:tcPr>
          <w:p>
            <w:pPr/>
          </w:p>
        </w:tc>
        <w:tc>
          <w:tcPr>
            <w:tcW w:w="973" w:type="dxa"/>
            <w:gridSpan w:val="2"/>
            <w:vMerge/>
            <w:tcBorders>
              <w:left w:val="single" w:sz="4" w:space="0" w:color="000000"/>
              <w:right w:val="single" w:sz="4" w:space="0" w:color="000000"/>
            </w:tcBorders>
            <w:shd w:val="clear" w:color="auto" w:fill="D2D2D2"/>
          </w:tcPr>
          <w:p>
            <w:pPr/>
          </w:p>
        </w:tc>
        <w:tc>
          <w:tcPr>
            <w:tcW w:w="1007" w:type="dxa"/>
            <w:vMerge/>
            <w:tcBorders>
              <w:left w:val="single" w:sz="4" w:space="0" w:color="000000"/>
              <w:right w:val="single" w:sz="4" w:space="0" w:color="000000"/>
            </w:tcBorders>
            <w:shd w:val="clear" w:color="auto" w:fill="D2D2D2"/>
          </w:tcPr>
          <w:p>
            <w:pPr/>
          </w:p>
        </w:tc>
        <w:tc>
          <w:tcPr>
            <w:tcW w:w="1350" w:type="dxa"/>
            <w:gridSpan w:val="2"/>
            <w:vMerge/>
            <w:tcBorders>
              <w:left w:val="single" w:sz="4" w:space="0" w:color="000000"/>
              <w:right w:val="single" w:sz="4" w:space="0" w:color="000000"/>
            </w:tcBorders>
            <w:shd w:val="clear" w:color="auto" w:fill="D2D2D2"/>
          </w:tcPr>
          <w:p>
            <w:pPr/>
          </w:p>
        </w:tc>
      </w:tr>
      <w:tr>
        <w:trPr>
          <w:trHeight w:val="161" w:hRule="exact"/>
        </w:trPr>
        <w:tc>
          <w:tcPr>
            <w:tcW w:w="1305" w:type="dxa"/>
            <w:vMerge/>
            <w:tcBorders>
              <w:left w:val="single" w:sz="4" w:space="0" w:color="000000"/>
              <w:bottom w:val="single" w:sz="4" w:space="0" w:color="000000"/>
              <w:right w:val="single" w:sz="4" w:space="0" w:color="000000"/>
            </w:tcBorders>
            <w:shd w:val="clear" w:color="auto" w:fill="D2D2D2"/>
          </w:tcPr>
          <w:p>
            <w:pPr/>
          </w:p>
        </w:tc>
        <w:tc>
          <w:tcPr>
            <w:tcW w:w="963" w:type="dxa"/>
            <w:gridSpan w:val="2"/>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99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5" w:type="dxa"/>
            <w:gridSpan w:val="2"/>
            <w:vMerge/>
            <w:tcBorders>
              <w:left w:val="single" w:sz="4" w:space="0" w:color="000000"/>
              <w:bottom w:val="single" w:sz="4" w:space="0" w:color="000000"/>
              <w:right w:val="single" w:sz="4" w:space="0" w:color="000000"/>
            </w:tcBorders>
            <w:shd w:val="clear" w:color="auto" w:fill="D2D2D2"/>
          </w:tcPr>
          <w:p>
            <w:pPr/>
          </w:p>
        </w:tc>
        <w:tc>
          <w:tcPr>
            <w:tcW w:w="973" w:type="dxa"/>
            <w:gridSpan w:val="2"/>
            <w:vMerge/>
            <w:tcBorders>
              <w:left w:val="single" w:sz="4" w:space="0" w:color="000000"/>
              <w:bottom w:val="single" w:sz="4" w:space="0" w:color="000000"/>
              <w:right w:val="single" w:sz="4" w:space="0" w:color="000000"/>
            </w:tcBorders>
            <w:shd w:val="clear" w:color="auto" w:fill="D2D2D2"/>
          </w:tcPr>
          <w:p>
            <w:pPr/>
          </w:p>
        </w:tc>
        <w:tc>
          <w:tcPr>
            <w:tcW w:w="1007" w:type="dxa"/>
            <w:vMerge/>
            <w:tcBorders>
              <w:left w:val="single" w:sz="4" w:space="0" w:color="000000"/>
              <w:bottom w:val="single" w:sz="4" w:space="0" w:color="000000"/>
              <w:right w:val="single" w:sz="4" w:space="0" w:color="000000"/>
            </w:tcBorders>
            <w:shd w:val="clear" w:color="auto" w:fill="D2D2D2"/>
          </w:tcPr>
          <w:p>
            <w:pPr/>
          </w:p>
        </w:tc>
        <w:tc>
          <w:tcPr>
            <w:tcW w:w="1350"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9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3" w:right="0"/>
              <w:jc w:val="left"/>
              <w:rPr>
                <w:rFonts w:ascii="Times New Roman" w:hAnsi="Times New Roman" w:cs="Times New Roman" w:eastAsia="Times New Roman" w:hint="default"/>
                <w:sz w:val="18"/>
                <w:szCs w:val="18"/>
              </w:rPr>
            </w:pPr>
            <w:r>
              <w:rPr>
                <w:rFonts w:ascii="Times New Roman"/>
                <w:sz w:val="18"/>
              </w:rPr>
              <w:t>22.48%</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130,894,986</w:t>
            </w:r>
          </w:p>
        </w:tc>
        <w:tc>
          <w:tcPr>
            <w:tcW w:w="11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58,019,994</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98,381,240</w:t>
            </w:r>
          </w:p>
        </w:tc>
        <w:tc>
          <w:tcPr>
            <w:tcW w:w="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32,513,746</w:t>
            </w:r>
          </w:p>
        </w:tc>
        <w:tc>
          <w:tcPr>
            <w:tcW w:w="1007" w:type="dxa"/>
            <w:tcBorders>
              <w:top w:val="single" w:sz="48" w:space="0" w:color="D2D2D2"/>
              <w:left w:val="single" w:sz="4" w:space="0" w:color="000000"/>
              <w:bottom w:val="single" w:sz="4" w:space="0" w:color="000000"/>
              <w:right w:val="single" w:sz="4" w:space="0" w:color="000000"/>
            </w:tcBorders>
          </w:tcPr>
          <w:p>
            <w:pPr>
              <w:pStyle w:val="TableParagraph"/>
              <w:spacing w:line="231" w:lineRule="exact"/>
              <w:ind w:left="4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35"/>
              <w:ind w:left="506" w:right="0"/>
              <w:jc w:val="left"/>
              <w:rPr>
                <w:rFonts w:ascii="Times New Roman" w:hAnsi="Times New Roman" w:cs="Times New Roman" w:eastAsia="Times New Roman" w:hint="default"/>
                <w:sz w:val="18"/>
                <w:szCs w:val="18"/>
              </w:rPr>
            </w:pPr>
            <w:r>
              <w:rPr>
                <w:rFonts w:ascii="Times New Roman"/>
                <w:sz w:val="18"/>
              </w:rPr>
              <w:t>89,576,880</w:t>
            </w: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9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11.38%</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66,261,272</w:t>
            </w:r>
          </w:p>
        </w:tc>
        <w:tc>
          <w:tcPr>
            <w:tcW w:w="11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29,449,454</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49,695,953</w:t>
            </w:r>
          </w:p>
        </w:tc>
        <w:tc>
          <w:tcPr>
            <w:tcW w:w="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16,565,319</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6" w:right="0"/>
              <w:jc w:val="left"/>
              <w:rPr>
                <w:rFonts w:ascii="Times New Roman" w:hAnsi="Times New Roman" w:cs="Times New Roman" w:eastAsia="Times New Roman" w:hint="default"/>
                <w:sz w:val="18"/>
                <w:szCs w:val="18"/>
              </w:rPr>
            </w:pPr>
            <w:r>
              <w:rPr>
                <w:rFonts w:ascii="Times New Roman"/>
                <w:sz w:val="18"/>
              </w:rPr>
              <w:t>50,997,420</w:t>
            </w: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9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5.14%</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29,938,917</w:t>
            </w:r>
          </w:p>
        </w:tc>
        <w:tc>
          <w:tcPr>
            <w:tcW w:w="11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12,772,852</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23,174,188</w:t>
            </w:r>
          </w:p>
        </w:tc>
        <w:tc>
          <w:tcPr>
            <w:tcW w:w="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6,764,729</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6" w:right="0"/>
              <w:jc w:val="left"/>
              <w:rPr>
                <w:rFonts w:ascii="Times New Roman" w:hAnsi="Times New Roman" w:cs="Times New Roman" w:eastAsia="Times New Roman" w:hint="default"/>
                <w:sz w:val="18"/>
                <w:szCs w:val="18"/>
              </w:rPr>
            </w:pPr>
            <w:r>
              <w:rPr>
                <w:rFonts w:ascii="Times New Roman"/>
                <w:sz w:val="18"/>
              </w:rPr>
              <w:t>22,002,320</w:t>
            </w: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9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4.36%</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25,374,892</w:t>
            </w:r>
          </w:p>
        </w:tc>
        <w:tc>
          <w:tcPr>
            <w:tcW w:w="11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10,827,730</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19,638,668</w:t>
            </w:r>
          </w:p>
        </w:tc>
        <w:tc>
          <w:tcPr>
            <w:tcW w:w="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5,736,224</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6" w:right="0"/>
              <w:jc w:val="left"/>
              <w:rPr>
                <w:rFonts w:ascii="Times New Roman" w:hAnsi="Times New Roman" w:cs="Times New Roman" w:eastAsia="Times New Roman" w:hint="default"/>
                <w:sz w:val="18"/>
                <w:szCs w:val="18"/>
              </w:rPr>
            </w:pPr>
            <w:r>
              <w:rPr>
                <w:rFonts w:ascii="Times New Roman"/>
                <w:sz w:val="18"/>
              </w:rPr>
              <w:t>15,928,000</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0"/>
              <w:jc w:val="left"/>
              <w:rPr>
                <w:rFonts w:ascii="宋体" w:hAnsi="宋体" w:cs="宋体" w:eastAsia="宋体" w:hint="default"/>
                <w:sz w:val="18"/>
                <w:szCs w:val="18"/>
              </w:rPr>
            </w:pPr>
            <w:r>
              <w:rPr>
                <w:rFonts w:ascii="宋体" w:hAnsi="宋体" w:cs="宋体" w:eastAsia="宋体" w:hint="default"/>
                <w:sz w:val="18"/>
                <w:szCs w:val="18"/>
              </w:rPr>
              <w:t>赣州合纵投资 管理合伙企业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9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6" w:right="5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2.97%</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17,272,080</w:t>
            </w:r>
          </w:p>
        </w:tc>
        <w:tc>
          <w:tcPr>
            <w:tcW w:w="11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7,676,480</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17,272,080</w:t>
            </w:r>
          </w:p>
        </w:tc>
        <w:tc>
          <w:tcPr>
            <w:tcW w:w="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13,806,000</w:t>
            </w:r>
          </w:p>
        </w:tc>
      </w:tr>
      <w:tr>
        <w:trPr>
          <w:trHeight w:val="1338"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0"/>
              <w:jc w:val="left"/>
              <w:rPr>
                <w:rFonts w:ascii="宋体" w:hAnsi="宋体" w:cs="宋体" w:eastAsia="宋体" w:hint="default"/>
                <w:sz w:val="18"/>
                <w:szCs w:val="18"/>
              </w:rPr>
            </w:pPr>
            <w:r>
              <w:rPr>
                <w:rFonts w:ascii="宋体" w:hAnsi="宋体" w:cs="宋体" w:eastAsia="宋体" w:hint="default"/>
                <w:sz w:val="18"/>
                <w:szCs w:val="18"/>
              </w:rPr>
              <w:t>北京合纵科技 股份有限公司</w:t>
            </w:r>
          </w:p>
          <w:p>
            <w:pPr>
              <w:pStyle w:val="TableParagraph"/>
              <w:spacing w:line="319" w:lineRule="auto" w:before="19"/>
              <w:ind w:left="22" w:right="190"/>
              <w:jc w:val="left"/>
              <w:rPr>
                <w:rFonts w:ascii="宋体" w:hAnsi="宋体" w:cs="宋体" w:eastAsia="宋体" w:hint="default"/>
                <w:sz w:val="18"/>
                <w:szCs w:val="18"/>
              </w:rPr>
            </w:pPr>
            <w:r>
              <w:rPr>
                <w:rFonts w:ascii="宋体" w:hAnsi="宋体" w:cs="宋体" w:eastAsia="宋体" w:hint="default"/>
                <w:sz w:val="18"/>
                <w:szCs w:val="18"/>
              </w:rPr>
              <w:t>－第一期员工 持股计划</w:t>
            </w:r>
          </w:p>
        </w:tc>
        <w:tc>
          <w:tcPr>
            <w:tcW w:w="9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53" w:right="0"/>
              <w:jc w:val="left"/>
              <w:rPr>
                <w:rFonts w:ascii="Times New Roman" w:hAnsi="Times New Roman" w:cs="Times New Roman" w:eastAsia="Times New Roman" w:hint="default"/>
                <w:sz w:val="18"/>
                <w:szCs w:val="18"/>
              </w:rPr>
            </w:pPr>
            <w:r>
              <w:rPr>
                <w:rFonts w:ascii="Times New Roman"/>
                <w:sz w:val="18"/>
              </w:rPr>
              <w:t>2.88%</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8" w:right="0"/>
              <w:jc w:val="left"/>
              <w:rPr>
                <w:rFonts w:ascii="Times New Roman" w:hAnsi="Times New Roman" w:cs="Times New Roman" w:eastAsia="Times New Roman" w:hint="default"/>
                <w:sz w:val="18"/>
                <w:szCs w:val="18"/>
              </w:rPr>
            </w:pPr>
            <w:r>
              <w:rPr>
                <w:rFonts w:ascii="Times New Roman"/>
                <w:sz w:val="18"/>
              </w:rPr>
              <w:t>16,773,239</w:t>
            </w:r>
          </w:p>
        </w:tc>
        <w:tc>
          <w:tcPr>
            <w:tcW w:w="11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7,454,773</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51" w:right="0"/>
              <w:jc w:val="left"/>
              <w:rPr>
                <w:rFonts w:ascii="Times New Roman" w:hAnsi="Times New Roman" w:cs="Times New Roman" w:eastAsia="Times New Roman" w:hint="default"/>
                <w:sz w:val="18"/>
                <w:szCs w:val="18"/>
              </w:rPr>
            </w:pPr>
            <w:r>
              <w:rPr>
                <w:rFonts w:ascii="Times New Roman"/>
                <w:sz w:val="18"/>
              </w:rPr>
              <w:t>16,773,239</w:t>
            </w:r>
          </w:p>
        </w:tc>
        <w:tc>
          <w:tcPr>
            <w:tcW w:w="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9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2.19%</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12,755,802</w:t>
            </w:r>
          </w:p>
        </w:tc>
        <w:tc>
          <w:tcPr>
            <w:tcW w:w="11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5,335,912</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10,016,851</w:t>
            </w:r>
          </w:p>
        </w:tc>
        <w:tc>
          <w:tcPr>
            <w:tcW w:w="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2,738,951</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6" w:right="0"/>
              <w:jc w:val="left"/>
              <w:rPr>
                <w:rFonts w:ascii="Times New Roman" w:hAnsi="Times New Roman" w:cs="Times New Roman" w:eastAsia="Times New Roman" w:hint="default"/>
                <w:sz w:val="18"/>
                <w:szCs w:val="18"/>
              </w:rPr>
            </w:pPr>
            <w:r>
              <w:rPr>
                <w:rFonts w:ascii="Times New Roman"/>
                <w:sz w:val="18"/>
              </w:rPr>
              <w:t>3,582,000</w:t>
            </w: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李智军</w:t>
            </w:r>
          </w:p>
        </w:tc>
        <w:tc>
          <w:tcPr>
            <w:tcW w:w="9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1.61%</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9,393,405</w:t>
            </w:r>
          </w:p>
        </w:tc>
        <w:tc>
          <w:tcPr>
            <w:tcW w:w="11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2,947,858</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1" w:right="0"/>
              <w:jc w:val="left"/>
              <w:rPr>
                <w:rFonts w:ascii="Times New Roman" w:hAnsi="Times New Roman" w:cs="Times New Roman" w:eastAsia="Times New Roman" w:hint="default"/>
                <w:sz w:val="18"/>
                <w:szCs w:val="18"/>
              </w:rPr>
            </w:pPr>
            <w:r>
              <w:rPr>
                <w:rFonts w:ascii="Times New Roman"/>
                <w:sz w:val="18"/>
              </w:rPr>
              <w:t>5,220,893</w:t>
            </w:r>
          </w:p>
        </w:tc>
        <w:tc>
          <w:tcPr>
            <w:tcW w:w="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4,172,512</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6" w:right="0"/>
              <w:jc w:val="left"/>
              <w:rPr>
                <w:rFonts w:ascii="Times New Roman" w:hAnsi="Times New Roman" w:cs="Times New Roman" w:eastAsia="Times New Roman" w:hint="default"/>
                <w:sz w:val="18"/>
                <w:szCs w:val="18"/>
              </w:rPr>
            </w:pPr>
            <w:r>
              <w:rPr>
                <w:rFonts w:ascii="Times New Roman"/>
                <w:sz w:val="18"/>
              </w:rPr>
              <w:t>8,154,000</w:t>
            </w:r>
          </w:p>
        </w:tc>
      </w:tr>
      <w:tr>
        <w:trPr>
          <w:trHeight w:val="1650"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深圳天风天成 资产管理有限 公司－天富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号资产管理计 划</w:t>
            </w:r>
          </w:p>
        </w:tc>
        <w:tc>
          <w:tcPr>
            <w:tcW w:w="9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1.26%</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7,335,136</w:t>
            </w:r>
          </w:p>
        </w:tc>
        <w:tc>
          <w:tcPr>
            <w:tcW w:w="11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2,135,136</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7,335,136</w:t>
            </w:r>
          </w:p>
        </w:tc>
        <w:tc>
          <w:tcPr>
            <w:tcW w:w="1007" w:type="dxa"/>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9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1.12%</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6,541,997</w:t>
            </w:r>
          </w:p>
        </w:tc>
        <w:tc>
          <w:tcPr>
            <w:tcW w:w="11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2,667,554</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1" w:right="0"/>
              <w:jc w:val="left"/>
              <w:rPr>
                <w:rFonts w:ascii="Times New Roman" w:hAnsi="Times New Roman" w:cs="Times New Roman" w:eastAsia="Times New Roman" w:hint="default"/>
                <w:sz w:val="18"/>
                <w:szCs w:val="18"/>
              </w:rPr>
            </w:pPr>
            <w:r>
              <w:rPr>
                <w:rFonts w:ascii="Times New Roman"/>
                <w:sz w:val="18"/>
              </w:rPr>
              <w:t>5,230,497</w:t>
            </w:r>
          </w:p>
        </w:tc>
        <w:tc>
          <w:tcPr>
            <w:tcW w:w="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1,311,500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6" w:right="0"/>
              <w:jc w:val="left"/>
              <w:rPr>
                <w:rFonts w:ascii="Times New Roman" w:hAnsi="Times New Roman" w:cs="Times New Roman" w:eastAsia="Times New Roman" w:hint="default"/>
                <w:sz w:val="18"/>
                <w:szCs w:val="18"/>
              </w:rPr>
            </w:pPr>
            <w:r>
              <w:rPr>
                <w:rFonts w:ascii="Times New Roman"/>
                <w:sz w:val="18"/>
              </w:rPr>
              <w:t>3,960,000</w:t>
            </w:r>
          </w:p>
        </w:tc>
      </w:tr>
      <w:tr>
        <w:trPr>
          <w:trHeight w:val="714" w:hRule="exact"/>
        </w:trPr>
        <w:tc>
          <w:tcPr>
            <w:tcW w:w="22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300" w:type="dxa"/>
            <w:gridSpan w:val="13"/>
            <w:tcBorders>
              <w:top w:val="single" w:sz="4" w:space="0" w:color="000000"/>
              <w:left w:val="single" w:sz="13" w:space="0" w:color="D2D2D2"/>
              <w:bottom w:val="single" w:sz="4" w:space="0" w:color="000000"/>
              <w:right w:val="single" w:sz="4" w:space="0" w:color="000000"/>
            </w:tcBorders>
          </w:tcPr>
          <w:p>
            <w:pPr>
              <w:pStyle w:val="TableParagraph"/>
              <w:spacing w:line="300"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上述股东中，控股股东刘泽刚与韦强、张仁增、何昀、高星于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日签订《共同 </w:t>
            </w:r>
            <w:r>
              <w:rPr>
                <w:rFonts w:ascii="宋体" w:hAnsi="宋体" w:cs="宋体" w:eastAsia="宋体" w:hint="default"/>
                <w:spacing w:val="-5"/>
                <w:sz w:val="18"/>
                <w:szCs w:val="18"/>
              </w:rPr>
              <w:t>控制及一致行动协议》，属一致行动人。</w:t>
            </w:r>
          </w:p>
        </w:tc>
      </w:tr>
      <w:tr>
        <w:trPr>
          <w:trHeight w:val="402" w:hRule="exact"/>
        </w:trPr>
        <w:tc>
          <w:tcPr>
            <w:tcW w:w="9569"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8"/>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8"/>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4"/>
            <w:vMerge/>
            <w:tcBorders>
              <w:left w:val="single" w:sz="4" w:space="0" w:color="000000"/>
              <w:bottom w:val="nil" w:sz="6" w:space="0" w:color="auto"/>
              <w:right w:val="single" w:sz="4" w:space="0" w:color="000000"/>
            </w:tcBorders>
            <w:shd w:val="clear" w:color="auto" w:fill="D2D2D2"/>
          </w:tcPr>
          <w:p>
            <w:pPr/>
          </w:p>
        </w:tc>
        <w:tc>
          <w:tcPr>
            <w:tcW w:w="3989" w:type="dxa"/>
            <w:gridSpan w:val="8"/>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8"/>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398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32,513,746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6" w:right="0"/>
              <w:jc w:val="left"/>
              <w:rPr>
                <w:rFonts w:ascii="Times New Roman" w:hAnsi="Times New Roman" w:cs="Times New Roman" w:eastAsia="Times New Roman" w:hint="default"/>
                <w:sz w:val="18"/>
                <w:szCs w:val="18"/>
              </w:rPr>
            </w:pPr>
            <w:r>
              <w:rPr>
                <w:rFonts w:ascii="Times New Roman"/>
                <w:sz w:val="18"/>
              </w:rPr>
              <w:t>32,513,746</w:t>
            </w:r>
          </w:p>
        </w:tc>
      </w:tr>
      <w:tr>
        <w:trPr>
          <w:trHeight w:val="402" w:hRule="exact"/>
        </w:trPr>
        <w:tc>
          <w:tcPr>
            <w:tcW w:w="28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398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16,565,319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6" w:right="0"/>
              <w:jc w:val="left"/>
              <w:rPr>
                <w:rFonts w:ascii="Times New Roman" w:hAnsi="Times New Roman" w:cs="Times New Roman" w:eastAsia="Times New Roman" w:hint="default"/>
                <w:sz w:val="18"/>
                <w:szCs w:val="18"/>
              </w:rPr>
            </w:pPr>
            <w:r>
              <w:rPr>
                <w:rFonts w:ascii="Times New Roman"/>
                <w:sz w:val="18"/>
              </w:rPr>
              <w:t>16,565,319</w:t>
            </w:r>
          </w:p>
        </w:tc>
      </w:tr>
      <w:tr>
        <w:trPr>
          <w:trHeight w:val="714" w:hRule="exact"/>
        </w:trPr>
        <w:tc>
          <w:tcPr>
            <w:tcW w:w="2880"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深圳天风天成资产管理有限公司－ 天富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398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7,335,136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7,335,136</w:t>
            </w:r>
          </w:p>
        </w:tc>
      </w:tr>
      <w:tr>
        <w:trPr>
          <w:trHeight w:val="402" w:hRule="exact"/>
        </w:trPr>
        <w:tc>
          <w:tcPr>
            <w:tcW w:w="28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398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6,764,729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6" w:right="0"/>
              <w:jc w:val="left"/>
              <w:rPr>
                <w:rFonts w:ascii="Times New Roman" w:hAnsi="Times New Roman" w:cs="Times New Roman" w:eastAsia="Times New Roman" w:hint="default"/>
                <w:sz w:val="18"/>
                <w:szCs w:val="18"/>
              </w:rPr>
            </w:pPr>
            <w:r>
              <w:rPr>
                <w:rFonts w:ascii="Times New Roman"/>
                <w:sz w:val="18"/>
              </w:rPr>
              <w:t>6,764,729</w:t>
            </w:r>
          </w:p>
        </w:tc>
      </w:tr>
      <w:tr>
        <w:trPr>
          <w:trHeight w:val="402" w:hRule="exact"/>
        </w:trPr>
        <w:tc>
          <w:tcPr>
            <w:tcW w:w="28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398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5,736,224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6" w:right="0"/>
              <w:jc w:val="left"/>
              <w:rPr>
                <w:rFonts w:ascii="Times New Roman" w:hAnsi="Times New Roman" w:cs="Times New Roman" w:eastAsia="Times New Roman" w:hint="default"/>
                <w:sz w:val="18"/>
                <w:szCs w:val="18"/>
              </w:rPr>
            </w:pPr>
            <w:r>
              <w:rPr>
                <w:rFonts w:ascii="Times New Roman"/>
                <w:sz w:val="18"/>
              </w:rPr>
              <w:t>5,736,224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p>
      <w:pPr>
        <w:pStyle w:val="BodyText"/>
        <w:spacing w:line="240" w:lineRule="auto" w:before="44"/>
        <w:ind w:left="0" w:right="1141"/>
        <w:jc w:val="right"/>
      </w:pPr>
      <w:r>
        <w:rPr/>
        <w:pict>
          <v:shape style="position:absolute;margin-left:56.459999pt;margin-top:-132.568268pt;width:479.2pt;height:183.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0"/>
                    <w:gridCol w:w="3989"/>
                    <w:gridCol w:w="1349"/>
                    <w:gridCol w:w="1350"/>
                  </w:tblGrid>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琚存旭</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5,203,021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5,203,021</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高维</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4,963,000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4,963,000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李智军</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4,172,512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4,172,512</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江门市科恒实业股份有限公司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4,094,177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4,094,177</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长沙臻泰新能源投资企业（有限合 伙）</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3,942,541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3,942,541</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、公司前十大股东中控股股东刘泽刚与韦强、张仁增、何昀和高星为一致行动人；</w:t>
                        </w:r>
                        <w:r>
                          <w:rPr>
                            <w:rFonts w:ascii="Times New Roman" w:hAnsi="Times New Roman" w:cs="Times New Roman" w:eastAsia="Times New Roman" w:hint="default"/>
                            <w:spacing w:val="-4"/>
                            <w:sz w:val="18"/>
                            <w:szCs w:val="18"/>
                          </w:rPr>
                          <w:t>2</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公司无法确定前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名无限售流通股的其他股东是否存在关联关系。</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before="44"/>
        <w:ind w:right="1048"/>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04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048"/>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1048"/>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2"/>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2"/>
              <w:jc w:val="left"/>
              <w:rPr>
                <w:rFonts w:ascii="宋体" w:hAnsi="宋体" w:cs="宋体" w:eastAsia="宋体" w:hint="default"/>
                <w:sz w:val="18"/>
                <w:szCs w:val="18"/>
              </w:rPr>
            </w:pPr>
            <w:r>
              <w:rPr>
                <w:rFonts w:ascii="宋体" w:hAnsi="宋体" w:cs="宋体" w:eastAsia="宋体" w:hint="default"/>
                <w:sz w:val="18"/>
                <w:szCs w:val="18"/>
              </w:rPr>
              <w:t>刘泽刚先生为公司创始人，自公司设立以来，刘泽刚一直担任本公司董事长，</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月兼任公司总经理。</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1048"/>
        <w:jc w:val="left"/>
      </w:pPr>
      <w:r>
        <w:rPr/>
        <w:t>控股股东报告期内变更</w:t>
      </w:r>
    </w:p>
    <w:p>
      <w:pPr>
        <w:pStyle w:val="BodyText"/>
        <w:spacing w:line="338" w:lineRule="auto" w:before="117"/>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1048"/>
        <w:jc w:val="left"/>
        <w:rPr>
          <w:b w:val="0"/>
          <w:bCs w:val="0"/>
        </w:rPr>
      </w:pPr>
      <w:bookmarkStart w:name="3、公司实际控制人及其一致行动人" w:id="112"/>
      <w:bookmarkEnd w:id="112"/>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一致行动（含协议、亲属、同</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一控制）</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8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刘泽刚先生为公司创始人之一，自公司设立以来一直担任本公司董事长，</w:t>
            </w:r>
            <w:r>
              <w:rPr>
                <w:rFonts w:ascii="Times New Roman" w:hAnsi="Times New Roman" w:cs="Times New Roman" w:eastAsia="Times New Roman" w:hint="default"/>
                <w:sz w:val="18"/>
                <w:szCs w:val="18"/>
              </w:rPr>
              <w:t>1997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309" w:lineRule="auto" w:before="61"/>
              <w:ind w:left="23" w:right="21"/>
              <w:jc w:val="both"/>
              <w:rPr>
                <w:rFonts w:ascii="宋体" w:hAnsi="宋体" w:cs="宋体" w:eastAsia="宋体" w:hint="default"/>
                <w:sz w:val="18"/>
                <w:szCs w:val="18"/>
              </w:rPr>
            </w:pP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月兼任公司总经理。现任公司董事长，目前还担任北京中关村民营科技实业 </w:t>
            </w:r>
            <w:r>
              <w:rPr>
                <w:rFonts w:ascii="宋体" w:hAnsi="宋体" w:cs="宋体" w:eastAsia="宋体" w:hint="default"/>
                <w:spacing w:val="-3"/>
                <w:sz w:val="18"/>
                <w:szCs w:val="18"/>
              </w:rPr>
              <w:t>家协会副会长、中关村高新技术企业协会副会长及民建中央十一届能源与资源环境委员会副</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主任；</w:t>
            </w:r>
          </w:p>
          <w:p>
            <w:pPr>
              <w:pStyle w:val="TableParagraph"/>
              <w:spacing w:line="240" w:lineRule="auto" w:before="65"/>
              <w:ind w:left="473" w:right="0"/>
              <w:jc w:val="left"/>
              <w:rPr>
                <w:rFonts w:ascii="宋体" w:hAnsi="宋体" w:cs="宋体" w:eastAsia="宋体" w:hint="default"/>
                <w:sz w:val="18"/>
                <w:szCs w:val="18"/>
              </w:rPr>
            </w:pPr>
            <w:r>
              <w:rPr>
                <w:rFonts w:ascii="宋体" w:hAnsi="宋体" w:cs="宋体" w:eastAsia="宋体" w:hint="default"/>
                <w:sz w:val="18"/>
                <w:szCs w:val="18"/>
              </w:rPr>
              <w:t>韦强先生为公司创始人之一，现任公司董事、总经理；</w:t>
            </w:r>
          </w:p>
          <w:p>
            <w:pPr>
              <w:pStyle w:val="TableParagraph"/>
              <w:spacing w:line="302" w:lineRule="auto" w:before="115"/>
              <w:ind w:left="23" w:right="30" w:firstLine="450"/>
              <w:jc w:val="left"/>
              <w:rPr>
                <w:rFonts w:ascii="宋体" w:hAnsi="宋体" w:cs="宋体" w:eastAsia="宋体" w:hint="default"/>
                <w:sz w:val="18"/>
                <w:szCs w:val="18"/>
              </w:rPr>
            </w:pPr>
            <w:r>
              <w:rPr>
                <w:rFonts w:ascii="宋体" w:hAnsi="宋体" w:cs="宋体" w:eastAsia="宋体" w:hint="default"/>
                <w:sz w:val="18"/>
                <w:szCs w:val="18"/>
              </w:rPr>
              <w:t>张仁增先生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月至今担任公司董事，历任项目经理、总裁办主任，现分管行 政后勤中心；</w:t>
            </w:r>
          </w:p>
          <w:p>
            <w:pPr>
              <w:pStyle w:val="TableParagraph"/>
              <w:spacing w:line="240" w:lineRule="auto" w:before="68"/>
              <w:ind w:left="4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何昀先生</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月至</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90"/>
                <w:sz w:val="18"/>
                <w:szCs w:val="18"/>
              </w:rPr>
              <w:t>，</w:t>
            </w:r>
            <w:r>
              <w:rPr>
                <w:rFonts w:ascii="宋体" w:hAnsi="宋体" w:cs="宋体" w:eastAsia="宋体" w:hint="default"/>
                <w:sz w:val="18"/>
                <w:szCs w:val="18"/>
              </w:rPr>
              <w:t>何昀先生在本公司担任华北大区销售经理</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2007</w:t>
            </w:r>
          </w:p>
          <w:p>
            <w:pPr>
              <w:pStyle w:val="TableParagraph"/>
              <w:spacing w:line="240" w:lineRule="auto" w:before="64"/>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月至今，担任本公司董事、营销总部销售总监；</w:t>
            </w:r>
          </w:p>
          <w:p>
            <w:pPr>
              <w:pStyle w:val="TableParagraph"/>
              <w:spacing w:line="240" w:lineRule="auto" w:before="102"/>
              <w:ind w:left="4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高星女士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月，高星女士任本公司销售中心经理；</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4"/>
              <w:ind w:left="23" w:right="0"/>
              <w:jc w:val="both"/>
              <w:rPr>
                <w:rFonts w:ascii="宋体" w:hAnsi="宋体" w:cs="宋体" w:eastAsia="宋体" w:hint="default"/>
                <w:sz w:val="18"/>
                <w:szCs w:val="18"/>
              </w:rPr>
            </w:pPr>
            <w:r>
              <w:rPr>
                <w:rFonts w:ascii="宋体" w:hAnsi="宋体" w:cs="宋体" w:eastAsia="宋体" w:hint="default"/>
                <w:sz w:val="18"/>
                <w:szCs w:val="18"/>
              </w:rPr>
              <w:t>月至今，担任公司董事，历任人力资源部经理，现任总经理助理。</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048"/>
        <w:jc w:val="left"/>
      </w:pPr>
      <w:r>
        <w:rPr/>
        <w:t>实际控制人报告期内变更</w:t>
      </w:r>
    </w:p>
    <w:p>
      <w:pPr>
        <w:pStyle w:val="BodyText"/>
        <w:spacing w:line="350"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7"/>
        <w:rPr>
          <w:rFonts w:ascii="宋体" w:hAnsi="宋体" w:cs="宋体" w:eastAsia="宋体" w:hint="default"/>
          <w:sz w:val="23"/>
          <w:szCs w:val="23"/>
        </w:rPr>
      </w:pPr>
    </w:p>
    <w:p>
      <w:pPr>
        <w:spacing w:line="2865" w:lineRule="exact"/>
        <w:ind w:left="1356"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4593590" cy="1819275"/>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19" cstate="print"/>
                    <a:stretch>
                      <a:fillRect/>
                    </a:stretch>
                  </pic:blipFill>
                  <pic:spPr>
                    <a:xfrm>
                      <a:off x="0" y="0"/>
                      <a:ext cx="4593590" cy="1819275"/>
                    </a:xfrm>
                    <a:prstGeom prst="rect">
                      <a:avLst/>
                    </a:prstGeom>
                  </pic:spPr>
                </pic:pic>
              </a:graphicData>
            </a:graphic>
          </wp:inline>
        </w:drawing>
      </w:r>
      <w:r>
        <w:rPr>
          <w:rFonts w:ascii="宋体" w:hAnsi="宋体" w:cs="宋体" w:eastAsia="宋体" w:hint="default"/>
          <w:position w:val="-56"/>
          <w:sz w:val="20"/>
          <w:szCs w:val="20"/>
        </w:rPr>
      </w:r>
    </w:p>
    <w:p>
      <w:pPr>
        <w:spacing w:line="240" w:lineRule="auto" w:before="2"/>
        <w:rPr>
          <w:rFonts w:ascii="宋体" w:hAnsi="宋体" w:cs="宋体" w:eastAsia="宋体" w:hint="default"/>
          <w:sz w:val="22"/>
          <w:szCs w:val="22"/>
        </w:rPr>
      </w:pPr>
    </w:p>
    <w:p>
      <w:pPr>
        <w:spacing w:before="0"/>
        <w:ind w:left="154" w:right="1048"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48"/>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48"/>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048"/>
        <w:jc w:val="left"/>
        <w:rPr>
          <w:b w:val="0"/>
          <w:bCs w:val="0"/>
        </w:rPr>
      </w:pPr>
      <w:bookmarkStart w:name="_TOC_250005" w:id="115"/>
      <w:bookmarkStart w:name="第七节 优先股相关情况" w:id="116"/>
      <w:r>
        <w:rPr>
          <w:b w:val="0"/>
          <w:bCs w:val="0"/>
        </w:rPr>
      </w:r>
      <w:r>
        <w:rPr/>
        <w:t>第七节</w:t>
      </w:r>
      <w:r>
        <w:rPr>
          <w:spacing w:val="-8"/>
        </w:rPr>
        <w:t> </w:t>
      </w:r>
      <w:r>
        <w:rPr/>
        <w:t>优先股相关情况</w:t>
      </w:r>
      <w:bookmarkEnd w:id="115"/>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060" w:right="0"/>
        <w:jc w:val="left"/>
        <w:rPr>
          <w:b w:val="0"/>
          <w:bCs w:val="0"/>
        </w:rPr>
      </w:pPr>
      <w:bookmarkStart w:name="_TOC_250004" w:id="117"/>
      <w:bookmarkStart w:name="第八节 董事、监事、高级管理人员和员工情况" w:id="118"/>
      <w:r>
        <w:rPr>
          <w:b w:val="0"/>
          <w:bCs w:val="0"/>
        </w:rPr>
      </w:r>
      <w:r>
        <w:rPr/>
        <w:t>第八节</w:t>
      </w:r>
      <w:r>
        <w:rPr>
          <w:spacing w:val="-16"/>
        </w:rPr>
        <w:t> </w:t>
      </w:r>
      <w:r>
        <w:rPr/>
        <w:t>董事、监事、高级管理人员和员工情况</w:t>
      </w:r>
      <w:bookmarkEnd w:id="117"/>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534" w:right="0"/>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710"/>
        <w:gridCol w:w="992"/>
        <w:gridCol w:w="426"/>
        <w:gridCol w:w="426"/>
        <w:gridCol w:w="425"/>
        <w:gridCol w:w="1559"/>
        <w:gridCol w:w="1843"/>
        <w:gridCol w:w="991"/>
        <w:gridCol w:w="568"/>
        <w:gridCol w:w="709"/>
        <w:gridCol w:w="991"/>
        <w:gridCol w:w="992"/>
      </w:tblGrid>
      <w:tr>
        <w:trPr>
          <w:trHeight w:val="1649"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77"/>
              <w:jc w:val="right"/>
              <w:rPr>
                <w:rFonts w:ascii="宋体" w:hAnsi="宋体" w:cs="宋体" w:eastAsia="宋体" w:hint="default"/>
                <w:sz w:val="18"/>
                <w:szCs w:val="18"/>
              </w:rPr>
            </w:pPr>
            <w:r>
              <w:rPr>
                <w:rFonts w:ascii="宋体" w:hAnsi="宋体" w:cs="宋体" w:eastAsia="宋体" w:hint="default"/>
                <w:sz w:val="18"/>
                <w:szCs w:val="18"/>
              </w:rPr>
              <w:t>任期终止日期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0" w:right="96"/>
              <w:jc w:val="both"/>
              <w:rPr>
                <w:rFonts w:ascii="宋体" w:hAnsi="宋体" w:cs="宋体" w:eastAsia="宋体" w:hint="default"/>
                <w:sz w:val="18"/>
                <w:szCs w:val="18"/>
              </w:rPr>
            </w:pPr>
            <w:r>
              <w:rPr>
                <w:rFonts w:ascii="宋体" w:hAnsi="宋体" w:cs="宋体" w:eastAsia="宋体" w:hint="default"/>
                <w:sz w:val="18"/>
                <w:szCs w:val="18"/>
              </w:rPr>
              <w:t>本期 增持 股份 数量</w:t>
            </w:r>
          </w:p>
          <w:p>
            <w:pPr>
              <w:pStyle w:val="TableParagraph"/>
              <w:spacing w:line="240" w:lineRule="auto" w:before="20"/>
              <w:ind w:left="2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130" w:right="38" w:hanging="90"/>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72,874,992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58,299,994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130,894,986</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7"/>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36,811,818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29,449,454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66,261,272</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17,166,065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13,732,852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29,938,917</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14,547,162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11,637,730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25,374,892</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7,419,890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5,935,912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12,755,802</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韩国良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7"/>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920,695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736,556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1,657,251</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刘卫东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3,874,443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3,099,554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6,541,997</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王小鑫</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张全中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冯峥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7"/>
              <w:jc w:val="left"/>
              <w:rPr>
                <w:rFonts w:ascii="宋体" w:hAnsi="宋体" w:cs="宋体" w:eastAsia="宋体" w:hint="default"/>
                <w:sz w:val="18"/>
                <w:szCs w:val="18"/>
              </w:rPr>
            </w:pPr>
            <w:r>
              <w:rPr>
                <w:rFonts w:ascii="宋体" w:hAnsi="宋体" w:cs="宋体" w:eastAsia="宋体" w:hint="default"/>
                <w:sz w:val="18"/>
                <w:szCs w:val="18"/>
              </w:rPr>
              <w:t>董事会秘 书、副总经 理</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张晓屹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153,615,065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-3,082,0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122,892,052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273,425,117</w:t>
            </w:r>
          </w:p>
        </w:tc>
      </w:tr>
    </w:tbl>
    <w:p>
      <w:pPr>
        <w:spacing w:line="240" w:lineRule="auto" w:before="2"/>
        <w:rPr>
          <w:rFonts w:ascii="宋体" w:hAnsi="宋体" w:cs="宋体" w:eastAsia="宋体" w:hint="default"/>
          <w:b/>
          <w:bCs/>
          <w:sz w:val="18"/>
          <w:szCs w:val="18"/>
        </w:rPr>
      </w:pPr>
    </w:p>
    <w:p>
      <w:pPr>
        <w:pStyle w:val="Heading2"/>
        <w:spacing w:line="240" w:lineRule="auto" w:before="26"/>
        <w:ind w:left="534" w:right="0"/>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left="534" w:right="0"/>
        <w:jc w:val="left"/>
        <w:rPr>
          <w:b w:val="0"/>
          <w:bCs w:val="0"/>
        </w:rPr>
      </w:pPr>
      <w:bookmarkStart w:name="三、任职情况" w:id="121"/>
      <w:bookmarkEnd w:id="121"/>
      <w:r>
        <w:rPr>
          <w:b w:val="0"/>
          <w:bCs w:val="0"/>
        </w:rPr>
      </w:r>
      <w:r>
        <w:rPr/>
        <w:t>三、任职情况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34" w:right="0"/>
        <w:jc w:val="left"/>
      </w:pPr>
      <w:r>
        <w:rPr/>
        <w:t>公司现任董事、监事、高级管理人员专业背景、主要工作经历以及目前在公司的主要职责</w:t>
      </w:r>
    </w:p>
    <w:p>
      <w:pPr>
        <w:spacing w:after="0" w:line="240" w:lineRule="auto"/>
        <w:jc w:val="left"/>
        <w:sectPr>
          <w:pgSz w:w="11910" w:h="16840"/>
          <w:pgMar w:header="747" w:footer="979" w:top="1060" w:bottom="1160" w:left="600" w:right="0"/>
        </w:sectPr>
      </w:pPr>
    </w:p>
    <w:p>
      <w:pPr>
        <w:spacing w:line="240" w:lineRule="auto" w:before="13"/>
        <w:rPr>
          <w:rFonts w:ascii="宋体" w:hAnsi="宋体" w:cs="宋体" w:eastAsia="宋体" w:hint="default"/>
          <w:sz w:val="25"/>
          <w:szCs w:val="25"/>
        </w:rPr>
      </w:pPr>
    </w:p>
    <w:p>
      <w:pPr>
        <w:pStyle w:val="BodyText"/>
        <w:spacing w:line="338" w:lineRule="auto" w:before="44"/>
        <w:ind w:left="514" w:right="1048"/>
        <w:jc w:val="left"/>
        <w:rPr>
          <w:rFonts w:ascii="Times New Roman" w:hAnsi="Times New Roman" w:cs="Times New Roman" w:eastAsia="Times New Roman" w:hint="default"/>
        </w:rPr>
      </w:pPr>
      <w:r>
        <w:rPr>
          <w:rFonts w:ascii="Times New Roman" w:hAnsi="Times New Roman" w:cs="Times New Roman" w:eastAsia="Times New Roman" w:hint="default"/>
        </w:rPr>
        <w:t>1</w:t>
      </w:r>
      <w:r>
        <w:rPr/>
        <w:t>、董事会成员 </w:t>
      </w:r>
      <w:r>
        <w:rPr>
          <w:spacing w:val="-5"/>
        </w:rPr>
        <w:t>刘泽刚先生，</w:t>
      </w:r>
      <w:r>
        <w:rPr>
          <w:rFonts w:ascii="Times New Roman" w:hAnsi="Times New Roman" w:cs="Times New Roman" w:eastAsia="Times New Roman" w:hint="default"/>
          <w:spacing w:val="-5"/>
        </w:rPr>
        <w:t>1966</w:t>
      </w:r>
      <w:r>
        <w:rPr>
          <w:spacing w:val="-5"/>
        </w:rPr>
        <w:t>年生，中国国籍。</w:t>
      </w:r>
      <w:r>
        <w:rPr>
          <w:rFonts w:ascii="Times New Roman" w:hAnsi="Times New Roman" w:cs="Times New Roman" w:eastAsia="Times New Roman" w:hint="default"/>
          <w:spacing w:val="-5"/>
        </w:rPr>
        <w:t>1989</w:t>
      </w:r>
      <w:r>
        <w:rPr>
          <w:spacing w:val="-5"/>
        </w:rPr>
        <w:t>年</w:t>
      </w:r>
      <w:r>
        <w:rPr>
          <w:rFonts w:ascii="Times New Roman" w:hAnsi="Times New Roman" w:cs="Times New Roman" w:eastAsia="Times New Roman" w:hint="default"/>
          <w:spacing w:val="-5"/>
        </w:rPr>
        <w:t>7</w:t>
      </w:r>
      <w:r>
        <w:rPr>
          <w:spacing w:val="-5"/>
        </w:rPr>
        <w:t>月毕业于南京河海大学（原华东水利学院），获学士学位。</w:t>
      </w:r>
      <w:r>
        <w:rPr>
          <w:rFonts w:ascii="Times New Roman" w:hAnsi="Times New Roman" w:cs="Times New Roman" w:eastAsia="Times New Roman" w:hint="default"/>
          <w:spacing w:val="-5"/>
        </w:rPr>
        <w:t>1989</w:t>
      </w:r>
      <w:r>
        <w:rPr>
          <w:spacing w:val="-5"/>
        </w:rPr>
        <w:t>年</w:t>
      </w:r>
      <w:r>
        <w:rPr>
          <w:rFonts w:ascii="Times New Roman" w:hAnsi="Times New Roman" w:cs="Times New Roman" w:eastAsia="Times New Roman" w:hint="default"/>
          <w:spacing w:val="-5"/>
        </w:rPr>
        <w:t>7</w:t>
      </w:r>
      <w:r>
        <w:rPr>
          <w:spacing w:val="-5"/>
        </w:rPr>
        <w:t>月至</w:t>
      </w:r>
      <w:r>
        <w:rPr>
          <w:rFonts w:ascii="Times New Roman" w:hAnsi="Times New Roman" w:cs="Times New Roman" w:eastAsia="Times New Roman" w:hint="default"/>
          <w:spacing w:val="-5"/>
        </w:rPr>
        <w:t>1991</w:t>
      </w:r>
    </w:p>
    <w:p>
      <w:pPr>
        <w:pStyle w:val="BodyText"/>
        <w:spacing w:line="230" w:lineRule="exact"/>
        <w:ind w:right="0"/>
        <w:jc w:val="left"/>
      </w:pPr>
      <w:r>
        <w:rPr/>
        <w:t>年</w:t>
      </w:r>
      <w:r>
        <w:rPr>
          <w:rFonts w:ascii="Times New Roman" w:hAnsi="Times New Roman" w:cs="Times New Roman" w:eastAsia="Times New Roman" w:hint="default"/>
        </w:rPr>
        <w:t>9</w:t>
      </w:r>
      <w:r>
        <w:rPr/>
        <w:t>月，在能源部水电二局（现中电建建筑集团公司）从事房建电气施工技术工作。</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4</w:t>
      </w:r>
      <w:r>
        <w:rPr/>
        <w:t>月，刘泽刚与韦强等人出资设立</w:t>
      </w:r>
    </w:p>
    <w:p>
      <w:pPr>
        <w:pStyle w:val="BodyText"/>
        <w:spacing w:line="302" w:lineRule="auto" w:before="63"/>
        <w:ind w:right="1048"/>
        <w:jc w:val="left"/>
      </w:pPr>
      <w:r>
        <w:rPr>
          <w:spacing w:val="-2"/>
        </w:rPr>
        <w:t>了合纵科技，刘泽刚一直担任本公司董事长，</w:t>
      </w:r>
      <w:r>
        <w:rPr>
          <w:rFonts w:ascii="Times New Roman" w:hAnsi="Times New Roman" w:cs="Times New Roman" w:eastAsia="Times New Roman" w:hint="default"/>
          <w:spacing w:val="-2"/>
        </w:rPr>
        <w:t>1997</w:t>
      </w:r>
      <w:r>
        <w:rPr>
          <w:spacing w:val="-2"/>
        </w:rPr>
        <w:t>月</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月兼任公司总经理。刘泽刚目前还担任北京中关村民营科</w:t>
      </w:r>
      <w:r>
        <w:rPr>
          <w:spacing w:val="-56"/>
        </w:rPr>
        <w:t> </w:t>
      </w:r>
      <w:r>
        <w:rPr>
          <w:spacing w:val="-56"/>
        </w:rPr>
      </w:r>
      <w:r>
        <w:rPr/>
        <w:t>技实业家协会副会长、中关村高新技术企业协会副会长及民建中央十一届能源与资源环境委员会副主任。</w:t>
      </w:r>
    </w:p>
    <w:p>
      <w:pPr>
        <w:pStyle w:val="BodyText"/>
        <w:spacing w:line="300" w:lineRule="auto" w:before="69"/>
        <w:ind w:right="1131" w:firstLine="360"/>
        <w:jc w:val="both"/>
      </w:pPr>
      <w:r>
        <w:rPr>
          <w:spacing w:val="-3"/>
        </w:rPr>
        <w:t>韦强先生，</w:t>
      </w:r>
      <w:r>
        <w:rPr>
          <w:rFonts w:ascii="Times New Roman" w:hAnsi="Times New Roman" w:cs="Times New Roman" w:eastAsia="Times New Roman" w:hint="default"/>
          <w:spacing w:val="-3"/>
        </w:rPr>
        <w:t>1966</w:t>
      </w:r>
      <w:r>
        <w:rPr>
          <w:spacing w:val="-3"/>
        </w:rPr>
        <w:t>年生，中国国籍。</w:t>
      </w:r>
      <w:r>
        <w:rPr>
          <w:rFonts w:ascii="Times New Roman" w:hAnsi="Times New Roman" w:cs="Times New Roman" w:eastAsia="Times New Roman" w:hint="default"/>
          <w:spacing w:val="-3"/>
        </w:rPr>
        <w:t>1991</w:t>
      </w:r>
      <w:r>
        <w:rPr>
          <w:spacing w:val="-3"/>
        </w:rPr>
        <w:t>年</w:t>
      </w:r>
      <w:r>
        <w:rPr>
          <w:rFonts w:ascii="Times New Roman" w:hAnsi="Times New Roman" w:cs="Times New Roman" w:eastAsia="Times New Roman" w:hint="default"/>
          <w:spacing w:val="-3"/>
        </w:rPr>
        <w:t>8</w:t>
      </w:r>
      <w:r>
        <w:rPr>
          <w:spacing w:val="-3"/>
        </w:rPr>
        <w:t>月毕业于长沙理工大学（原长沙电力学院），获学士学位。</w:t>
      </w:r>
      <w:r>
        <w:rPr>
          <w:rFonts w:ascii="Times New Roman" w:hAnsi="Times New Roman" w:cs="Times New Roman" w:eastAsia="Times New Roman" w:hint="default"/>
          <w:spacing w:val="-3"/>
        </w:rPr>
        <w:t>1991</w:t>
      </w:r>
      <w:r>
        <w:rPr>
          <w:spacing w:val="-3"/>
        </w:rPr>
        <w:t>年</w:t>
      </w:r>
      <w:r>
        <w:rPr>
          <w:rFonts w:ascii="Times New Roman" w:hAnsi="Times New Roman" w:cs="Times New Roman" w:eastAsia="Times New Roman" w:hint="default"/>
          <w:spacing w:val="-3"/>
        </w:rPr>
        <w:t>10</w:t>
      </w:r>
      <w:r>
        <w:rPr>
          <w:spacing w:val="-3"/>
        </w:rPr>
        <w:t>月至</w:t>
      </w:r>
      <w:r>
        <w:rPr>
          <w:rFonts w:ascii="Times New Roman" w:hAnsi="Times New Roman" w:cs="Times New Roman" w:eastAsia="Times New Roman" w:hint="default"/>
          <w:spacing w:val="-3"/>
        </w:rPr>
        <w:t>1995</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5</w:t>
      </w:r>
      <w:r>
        <w:rPr>
          <w:spacing w:val="-2"/>
        </w:rPr>
        <w:t>月，任河南省电力公司办公室工作。</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4</w:t>
      </w:r>
      <w:r>
        <w:rPr>
          <w:spacing w:val="-2"/>
        </w:rPr>
        <w:t>月，韦强与刘泽刚等人出资设立了合纵有限，成立初期两年内从事扩频通信</w:t>
      </w:r>
      <w:r>
        <w:rPr>
          <w:spacing w:val="-60"/>
        </w:rPr>
        <w:t> </w:t>
      </w:r>
      <w:r>
        <w:rPr>
          <w:spacing w:val="-60"/>
        </w:rPr>
      </w:r>
      <w:r>
        <w:rPr/>
        <w:t>设备和配电综合检测表计的代理销售。</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4</w:t>
      </w:r>
      <w:r>
        <w:rPr/>
        <w:t>月至今，韦强历任公司副总经理，现任公司董事、总经理。</w:t>
      </w:r>
    </w:p>
    <w:p>
      <w:pPr>
        <w:pStyle w:val="BodyText"/>
        <w:spacing w:line="302" w:lineRule="auto" w:before="51"/>
        <w:ind w:right="1040" w:firstLine="360"/>
        <w:jc w:val="both"/>
      </w:pPr>
      <w:r>
        <w:rPr>
          <w:spacing w:val="-2"/>
        </w:rPr>
        <w:t>韩国良先生，</w:t>
      </w:r>
      <w:r>
        <w:rPr>
          <w:rFonts w:ascii="Times New Roman" w:hAnsi="Times New Roman" w:cs="Times New Roman" w:eastAsia="Times New Roman" w:hint="default"/>
          <w:spacing w:val="-2"/>
        </w:rPr>
        <w:t>1965</w:t>
      </w:r>
      <w:r>
        <w:rPr>
          <w:spacing w:val="-2"/>
        </w:rPr>
        <w:t>年生，中国国籍。</w:t>
      </w:r>
      <w:r>
        <w:rPr>
          <w:rFonts w:ascii="Times New Roman" w:hAnsi="Times New Roman" w:cs="Times New Roman" w:eastAsia="Times New Roman" w:hint="default"/>
          <w:spacing w:val="-2"/>
        </w:rPr>
        <w:t>1987</w:t>
      </w:r>
      <w:r>
        <w:rPr>
          <w:spacing w:val="-2"/>
        </w:rPr>
        <w:t>年</w:t>
      </w:r>
      <w:r>
        <w:rPr>
          <w:rFonts w:ascii="Times New Roman" w:hAnsi="Times New Roman" w:cs="Times New Roman" w:eastAsia="Times New Roman" w:hint="default"/>
          <w:spacing w:val="-2"/>
        </w:rPr>
        <w:t>7</w:t>
      </w:r>
      <w:r>
        <w:rPr>
          <w:spacing w:val="-2"/>
        </w:rPr>
        <w:t>月毕业于南京工学院电气技术专业，获学士学位。</w:t>
      </w:r>
      <w:r>
        <w:rPr>
          <w:rFonts w:ascii="Times New Roman" w:hAnsi="Times New Roman" w:cs="Times New Roman" w:eastAsia="Times New Roman" w:hint="default"/>
          <w:spacing w:val="-2"/>
        </w:rPr>
        <w:t>1987</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8</w:t>
      </w:r>
      <w:r>
        <w:rPr>
          <w:spacing w:val="-2"/>
        </w:rPr>
        <w:t>月，</w:t>
      </w:r>
      <w:r>
        <w:rPr>
          <w:spacing w:val="1"/>
        </w:rPr>
        <w:t> </w:t>
      </w:r>
      <w:r>
        <w:rPr/>
        <w:t>历任江苏省南通供电公司用电业务员、检修专责、线损专责、主任工程师等职；</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月至今，任公司董事、副总经理。</w:t>
      </w:r>
    </w:p>
    <w:p>
      <w:pPr>
        <w:pStyle w:val="BodyText"/>
        <w:spacing w:line="300" w:lineRule="auto" w:before="49"/>
        <w:ind w:right="1042" w:firstLine="360"/>
        <w:jc w:val="both"/>
      </w:pPr>
      <w:r>
        <w:rPr>
          <w:spacing w:val="-2"/>
        </w:rPr>
        <w:t>张仁增先生，</w:t>
      </w:r>
      <w:r>
        <w:rPr>
          <w:rFonts w:ascii="Times New Roman" w:hAnsi="Times New Roman" w:cs="Times New Roman" w:eastAsia="Times New Roman" w:hint="default"/>
          <w:spacing w:val="-2"/>
        </w:rPr>
        <w:t>1967</w:t>
      </w:r>
      <w:r>
        <w:rPr>
          <w:spacing w:val="-2"/>
        </w:rPr>
        <w:t>年生，中国国籍。</w:t>
      </w:r>
      <w:r>
        <w:rPr>
          <w:rFonts w:ascii="Times New Roman" w:hAnsi="Times New Roman" w:cs="Times New Roman" w:eastAsia="Times New Roman" w:hint="default"/>
          <w:spacing w:val="-2"/>
        </w:rPr>
        <w:t>1990</w:t>
      </w:r>
      <w:r>
        <w:rPr>
          <w:spacing w:val="-2"/>
        </w:rPr>
        <w:t>年</w:t>
      </w:r>
      <w:r>
        <w:rPr>
          <w:rFonts w:ascii="Times New Roman" w:hAnsi="Times New Roman" w:cs="Times New Roman" w:eastAsia="Times New Roman" w:hint="default"/>
          <w:spacing w:val="-2"/>
        </w:rPr>
        <w:t>7</w:t>
      </w:r>
      <w:r>
        <w:rPr>
          <w:spacing w:val="-2"/>
        </w:rPr>
        <w:t>月毕业于北方交通大学，</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月获得北京航空航天大学软件工程领域工</w:t>
      </w:r>
      <w:r>
        <w:rPr/>
        <w:t> 程硕士学位。</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3</w:t>
      </w:r>
      <w:r>
        <w:rPr/>
        <w:t>月在北京铁路局丰台机务段技术部门工作。</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10</w:t>
      </w:r>
      <w:r>
        <w:rPr/>
        <w:t>月，张仁增先生任北京</w:t>
      </w:r>
      <w:r>
        <w:rPr>
          <w:spacing w:val="-83"/>
        </w:rPr>
        <w:t> </w:t>
      </w:r>
      <w:r>
        <w:rPr>
          <w:spacing w:val="-83"/>
        </w:rPr>
      </w:r>
      <w:r>
        <w:rPr>
          <w:spacing w:val="-3"/>
        </w:rPr>
        <w:t>聚能达科技有限公司监事、销售经理；</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12</w:t>
      </w:r>
      <w:r>
        <w:rPr>
          <w:spacing w:val="-3"/>
        </w:rPr>
        <w:t>月至今，担任公司董事，历任项目经理、总裁办主任，现分管行政后勤中心。</w:t>
      </w:r>
    </w:p>
    <w:p>
      <w:pPr>
        <w:pStyle w:val="BodyText"/>
        <w:spacing w:line="302" w:lineRule="auto" w:before="52"/>
        <w:ind w:right="1132" w:firstLine="360"/>
        <w:jc w:val="both"/>
      </w:pPr>
      <w:r>
        <w:rPr>
          <w:spacing w:val="-2"/>
        </w:rPr>
        <w:t>何昀先生，</w:t>
      </w:r>
      <w:r>
        <w:rPr>
          <w:rFonts w:ascii="Times New Roman" w:hAnsi="Times New Roman" w:cs="Times New Roman" w:eastAsia="Times New Roman" w:hint="default"/>
          <w:spacing w:val="-2"/>
        </w:rPr>
        <w:t>1972</w:t>
      </w:r>
      <w:r>
        <w:rPr>
          <w:spacing w:val="-2"/>
        </w:rPr>
        <w:t>年生，中国国籍。</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7</w:t>
      </w:r>
      <w:r>
        <w:rPr>
          <w:spacing w:val="-2"/>
        </w:rPr>
        <w:t>月毕业于长沙电力学院电力系统及自动化专业。</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12</w:t>
      </w:r>
      <w:r>
        <w:rPr>
          <w:spacing w:val="-2"/>
        </w:rPr>
        <w:t>月，何</w:t>
      </w:r>
      <w:r>
        <w:rPr/>
        <w:t> 昀先生在本公司担任华北大区销售经理；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月至今，担任公司董事、营销总部销售总监。</w:t>
      </w:r>
    </w:p>
    <w:p>
      <w:pPr>
        <w:pStyle w:val="BodyText"/>
        <w:spacing w:line="302" w:lineRule="auto" w:before="49"/>
        <w:ind w:right="1132" w:firstLine="360"/>
        <w:jc w:val="both"/>
      </w:pPr>
      <w:r>
        <w:rPr/>
        <w:t>高星女士，</w:t>
      </w:r>
      <w:r>
        <w:rPr>
          <w:rFonts w:ascii="Times New Roman" w:hAnsi="Times New Roman" w:cs="Times New Roman" w:eastAsia="Times New Roman" w:hint="default"/>
        </w:rPr>
        <w:t>1972</w:t>
      </w:r>
      <w:r>
        <w:rPr/>
        <w:t>年生，中国国籍。</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7</w:t>
      </w:r>
      <w:r>
        <w:rPr/>
        <w:t>月毕业于华北电力大学电气技术专业，获工学学士学位。</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12</w:t>
      </w:r>
      <w:r>
        <w:rPr/>
        <w:t>月，高星女士任本公司销售中心经理；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月至今，担任公司董事，历任人力资源部经理，现任总经理助理。</w:t>
      </w:r>
    </w:p>
    <w:p>
      <w:pPr>
        <w:pStyle w:val="BodyText"/>
        <w:spacing w:line="300" w:lineRule="auto" w:before="49"/>
        <w:ind w:right="0" w:firstLine="360"/>
        <w:jc w:val="left"/>
      </w:pPr>
      <w:r>
        <w:rPr>
          <w:spacing w:val="-2"/>
        </w:rPr>
        <w:t>张为华先生，</w:t>
      </w:r>
      <w:r>
        <w:rPr>
          <w:rFonts w:ascii="Times New Roman" w:hAnsi="Times New Roman" w:cs="Times New Roman" w:eastAsia="Times New Roman" w:hint="default"/>
          <w:spacing w:val="-2"/>
        </w:rPr>
        <w:t>1965</w:t>
      </w:r>
      <w:r>
        <w:rPr>
          <w:spacing w:val="-2"/>
        </w:rPr>
        <w:t>年生，中国国籍，中共党员，法学硕士。</w:t>
      </w:r>
      <w:r>
        <w:rPr>
          <w:rFonts w:ascii="Times New Roman" w:hAnsi="Times New Roman" w:cs="Times New Roman" w:eastAsia="Times New Roman" w:hint="default"/>
          <w:spacing w:val="-2"/>
        </w:rPr>
        <w:t>1986</w:t>
      </w:r>
      <w:r>
        <w:rPr>
          <w:spacing w:val="-2"/>
        </w:rPr>
        <w:t>年</w:t>
      </w:r>
      <w:r>
        <w:rPr>
          <w:rFonts w:ascii="Times New Roman" w:hAnsi="Times New Roman" w:cs="Times New Roman" w:eastAsia="Times New Roman" w:hint="default"/>
          <w:spacing w:val="-2"/>
        </w:rPr>
        <w:t>7</w:t>
      </w:r>
      <w:r>
        <w:rPr>
          <w:spacing w:val="-2"/>
        </w:rPr>
        <w:t>月，毕业于中央民族大学法律系，获法学学士学位；</w:t>
      </w:r>
      <w:r>
        <w:rPr/>
        <w:t> </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月，获北京大学法学院法学硕士学位；</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月，获（美国）华盛顿大学法学院硕士学位。</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38"/>
        </w:rPr>
        <w:t> </w:t>
      </w:r>
      <w:r>
        <w:rPr/>
        <w:t>月，任中央民族大学法学院教师；</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11</w:t>
      </w:r>
      <w:r>
        <w:rPr/>
        <w:t>月，北京市大成律师事务所兼职律师；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月至今，任北京市</w:t>
      </w:r>
      <w:r>
        <w:rPr>
          <w:spacing w:val="-83"/>
        </w:rPr>
        <w:t> </w:t>
      </w:r>
      <w:r>
        <w:rPr>
          <w:spacing w:val="-83"/>
        </w:rPr>
      </w:r>
      <w:r>
        <w:rPr>
          <w:spacing w:val="-2"/>
        </w:rPr>
        <w:t>六合金证律师事务所律师；</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月至今，任保定银行股份有限公司独立董事；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月至今，任北京合纵科技股份有</w:t>
      </w:r>
      <w:r>
        <w:rPr>
          <w:spacing w:val="-53"/>
        </w:rPr>
        <w:t> </w:t>
      </w:r>
      <w:r>
        <w:rPr>
          <w:spacing w:val="-53"/>
        </w:rPr>
      </w:r>
      <w:r>
        <w:rPr/>
        <w:t>限公司独立董事。</w:t>
      </w:r>
    </w:p>
    <w:p>
      <w:pPr>
        <w:pStyle w:val="BodyText"/>
        <w:spacing w:line="304" w:lineRule="auto" w:before="71"/>
        <w:ind w:right="1128" w:firstLine="360"/>
        <w:jc w:val="both"/>
      </w:pPr>
      <w:r>
        <w:rPr/>
        <w:t>刘卫东先生，</w:t>
      </w:r>
      <w:r>
        <w:rPr>
          <w:rFonts w:ascii="Times New Roman" w:hAnsi="Times New Roman" w:cs="Times New Roman" w:eastAsia="Times New Roman" w:hint="default"/>
        </w:rPr>
        <w:t>1961</w:t>
      </w:r>
      <w:r>
        <w:rPr/>
        <w:t>年生，现为清华大学电机系高电压与绝缘技术研究所研究员，清华大学</w:t>
      </w:r>
      <w:r>
        <w:rPr>
          <w:rFonts w:ascii="Times New Roman" w:hAnsi="Times New Roman" w:cs="Times New Roman" w:eastAsia="Times New Roman" w:hint="default"/>
        </w:rPr>
        <w:t>-</w:t>
      </w:r>
      <w:r>
        <w:rPr/>
        <w:t>平高集团电气技术联合研究 </w:t>
      </w:r>
      <w:r>
        <w:rPr>
          <w:spacing w:val="-2"/>
        </w:rPr>
        <w:t>中心主任。</w:t>
      </w:r>
      <w:r>
        <w:rPr>
          <w:rFonts w:ascii="Times New Roman" w:hAnsi="Times New Roman" w:cs="Times New Roman" w:eastAsia="Times New Roman" w:hint="default"/>
          <w:spacing w:val="-2"/>
        </w:rPr>
        <w:t>1982</w:t>
      </w:r>
      <w:r>
        <w:rPr>
          <w:spacing w:val="-2"/>
        </w:rPr>
        <w:t>年上海交通大学电工与计算机科学系本科毕业，获工学学士学位；</w:t>
      </w:r>
      <w:r>
        <w:rPr>
          <w:rFonts w:ascii="Times New Roman" w:hAnsi="Times New Roman" w:cs="Times New Roman" w:eastAsia="Times New Roman" w:hint="default"/>
          <w:spacing w:val="-2"/>
        </w:rPr>
        <w:t>1985</w:t>
      </w:r>
      <w:r>
        <w:rPr>
          <w:spacing w:val="-2"/>
        </w:rPr>
        <w:t>年清华大学电机系硕士毕业，获工学</w:t>
      </w:r>
      <w:r>
        <w:rPr>
          <w:spacing w:val="-57"/>
        </w:rPr>
        <w:t> </w:t>
      </w:r>
      <w:r>
        <w:rPr>
          <w:spacing w:val="-57"/>
        </w:rPr>
      </w:r>
      <w:r>
        <w:rPr/>
        <w:t>硕士学位；</w:t>
      </w:r>
      <w:r>
        <w:rPr>
          <w:rFonts w:ascii="Times New Roman" w:hAnsi="Times New Roman" w:cs="Times New Roman" w:eastAsia="Times New Roman" w:hint="default"/>
        </w:rPr>
        <w:t>1989</w:t>
      </w:r>
      <w:r>
        <w:rPr/>
        <w:t>年清华大学电机系博士毕业，获工学博士学位；</w:t>
      </w:r>
      <w:r>
        <w:rPr>
          <w:rFonts w:ascii="Times New Roman" w:hAnsi="Times New Roman" w:cs="Times New Roman" w:eastAsia="Times New Roman" w:hint="default"/>
        </w:rPr>
        <w:t>1989</w:t>
      </w:r>
      <w:r>
        <w:rPr/>
        <w:t>年至今在清华大学电机系任教，</w:t>
      </w:r>
      <w:r>
        <w:rPr>
          <w:rFonts w:ascii="Times New Roman" w:hAnsi="Times New Roman" w:cs="Times New Roman" w:eastAsia="Times New Roman" w:hint="default"/>
        </w:rPr>
        <w:t>1990-1992</w:t>
      </w:r>
      <w:r>
        <w:rPr/>
        <w:t>年英国利物</w:t>
      </w:r>
      <w:r>
        <w:rPr>
          <w:spacing w:val="-57"/>
        </w:rPr>
        <w:t> </w:t>
      </w:r>
      <w:r>
        <w:rPr>
          <w:spacing w:val="-57"/>
        </w:rPr>
      </w:r>
      <w:r>
        <w:rPr>
          <w:spacing w:val="-1"/>
        </w:rPr>
        <w:t>浦大学访问学者，</w:t>
      </w:r>
      <w:r>
        <w:rPr>
          <w:rFonts w:ascii="Times New Roman" w:hAnsi="Times New Roman" w:cs="Times New Roman" w:eastAsia="Times New Roman" w:hint="default"/>
          <w:spacing w:val="-1"/>
        </w:rPr>
        <w:t>1996-1998</w:t>
      </w:r>
      <w:r>
        <w:rPr>
          <w:spacing w:val="-1"/>
        </w:rPr>
        <w:t>年清华大学电机系副系主任，</w:t>
      </w:r>
      <w:r>
        <w:rPr>
          <w:rFonts w:ascii="Times New Roman" w:hAnsi="Times New Roman" w:cs="Times New Roman" w:eastAsia="Times New Roman" w:hint="default"/>
          <w:spacing w:val="-1"/>
        </w:rPr>
        <w:t>1997-2005</w:t>
      </w:r>
      <w:r>
        <w:rPr>
          <w:spacing w:val="-1"/>
        </w:rPr>
        <w:t>年清华大学电力系统控制和仿真国家重点实验室常务副</w:t>
      </w:r>
      <w:r>
        <w:rPr>
          <w:spacing w:val="-49"/>
        </w:rPr>
        <w:t> </w:t>
      </w:r>
      <w:r>
        <w:rPr>
          <w:spacing w:val="-2"/>
        </w:rPr>
        <w:t>主任，</w:t>
      </w:r>
      <w:r>
        <w:rPr>
          <w:rFonts w:ascii="Times New Roman" w:hAnsi="Times New Roman" w:cs="Times New Roman" w:eastAsia="Times New Roman" w:hint="default"/>
          <w:spacing w:val="-2"/>
        </w:rPr>
        <w:t>1994</w:t>
      </w:r>
      <w:r>
        <w:rPr>
          <w:spacing w:val="-2"/>
        </w:rPr>
        <w:t>年任副教授，</w:t>
      </w:r>
      <w:r>
        <w:rPr>
          <w:rFonts w:ascii="Times New Roman" w:hAnsi="Times New Roman" w:cs="Times New Roman" w:eastAsia="Times New Roman" w:hint="default"/>
          <w:spacing w:val="-2"/>
        </w:rPr>
        <w:t>2003</w:t>
      </w:r>
      <w:r>
        <w:rPr>
          <w:spacing w:val="-2"/>
        </w:rPr>
        <w:t>年任研究员。中国电机工程学会和中国电工技术学会会员；《高压电器》期刊编委，中国电机</w:t>
      </w:r>
      <w:r>
        <w:rPr>
          <w:spacing w:val="-60"/>
        </w:rPr>
        <w:t> </w:t>
      </w:r>
      <w:r>
        <w:rPr>
          <w:spacing w:val="-60"/>
        </w:rPr>
      </w:r>
      <w:r>
        <w:rPr>
          <w:spacing w:val="-2"/>
        </w:rPr>
        <w:t>工程学会变电专业委员会委员，中国电工技术学会电弧与电接触专委会委员，高压开关标委会委员，熔断器标委会委员。主</w:t>
      </w:r>
      <w:r>
        <w:rPr>
          <w:spacing w:val="-66"/>
        </w:rPr>
        <w:t> </w:t>
      </w:r>
      <w:r>
        <w:rPr>
          <w:spacing w:val="-66"/>
        </w:rPr>
      </w:r>
      <w:r>
        <w:rPr/>
        <w:t>要从事高压电器领域的研究，和国内外电力行业和电力设备制造行业有广泛合作研究，主要研究方向：（</w:t>
      </w:r>
      <w:r>
        <w:rPr>
          <w:rFonts w:ascii="Times New Roman" w:hAnsi="Times New Roman" w:cs="Times New Roman" w:eastAsia="Times New Roman" w:hint="default"/>
        </w:rPr>
        <w:t>1</w:t>
      </w:r>
      <w:r>
        <w:rPr/>
        <w:t>）高电压断路器</w:t>
      </w:r>
      <w:r>
        <w:rPr>
          <w:spacing w:val="-81"/>
        </w:rPr>
        <w:t> </w:t>
      </w:r>
      <w:r>
        <w:rPr>
          <w:spacing w:val="-81"/>
        </w:rPr>
      </w:r>
      <w:r>
        <w:rPr/>
        <w:t>电弧特性：通过实验和仿真，研究高电压断路器的电弧特性和影响因素，为提高断路器开断性能提供技术支持；（</w:t>
      </w:r>
      <w:r>
        <w:rPr>
          <w:rFonts w:ascii="Times New Roman" w:hAnsi="Times New Roman" w:cs="Times New Roman" w:eastAsia="Times New Roman" w:hint="default"/>
        </w:rPr>
        <w:t>2</w:t>
      </w:r>
      <w:r>
        <w:rPr/>
        <w:t>）电力</w:t>
      </w:r>
      <w:r>
        <w:rPr>
          <w:spacing w:val="-83"/>
        </w:rPr>
        <w:t> </w:t>
      </w:r>
      <w:r>
        <w:rPr>
          <w:spacing w:val="-83"/>
        </w:rPr>
      </w:r>
      <w:r>
        <w:rPr>
          <w:spacing w:val="-2"/>
        </w:rPr>
        <w:t>系统操作过电压：针对电力系统中开关运行的不同电路条件，研究开关操作产生的系统暂态和过电压，包括特快速暂态过电</w:t>
      </w:r>
      <w:r>
        <w:rPr>
          <w:spacing w:val="-66"/>
        </w:rPr>
        <w:t> </w:t>
      </w:r>
      <w:r>
        <w:rPr>
          <w:spacing w:val="-66"/>
        </w:rPr>
      </w:r>
      <w:r>
        <w:rPr/>
        <w:t>压（</w:t>
      </w:r>
      <w:r>
        <w:rPr>
          <w:rFonts w:ascii="Times New Roman" w:hAnsi="Times New Roman" w:cs="Times New Roman" w:eastAsia="Times New Roman" w:hint="default"/>
        </w:rPr>
        <w:t>VFTO</w:t>
      </w:r>
      <w:r>
        <w:rPr/>
        <w:t>）、电力设备暂态壳体电位升（</w:t>
      </w:r>
      <w:r>
        <w:rPr>
          <w:rFonts w:ascii="Times New Roman" w:hAnsi="Times New Roman" w:cs="Times New Roman" w:eastAsia="Times New Roman" w:hint="default"/>
        </w:rPr>
        <w:t>TEVR</w:t>
      </w:r>
      <w:r>
        <w:rPr/>
        <w:t>）和真空开关开断过电压等，研究对不同形式过电压进行测量、分析和抑</w:t>
      </w:r>
      <w:r>
        <w:rPr>
          <w:spacing w:val="-40"/>
        </w:rPr>
        <w:t> </w:t>
      </w:r>
      <w:r>
        <w:rPr/>
        <w:t>制的技术，减小电力系统过电压的危害；（</w:t>
      </w:r>
      <w:r>
        <w:rPr>
          <w:rFonts w:ascii="Times New Roman" w:hAnsi="Times New Roman" w:cs="Times New Roman" w:eastAsia="Times New Roman" w:hint="default"/>
        </w:rPr>
        <w:t>3</w:t>
      </w:r>
      <w:r>
        <w:rPr/>
        <w:t>）电力设备状态检测和故障诊断：针对开关、断路器、</w:t>
      </w:r>
      <w:r>
        <w:rPr>
          <w:rFonts w:ascii="Times New Roman" w:hAnsi="Times New Roman" w:cs="Times New Roman" w:eastAsia="Times New Roman" w:hint="default"/>
        </w:rPr>
        <w:t>GIS</w:t>
      </w:r>
      <w:r>
        <w:rPr/>
        <w:t>和互感器等主要电</w:t>
      </w:r>
      <w:r>
        <w:rPr>
          <w:spacing w:val="-21"/>
        </w:rPr>
        <w:t> </w:t>
      </w:r>
      <w:r>
        <w:rPr>
          <w:spacing w:val="-21"/>
        </w:rPr>
      </w:r>
      <w:r>
        <w:rPr>
          <w:spacing w:val="-2"/>
        </w:rPr>
        <w:t>力设备，研究和建立对其局部放电、介质损耗、温升等设备运行状态量进行状态检测和故障诊断的技术，满足电力设备状态</w:t>
      </w:r>
      <w:r>
        <w:rPr>
          <w:spacing w:val="-66"/>
        </w:rPr>
        <w:t> </w:t>
      </w:r>
      <w:r>
        <w:rPr>
          <w:spacing w:val="-66"/>
        </w:rPr>
      </w:r>
      <w:r>
        <w:rPr/>
        <w:t>维修和智能化电力设备发展的需求；（</w:t>
      </w:r>
      <w:r>
        <w:rPr>
          <w:rFonts w:ascii="Times New Roman" w:hAnsi="Times New Roman" w:cs="Times New Roman" w:eastAsia="Times New Roman" w:hint="default"/>
        </w:rPr>
        <w:t>4</w:t>
      </w:r>
      <w:r>
        <w:rPr/>
        <w:t>）电力系统故障电流限制器技术：研究和探索新型限流原理，提出了基于工频零点</w:t>
      </w:r>
      <w:r>
        <w:rPr>
          <w:spacing w:val="-83"/>
        </w:rPr>
        <w:t> </w:t>
      </w:r>
      <w:r>
        <w:rPr>
          <w:spacing w:val="-83"/>
        </w:rPr>
      </w:r>
      <w:r>
        <w:rPr/>
        <w:t>电流转移的限流器方式，解决电力系统故障电流增大导致的断路器开断困难。</w:t>
      </w:r>
    </w:p>
    <w:p>
      <w:pPr>
        <w:pStyle w:val="BodyText"/>
        <w:spacing w:line="300" w:lineRule="auto" w:before="66"/>
        <w:ind w:right="1109" w:firstLine="433"/>
        <w:jc w:val="both"/>
      </w:pPr>
      <w:r>
        <w:rPr>
          <w:spacing w:val="-2"/>
        </w:rPr>
        <w:t>张金鑫先生，</w:t>
      </w:r>
      <w:r>
        <w:rPr>
          <w:rFonts w:ascii="Times New Roman" w:hAnsi="Times New Roman" w:cs="Times New Roman" w:eastAsia="Times New Roman" w:hint="default"/>
          <w:spacing w:val="-2"/>
        </w:rPr>
        <w:t>1971</w:t>
      </w:r>
      <w:r>
        <w:rPr>
          <w:spacing w:val="-2"/>
        </w:rPr>
        <w:t>年生</w:t>
      </w:r>
      <w:r>
        <w:rPr>
          <w:rFonts w:ascii="Times New Roman" w:hAnsi="Times New Roman" w:cs="Times New Roman" w:eastAsia="Times New Roman" w:hint="default"/>
          <w:spacing w:val="-2"/>
        </w:rPr>
        <w:t>,</w:t>
      </w:r>
      <w:r>
        <w:rPr>
          <w:spacing w:val="-2"/>
        </w:rPr>
        <w:t>毕业于北京交通大学</w:t>
      </w:r>
      <w:r>
        <w:rPr>
          <w:rFonts w:ascii="Times New Roman" w:hAnsi="Times New Roman" w:cs="Times New Roman" w:eastAsia="Times New Roman" w:hint="default"/>
          <w:spacing w:val="-2"/>
        </w:rPr>
        <w:t>,</w:t>
      </w:r>
      <w:r>
        <w:rPr>
          <w:spacing w:val="-2"/>
        </w:rPr>
        <w:t>博士研究生学历，博士学位。</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月，加州大学洛杉矶分</w:t>
      </w:r>
      <w:r>
        <w:rPr/>
        <w:t> 校金融学访问学者。</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月，参加哈佛商学院案例研究培训。</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w:t>
      </w:r>
      <w:r>
        <w:rPr/>
        <w:t>任煤炭科学研究总院</w:t>
      </w:r>
      <w:r>
        <w:rPr>
          <w:spacing w:val="-45"/>
        </w:rPr>
        <w:t> </w:t>
      </w:r>
      <w:r>
        <w:rPr>
          <w:spacing w:val="-45"/>
        </w:rPr>
      </w:r>
      <w:r>
        <w:rPr/>
        <w:t>职业医学研究所助理研究员</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月任联想集团企划部市场分析员</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w:t>
      </w:r>
      <w:r>
        <w:rPr/>
        <w:t>任第一创业证券</w:t>
      </w:r>
      <w:r>
        <w:rPr>
          <w:spacing w:val="25"/>
        </w:rPr>
        <w:t> </w:t>
      </w:r>
      <w:r>
        <w:rPr>
          <w:spacing w:val="25"/>
        </w:rPr>
      </w:r>
      <w:r>
        <w:rPr/>
        <w:t>有限责任公司投资银行部业务董事</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w:t>
      </w:r>
      <w:r>
        <w:rPr/>
        <w:t>任北京交通大学经济管理学院会计学讲师、副教授，中国企业兼并 </w:t>
      </w:r>
      <w:r>
        <w:rPr>
          <w:spacing w:val="-2"/>
        </w:rPr>
        <w:t>重组研究中心副主任、执行主任。</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月至今，任诚通基金管理有限公司副总监。</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月至今，任北京随视传媒科技</w:t>
      </w:r>
      <w:r>
        <w:rPr>
          <w:spacing w:val="-56"/>
        </w:rPr>
        <w:t> </w:t>
      </w:r>
      <w:r>
        <w:rPr>
          <w:spacing w:val="-56"/>
        </w:rPr>
      </w:r>
      <w:r>
        <w:rPr/>
        <w:t>股份有限公司监事会主席。著有《并购谁</w:t>
      </w:r>
      <w:r>
        <w:rPr>
          <w:rFonts w:ascii="Times New Roman" w:hAnsi="Times New Roman" w:cs="Times New Roman" w:eastAsia="Times New Roman" w:hint="default"/>
        </w:rPr>
        <w:t>-</w:t>
      </w:r>
      <w:r>
        <w:rPr/>
        <w:t>并购双方资源匹配战略分析》，是《中国企业并购年鉴》（</w:t>
      </w:r>
      <w:r>
        <w:rPr>
          <w:rFonts w:ascii="Times New Roman" w:hAnsi="Times New Roman" w:cs="Times New Roman" w:eastAsia="Times New Roman" w:hint="default"/>
        </w:rPr>
        <w:t>2006-2013</w:t>
      </w:r>
      <w:r>
        <w:rPr/>
        <w:t>各年度）、</w:t>
      </w:r>
    </w:p>
    <w:p>
      <w:pPr>
        <w:pStyle w:val="BodyText"/>
        <w:spacing w:line="240" w:lineRule="auto" w:before="13"/>
        <w:ind w:right="0"/>
        <w:jc w:val="left"/>
      </w:pPr>
      <w:r>
        <w:rPr/>
        <w:t>《中央企业并购年鉴</w:t>
      </w:r>
      <w:r>
        <w:rPr>
          <w:rFonts w:ascii="Times New Roman" w:hAnsi="Times New Roman" w:cs="Times New Roman" w:eastAsia="Times New Roman" w:hint="default"/>
        </w:rPr>
        <w:t>2010</w:t>
      </w:r>
      <w:r>
        <w:rPr/>
        <w:t>》、电子周刊《并购观察》主编，是大型专业数据库</w:t>
      </w:r>
      <w:r>
        <w:rPr>
          <w:rFonts w:ascii="Times New Roman" w:hAnsi="Times New Roman" w:cs="Times New Roman" w:eastAsia="Times New Roman" w:hint="default"/>
        </w:rPr>
        <w:t>“</w:t>
      </w:r>
      <w:r>
        <w:rPr/>
        <w:t>中国企业并购数据库</w:t>
      </w:r>
      <w:r>
        <w:rPr>
          <w:rFonts w:ascii="Times New Roman" w:hAnsi="Times New Roman" w:cs="Times New Roman" w:eastAsia="Times New Roman" w:hint="default"/>
        </w:rPr>
        <w:t>”</w:t>
      </w:r>
      <w:r>
        <w:rPr/>
        <w:t>的负责人。在《会计研</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29"/>
        <w:jc w:val="both"/>
      </w:pPr>
      <w:r>
        <w:rPr>
          <w:spacing w:val="-2"/>
        </w:rPr>
        <w:t>究》、《财政研究》等多个期刊发表学术论文数十篇。曾主持完成了《中央企业战略性重组研究》、《中央企业跨国并购问</w:t>
      </w:r>
      <w:r>
        <w:rPr>
          <w:spacing w:val="-69"/>
        </w:rPr>
        <w:t> </w:t>
      </w:r>
      <w:r>
        <w:rPr>
          <w:spacing w:val="-69"/>
        </w:rPr>
      </w:r>
      <w:r>
        <w:rPr>
          <w:spacing w:val="-2"/>
        </w:rPr>
        <w:t>题研究》、《中国资本市场并购套利策略理论与实证》等多项部级研究项目，参与国家自然科学基金、社会科学基金、科技</w:t>
      </w:r>
      <w:r>
        <w:rPr>
          <w:spacing w:val="-69"/>
        </w:rPr>
        <w:t> </w:t>
      </w:r>
      <w:r>
        <w:rPr>
          <w:spacing w:val="-69"/>
        </w:rPr>
      </w:r>
      <w:r>
        <w:rPr>
          <w:spacing w:val="-2"/>
        </w:rPr>
        <w:t>部软科学基金等重大项目多项。是高等学校科学研究优秀成果（人文社科）三等奖（</w:t>
      </w:r>
      <w:r>
        <w:rPr>
          <w:rFonts w:ascii="Times New Roman" w:hAnsi="Times New Roman" w:cs="Times New Roman" w:eastAsia="Times New Roman" w:hint="default"/>
          <w:spacing w:val="-2"/>
        </w:rPr>
        <w:t>2009</w:t>
      </w:r>
      <w:r>
        <w:rPr>
          <w:spacing w:val="-2"/>
        </w:rPr>
        <w:t>年）团队成员。目前也是企业理财</w:t>
      </w:r>
      <w:r>
        <w:rPr>
          <w:spacing w:val="-64"/>
        </w:rPr>
        <w:t> </w:t>
      </w:r>
      <w:r>
        <w:rPr>
          <w:spacing w:val="-64"/>
        </w:rPr>
      </w:r>
      <w:r>
        <w:rPr/>
        <w:t>国际职业资格认证体系企业理财顾问师（</w:t>
      </w:r>
      <w:r>
        <w:rPr>
          <w:rFonts w:ascii="Times New Roman" w:hAnsi="Times New Roman" w:cs="Times New Roman" w:eastAsia="Times New Roman" w:hint="default"/>
        </w:rPr>
        <w:t>Corporate Finance Consultant Certificate,</w:t>
      </w:r>
      <w:r>
        <w:rPr>
          <w:rFonts w:ascii="Times New Roman" w:hAnsi="Times New Roman" w:cs="Times New Roman" w:eastAsia="Times New Roman" w:hint="default"/>
          <w:spacing w:val="-6"/>
        </w:rPr>
        <w:t> </w:t>
      </w:r>
      <w:r>
        <w:rPr>
          <w:spacing w:val="-3"/>
        </w:rPr>
        <w:t>简称</w:t>
      </w:r>
      <w:r>
        <w:rPr>
          <w:rFonts w:ascii="Times New Roman" w:hAnsi="Times New Roman" w:cs="Times New Roman" w:eastAsia="Times New Roman" w:hint="default"/>
          <w:spacing w:val="-3"/>
        </w:rPr>
        <w:t>CFC</w:t>
      </w:r>
      <w:r>
        <w:rPr>
          <w:spacing w:val="-3"/>
        </w:rPr>
        <w:t>）的培训讲师。曾为中国海油、中</w:t>
      </w:r>
      <w:r>
        <w:rPr/>
        <w:t> 国一汽、中国铁建、顺鑫农业等多家中央企业和上市公司提供过并购培训或咨询。</w:t>
      </w:r>
    </w:p>
    <w:p>
      <w:pPr>
        <w:pStyle w:val="BodyText"/>
        <w:spacing w:line="240" w:lineRule="auto" w:before="64"/>
        <w:ind w:left="514" w:right="1048"/>
        <w:jc w:val="left"/>
      </w:pPr>
      <w:r>
        <w:rPr>
          <w:rFonts w:ascii="Times New Roman" w:hAnsi="Times New Roman" w:cs="Times New Roman" w:eastAsia="Times New Roman" w:hint="default"/>
        </w:rPr>
        <w:t>2</w:t>
      </w:r>
      <w:r>
        <w:rPr/>
        <w:t>、监事会成员</w:t>
      </w:r>
    </w:p>
    <w:p>
      <w:pPr>
        <w:pStyle w:val="BodyText"/>
        <w:spacing w:line="300" w:lineRule="auto" w:before="102"/>
        <w:ind w:right="1129" w:firstLine="360"/>
        <w:jc w:val="both"/>
      </w:pPr>
      <w:r>
        <w:rPr>
          <w:spacing w:val="-2"/>
        </w:rPr>
        <w:t>王维平先生，</w:t>
      </w:r>
      <w:r>
        <w:rPr>
          <w:rFonts w:ascii="Times New Roman" w:hAnsi="Times New Roman" w:cs="Times New Roman" w:eastAsia="Times New Roman" w:hint="default"/>
          <w:spacing w:val="-2"/>
        </w:rPr>
        <w:t>1966</w:t>
      </w:r>
      <w:r>
        <w:rPr>
          <w:spacing w:val="-2"/>
        </w:rPr>
        <w:t>年生，中国国籍，工程师。</w:t>
      </w:r>
      <w:r>
        <w:rPr>
          <w:rFonts w:ascii="Times New Roman" w:hAnsi="Times New Roman" w:cs="Times New Roman" w:eastAsia="Times New Roman" w:hint="default"/>
          <w:spacing w:val="-2"/>
        </w:rPr>
        <w:t>1992</w:t>
      </w:r>
      <w:r>
        <w:rPr>
          <w:rFonts w:ascii="Times New Roman" w:hAnsi="Times New Roman" w:cs="Times New Roman" w:eastAsia="Times New Roman" w:hint="default"/>
          <w:spacing w:val="19"/>
        </w:rPr>
        <w:t> </w:t>
      </w:r>
      <w:r>
        <w:rPr>
          <w:spacing w:val="-2"/>
        </w:rPr>
        <w:t>年</w:t>
      </w:r>
      <w:r>
        <w:rPr>
          <w:rFonts w:ascii="Times New Roman" w:hAnsi="Times New Roman" w:cs="Times New Roman" w:eastAsia="Times New Roman" w:hint="default"/>
          <w:spacing w:val="-2"/>
        </w:rPr>
        <w:t>7</w:t>
      </w:r>
      <w:r>
        <w:rPr>
          <w:spacing w:val="-2"/>
        </w:rPr>
        <w:t>月，毕业于西安科技大学（原西安矿业学院）通信工程专业，获</w:t>
      </w:r>
      <w:r>
        <w:rPr/>
        <w:t> </w:t>
      </w:r>
      <w:r>
        <w:rPr>
          <w:spacing w:val="-2"/>
        </w:rPr>
        <w:t>学士学位。</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7</w:t>
      </w:r>
      <w:r>
        <w:rPr>
          <w:spacing w:val="-2"/>
        </w:rPr>
        <w:t>月，北京工业职业技术学院（原北京煤炭工业学校），教师；</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8</w:t>
      </w:r>
      <w:r>
        <w:rPr>
          <w:spacing w:val="-2"/>
        </w:rPr>
        <w:t>月，北京</w:t>
      </w:r>
      <w:r>
        <w:rPr>
          <w:spacing w:val="-49"/>
        </w:rPr>
        <w:t> </w:t>
      </w:r>
      <w:r>
        <w:rPr>
          <w:spacing w:val="-49"/>
        </w:rPr>
      </w:r>
      <w:r>
        <w:rPr>
          <w:spacing w:val="-2"/>
        </w:rPr>
        <w:t>正信通信技术有限公司，工程师；</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w:t>
      </w:r>
      <w:r>
        <w:rPr>
          <w:spacing w:val="-2"/>
        </w:rPr>
        <w:t>月，历任公司通信产品部经理、采购供应部经理、生产部总经理、行</w:t>
      </w:r>
      <w:r>
        <w:rPr>
          <w:spacing w:val="-56"/>
        </w:rPr>
        <w:t> </w:t>
      </w:r>
      <w:r>
        <w:rPr>
          <w:spacing w:val="-56"/>
        </w:rPr>
      </w:r>
      <w:r>
        <w:rPr/>
        <w:t>政部经理等职；</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月至今，任公司监事会主席。</w:t>
      </w:r>
    </w:p>
    <w:p>
      <w:pPr>
        <w:pStyle w:val="BodyText"/>
        <w:spacing w:line="300" w:lineRule="auto" w:before="51"/>
        <w:ind w:right="1129" w:firstLine="360"/>
        <w:jc w:val="both"/>
      </w:pPr>
      <w:r>
        <w:rPr>
          <w:spacing w:val="-1"/>
        </w:rPr>
        <w:t>王小鑫女士，</w:t>
      </w:r>
      <w:r>
        <w:rPr>
          <w:rFonts w:ascii="Times New Roman" w:hAnsi="Times New Roman" w:cs="Times New Roman" w:eastAsia="Times New Roman" w:hint="default"/>
          <w:spacing w:val="-1"/>
        </w:rPr>
        <w:t>1963</w:t>
      </w:r>
      <w:r>
        <w:rPr>
          <w:spacing w:val="-1"/>
        </w:rPr>
        <w:t>年生，中国国籍。</w:t>
      </w:r>
      <w:r>
        <w:rPr>
          <w:rFonts w:ascii="Times New Roman" w:hAnsi="Times New Roman" w:cs="Times New Roman" w:eastAsia="Times New Roman" w:hint="default"/>
          <w:spacing w:val="-1"/>
        </w:rPr>
        <w:t>2006</w:t>
      </w:r>
      <w:r>
        <w:rPr>
          <w:rFonts w:ascii="Times New Roman" w:hAnsi="Times New Roman" w:cs="Times New Roman" w:eastAsia="Times New Roman" w:hint="default"/>
          <w:spacing w:val="17"/>
        </w:rPr>
        <w:t> </w:t>
      </w:r>
      <w:r>
        <w:rPr>
          <w:spacing w:val="-1"/>
        </w:rPr>
        <w:t>年</w:t>
      </w:r>
      <w:r>
        <w:rPr>
          <w:rFonts w:ascii="Times New Roman" w:hAnsi="Times New Roman" w:cs="Times New Roman" w:eastAsia="Times New Roman" w:hint="default"/>
          <w:spacing w:val="-1"/>
        </w:rPr>
        <w:t>7</w:t>
      </w:r>
      <w:r>
        <w:rPr>
          <w:spacing w:val="-1"/>
        </w:rPr>
        <w:t>月，毕业于北京经济管理函授学院会计专业。</w:t>
      </w:r>
      <w:r>
        <w:rPr>
          <w:rFonts w:ascii="Times New Roman" w:hAnsi="Times New Roman" w:cs="Times New Roman" w:eastAsia="Times New Roman" w:hint="default"/>
          <w:spacing w:val="-1"/>
        </w:rPr>
        <w:t>1983</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1988</w:t>
      </w:r>
      <w:r>
        <w:rPr>
          <w:spacing w:val="-1"/>
        </w:rPr>
        <w:t>年</w:t>
      </w:r>
      <w:r>
        <w:rPr>
          <w:rFonts w:ascii="Times New Roman" w:hAnsi="Times New Roman" w:cs="Times New Roman" w:eastAsia="Times New Roman" w:hint="default"/>
          <w:spacing w:val="-1"/>
        </w:rPr>
        <w:t>6</w:t>
      </w:r>
      <w:r>
        <w:rPr>
          <w:spacing w:val="-1"/>
        </w:rPr>
        <w:t>月，在</w:t>
      </w:r>
      <w:r>
        <w:rPr/>
        <w:t> </w:t>
      </w:r>
      <w:r>
        <w:rPr>
          <w:spacing w:val="-2"/>
        </w:rPr>
        <w:t>国家物资总局行政司财务处工作，</w:t>
      </w:r>
      <w:r>
        <w:rPr>
          <w:rFonts w:ascii="Times New Roman" w:hAnsi="Times New Roman" w:cs="Times New Roman" w:eastAsia="Times New Roman" w:hint="default"/>
          <w:spacing w:val="-2"/>
        </w:rPr>
        <w:t>1988</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7</w:t>
      </w:r>
      <w:r>
        <w:rPr>
          <w:spacing w:val="-2"/>
        </w:rPr>
        <w:t>月，任中国纸业投资总公司（原中国物资开发投资总公司）财务部经</w:t>
      </w:r>
      <w:r>
        <w:rPr>
          <w:spacing w:val="-56"/>
        </w:rPr>
        <w:t> </w:t>
      </w:r>
      <w:r>
        <w:rPr>
          <w:spacing w:val="-56"/>
        </w:rPr>
      </w:r>
      <w:r>
        <w:rPr/>
        <w:t>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月，任中国风险投资有限公司财务部经理，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月，任中国风险投资有限公司项</w:t>
      </w:r>
      <w:r>
        <w:rPr>
          <w:spacing w:val="-83"/>
        </w:rPr>
        <w:t> </w:t>
      </w:r>
      <w:r>
        <w:rPr>
          <w:spacing w:val="-83"/>
        </w:rPr>
      </w:r>
      <w:r>
        <w:rPr>
          <w:spacing w:val="-2"/>
        </w:rPr>
        <w:t>目管理部总经理。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月至今，为中国风险投资有限公司合伙人，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月，任中国风险投资有限公司总</w:t>
      </w:r>
      <w:r>
        <w:rPr>
          <w:spacing w:val="-49"/>
        </w:rPr>
        <w:t> </w:t>
      </w:r>
      <w:r>
        <w:rPr>
          <w:spacing w:val="-49"/>
        </w:rPr>
      </w:r>
      <w:r>
        <w:rPr/>
        <w:t>裁助理，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月至今，任中国风险投资有限公司副总裁。</w:t>
      </w:r>
    </w:p>
    <w:p>
      <w:pPr>
        <w:pStyle w:val="BodyText"/>
        <w:spacing w:line="300" w:lineRule="auto" w:before="51"/>
        <w:ind w:right="1129" w:firstLine="360"/>
        <w:jc w:val="both"/>
      </w:pPr>
      <w:r>
        <w:rPr/>
        <w:t>张全中先生，</w:t>
      </w:r>
      <w:r>
        <w:rPr>
          <w:rFonts w:ascii="Times New Roman" w:hAnsi="Times New Roman" w:cs="Times New Roman" w:eastAsia="Times New Roman" w:hint="default"/>
        </w:rPr>
        <w:t>1967</w:t>
      </w:r>
      <w:r>
        <w:rPr/>
        <w:t>年生，中国国籍。</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7</w:t>
      </w:r>
      <w:r>
        <w:rPr/>
        <w:t>月，就读于华东工学院机电一体化专业。</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2004</w:t>
      </w:r>
      <w:r>
        <w:rPr/>
        <w:t>年 </w:t>
      </w:r>
      <w:r>
        <w:rPr>
          <w:rFonts w:ascii="Times New Roman" w:hAnsi="Times New Roman" w:cs="Times New Roman" w:eastAsia="Times New Roman" w:hint="default"/>
          <w:spacing w:val="-2"/>
        </w:rPr>
        <w:t>11</w:t>
      </w:r>
      <w:r>
        <w:rPr>
          <w:spacing w:val="-2"/>
        </w:rPr>
        <w:t>月，任平顶山市矿山机械厂副总经理、总工程师；</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6</w:t>
      </w:r>
      <w:r>
        <w:rPr>
          <w:spacing w:val="-2"/>
        </w:rPr>
        <w:t>月，任公司生产部总经理；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7</w:t>
      </w:r>
      <w:r>
        <w:rPr>
          <w:spacing w:val="-2"/>
        </w:rPr>
        <w:t>月至今，历任</w:t>
      </w:r>
      <w:r>
        <w:rPr>
          <w:spacing w:val="-48"/>
        </w:rPr>
        <w:t> </w:t>
      </w:r>
      <w:r>
        <w:rPr>
          <w:spacing w:val="-48"/>
        </w:rPr>
      </w:r>
      <w:r>
        <w:rPr/>
        <w:t>公司营销服务中心副经理、基建部副总经理。现任公司监事。</w:t>
      </w:r>
    </w:p>
    <w:p>
      <w:pPr>
        <w:pStyle w:val="BodyText"/>
        <w:spacing w:line="348" w:lineRule="auto" w:before="72"/>
        <w:ind w:left="514" w:right="5892"/>
        <w:jc w:val="left"/>
      </w:pPr>
      <w:r>
        <w:rPr>
          <w:rFonts w:ascii="Times New Roman" w:hAnsi="Times New Roman" w:cs="Times New Roman" w:eastAsia="Times New Roman" w:hint="default"/>
        </w:rPr>
        <w:t>3</w:t>
      </w:r>
      <w:r>
        <w:rPr/>
        <w:t>、高级管理人员 韦强先生，现任本公司总经理，简历见董事会介绍。 韩国良先生，现任本公司副总经理，简历见董事会介绍。</w:t>
      </w:r>
    </w:p>
    <w:p>
      <w:pPr>
        <w:pStyle w:val="BodyText"/>
        <w:spacing w:line="300" w:lineRule="auto" w:before="35"/>
        <w:ind w:right="1129" w:firstLine="360"/>
        <w:jc w:val="both"/>
      </w:pPr>
      <w:r>
        <w:rPr>
          <w:spacing w:val="-2"/>
        </w:rPr>
        <w:t>冯峥先生，</w:t>
      </w:r>
      <w:r>
        <w:rPr>
          <w:rFonts w:ascii="Times New Roman" w:hAnsi="Times New Roman" w:cs="Times New Roman" w:eastAsia="Times New Roman" w:hint="default"/>
          <w:spacing w:val="-2"/>
        </w:rPr>
        <w:t>1971</w:t>
      </w:r>
      <w:r>
        <w:rPr>
          <w:spacing w:val="-2"/>
        </w:rPr>
        <w:t>年生，中国国籍。</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7</w:t>
      </w:r>
      <w:r>
        <w:rPr>
          <w:spacing w:val="-2"/>
        </w:rPr>
        <w:t>月，毕业于北京电子工程学院电子工程专业，获学士学位；</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2000</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3</w:t>
      </w:r>
      <w:r>
        <w:rPr>
          <w:spacing w:val="-2"/>
        </w:rPr>
        <w:t>月，就读于北方交通大学工商管理专业，获硕士学位。</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8</w:t>
      </w:r>
      <w:r>
        <w:rPr>
          <w:spacing w:val="-2"/>
        </w:rPr>
        <w:t>月，担任国家广电总局中数大正网络传输公</w:t>
      </w:r>
      <w:r>
        <w:rPr>
          <w:spacing w:val="-53"/>
        </w:rPr>
        <w:t> </w:t>
      </w:r>
      <w:r>
        <w:rPr>
          <w:spacing w:val="-53"/>
        </w:rPr>
      </w:r>
      <w:r>
        <w:rPr>
          <w:spacing w:val="-3"/>
        </w:rPr>
        <w:t>司技术总监；</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9</w:t>
      </w:r>
      <w:r>
        <w:rPr>
          <w:spacing w:val="-3"/>
        </w:rPr>
        <w:t>月至</w:t>
      </w:r>
      <w:r>
        <w:rPr>
          <w:rFonts w:ascii="Times New Roman" w:hAnsi="Times New Roman" w:cs="Times New Roman" w:eastAsia="Times New Roman" w:hint="default"/>
          <w:spacing w:val="-3"/>
        </w:rPr>
        <w:t>2006</w:t>
      </w:r>
      <w:r>
        <w:rPr>
          <w:rFonts w:ascii="Times New Roman" w:hAnsi="Times New Roman" w:cs="Times New Roman" w:eastAsia="Times New Roman" w:hint="default"/>
          <w:spacing w:val="15"/>
        </w:rPr>
        <w:t> </w:t>
      </w:r>
      <w:r>
        <w:rPr>
          <w:spacing w:val="-5"/>
        </w:rPr>
        <w:t>年</w:t>
      </w:r>
      <w:r>
        <w:rPr>
          <w:rFonts w:ascii="Times New Roman" w:hAnsi="Times New Roman" w:cs="Times New Roman" w:eastAsia="Times New Roman" w:hint="default"/>
          <w:spacing w:val="-5"/>
        </w:rPr>
        <w:t>2</w:t>
      </w:r>
      <w:r>
        <w:rPr>
          <w:spacing w:val="-5"/>
        </w:rPr>
        <w:t>月，在中国风险投资有限公司任高级投资经理；</w:t>
      </w:r>
      <w:r>
        <w:rPr>
          <w:rFonts w:ascii="Times New Roman" w:hAnsi="Times New Roman" w:cs="Times New Roman" w:eastAsia="Times New Roman" w:hint="default"/>
          <w:spacing w:val="-5"/>
        </w:rPr>
        <w:t>2006</w:t>
      </w:r>
      <w:r>
        <w:rPr>
          <w:spacing w:val="-5"/>
        </w:rPr>
        <w:t>年</w:t>
      </w:r>
      <w:r>
        <w:rPr>
          <w:rFonts w:ascii="Times New Roman" w:hAnsi="Times New Roman" w:cs="Times New Roman" w:eastAsia="Times New Roman" w:hint="default"/>
          <w:spacing w:val="-5"/>
        </w:rPr>
        <w:t>3</w:t>
      </w:r>
      <w:r>
        <w:rPr>
          <w:spacing w:val="-5"/>
        </w:rPr>
        <w:t>月至今，任公司董事会秘书，</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日起兼任公司副总经理。</w:t>
      </w:r>
    </w:p>
    <w:p>
      <w:pPr>
        <w:pStyle w:val="BodyText"/>
        <w:spacing w:line="300" w:lineRule="auto" w:before="51"/>
        <w:ind w:right="0" w:firstLine="360"/>
        <w:jc w:val="left"/>
      </w:pPr>
      <w:r>
        <w:rPr>
          <w:spacing w:val="-2"/>
        </w:rPr>
        <w:t>张晓屹先生，</w:t>
      </w:r>
      <w:r>
        <w:rPr>
          <w:rFonts w:ascii="Times New Roman" w:hAnsi="Times New Roman" w:cs="Times New Roman" w:eastAsia="Times New Roman" w:hint="default"/>
          <w:spacing w:val="-2"/>
        </w:rPr>
        <w:t>1975</w:t>
      </w:r>
      <w:r>
        <w:rPr>
          <w:spacing w:val="-2"/>
        </w:rPr>
        <w:t>年生，中级会计师，中国国籍。</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7</w:t>
      </w:r>
      <w:r>
        <w:rPr>
          <w:spacing w:val="-2"/>
        </w:rPr>
        <w:t>月，毕业于北京机械工业学院会计学专业，</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2014</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4</w:t>
      </w:r>
      <w:r>
        <w:rPr/>
        <w:t>月，参加北京大学实战型</w:t>
      </w:r>
      <w:r>
        <w:rPr>
          <w:rFonts w:ascii="Times New Roman" w:hAnsi="Times New Roman" w:cs="Times New Roman" w:eastAsia="Times New Roman" w:hint="default"/>
        </w:rPr>
        <w:t>CFO</w:t>
      </w:r>
      <w:r>
        <w:rPr/>
        <w:t>高级研修班学习。</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月，在中和会计师事务所工作，</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spacing w:val="-2"/>
        </w:rPr>
        <w:t>年</w:t>
      </w:r>
      <w:r>
        <w:rPr>
          <w:rFonts w:ascii="Times New Roman" w:hAnsi="Times New Roman" w:cs="Times New Roman" w:eastAsia="Times New Roman" w:hint="default"/>
          <w:spacing w:val="-2"/>
        </w:rPr>
        <w:t>6</w:t>
      </w:r>
      <w:r>
        <w:rPr>
          <w:spacing w:val="-2"/>
        </w:rPr>
        <w:t>月，在天一会计师事务所工作，</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8</w:t>
      </w:r>
      <w:r>
        <w:rPr>
          <w:spacing w:val="-2"/>
        </w:rPr>
        <w:t>月，先后任北京利德华福电气技术有限公司财务部会计、财务经理，</w:t>
      </w:r>
      <w:r>
        <w:rPr>
          <w:spacing w:val="-54"/>
        </w:rPr>
        <w:t> </w:t>
      </w:r>
      <w:r>
        <w:rPr>
          <w:spacing w:val="-54"/>
        </w:rPr>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月，任北京住力电通科技有限公司财务总监，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月，任北京碧海舟腐蚀防护工业股</w:t>
      </w:r>
      <w:r>
        <w:rPr>
          <w:spacing w:val="-83"/>
        </w:rPr>
        <w:t> </w:t>
      </w:r>
      <w:r>
        <w:rPr>
          <w:spacing w:val="-83"/>
        </w:rPr>
      </w:r>
      <w:r>
        <w:rPr/>
        <w:t>份有限公司财务总监。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月至今，任北京合纵科技股份有限公司财务总监。</w:t>
      </w:r>
    </w:p>
    <w:p>
      <w:pPr>
        <w:pStyle w:val="BodyText"/>
        <w:spacing w:line="240" w:lineRule="auto" w:before="52"/>
        <w:ind w:right="0"/>
        <w:jc w:val="both"/>
      </w:pPr>
      <w:r>
        <w:rPr/>
        <w:t>在股东单位任职情况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2485"/>
        <w:gridCol w:w="992"/>
        <w:gridCol w:w="1702"/>
        <w:gridCol w:w="1844"/>
        <w:gridCol w:w="1345"/>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 w:right="39"/>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76"/>
              <w:jc w:val="right"/>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北京合纵实科电力科技有限公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湖南雅城新材料有限公司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天津市茂联科技有限公司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总经理、董 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2485"/>
        <w:gridCol w:w="992"/>
        <w:gridCol w:w="1702"/>
        <w:gridCol w:w="1844"/>
        <w:gridCol w:w="1345"/>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天津合纵电力设备有限公司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执行董事、 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江苏鹏创电力设计有限公司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湖南雅城新材料有限公司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韩国良</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韩国良</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江苏鹏创电力设计有限公司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湖南雅城新材料有限公司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湖南雅城新材料有限公司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湖南雅城新材料有限公司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刘卫东</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王小鑫</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张全中</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冯峥</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董事会秘 书、副总经 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冯峥</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湖南雅城新材料有限公司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冯峥</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天津市茂联科技有限公司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张晓屹</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张晓屹</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湖南雅城新材料有限公司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048"/>
        <w:jc w:val="left"/>
      </w:pPr>
      <w:r>
        <w:rPr/>
        <w:t>在其他单位任职情况</w:t>
      </w:r>
    </w:p>
    <w:p>
      <w:pPr>
        <w:pStyle w:val="BodyText"/>
        <w:spacing w:line="240" w:lineRule="auto" w:before="117"/>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2342"/>
        <w:gridCol w:w="1277"/>
        <w:gridCol w:w="1830"/>
        <w:gridCol w:w="1714"/>
        <w:gridCol w:w="1204"/>
      </w:tblGrid>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26"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3" w:right="93" w:hanging="181"/>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68"/>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1"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6" w:right="55"/>
              <w:jc w:val="center"/>
              <w:rPr>
                <w:rFonts w:ascii="宋体" w:hAnsi="宋体" w:cs="宋体" w:eastAsia="宋体" w:hint="default"/>
                <w:sz w:val="18"/>
                <w:szCs w:val="18"/>
              </w:rPr>
            </w:pPr>
            <w:r>
              <w:rPr>
                <w:rFonts w:ascii="宋体" w:hAnsi="宋体" w:cs="宋体" w:eastAsia="宋体" w:hint="default"/>
                <w:sz w:val="18"/>
                <w:szCs w:val="18"/>
              </w:rPr>
              <w:t>在其他单位是 否领取报酬津 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北京市六合金证律师事务所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1"/>
              <w:jc w:val="righ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保定银行股份有限公司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刘卫东</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清华大学电机系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教师</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1"/>
              <w:jc w:val="right"/>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2342"/>
        <w:gridCol w:w="1277"/>
        <w:gridCol w:w="1830"/>
        <w:gridCol w:w="1714"/>
        <w:gridCol w:w="120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北京交通大学经济管理学院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6"/>
                <w:sz w:val="18"/>
                <w:szCs w:val="18"/>
              </w:rPr>
              <w:t>会计学讲师、副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教授</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中国企业兼并重组研究中心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6"/>
                <w:sz w:val="18"/>
                <w:szCs w:val="18"/>
              </w:rPr>
              <w:t>副主任、执行主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诚通基金管理有限公司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副总监</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北京随视传媒科技股份有限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王小鑫</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中国风险投资有限公司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6"/>
                <w:sz w:val="18"/>
                <w:szCs w:val="18"/>
              </w:rPr>
              <w:t>副总裁、合伙人</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王小鑫</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海湾环境科技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王小鑫</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北京浦丹光电股份有限公司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王小鑫</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北京碧海舟腐蚀防护工业股 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王小鑫</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河南金丹乳酸科技股份有限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王小鑫</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哈尔滨博众天承科技股份有 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048"/>
        <w:jc w:val="left"/>
      </w:pPr>
      <w:r>
        <w:rPr/>
        <w:t>公司现任及报告期内离任董事、监事和高级管理人员近三年证券监管机构处罚的情况</w:t>
      </w:r>
    </w:p>
    <w:p>
      <w:pPr>
        <w:pStyle w:val="BodyText"/>
        <w:spacing w:line="240" w:lineRule="auto" w:before="117"/>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48"/>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董事、监事、高级管理人员报酬的决策程序、确定依据、实际支付情况</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4262"/>
        <w:gridCol w:w="4262"/>
      </w:tblGrid>
      <w:tr>
        <w:trPr>
          <w:trHeight w:val="1596"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4"/>
                <w:sz w:val="18"/>
                <w:szCs w:val="18"/>
              </w:rPr>
              <w:t>按照《高级管理人员薪酬考核管理办法》及公司现行其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他工资制度和业绩考核规定，由董事会薪酬与考核委员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会根据岗位绩效评价结果及薪酬分配政策提出上述人 </w:t>
            </w:r>
            <w:r>
              <w:rPr>
                <w:rFonts w:ascii="宋体" w:hAnsi="宋体" w:cs="宋体" w:eastAsia="宋体" w:hint="default"/>
                <w:spacing w:val="-4"/>
                <w:sz w:val="18"/>
                <w:szCs w:val="18"/>
              </w:rPr>
              <w:t>员的绩效薪酬数额和奖惩方式，提交公司董事会审核批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准。</w:t>
            </w:r>
          </w:p>
        </w:tc>
      </w:tr>
      <w:tr>
        <w:trPr>
          <w:trHeight w:val="659"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left"/>
              <w:rPr>
                <w:rFonts w:ascii="宋体" w:hAnsi="宋体" w:cs="宋体" w:eastAsia="宋体" w:hint="default"/>
                <w:sz w:val="18"/>
                <w:szCs w:val="18"/>
              </w:rPr>
            </w:pPr>
            <w:r>
              <w:rPr>
                <w:rFonts w:ascii="宋体" w:hAnsi="宋体" w:cs="宋体" w:eastAsia="宋体" w:hint="default"/>
                <w:spacing w:val="-4"/>
                <w:sz w:val="18"/>
                <w:szCs w:val="18"/>
              </w:rPr>
              <w:t>根据公司盈利水平及各董事、监事、高级管理人员的分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工及履职情况确定。</w:t>
            </w:r>
          </w:p>
        </w:tc>
      </w:tr>
      <w:tr>
        <w:trPr>
          <w:trHeight w:val="659"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公司董事、监事、高级管理人员共</w:t>
            </w:r>
            <w:r>
              <w:rPr>
                <w:rFonts w:ascii="Times New Roman" w:hAnsi="Times New Roman" w:cs="Times New Roman" w:eastAsia="Times New Roman" w:hint="default"/>
                <w:spacing w:val="-4"/>
                <w:sz w:val="18"/>
                <w:szCs w:val="18"/>
              </w:rPr>
              <w:t>14</w:t>
            </w:r>
            <w:r>
              <w:rPr>
                <w:rFonts w:ascii="宋体" w:hAnsi="宋体" w:cs="宋体" w:eastAsia="宋体" w:hint="default"/>
                <w:spacing w:val="-4"/>
                <w:sz w:val="18"/>
                <w:szCs w:val="18"/>
              </w:rPr>
              <w:t>人，各项报酬均已</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按时支付。</w:t>
            </w:r>
          </w:p>
        </w:tc>
      </w:tr>
    </w:tbl>
    <w:p>
      <w:pPr>
        <w:spacing w:line="240" w:lineRule="auto" w:before="5"/>
        <w:rPr>
          <w:rFonts w:ascii="宋体" w:hAnsi="宋体" w:cs="宋体" w:eastAsia="宋体" w:hint="default"/>
          <w:sz w:val="24"/>
          <w:szCs w:val="24"/>
        </w:rPr>
      </w:pPr>
    </w:p>
    <w:p>
      <w:pPr>
        <w:pStyle w:val="BodyText"/>
        <w:spacing w:line="240" w:lineRule="auto" w:before="44"/>
        <w:ind w:right="1048"/>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韩国良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刘卫东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王小鑫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张全中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张晓屹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540.16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48"/>
        <w:jc w:val="left"/>
      </w:pPr>
      <w:r>
        <w:rPr/>
        <w:t>公司董事、高级管理人员报告期内被授予的股权激励情况</w:t>
      </w:r>
    </w:p>
    <w:p>
      <w:pPr>
        <w:pStyle w:val="BodyText"/>
        <w:spacing w:line="240" w:lineRule="auto" w:before="117"/>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048"/>
        <w:jc w:val="left"/>
        <w:rPr>
          <w:b w:val="0"/>
          <w:bCs w:val="0"/>
        </w:rPr>
      </w:pPr>
      <w:bookmarkStart w:name="五、公司员工情况" w:id="123"/>
      <w:bookmarkEnd w:id="123"/>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8"/>
        <w:jc w:val="left"/>
        <w:rPr>
          <w:b w:val="0"/>
          <w:bCs w:val="0"/>
        </w:rPr>
      </w:pPr>
      <w:bookmarkStart w:name="1、员工数量、专业构成及教育程度" w:id="124"/>
      <w:bookmarkEnd w:id="12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1,605</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1,605</w:t>
            </w:r>
          </w:p>
        </w:tc>
      </w:tr>
    </w:tbl>
    <w:p>
      <w:pPr>
        <w:spacing w:line="240" w:lineRule="auto" w:before="2"/>
        <w:rPr>
          <w:rFonts w:ascii="宋体" w:hAnsi="宋体" w:cs="宋体" w:eastAsia="宋体" w:hint="default"/>
          <w:b/>
          <w:bCs/>
          <w:sz w:val="19"/>
          <w:szCs w:val="19"/>
        </w:rPr>
      </w:pPr>
    </w:p>
    <w:p>
      <w:pPr>
        <w:pStyle w:val="Heading3"/>
        <w:spacing w:line="240" w:lineRule="auto" w:before="35"/>
        <w:ind w:right="1048"/>
        <w:jc w:val="left"/>
        <w:rPr>
          <w:b w:val="0"/>
          <w:bCs w:val="0"/>
        </w:rPr>
      </w:pPr>
      <w:bookmarkStart w:name="2、薪酬政策" w:id="125"/>
      <w:bookmarkEnd w:id="12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270"/>
        <w:jc w:val="left"/>
      </w:pPr>
      <w:r>
        <w:rPr/>
        <w:t>公司雇员之薪酬包括薪金、津贴等。公司实行全员劳动合同制，依据《中华人民共和国劳动法》和地方相关法规、规范 性文件，公司与员工签订《劳动合同书》，公司按国家有关法律、法规及地方相关社会保险政策，为员工办理养老、医疗、 工伤、失业、生育的社会保险和住房公积金。</w:t>
      </w:r>
    </w:p>
    <w:p>
      <w:pPr>
        <w:spacing w:line="240" w:lineRule="auto" w:before="7"/>
        <w:rPr>
          <w:rFonts w:ascii="宋体" w:hAnsi="宋体" w:cs="宋体" w:eastAsia="宋体" w:hint="default"/>
          <w:sz w:val="22"/>
          <w:szCs w:val="22"/>
        </w:rPr>
      </w:pPr>
    </w:p>
    <w:p>
      <w:pPr>
        <w:pStyle w:val="Heading3"/>
        <w:spacing w:line="240" w:lineRule="auto"/>
        <w:ind w:right="1048"/>
        <w:jc w:val="left"/>
        <w:rPr>
          <w:b w:val="0"/>
          <w:bCs w:val="0"/>
        </w:rPr>
      </w:pPr>
      <w:bookmarkStart w:name="3、培训计划" w:id="126"/>
      <w:bookmarkEnd w:id="12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公司一直十分重视员工的培训和发展工作，制定了系列的培训计划与人才培育项目，全面加强员工培训工作，包括新员</w:t>
      </w:r>
      <w:r>
        <w:rPr/>
        <w:t> </w:t>
      </w:r>
      <w:r>
        <w:rPr>
          <w:spacing w:val="-2"/>
        </w:rPr>
        <w:t>工入职培训、新员工公司文化理念培训、新员工试用期间岗位技能培训实习、在职员工业务与管理技能培训、一线员工的操</w:t>
      </w:r>
      <w:r>
        <w:rPr>
          <w:spacing w:val="-66"/>
        </w:rPr>
        <w:t> </w:t>
      </w:r>
      <w:r>
        <w:rPr>
          <w:spacing w:val="-66"/>
        </w:rPr>
      </w:r>
      <w:r>
        <w:rPr>
          <w:spacing w:val="-2"/>
        </w:rPr>
        <w:t>作技能培训、管理干部员管理提升培训、员工晋级、调岗职业技能需求培训等，不断提升公司员工素质和能力，提升员工和</w:t>
      </w:r>
      <w:r>
        <w:rPr>
          <w:spacing w:val="-66"/>
        </w:rPr>
        <w:t> </w:t>
      </w:r>
      <w:r>
        <w:rPr>
          <w:spacing w:val="-66"/>
        </w:rPr>
      </w:r>
      <w:r>
        <w:rPr/>
        <w:t>部门工作效率，为公司战略目标的实现提供坚实的基础和确实的保障。</w:t>
      </w:r>
    </w:p>
    <w:p>
      <w:pPr>
        <w:spacing w:line="240" w:lineRule="auto" w:before="7"/>
        <w:rPr>
          <w:rFonts w:ascii="宋体" w:hAnsi="宋体" w:cs="宋体" w:eastAsia="宋体" w:hint="default"/>
          <w:sz w:val="22"/>
          <w:szCs w:val="22"/>
        </w:rPr>
      </w:pPr>
    </w:p>
    <w:p>
      <w:pPr>
        <w:pStyle w:val="Heading3"/>
        <w:spacing w:line="240" w:lineRule="auto"/>
        <w:ind w:right="1048"/>
        <w:jc w:val="left"/>
        <w:rPr>
          <w:b w:val="0"/>
          <w:bCs w:val="0"/>
        </w:rPr>
      </w:pPr>
      <w:bookmarkStart w:name="4、劳务外包情况" w:id="127"/>
      <w:bookmarkEnd w:id="12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_TOC_250003" w:id="128"/>
      <w:bookmarkStart w:name="第九节 公司治理" w:id="129"/>
      <w:r>
        <w:rPr>
          <w:b w:val="0"/>
          <w:bCs w:val="0"/>
        </w:rPr>
      </w:r>
      <w:r>
        <w:rPr/>
        <w:t>第九节</w:t>
      </w:r>
      <w:r>
        <w:rPr>
          <w:spacing w:val="-5"/>
        </w:rPr>
        <w:t> </w:t>
      </w:r>
      <w:r>
        <w:rPr/>
        <w:t>公司治理</w:t>
      </w:r>
      <w:bookmarkEnd w:id="12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48"/>
        <w:jc w:val="left"/>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48" w:firstLine="360"/>
        <w:jc w:val="left"/>
      </w:pPr>
      <w:r>
        <w:rPr>
          <w:spacing w:val="-6"/>
        </w:rPr>
        <w:t>报告期内，公司根据《公司法》、《证券法》、《上市公司治理准则》、《深圳证券交易所创业板股票上市规则》、《深</w:t>
      </w:r>
      <w:r>
        <w:rPr/>
        <w:t> </w:t>
      </w:r>
      <w:r>
        <w:rPr>
          <w:spacing w:val="-4"/>
        </w:rPr>
        <w:t>圳证券交易所创业板上市公司规范运作指引》等法律、法规的要求，不断完善法人治理结构，建立行之有效的内控管理体系，</w:t>
      </w:r>
      <w:r>
        <w:rPr>
          <w:spacing w:val="-46"/>
        </w:rPr>
        <w:t> </w:t>
      </w:r>
      <w:r>
        <w:rPr>
          <w:spacing w:val="-46"/>
        </w:rPr>
      </w:r>
      <w:r>
        <w:rPr>
          <w:spacing w:val="-2"/>
        </w:rPr>
        <w:t>确保公司规范运作。公司股东大会、董事会、监事会的召集、召开、表决程序符合有关法律、法规的要求，且均严格按照相</w:t>
      </w:r>
      <w:r>
        <w:rPr>
          <w:spacing w:val="-71"/>
        </w:rPr>
        <w:t> </w:t>
      </w:r>
      <w:r>
        <w:rPr>
          <w:spacing w:val="-71"/>
        </w:rPr>
      </w:r>
      <w:r>
        <w:rPr>
          <w:spacing w:val="-2"/>
        </w:rPr>
        <w:t>关法律法规，履行各自的权利和义务，公司重大生产经营决策、投资决策及财务决策均按照《公司章程》及有关内控制度规</w:t>
      </w:r>
      <w:r>
        <w:rPr>
          <w:spacing w:val="-66"/>
        </w:rPr>
        <w:t> </w:t>
      </w:r>
      <w:r>
        <w:rPr>
          <w:spacing w:val="-66"/>
        </w:rPr>
      </w:r>
      <w:r>
        <w:rPr>
          <w:spacing w:val="-2"/>
        </w:rPr>
        <w:t>定的程序和规则进行，截至报告期末，上述机构和人员依法运作，未出现违法、违规现象和重大缺陷，能够切实履行应尽的</w:t>
      </w:r>
      <w:r>
        <w:rPr>
          <w:spacing w:val="-66"/>
        </w:rPr>
        <w:t> </w:t>
      </w:r>
      <w:r>
        <w:rPr>
          <w:spacing w:val="-66"/>
        </w:rPr>
      </w:r>
      <w:r>
        <w:rPr/>
        <w:t>职责和义务。</w:t>
      </w:r>
    </w:p>
    <w:p>
      <w:pPr>
        <w:spacing w:line="240" w:lineRule="auto" w:before="0"/>
        <w:rPr>
          <w:rFonts w:ascii="宋体" w:hAnsi="宋体" w:cs="宋体" w:eastAsia="宋体" w:hint="default"/>
          <w:sz w:val="18"/>
          <w:szCs w:val="18"/>
        </w:rPr>
      </w:pPr>
    </w:p>
    <w:p>
      <w:pPr>
        <w:pStyle w:val="BodyText"/>
        <w:spacing w:line="240" w:lineRule="auto" w:before="136"/>
        <w:ind w:right="1048"/>
        <w:jc w:val="left"/>
      </w:pPr>
      <w:r>
        <w:rPr/>
        <w:t>公司治理的实际状况与中国证监会发布的有关上市公司治理的规范性文件是否存在重大差异</w:t>
      </w:r>
    </w:p>
    <w:p>
      <w:pPr>
        <w:pStyle w:val="BodyText"/>
        <w:spacing w:line="338" w:lineRule="auto" w:before="11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048"/>
        <w:jc w:val="left"/>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1048"/>
        <w:jc w:val="left"/>
      </w:pPr>
      <w:r>
        <w:rPr/>
        <w:t>公司不存在与控股股东在业务、人员、资产、机构、财务等方面不能保证独立性、不能保持自主经营能力的情况。 </w:t>
      </w:r>
      <w:r>
        <w:rPr>
          <w:spacing w:val="-2"/>
        </w:rPr>
        <w:t>注：公司应当就其与控股股东在业务、人员、资产、机构、财务等方面存在不能保证独立性、不能保持自主经营能力的情况</w:t>
      </w:r>
      <w:r>
        <w:rPr>
          <w:spacing w:val="-68"/>
        </w:rPr>
        <w:t> </w:t>
      </w:r>
      <w:r>
        <w:rPr>
          <w:spacing w:val="-68"/>
        </w:rPr>
      </w:r>
      <w:r>
        <w:rPr/>
        <w:t>进行说明。</w:t>
      </w:r>
    </w:p>
    <w:p>
      <w:pPr>
        <w:spacing w:line="240" w:lineRule="auto" w:before="4"/>
        <w:rPr>
          <w:rFonts w:ascii="宋体" w:hAnsi="宋体" w:cs="宋体" w:eastAsia="宋体" w:hint="default"/>
          <w:sz w:val="19"/>
          <w:szCs w:val="19"/>
        </w:rPr>
      </w:pPr>
    </w:p>
    <w:p>
      <w:pPr>
        <w:pStyle w:val="Heading2"/>
        <w:spacing w:line="240" w:lineRule="auto"/>
        <w:ind w:right="1048"/>
        <w:jc w:val="left"/>
        <w:rPr>
          <w:b w:val="0"/>
          <w:bCs w:val="0"/>
        </w:rPr>
      </w:pPr>
      <w:bookmarkStart w:name="三、同业竞争情况" w:id="132"/>
      <w:bookmarkEnd w:id="132"/>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48"/>
        <w:jc w:val="left"/>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8"/>
        <w:jc w:val="left"/>
        <w:rPr>
          <w:b w:val="0"/>
          <w:bCs w:val="0"/>
        </w:rPr>
      </w:pPr>
      <w:bookmarkStart w:name="1、本报告期股东大会情况" w:id="134"/>
      <w:bookmarkEnd w:id="13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6"/>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20">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6"/>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20">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6"/>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20">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20">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20">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20">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20">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20">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年第八次临时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20">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年第九次临时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20">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20">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20">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年第十二次临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3" w:right="97"/>
              <w:jc w:val="left"/>
              <w:rPr>
                <w:rFonts w:ascii="宋体" w:hAnsi="宋体" w:cs="宋体" w:eastAsia="宋体" w:hint="default"/>
                <w:sz w:val="18"/>
                <w:szCs w:val="18"/>
              </w:rPr>
            </w:pPr>
            <w:r>
              <w:rPr>
                <w:rFonts w:ascii="宋体" w:hAnsi="宋体" w:cs="宋体" w:eastAsia="宋体" w:hint="default"/>
                <w:spacing w:val="-1"/>
                <w:sz w:val="18"/>
                <w:szCs w:val="18"/>
              </w:rPr>
              <w:t>（</w:t>
            </w:r>
            <w:hyperlink r:id="rId20">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1048"/>
        <w:jc w:val="left"/>
        <w:rPr>
          <w:b w:val="0"/>
          <w:bCs w:val="0"/>
        </w:rPr>
      </w:pPr>
      <w:bookmarkStart w:name="2、表决权恢复的优先股股东请求召开临时股东大会" w:id="135"/>
      <w:bookmarkEnd w:id="13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48"/>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8"/>
        <w:jc w:val="left"/>
        <w:rPr>
          <w:b w:val="0"/>
          <w:bCs w:val="0"/>
        </w:rPr>
      </w:pPr>
      <w:bookmarkStart w:name="1、独立董事出席董事会及股东大会的情况" w:id="137"/>
      <w:bookmarkEnd w:id="13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51"/>
      </w:tblGrid>
      <w:tr>
        <w:trPr>
          <w:trHeight w:val="402" w:hRule="exact"/>
        </w:trPr>
        <w:tc>
          <w:tcPr>
            <w:tcW w:w="956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5" w:right="35"/>
              <w:jc w:val="left"/>
              <w:rPr>
                <w:rFonts w:ascii="宋体" w:hAnsi="宋体" w:cs="宋体" w:eastAsia="宋体" w:hint="default"/>
                <w:sz w:val="18"/>
                <w:szCs w:val="18"/>
              </w:rPr>
            </w:pPr>
            <w:r>
              <w:rPr>
                <w:rFonts w:ascii="宋体" w:hAnsi="宋体" w:cs="宋体" w:eastAsia="宋体" w:hint="default"/>
                <w:sz w:val="18"/>
                <w:szCs w:val="18"/>
              </w:rPr>
              <w:t>是否连续两次 未亲自参加董</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95" w:right="23"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36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5" w:right="0"/>
              <w:jc w:val="left"/>
              <w:rPr>
                <w:rFonts w:ascii="宋体" w:hAnsi="宋体" w:cs="宋体" w:eastAsia="宋体" w:hint="default"/>
                <w:sz w:val="18"/>
                <w:szCs w:val="18"/>
              </w:rPr>
            </w:pPr>
            <w:r>
              <w:rPr>
                <w:rFonts w:ascii="宋体" w:hAnsi="宋体" w:cs="宋体" w:eastAsia="宋体" w:hint="default"/>
                <w:sz w:val="18"/>
                <w:szCs w:val="18"/>
              </w:rPr>
              <w:t>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刘卫东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51"/>
        <w:ind w:right="5329"/>
        <w:jc w:val="left"/>
      </w:pPr>
      <w:r>
        <w:rPr/>
        <w:t>连续两次未亲自出席董事会的说明 独立董事不存在连续两次未亲自出席董事会情形。</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2、独立董事对公司有关事项提出异议的情况" w:id="138"/>
      <w:bookmarkEnd w:id="13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38"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0"/>
        <w:jc w:val="both"/>
        <w:rPr>
          <w:b w:val="0"/>
          <w:bCs w:val="0"/>
        </w:rPr>
      </w:pPr>
      <w:bookmarkStart w:name="3、独立董事履行职责的其他说明" w:id="139"/>
      <w:bookmarkEnd w:id="13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38" w:lineRule="auto" w:before="117"/>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4" w:lineRule="auto" w:before="41"/>
        <w:ind w:right="1131" w:firstLine="360"/>
        <w:jc w:val="both"/>
      </w:pPr>
      <w:r>
        <w:rPr>
          <w:spacing w:val="-2"/>
        </w:rPr>
        <w:t>公司独立董事严格按照《公司法》、《证券法》、《关于在上市公司建立独立董事制度的指导意见》、《深圳证券交易</w:t>
      </w:r>
      <w:r>
        <w:rPr/>
        <w:t> </w:t>
      </w:r>
      <w:r>
        <w:rPr>
          <w:spacing w:val="-2"/>
        </w:rPr>
        <w:t>所创业板上市公司规范运作指引》、《关于加强社会公众股股东权益保护的若干规定》、《公司章程》、《独立董事工作制</w:t>
      </w:r>
      <w:r>
        <w:rPr>
          <w:spacing w:val="-69"/>
        </w:rPr>
        <w:t> </w:t>
      </w:r>
      <w:r>
        <w:rPr>
          <w:spacing w:val="-69"/>
        </w:rPr>
      </w:r>
      <w:r>
        <w:rPr>
          <w:spacing w:val="-2"/>
        </w:rPr>
        <w:t>度》等相关法律、法规、规章的规定和要求，在</w:t>
      </w:r>
      <w:r>
        <w:rPr>
          <w:rFonts w:ascii="Times New Roman" w:hAnsi="Times New Roman" w:cs="Times New Roman" w:eastAsia="Times New Roman" w:hint="default"/>
          <w:spacing w:val="-2"/>
        </w:rPr>
        <w:t>2017</w:t>
      </w:r>
      <w:r>
        <w:rPr>
          <w:spacing w:val="-2"/>
        </w:rPr>
        <w:t>年度工作中，诚实、勤勉、独立地履行职责，积极出席相关会议，认真</w:t>
      </w:r>
      <w:r>
        <w:rPr>
          <w:spacing w:val="-65"/>
        </w:rPr>
        <w:t> </w:t>
      </w:r>
      <w:r>
        <w:rPr>
          <w:spacing w:val="-65"/>
        </w:rPr>
      </w:r>
      <w:r>
        <w:rPr>
          <w:spacing w:val="-2"/>
        </w:rPr>
        <w:t>审议董事会各项议案，对公司重大事项发表了独立意见，充分发挥了独立董事及各专业委员会的作用。一方面，严格审核公</w:t>
      </w:r>
      <w:r>
        <w:rPr>
          <w:spacing w:val="-66"/>
        </w:rPr>
        <w:t> </w:t>
      </w:r>
      <w:r>
        <w:rPr>
          <w:spacing w:val="-66"/>
        </w:rPr>
      </w:r>
      <w:r>
        <w:rPr>
          <w:spacing w:val="-2"/>
        </w:rPr>
        <w:t>司提交董事会的相关事项，维护公司和公众股东的合法权益，促进公司规范运作；另一方面发挥自己的专业优势，积极关注</w:t>
      </w:r>
      <w:r>
        <w:rPr>
          <w:spacing w:val="-66"/>
        </w:rPr>
        <w:t> </w:t>
      </w:r>
      <w:r>
        <w:rPr>
          <w:spacing w:val="-66"/>
        </w:rPr>
      </w:r>
      <w:r>
        <w:rPr/>
        <w:t>和参与研究公司的发展，为公司的审计工作及内控、薪酬激励、提名任命、战略规划等工作提出了意见和建议。</w:t>
      </w:r>
    </w:p>
    <w:p>
      <w:pPr>
        <w:spacing w:line="240" w:lineRule="auto" w:before="12"/>
        <w:rPr>
          <w:rFonts w:ascii="宋体" w:hAnsi="宋体" w:cs="宋体" w:eastAsia="宋体" w:hint="default"/>
          <w:sz w:val="20"/>
          <w:szCs w:val="20"/>
        </w:rPr>
      </w:pPr>
    </w:p>
    <w:p>
      <w:pPr>
        <w:pStyle w:val="Heading2"/>
        <w:spacing w:line="240" w:lineRule="auto"/>
        <w:ind w:right="0"/>
        <w:jc w:val="both"/>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514" w:right="1048"/>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审计委员会的履职情况：</w:t>
      </w:r>
      <w:r>
        <w:rPr>
          <w:w w:val="99"/>
        </w:rPr>
        <w:t> </w:t>
      </w:r>
      <w:r>
        <w:rPr/>
        <w:t>公司董事会审计委员会本着勤勉尽责的原则，充分发挥监督作用，报告期内主要履行了以下职责：</w:t>
      </w:r>
      <w:r>
        <w:rPr>
          <w:w w:val="99"/>
        </w:rPr>
        <w:t> </w:t>
      </w:r>
      <w:r>
        <w:rPr>
          <w:spacing w:val="-2"/>
        </w:rPr>
        <w:t>报告期内，公司审计委员会严格按照《审计委员会工作细则》的相关要求，共召开审计委员会会议四次，对公司全年生</w:t>
      </w:r>
    </w:p>
    <w:p>
      <w:pPr>
        <w:pStyle w:val="BodyText"/>
        <w:spacing w:line="316" w:lineRule="auto" w:before="24"/>
        <w:ind w:right="1133"/>
        <w:jc w:val="both"/>
      </w:pPr>
      <w:r>
        <w:rPr>
          <w:spacing w:val="-2"/>
        </w:rPr>
        <w:t>产经营情况和重大事项进展情况的进行了监控，与审计会计师进行沟通，制定年度审计计划并对年度审计工作进行安排，并</w:t>
      </w:r>
      <w:r>
        <w:rPr>
          <w:spacing w:val="-66"/>
        </w:rPr>
        <w:t> </w:t>
      </w:r>
      <w:r>
        <w:rPr>
          <w:spacing w:val="-66"/>
        </w:rPr>
      </w:r>
      <w:r>
        <w:rPr>
          <w:spacing w:val="-2"/>
        </w:rPr>
        <w:t>就审计过程中发现的问题与相关人员进行有效沟通，同时，审议审计部提交的年度审计计划及总结，切实履行了审计委员会</w:t>
      </w:r>
      <w:r>
        <w:rPr>
          <w:spacing w:val="-66"/>
        </w:rPr>
        <w:t> </w:t>
      </w:r>
      <w:r>
        <w:rPr>
          <w:spacing w:val="-66"/>
        </w:rPr>
      </w:r>
      <w:r>
        <w:rPr/>
        <w:t>工作职责。</w:t>
      </w:r>
    </w:p>
    <w:p>
      <w:pPr>
        <w:pStyle w:val="BodyText"/>
        <w:spacing w:line="307" w:lineRule="auto" w:before="19"/>
        <w:ind w:left="514" w:right="1048"/>
        <w:jc w:val="left"/>
        <w:rPr>
          <w:rFonts w:ascii="Times New Roman" w:hAnsi="Times New Roman" w:cs="Times New Roman" w:eastAsia="Times New Roman" w:hint="default"/>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提名委员会履职情况：</w:t>
      </w:r>
      <w:r>
        <w:rPr>
          <w:w w:val="99"/>
        </w:rPr>
        <w:t> </w:t>
      </w:r>
      <w:r>
        <w:rPr/>
        <w:t>报告期内，提名委员会召开专业委员会会议和沟通会两次，对公司高级管理人员的人选进行了讨论。</w:t>
      </w:r>
      <w:r>
        <w:rPr>
          <w:w w:val="99"/>
        </w:rPr>
        <w:t>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薪酬与考核委员会履职情况：</w:t>
      </w:r>
      <w:r>
        <w:rPr>
          <w:w w:val="99"/>
        </w:rPr>
        <w:t> </w:t>
      </w:r>
      <w:r>
        <w:rPr/>
        <w:t>报告期内，薪酬与考核委员会对公司年底考核，董事、监事和高级管理人员薪酬等事项进行了讨论与审议，认为</w:t>
      </w:r>
      <w:r>
        <w:rPr>
          <w:rFonts w:ascii="Times New Roman" w:hAnsi="Times New Roman" w:cs="Times New Roman" w:eastAsia="Times New Roman" w:hint="default"/>
        </w:rPr>
        <w:t>2017</w:t>
      </w:r>
    </w:p>
    <w:p>
      <w:pPr>
        <w:pStyle w:val="BodyText"/>
        <w:spacing w:line="319" w:lineRule="auto" w:before="7"/>
        <w:ind w:right="1048"/>
        <w:jc w:val="left"/>
      </w:pPr>
      <w:r>
        <w:rPr>
          <w:spacing w:val="-2"/>
        </w:rPr>
        <w:t>年绩效考核体现了公平，公司董事、监事及高级管理人员的薪酬发放符合公司薪酬管理制度的规定，不存在违反公司薪酬管</w:t>
      </w:r>
      <w:r>
        <w:rPr>
          <w:spacing w:val="-66"/>
        </w:rPr>
        <w:t> </w:t>
      </w:r>
      <w:r>
        <w:rPr>
          <w:spacing w:val="-66"/>
        </w:rPr>
      </w:r>
      <w:r>
        <w:rPr/>
        <w:t>理制度及与薪酬管理制度不一致的情形。报告期内，公司未有实施股权激励的情况。</w:t>
      </w:r>
    </w:p>
    <w:p>
      <w:pPr>
        <w:pStyle w:val="BodyText"/>
        <w:spacing w:line="300" w:lineRule="auto" w:before="16"/>
        <w:ind w:left="514" w:right="1048"/>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战略委员会履职情况：</w:t>
      </w:r>
      <w:r>
        <w:rPr>
          <w:w w:val="99"/>
        </w:rPr>
        <w:t> </w:t>
      </w:r>
      <w:r>
        <w:rPr>
          <w:spacing w:val="-2"/>
        </w:rPr>
        <w:t>报告期内，战略委员会结合公司所处行业发展情况及公司自身发展状况，对公司长期发展战略和重大投资决策进行审议</w:t>
      </w:r>
    </w:p>
    <w:p>
      <w:pPr>
        <w:pStyle w:val="BodyText"/>
        <w:spacing w:line="240" w:lineRule="auto" w:before="31"/>
        <w:ind w:right="0"/>
        <w:jc w:val="both"/>
      </w:pPr>
      <w:r>
        <w:rPr/>
        <w:t>并提出建议。</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48"/>
        <w:jc w:val="left"/>
        <w:rPr>
          <w:b w:val="0"/>
          <w:bCs w:val="0"/>
        </w:rPr>
      </w:pPr>
      <w:bookmarkStart w:name="七、监事会工作情况" w:id="141"/>
      <w:bookmarkEnd w:id="141"/>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监事会在报告期内的监督活动中发现公司是否存在风险</w:t>
      </w:r>
    </w:p>
    <w:p>
      <w:pPr>
        <w:pStyle w:val="BodyText"/>
        <w:spacing w:line="340" w:lineRule="auto" w:before="116"/>
        <w:ind w:right="73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1048"/>
        <w:jc w:val="left"/>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公司建立了完善的高级管理人员绩效考评体系和薪酬制度，高级管理人员的工作绩效与其收入直接挂钩。高级管理人员</w:t>
      </w:r>
      <w:r>
        <w:rPr/>
        <w:t> </w:t>
      </w:r>
      <w:r>
        <w:rPr>
          <w:spacing w:val="-2"/>
        </w:rPr>
        <w:t>的聘任公开、透明，符合法律、法规的规定。公司董事会下设的提名、薪酬和考核委员会负责对公司董事及高级管理人员进</w:t>
      </w:r>
      <w:r>
        <w:rPr>
          <w:spacing w:val="-66"/>
        </w:rPr>
        <w:t> </w:t>
      </w:r>
      <w:r>
        <w:rPr>
          <w:spacing w:val="-66"/>
        </w:rPr>
      </w:r>
      <w:r>
        <w:rPr/>
        <w:t>行绩效考核。</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1048"/>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8"/>
        <w:jc w:val="left"/>
        <w:rPr>
          <w:b w:val="0"/>
          <w:bCs w:val="0"/>
        </w:rPr>
      </w:pPr>
      <w:bookmarkStart w:name="1、报告期内发现的内部控制重大缺陷的具体情况" w:id="144"/>
      <w:bookmarkEnd w:id="14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048"/>
        <w:jc w:val="left"/>
        <w:rPr>
          <w:b w:val="0"/>
          <w:bCs w:val="0"/>
        </w:rPr>
      </w:pPr>
      <w:bookmarkStart w:name="2、内控自我评价报告" w:id="145"/>
      <w:bookmarkEnd w:id="14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p>
      <w:pPr>
        <w:pStyle w:val="BodyText"/>
        <w:spacing w:line="240" w:lineRule="auto" w:before="44"/>
        <w:ind w:left="0" w:right="1139"/>
        <w:jc w:val="right"/>
      </w:pPr>
      <w:r>
        <w:rPr/>
        <w:pict>
          <v:shape style="position:absolute;margin-left:56.459999pt;margin-top:-237.448303pt;width:479.2pt;height:357.6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858"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7" w:lineRule="auto" w:before="51"/>
                          <w:ind w:left="22" w:right="20"/>
                          <w:jc w:val="both"/>
                          <w:rPr>
                            <w:rFonts w:ascii="宋体" w:hAnsi="宋体" w:cs="宋体" w:eastAsia="宋体" w:hint="default"/>
                            <w:sz w:val="18"/>
                            <w:szCs w:val="18"/>
                          </w:rPr>
                        </w:pPr>
                        <w:r>
                          <w:rPr>
                            <w:rFonts w:ascii="宋体" w:hAnsi="宋体" w:cs="宋体" w:eastAsia="宋体" w:hint="default"/>
                            <w:spacing w:val="-4"/>
                            <w:sz w:val="18"/>
                            <w:szCs w:val="18"/>
                          </w:rPr>
                          <w:t>一、重大缺陷：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．公司董事、监事和高级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管理人员的舞弊行为；</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．公司更正已公布</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的财务报告；</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．注册会计师发现的却未被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公司内部控制识别的当期财务报告中的重 </w:t>
                        </w:r>
                        <w:r>
                          <w:rPr>
                            <w:rFonts w:ascii="宋体" w:hAnsi="宋体" w:cs="宋体" w:eastAsia="宋体" w:hint="default"/>
                            <w:spacing w:val="-4"/>
                            <w:sz w:val="18"/>
                            <w:szCs w:val="18"/>
                          </w:rPr>
                          <w:t>大错报；</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．审计委员会和审计部对公司的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对外财务报告和财务报告内部控制监督无 </w:t>
                        </w:r>
                        <w:r>
                          <w:rPr>
                            <w:rFonts w:ascii="宋体" w:hAnsi="宋体" w:cs="宋体" w:eastAsia="宋体" w:hint="default"/>
                            <w:spacing w:val="-4"/>
                            <w:sz w:val="18"/>
                            <w:szCs w:val="18"/>
                          </w:rPr>
                          <w:t>效。二、重要缺陷：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．未依照公认会计准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则选择和应用会计政策；</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．未建立反舞弊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程序和控制措施；</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易的账务处理没有建立相应的控制机制或 </w:t>
                        </w:r>
                        <w:r>
                          <w:rPr>
                            <w:rFonts w:ascii="宋体" w:hAnsi="宋体" w:cs="宋体" w:eastAsia="宋体" w:hint="default"/>
                            <w:spacing w:val="-5"/>
                            <w:sz w:val="18"/>
                            <w:szCs w:val="18"/>
                          </w:rPr>
                          <w:t>没有实施且没有相应的补偿性控制；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w:t>
                        </w:r>
                        <w:r>
                          <w:rPr>
                            <w:rFonts w:ascii="宋体" w:hAnsi="宋体" w:cs="宋体" w:eastAsia="宋体" w:hint="default"/>
                            <w:spacing w:val="-32"/>
                            <w:sz w:val="18"/>
                            <w:szCs w:val="18"/>
                          </w:rPr>
                          <w:t> </w:t>
                        </w:r>
                        <w:r>
                          <w:rPr>
                            <w:rFonts w:ascii="宋体" w:hAnsi="宋体" w:cs="宋体" w:eastAsia="宋体" w:hint="default"/>
                            <w:sz w:val="18"/>
                            <w:szCs w:val="18"/>
                          </w:rPr>
                          <w:t>于期末财务报告过程的控制存在一项或多</w:t>
                        </w:r>
                        <w:r>
                          <w:rPr>
                            <w:rFonts w:ascii="宋体" w:hAnsi="宋体" w:cs="宋体" w:eastAsia="宋体" w:hint="default"/>
                            <w:sz w:val="18"/>
                            <w:szCs w:val="18"/>
                          </w:rPr>
                          <w:t> 项缺陷且不能合理保证编制的财务报表达</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07" w:lineRule="auto"/>
                          <w:ind w:left="22" w:right="-42"/>
                          <w:jc w:val="left"/>
                          <w:rPr>
                            <w:rFonts w:ascii="宋体" w:hAnsi="宋体" w:cs="宋体" w:eastAsia="宋体" w:hint="default"/>
                            <w:sz w:val="18"/>
                            <w:szCs w:val="18"/>
                          </w:rPr>
                        </w:pPr>
                        <w:r>
                          <w:rPr>
                            <w:rFonts w:ascii="宋体" w:hAnsi="宋体" w:cs="宋体" w:eastAsia="宋体" w:hint="default"/>
                            <w:sz w:val="18"/>
                            <w:szCs w:val="18"/>
                          </w:rPr>
                          <w:t>一、重大缺陷：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．违犯国家法律法规 或规范性文件；</w:t>
                        </w:r>
                        <w:r>
                          <w:rPr>
                            <w:rFonts w:ascii="Times New Roman" w:hAnsi="Times New Roman" w:cs="Times New Roman" w:eastAsia="Times New Roman" w:hint="default"/>
                            <w:sz w:val="18"/>
                            <w:szCs w:val="18"/>
                          </w:rPr>
                          <w:t>2</w:t>
                        </w:r>
                        <w:r>
                          <w:rPr>
                            <w:rFonts w:ascii="宋体" w:hAnsi="宋体" w:cs="宋体" w:eastAsia="宋体" w:hint="default"/>
                            <w:sz w:val="18"/>
                            <w:szCs w:val="18"/>
                          </w:rPr>
                          <w:t>．重大决策程序不民 主、不科学；</w:t>
                        </w:r>
                        <w:r>
                          <w:rPr>
                            <w:rFonts w:ascii="Times New Roman" w:hAnsi="Times New Roman" w:cs="Times New Roman" w:eastAsia="Times New Roman" w:hint="default"/>
                            <w:sz w:val="18"/>
                            <w:szCs w:val="18"/>
                          </w:rPr>
                          <w:t>3</w:t>
                        </w:r>
                        <w:r>
                          <w:rPr>
                            <w:rFonts w:ascii="宋体" w:hAnsi="宋体" w:cs="宋体" w:eastAsia="宋体" w:hint="default"/>
                            <w:sz w:val="18"/>
                            <w:szCs w:val="18"/>
                          </w:rPr>
                          <w:t>．制度缺失可能导致系 统性失效；</w:t>
                        </w:r>
                        <w:r>
                          <w:rPr>
                            <w:rFonts w:ascii="Times New Roman" w:hAnsi="Times New Roman" w:cs="Times New Roman" w:eastAsia="Times New Roman" w:hint="default"/>
                            <w:sz w:val="18"/>
                            <w:szCs w:val="18"/>
                          </w:rPr>
                          <w:t>4</w:t>
                        </w:r>
                        <w:r>
                          <w:rPr>
                            <w:rFonts w:ascii="宋体" w:hAnsi="宋体" w:cs="宋体" w:eastAsia="宋体" w:hint="default"/>
                            <w:sz w:val="18"/>
                            <w:szCs w:val="18"/>
                          </w:rPr>
                          <w:t>．管理骨干人员或技术骨 干人员纷纷流失；</w:t>
                        </w:r>
                        <w:r>
                          <w:rPr>
                            <w:rFonts w:ascii="Times New Roman" w:hAnsi="Times New Roman" w:cs="Times New Roman" w:eastAsia="Times New Roman" w:hint="default"/>
                            <w:sz w:val="18"/>
                            <w:szCs w:val="18"/>
                          </w:rPr>
                          <w:t>5</w:t>
                        </w:r>
                        <w:r>
                          <w:rPr>
                            <w:rFonts w:ascii="宋体" w:hAnsi="宋体" w:cs="宋体" w:eastAsia="宋体" w:hint="default"/>
                            <w:sz w:val="18"/>
                            <w:szCs w:val="18"/>
                          </w:rPr>
                          <w:t>．媒体负面新闻频 </w:t>
                        </w:r>
                        <w:r>
                          <w:rPr>
                            <w:rFonts w:ascii="宋体" w:hAnsi="宋体" w:cs="宋体" w:eastAsia="宋体" w:hint="default"/>
                            <w:spacing w:val="-4"/>
                            <w:sz w:val="18"/>
                            <w:szCs w:val="18"/>
                          </w:rPr>
                          <w:t>现；</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．重大或重要缺陷不能得到整改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7</w:t>
                        </w:r>
                        <w:r>
                          <w:rPr>
                            <w:rFonts w:ascii="宋体" w:hAnsi="宋体" w:cs="宋体" w:eastAsia="宋体" w:hint="default"/>
                            <w:sz w:val="18"/>
                            <w:szCs w:val="18"/>
                          </w:rPr>
                          <w:t>．其他对公司负面影响重大的情形。 二、重要缺陷：一个或多个缺陷组合， 其严重程度和经济后果低于重大缺陷， 但仍可能导致企业偏离控制目标的缺 </w:t>
                        </w:r>
                        <w:r>
                          <w:rPr>
                            <w:rFonts w:ascii="宋体" w:hAnsi="宋体" w:cs="宋体" w:eastAsia="宋体" w:hint="default"/>
                            <w:spacing w:val="-4"/>
                            <w:sz w:val="18"/>
                            <w:szCs w:val="18"/>
                          </w:rPr>
                          <w:t>陷。三、一般缺陷：不构成重大缺陷或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重要缺陷的其他内部控制缺陷。</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858"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44"/>
        <w:ind w:left="0" w:right="1140"/>
        <w:jc w:val="right"/>
      </w:pPr>
      <w:r>
        <w:rPr/>
        <w:pict>
          <v:shape style="position:absolute;margin-left:56.459999pt;margin-top:-65.728302pt;width:479.2pt;height:337.5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35"/>
                    <w:gridCol w:w="3039"/>
                  </w:tblGrid>
                  <w:tr>
                    <w:trPr>
                      <w:trHeight w:val="98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60"/>
                          <w:jc w:val="both"/>
                          <w:rPr>
                            <w:rFonts w:ascii="宋体" w:hAnsi="宋体" w:cs="宋体" w:eastAsia="宋体" w:hint="default"/>
                            <w:sz w:val="18"/>
                            <w:szCs w:val="18"/>
                          </w:rPr>
                        </w:pPr>
                        <w:r>
                          <w:rPr>
                            <w:rFonts w:ascii="宋体" w:hAnsi="宋体" w:cs="宋体" w:eastAsia="宋体" w:hint="default"/>
                            <w:sz w:val="18"/>
                            <w:szCs w:val="18"/>
                          </w:rPr>
                          <w:t>到真实、准确的目标。三、一般缺陷：除 上述重大缺陷、重要缺陷之外的其他控制 缺陷。</w:t>
                        </w:r>
                      </w:p>
                    </w:tc>
                    <w:tc>
                      <w:tcPr>
                        <w:tcW w:w="3039"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7" w:lineRule="auto"/>
                          <w:ind w:left="23" w:right="2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、重大缺陷：考虑补偿性控制措施和实际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偏差率后，缺陷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营业收入</w:t>
                        </w:r>
                        <w:r>
                          <w:rPr>
                            <w:rFonts w:ascii="宋体" w:hAnsi="宋体" w:cs="宋体" w:eastAsia="宋体" w:hint="default"/>
                            <w:spacing w:val="-38"/>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、重要缺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陷：考虑补偿性控制措施和实际偏差率后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营业收入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1%&gt;</w:t>
                        </w:r>
                        <w:r>
                          <w:rPr>
                            <w:rFonts w:ascii="宋体" w:hAnsi="宋体" w:cs="宋体" w:eastAsia="宋体" w:hint="default"/>
                            <w:sz w:val="18"/>
                            <w:szCs w:val="18"/>
                          </w:rPr>
                          <w:t>缺陷</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一般缺陷：考虑补偿性控制措施和实际偏 差率后，缺陷</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0.25%</w:t>
                        </w:r>
                      </w:p>
                    </w:tc>
                    <w:tc>
                      <w:tcPr>
                        <w:tcW w:w="3039" w:type="dxa"/>
                        <w:tcBorders>
                          <w:top w:val="single" w:sz="4" w:space="0" w:color="000000"/>
                          <w:left w:val="single" w:sz="9" w:space="0" w:color="FFFFFF"/>
                          <w:bottom w:val="single" w:sz="4" w:space="0" w:color="000000"/>
                          <w:right w:val="single" w:sz="4" w:space="0" w:color="000000"/>
                        </w:tcBorders>
                      </w:tcPr>
                      <w:p>
                        <w:pPr>
                          <w:pStyle w:val="TableParagraph"/>
                          <w:spacing w:line="309" w:lineRule="auto" w:before="51"/>
                          <w:ind w:left="4" w:right="21"/>
                          <w:jc w:val="left"/>
                          <w:rPr>
                            <w:rFonts w:ascii="宋体" w:hAnsi="宋体" w:cs="宋体" w:eastAsia="宋体" w:hint="default"/>
                            <w:sz w:val="18"/>
                            <w:szCs w:val="18"/>
                          </w:rPr>
                        </w:pPr>
                        <w:r>
                          <w:rPr>
                            <w:rFonts w:ascii="宋体" w:hAnsi="宋体" w:cs="宋体" w:eastAsia="宋体" w:hint="default"/>
                            <w:sz w:val="18"/>
                            <w:szCs w:val="18"/>
                          </w:rPr>
                          <w:t>一、重大缺陷：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．直接财产损失达到 </w:t>
                        </w:r>
                        <w:r>
                          <w:rPr>
                            <w:rFonts w:ascii="Times New Roman" w:hAnsi="Times New Roman" w:cs="Times New Roman" w:eastAsia="Times New Roman" w:hint="default"/>
                            <w:sz w:val="18"/>
                            <w:szCs w:val="18"/>
                          </w:rPr>
                          <w:t>400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以上；</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．潜在负面影响</w:t>
                        </w:r>
                        <w:r>
                          <w:rPr>
                            <w:rFonts w:ascii="宋体" w:hAnsi="宋体" w:cs="宋体" w:eastAsia="宋体" w:hint="default"/>
                            <w:sz w:val="18"/>
                            <w:szCs w:val="18"/>
                          </w:rPr>
                          <w:t> 已经对外正式披露并对公司定期报告 </w:t>
                        </w:r>
                        <w:r>
                          <w:rPr>
                            <w:rFonts w:ascii="宋体" w:hAnsi="宋体" w:cs="宋体" w:eastAsia="宋体" w:hint="default"/>
                            <w:spacing w:val="-4"/>
                            <w:sz w:val="18"/>
                            <w:szCs w:val="18"/>
                          </w:rPr>
                          <w:t>披露造成负面影响；企业关键岗位人员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流失严重。二、重要缺陷：</w:t>
                        </w:r>
                        <w:r>
                          <w:rPr>
                            <w:rFonts w:ascii="Times New Roman" w:hAnsi="Times New Roman" w:cs="Times New Roman" w:eastAsia="Times New Roman" w:hint="default"/>
                            <w:sz w:val="18"/>
                            <w:szCs w:val="18"/>
                          </w:rPr>
                          <w:t>1</w:t>
                        </w:r>
                        <w:r>
                          <w:rPr>
                            <w:rFonts w:ascii="宋体" w:hAnsi="宋体" w:cs="宋体" w:eastAsia="宋体" w:hint="default"/>
                            <w:sz w:val="18"/>
                            <w:szCs w:val="18"/>
                          </w:rPr>
                          <w:t>．直接财</w:t>
                        </w:r>
                      </w:p>
                      <w:p>
                        <w:pPr>
                          <w:pStyle w:val="TableParagraph"/>
                          <w:spacing w:line="203" w:lineRule="exact" w:before="5"/>
                          <w:ind w:left="4" w:right="0"/>
                          <w:jc w:val="left"/>
                          <w:rPr>
                            <w:rFonts w:ascii="宋体" w:hAnsi="宋体" w:cs="宋体" w:eastAsia="宋体" w:hint="default"/>
                            <w:sz w:val="18"/>
                            <w:szCs w:val="18"/>
                          </w:rPr>
                        </w:pPr>
                        <w:r>
                          <w:rPr>
                            <w:rFonts w:ascii="宋体" w:hAnsi="宋体" w:cs="宋体" w:eastAsia="宋体" w:hint="default"/>
                            <w:sz w:val="18"/>
                            <w:szCs w:val="18"/>
                          </w:rPr>
                          <w:t>产损失达到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 -- 400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149"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．潜在负面影响：受到国家政府部门</w:t>
                        </w:r>
                      </w:p>
                      <w:p>
                        <w:pPr>
                          <w:pStyle w:val="TableParagraph"/>
                          <w:spacing w:line="312" w:lineRule="auto" w:before="63"/>
                          <w:ind w:left="4" w:right="21"/>
                          <w:jc w:val="both"/>
                          <w:rPr>
                            <w:rFonts w:ascii="宋体" w:hAnsi="宋体" w:cs="宋体" w:eastAsia="宋体" w:hint="default"/>
                            <w:sz w:val="18"/>
                            <w:szCs w:val="18"/>
                          </w:rPr>
                        </w:pPr>
                        <w:r>
                          <w:rPr>
                            <w:rFonts w:ascii="宋体" w:hAnsi="宋体" w:cs="宋体" w:eastAsia="宋体" w:hint="default"/>
                            <w:spacing w:val="-4"/>
                            <w:sz w:val="18"/>
                            <w:szCs w:val="18"/>
                          </w:rPr>
                          <w:t>处罚，但未对公司定期报告披露造成负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面影响。三、一般缺陷：</w:t>
                        </w:r>
                        <w:r>
                          <w:rPr>
                            <w:rFonts w:ascii="Times New Roman" w:hAnsi="Times New Roman" w:cs="Times New Roman" w:eastAsia="Times New Roman" w:hint="default"/>
                            <w:sz w:val="18"/>
                            <w:szCs w:val="18"/>
                          </w:rPr>
                          <w:t>1</w:t>
                        </w:r>
                        <w:r>
                          <w:rPr>
                            <w:rFonts w:ascii="宋体" w:hAnsi="宋体" w:cs="宋体" w:eastAsia="宋体" w:hint="default"/>
                            <w:sz w:val="18"/>
                            <w:szCs w:val="18"/>
                          </w:rPr>
                          <w:t>．直接财产 损失在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w:t>
                        </w:r>
                        <w:r>
                          <w:rPr>
                            <w:rFonts w:ascii="Times New Roman" w:hAnsi="Times New Roman" w:cs="Times New Roman" w:eastAsia="Times New Roman" w:hint="default"/>
                            <w:sz w:val="18"/>
                            <w:szCs w:val="18"/>
                          </w:rPr>
                          <w:t>2</w:t>
                        </w:r>
                        <w:r>
                          <w:rPr>
                            <w:rFonts w:ascii="宋体" w:hAnsi="宋体" w:cs="宋体" w:eastAsia="宋体" w:hint="default"/>
                            <w:sz w:val="18"/>
                            <w:szCs w:val="18"/>
                          </w:rPr>
                          <w:t>．潜在负面影 </w:t>
                        </w:r>
                        <w:r>
                          <w:rPr>
                            <w:rFonts w:ascii="宋体" w:hAnsi="宋体" w:cs="宋体" w:eastAsia="宋体" w:hint="default"/>
                            <w:spacing w:val="-4"/>
                            <w:sz w:val="18"/>
                            <w:szCs w:val="18"/>
                          </w:rPr>
                          <w:t>响：受到省级（含省级）以下政府部门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处罚，但未对公司定期报告披露造成负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面影响。</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624" w:lineRule="exact"/>
        <w:ind w:left="6699"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49.8pt;height:31.2pt;mso-position-horizontal-relative:char;mso-position-vertical-relative:line" coordorigin="0,0" coordsize="2996,624">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style="position:absolute;left:0;top:312;width:2996;height:312" coordorigin="0,312" coordsize="2996,312">
              <v:shape style="position:absolute;left:0;top:312;width:2996;height:312" coordorigin="0,312" coordsize="2996,312" path="m0,624l2996,624,2996,312,0,312,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spacing w:line="240" w:lineRule="auto" w:before="26"/>
        <w:ind w:right="1048"/>
        <w:jc w:val="left"/>
        <w:rPr>
          <w:b w:val="0"/>
          <w:bCs w:val="0"/>
        </w:rPr>
      </w:pPr>
      <w:bookmarkStart w:name="十、内部控制审计报告或鉴证报告" w:id="146"/>
      <w:bookmarkEnd w:id="146"/>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我们认为，合纵科技按照《企业内部控制基本规范》及相关规定于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日在所有重大方面保持了有效的与财 务报告有关的内部控制。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048"/>
        <w:jc w:val="left"/>
      </w:pPr>
      <w:r>
        <w:rPr/>
        <w:t>会计师事务所是否出具非标准意见的内部控制鉴证报告</w:t>
      </w:r>
    </w:p>
    <w:p>
      <w:pPr>
        <w:pStyle w:val="BodyText"/>
        <w:spacing w:line="340" w:lineRule="auto" w:before="116"/>
        <w:ind w:right="4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104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1048"/>
        <w:jc w:val="left"/>
        <w:rPr>
          <w:b w:val="0"/>
          <w:bCs w:val="0"/>
        </w:rPr>
      </w:pPr>
      <w:bookmarkStart w:name="_TOC_250002" w:id="147"/>
      <w:bookmarkStart w:name="第十节 公司债券相关情况" w:id="148"/>
      <w:r>
        <w:rPr>
          <w:b w:val="0"/>
          <w:bCs w:val="0"/>
        </w:rPr>
      </w:r>
      <w:r>
        <w:rPr/>
        <w:t>第十节</w:t>
      </w:r>
      <w:r>
        <w:rPr>
          <w:spacing w:val="-9"/>
        </w:rPr>
        <w:t> </w:t>
      </w:r>
      <w:r>
        <w:rPr/>
        <w:t>公司债券相关情况</w:t>
      </w:r>
      <w:bookmarkEnd w:id="147"/>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1048"/>
        <w:jc w:val="left"/>
        <w:rPr>
          <w:b w:val="0"/>
          <w:bCs w:val="0"/>
        </w:rPr>
      </w:pPr>
      <w:bookmarkStart w:name="_TOC_250001" w:id="149"/>
      <w:bookmarkStart w:name="第十一节 财务报告" w:id="150"/>
      <w:r>
        <w:rPr>
          <w:b w:val="0"/>
          <w:bCs w:val="0"/>
        </w:rPr>
      </w:r>
      <w:r>
        <w:rPr/>
        <w:t>第十一节</w:t>
      </w:r>
      <w:r>
        <w:rPr>
          <w:spacing w:val="-6"/>
        </w:rPr>
        <w:t> </w:t>
      </w:r>
      <w:r>
        <w:rPr/>
        <w:t>财务报告</w:t>
      </w:r>
      <w:bookmarkEnd w:id="14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48"/>
        <w:jc w:val="left"/>
        <w:rPr>
          <w:b w:val="0"/>
          <w:bCs w:val="0"/>
        </w:rPr>
      </w:pPr>
      <w:bookmarkStart w:name="一、审计报告" w:id="151"/>
      <w:bookmarkEnd w:id="151"/>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[2019]20505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莫伟、袁刚、迟文洲</w:t>
            </w:r>
          </w:p>
        </w:tc>
      </w:tr>
    </w:tbl>
    <w:p>
      <w:pPr>
        <w:pStyle w:val="BodyText"/>
        <w:spacing w:line="240" w:lineRule="auto" w:before="51"/>
        <w:ind w:left="2786" w:right="3762"/>
        <w:jc w:val="center"/>
      </w:pPr>
      <w:r>
        <w:rPr/>
        <w:t>审计报告正文</w:t>
      </w:r>
    </w:p>
    <w:p>
      <w:pPr>
        <w:spacing w:line="240" w:lineRule="auto" w:before="6"/>
        <w:rPr>
          <w:rFonts w:ascii="宋体" w:hAnsi="宋体" w:cs="宋体" w:eastAsia="宋体" w:hint="default"/>
          <w:sz w:val="19"/>
          <w:szCs w:val="19"/>
        </w:rPr>
      </w:pPr>
    </w:p>
    <w:p>
      <w:pPr>
        <w:pStyle w:val="Heading4"/>
        <w:spacing w:line="240" w:lineRule="auto" w:before="35"/>
        <w:ind w:right="1048"/>
        <w:jc w:val="left"/>
      </w:pPr>
      <w:r>
        <w:rPr/>
        <w:t>北京合纵科技股份有限公司全体股东：</w:t>
      </w:r>
    </w:p>
    <w:p>
      <w:pPr>
        <w:spacing w:line="240" w:lineRule="auto" w:before="4"/>
        <w:rPr>
          <w:rFonts w:ascii="宋体" w:hAnsi="宋体" w:cs="宋体" w:eastAsia="宋体" w:hint="default"/>
          <w:sz w:val="19"/>
          <w:szCs w:val="19"/>
        </w:rPr>
      </w:pPr>
    </w:p>
    <w:p>
      <w:pPr>
        <w:pStyle w:val="Heading2"/>
        <w:spacing w:line="240" w:lineRule="auto"/>
        <w:ind w:left="636" w:right="1048"/>
        <w:jc w:val="left"/>
        <w:rPr>
          <w:b w:val="0"/>
          <w:bCs w:val="0"/>
        </w:rPr>
      </w:pPr>
      <w:r>
        <w:rPr/>
        <w:t>一、审计意见</w:t>
      </w:r>
      <w:r>
        <w:rPr>
          <w:b w:val="0"/>
          <w:bCs w:val="0"/>
        </w:rPr>
      </w:r>
    </w:p>
    <w:p>
      <w:pPr>
        <w:spacing w:line="240" w:lineRule="auto" w:before="0"/>
        <w:rPr>
          <w:rFonts w:ascii="宋体" w:hAnsi="宋体" w:cs="宋体" w:eastAsia="宋体" w:hint="default"/>
          <w:b/>
          <w:bCs/>
          <w:sz w:val="20"/>
          <w:szCs w:val="20"/>
        </w:rPr>
      </w:pPr>
    </w:p>
    <w:p>
      <w:pPr>
        <w:pStyle w:val="Heading4"/>
        <w:spacing w:line="256" w:lineRule="auto"/>
        <w:ind w:right="1129" w:firstLine="420"/>
        <w:jc w:val="both"/>
      </w:pPr>
      <w:r>
        <w:rPr/>
        <w:t>我们审计了后附的北京合纵科技股份有限公司（以下简称</w:t>
      </w:r>
      <w:r>
        <w:rPr>
          <w:rFonts w:ascii="Times New Roman" w:hAnsi="Times New Roman" w:cs="Times New Roman" w:eastAsia="Times New Roman" w:hint="default"/>
        </w:rPr>
        <w:t>“</w:t>
      </w:r>
      <w:r>
        <w:rPr/>
        <w:t>合纵科技</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spacing w:val="-1"/>
        </w:rPr>
        <w:t>日合并及母公司的资产负债表，</w:t>
      </w:r>
      <w:r>
        <w:rPr>
          <w:rFonts w:ascii="Times New Roman" w:hAnsi="Times New Roman" w:cs="Times New Roman" w:eastAsia="Times New Roman" w:hint="default"/>
          <w:spacing w:val="-1"/>
        </w:rPr>
        <w:t>2018</w:t>
      </w:r>
      <w:r>
        <w:rPr>
          <w:spacing w:val="-1"/>
        </w:rPr>
        <w:t>年度合并及母公司的利润表、合并及母公司的现金流量表、合并及母</w:t>
      </w:r>
      <w:r>
        <w:rPr>
          <w:spacing w:val="-82"/>
        </w:rPr>
        <w:t> </w:t>
      </w:r>
      <w:r>
        <w:rPr>
          <w:spacing w:val="-82"/>
        </w:rPr>
      </w:r>
      <w:r>
        <w:rPr/>
        <w:t>公司的股东权益变动表以及相关财务报表附注。</w:t>
      </w:r>
    </w:p>
    <w:p>
      <w:pPr>
        <w:pStyle w:val="Heading4"/>
        <w:spacing w:line="256" w:lineRule="auto" w:before="143"/>
        <w:ind w:right="1130" w:firstLine="420"/>
        <w:jc w:val="both"/>
      </w:pPr>
      <w:r>
        <w:rPr>
          <w:spacing w:val="-1"/>
        </w:rPr>
        <w:t>我们认为，后附的财务报表在所有重大方面按照企业会计准则的规定编制，公允反映了合纵科技</w:t>
      </w:r>
      <w:r>
        <w:rPr>
          <w:rFonts w:ascii="Times New Roman" w:hAnsi="Times New Roman" w:cs="Times New Roman" w:eastAsia="Times New Roman" w:hint="default"/>
          <w:spacing w:val="-1"/>
        </w:rPr>
        <w:t>2018</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日合并及母公司的财务状况以及</w:t>
      </w:r>
      <w:r>
        <w:rPr>
          <w:rFonts w:ascii="Times New Roman" w:hAnsi="Times New Roman" w:cs="Times New Roman" w:eastAsia="Times New Roman" w:hint="default"/>
        </w:rPr>
        <w:t>2018</w:t>
      </w:r>
      <w:r>
        <w:rPr/>
        <w:t>年度的合并及母公司的经营成果和现金流量。</w:t>
      </w:r>
    </w:p>
    <w:p>
      <w:pPr>
        <w:spacing w:line="240" w:lineRule="auto" w:before="11"/>
        <w:rPr>
          <w:rFonts w:ascii="宋体" w:hAnsi="宋体" w:cs="宋体" w:eastAsia="宋体" w:hint="default"/>
          <w:sz w:val="16"/>
          <w:szCs w:val="16"/>
        </w:rPr>
      </w:pPr>
    </w:p>
    <w:p>
      <w:pPr>
        <w:pStyle w:val="Heading2"/>
        <w:spacing w:line="240" w:lineRule="auto"/>
        <w:ind w:left="636" w:right="1048"/>
        <w:jc w:val="left"/>
        <w:rPr>
          <w:b w:val="0"/>
          <w:bCs w:val="0"/>
        </w:rPr>
      </w:pPr>
      <w:r>
        <w:rPr/>
        <w:t>二、形成审计意见的基础</w:t>
      </w:r>
      <w:r>
        <w:rPr>
          <w:b w:val="0"/>
          <w:bCs w:val="0"/>
        </w:rPr>
      </w:r>
    </w:p>
    <w:p>
      <w:pPr>
        <w:spacing w:line="240" w:lineRule="auto" w:before="0"/>
        <w:rPr>
          <w:rFonts w:ascii="宋体" w:hAnsi="宋体" w:cs="宋体" w:eastAsia="宋体" w:hint="default"/>
          <w:b/>
          <w:bCs/>
          <w:sz w:val="20"/>
          <w:szCs w:val="20"/>
        </w:rPr>
      </w:pPr>
    </w:p>
    <w:p>
      <w:pPr>
        <w:pStyle w:val="Heading4"/>
        <w:spacing w:line="261" w:lineRule="auto"/>
        <w:ind w:right="1129" w:firstLine="42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 </w:t>
      </w: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部分进一步阐述了我们在这些准则下的责任。按照中国注册会计师职业道德守则，我们独立于合</w:t>
      </w:r>
      <w:r>
        <w:rPr>
          <w:spacing w:val="-25"/>
        </w:rPr>
        <w:t> </w:t>
      </w:r>
      <w:r>
        <w:rPr>
          <w:spacing w:val="-25"/>
        </w:rPr>
      </w:r>
      <w:r>
        <w:rPr>
          <w:spacing w:val="-1"/>
        </w:rPr>
        <w:t>纵科技，并履行了职业道德方面的其他责任。我们相信，我们获取的审计证据是充分、适当的，为发表审</w:t>
      </w:r>
      <w:r>
        <w:rPr>
          <w:spacing w:val="-83"/>
        </w:rPr>
        <w:t> </w:t>
      </w:r>
      <w:r>
        <w:rPr>
          <w:spacing w:val="-83"/>
        </w:rPr>
      </w:r>
      <w:r>
        <w:rPr/>
        <w:t>计意见提供了基础。</w:t>
      </w:r>
    </w:p>
    <w:p>
      <w:pPr>
        <w:spacing w:line="240" w:lineRule="auto" w:before="12"/>
        <w:rPr>
          <w:rFonts w:ascii="宋体" w:hAnsi="宋体" w:cs="宋体" w:eastAsia="宋体" w:hint="default"/>
          <w:sz w:val="17"/>
          <w:szCs w:val="17"/>
        </w:rPr>
      </w:pPr>
    </w:p>
    <w:p>
      <w:pPr>
        <w:pStyle w:val="Heading2"/>
        <w:spacing w:line="240" w:lineRule="auto"/>
        <w:ind w:left="636" w:right="1048"/>
        <w:jc w:val="left"/>
        <w:rPr>
          <w:b w:val="0"/>
          <w:bCs w:val="0"/>
        </w:rPr>
      </w:pPr>
      <w:r>
        <w:rPr/>
        <w:t>三、关键审计事项</w:t>
      </w:r>
      <w:r>
        <w:rPr>
          <w:b w:val="0"/>
          <w:bCs w:val="0"/>
        </w:rPr>
      </w:r>
    </w:p>
    <w:p>
      <w:pPr>
        <w:spacing w:line="240" w:lineRule="auto" w:before="0"/>
        <w:rPr>
          <w:rFonts w:ascii="宋体" w:hAnsi="宋体" w:cs="宋体" w:eastAsia="宋体" w:hint="default"/>
          <w:b/>
          <w:bCs/>
          <w:sz w:val="20"/>
          <w:szCs w:val="20"/>
        </w:rPr>
      </w:pPr>
    </w:p>
    <w:p>
      <w:pPr>
        <w:pStyle w:val="Heading4"/>
        <w:spacing w:line="256" w:lineRule="auto"/>
        <w:ind w:right="1048"/>
        <w:jc w:val="left"/>
      </w:pPr>
      <w:r>
        <w:rPr>
          <w:spacing w:val="-2"/>
        </w:rPr>
        <w:t>关键审计事项是我们根据职业判断</w:t>
      </w:r>
      <w:r>
        <w:rPr>
          <w:rFonts w:ascii="Times New Roman" w:hAnsi="Times New Roman" w:cs="Times New Roman" w:eastAsia="Times New Roman" w:hint="default"/>
          <w:spacing w:val="-2"/>
        </w:rPr>
        <w:t>,</w:t>
      </w:r>
      <w:r>
        <w:rPr>
          <w:spacing w:val="-2"/>
        </w:rPr>
        <w:t>认为对本期财务报表审计最为重要的事项。这些事项的应对以对财务报</w:t>
      </w:r>
      <w:r>
        <w:rPr>
          <w:spacing w:val="-86"/>
        </w:rPr>
        <w:t> </w:t>
      </w:r>
      <w:r>
        <w:rPr>
          <w:spacing w:val="-86"/>
        </w:rPr>
      </w:r>
      <w:r>
        <w:rPr/>
        <w:t>表整体进行审计并形成审计意见为背景，我们不对这些事项单独发表审计意见。</w:t>
      </w:r>
    </w:p>
    <w:p>
      <w:pPr>
        <w:spacing w:line="240" w:lineRule="auto" w:before="13"/>
        <w:rPr>
          <w:rFonts w:ascii="宋体" w:hAnsi="宋体" w:cs="宋体" w:eastAsia="宋体" w:hint="default"/>
          <w:sz w:val="22"/>
          <w:szCs w:val="22"/>
        </w:rPr>
      </w:pPr>
    </w:p>
    <w:p>
      <w:pPr>
        <w:pStyle w:val="Heading2"/>
        <w:spacing w:line="240" w:lineRule="auto"/>
        <w:ind w:right="1048"/>
        <w:jc w:val="left"/>
        <w:rPr>
          <w:b w:val="0"/>
          <w:bCs w:val="0"/>
        </w:rPr>
      </w:pPr>
      <w:bookmarkStart w:name="二、财务报表" w:id="152"/>
      <w:bookmarkEnd w:id="152"/>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财务附注中报表的单位为：人民币元</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3"/>
        <w:spacing w:line="240" w:lineRule="auto" w:before="35"/>
        <w:ind w:right="1048"/>
        <w:jc w:val="left"/>
        <w:rPr>
          <w:b w:val="0"/>
          <w:bCs w:val="0"/>
        </w:rPr>
      </w:pPr>
      <w:bookmarkStart w:name="1、合并资产负债表" w:id="153"/>
      <w:bookmarkEnd w:id="153"/>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编制单位：北京合纵科技股份有限公司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3215" w:space="86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302,221,818.23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365,760,113.60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1,322,930,956.61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1,364,228,820.11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100,328,986.72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103,448,904.64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1,222,601,969.89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1,260,779,915.47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208,217,467.30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25,591,918.29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22,957,944.22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43,572,957.87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754,796,963.10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415,696,288.80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87,327,904.29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233,936,833.21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2,698,453,053.75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2,448,786,931.88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488,863,273.83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157,131,856.09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647,397,311.81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636,445,722.95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151,863,447.60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31,031,663.35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204,033,146.41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198,927,359.91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10,388,352.84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12,270,641.65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405,390,278.37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422,727,387.86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11,545,829.25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10,889,379.36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16,896,061.53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16,450,980.28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45,586,964.26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16,099,549.11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1,981,964,665.90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1,501,974,540.56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4,680,417,719.65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3,950,761,472.44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1,063,499,715.00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475,894,984.00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1,399,904,767.41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1,318,062,506.29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40,182,228.17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17,994,657.11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28,627,024.43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30,962,181.16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32,653,917.46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67,893,702.05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12,051,928.11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11,904,952.41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1,743,648.04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874,494.56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53,067,537.27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17,851,711.22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2,629,987,117.85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1,940,564,694.24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40,676,232.49</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3,618,950.71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17,634,162.73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59,943,701.57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61,488,820.90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5,611,741.01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6,147,953.34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109,850,625.78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85,270,936.97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2,739,837,743.63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2,025,835,631.21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582,194,642.00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323,441,468.00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819,931,906.32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1,078,685,080.32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-1,546,918.82</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39,531,522.48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37,020,745.42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499,879,406.02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483,690,805.90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1,939,990,558.00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1,922,838,099.64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589,418.02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2,087,741.59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1,940,579,976.02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1,924,925,841.23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4,680,417,719.65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3,950,761,472.44</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561" w:val="left" w:leader="none"/>
        </w:tabs>
        <w:spacing w:line="240" w:lineRule="auto" w:before="44"/>
        <w:ind w:left="0" w:right="1229"/>
        <w:jc w:val="right"/>
      </w:pPr>
      <w:r>
        <w:rPr/>
        <w:t>法定代表人：刘泽刚</w:t>
        <w:tab/>
        <w:t>主管会计工作负责人：韦强</w:t>
        <w:tab/>
        <w:t>会计机构负责人：张晓屹</w:t>
      </w:r>
    </w:p>
    <w:p>
      <w:pPr>
        <w:spacing w:line="240" w:lineRule="auto" w:before="11"/>
        <w:rPr>
          <w:rFonts w:ascii="宋体" w:hAnsi="宋体" w:cs="宋体" w:eastAsia="宋体" w:hint="default"/>
          <w:sz w:val="26"/>
          <w:szCs w:val="26"/>
        </w:rPr>
      </w:pPr>
    </w:p>
    <w:p>
      <w:pPr>
        <w:pStyle w:val="Heading3"/>
        <w:spacing w:line="240" w:lineRule="auto"/>
        <w:ind w:right="1048"/>
        <w:jc w:val="left"/>
        <w:rPr>
          <w:b w:val="0"/>
          <w:bCs w:val="0"/>
        </w:rPr>
      </w:pPr>
      <w:bookmarkStart w:name="2、母公司资产负债表" w:id="154"/>
      <w:bookmarkEnd w:id="154"/>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274,208,837.80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315,934,056.84</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1,055,433,591.18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1,196,045,373.24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12,104,220.30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34,432,149.28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1,043,329,370.88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1,161,613,223.96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3,747,507.34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4,767,128.84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367,703,970.06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75,549,553.24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5,949,901.66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13,627,679.82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57,659,234.24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220,978,036.22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1,764,703,042.28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1,826,901,828.20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1,607,149,705.61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1,232,430,451.29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36,654,552.77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39,079,116.15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57,936,081.30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44,794,890.42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10,388,352.84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12,270,641.65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14,861,397.85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13,326,990.69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1,249,392.45</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1,728,239,482.82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1,341,902,090.20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3,492,942,525.10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3,168,803,918.40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598,484,800.00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312,478,800.00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1,219,812,691.26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1,169,738,031.97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11,821,523.76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17,140,960.49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6,588,859.07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4,346,119.67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20,394,550.60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33,238,311.58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18,238,704.20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5,305,736.85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1,153,367.53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597,548.16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1,875,341,128.89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1,542,247,960.56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351,307.79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565,057.79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351,307.79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565,057.79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1,875,692,436.68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1,542,813,018.35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582,194,642.00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323,441,468.00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820,043,583.73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1,078,796,757.73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-1,504,435.41</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39,531,522.48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37,020,745.42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176,984,775.62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186,731,928.90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1,617,250,088.42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1,625,990,900.05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3,492,942,525.10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3,168,803,918.40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48"/>
        <w:jc w:val="left"/>
        <w:rPr>
          <w:b w:val="0"/>
          <w:bCs w:val="0"/>
        </w:rPr>
      </w:pPr>
      <w:bookmarkStart w:name="3、合并利润表" w:id="155"/>
      <w:bookmarkEnd w:id="155"/>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2,007,514,867.20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2,109,345,874.22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2,007,514,867.20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2,109,345,874.22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1,975,701,771.33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1,973,494,917.20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1,580,964,279.15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1,638,295,615.04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13,086,093.64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14,468,931.94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168,594,156.31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158,351,760.55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97,978,573.65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92,757,873.92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30,355,098.04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30,921,752.05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52,937,786.18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8,204,974.64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50,505,671.39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9,186,610.65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2,763,900.09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4,129,051.25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31,785,784.36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30,494,009.06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22,404,327.34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10,681,740.45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2,333,524.14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198,834.52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354,035.15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-934,812.91</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-156,162.55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56,394,784.80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146,731,531.99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9,685,677.43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8,102,911.24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226,276.87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193,935.88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65,854,185.36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154,640,507.35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15,604,558.67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23,384,364.68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50,249,626.69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131,256,142.67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50,249,626.69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131,256,142.67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51,043,523.98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131,255,188.67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-793,897.29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-1,587,736.22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-1,546,918.82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8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-1,546,918.82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-1,504,435.41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-42,483.41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-40,817.40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48,661,890.47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131,256,142.67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49,496,605.16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131,255,188.67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-834,714.69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561" w:val="left" w:leader="none"/>
        </w:tabs>
        <w:spacing w:line="240" w:lineRule="auto" w:before="44"/>
        <w:ind w:left="0" w:right="1229"/>
        <w:jc w:val="right"/>
      </w:pPr>
      <w:r>
        <w:rPr/>
        <w:t>法定代表人：刘泽刚</w:t>
        <w:tab/>
        <w:t>主管会计工作负责人：韦强</w:t>
        <w:tab/>
        <w:t>会计机构负责人：张晓屹</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4、母公司利润表" w:id="156"/>
      <w:bookmarkEnd w:id="156"/>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85"/>
              <w:jc w:val="right"/>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1,523,553,370.14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1,618,346,839.61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1,333,591,827.88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1,407,213,006.25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301"/>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4,962,951.02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5,028,878.06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119,638,718.40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111,804,509.38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43,358,891.22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34,117,567.24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1,879,732.21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1,803,919.81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29,509,942.83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1,498,289.31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26,482,001.69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5,193,468.10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2,379,470.52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4,007,389.47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10,443,131.01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31,165,216.30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213,750.00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213,750.00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43,825,711.45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199,433.67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354,035.15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-934,812.91</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96,221.48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24,303,858.50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26,128,636.93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2,206,031.90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1,193,794.52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10,265.18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49,289.86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26,499,625.22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27,273,141.59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1,391,854.64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5,627,711.51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25,107,770.58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21,645,430.08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25,107,770.58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21,645,430.08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-1,504,435.41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-1,504,435.41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-1,504,435.41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23,603,335.17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21,645,430.08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48"/>
        <w:jc w:val="left"/>
        <w:rPr>
          <w:b w:val="0"/>
          <w:bCs w:val="0"/>
        </w:rPr>
      </w:pPr>
      <w:bookmarkStart w:name="5、合并现金流量表" w:id="157"/>
      <w:bookmarkEnd w:id="157"/>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1,927,804,968.34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1,729,447,921.52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43,180,095.01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13,546,368.08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98,835,838.07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27,593,004.77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2,069,820,901.42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1,770,587,294.37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1,758,160,101.83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1,251,382,162.23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207,735,178.91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165,911,700.03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103,828,271.97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87,419,912.32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181,980,587.15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176,732,795.68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2,251,704,139.86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1,681,446,570.26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-181,883,238.44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89,140,724.11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1,962,630.14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1,134,246.58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513,606.90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222,476,237.04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1,134,246.58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204,675,052.74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181,358,480.28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388,881,818.00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324,666,669.00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205,459,838.46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593,556,870.74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711,484,987.74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-371,080,633.70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-710,350,741.16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1,549,355.50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449,349,100.00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1,549,355.50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3,308,165.40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1,205,783,434.03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437,940,386.39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1,207,332,789.53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887,289,486.39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539,185,496.44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153,698,059.08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81,980,664.71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50,566,459.71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22,984,411.60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7,881,866.29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644,150,572.75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212,146,385.08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563,182,216.78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675,143,101.31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516,443.81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-544,555.03</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10,734,788.45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53,388,529.23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225,871,345.27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172,482,816.04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236,606,133.72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225,871,345.27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48"/>
        <w:jc w:val="left"/>
        <w:rPr>
          <w:b w:val="0"/>
          <w:bCs w:val="0"/>
        </w:rPr>
      </w:pPr>
      <w:bookmarkStart w:name="6、母公司现金流量表" w:id="158"/>
      <w:bookmarkEnd w:id="158"/>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1,663,927,376.46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1,219,689,631.67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67,423,570.59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15,942,113.01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1,731,350,947.05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1,235,631,744.68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1,236,528,113.33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1,077,296,294.39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67,012,040.60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60,685,412.80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39,495,477.53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31,815,325.57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363,024,377.33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130,324,095.11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1,706,060,008.79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1,300,121,127.87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25,290,938.26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-64,489,383.19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1,962,630.14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1,134,246.58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222,118,630.14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1,134,246.58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17,016,588.70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19,999,111.70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435,994,412.50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538,334,794.00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453,011,001.20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558,333,905.70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-230,892,371.06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-557,199,659.12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449,349,100.00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313,574,621.17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762,923,721.17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58,270,329.12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46,632,966.36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1,179,245.29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337,470,329.12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99,812,211.65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223,129,670.88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663,111,509.52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184,611.05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17,712,849.13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41,422,467.21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196,058,473.71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154,636,006.50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213,771,322.84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196,058,473.71</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7、合并所有者权益变动表" w:id="159"/>
      <w:bookmarkEnd w:id="159"/>
      <w:r>
        <w:rPr>
          <w:b w:val="0"/>
          <w:bCs w:val="0"/>
        </w:rPr>
      </w:r>
      <w:r>
        <w:rPr>
          <w:rFonts w:ascii="Times New Roman" w:hAnsi="Times New Roman" w:cs="Times New Roman" w:eastAsia="Times New Roman" w:hint="default"/>
        </w:rPr>
        <w:t>7</w:t>
      </w:r>
      <w:r>
        <w:rPr/>
        <w:t>、合并所有者权益变动表</w:t>
      </w:r>
      <w:r>
        <w:rPr>
          <w:b w:val="0"/>
          <w:bCs w:val="0"/>
        </w:rPr>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pStyle w:val="BodyText"/>
        <w:spacing w:line="240" w:lineRule="auto" w:before="44"/>
        <w:ind w:right="1048"/>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2"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323,44</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1,468.</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1,078,6</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85,080.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37,020,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745.42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483,690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,805.90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2,087,7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41.59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1,924,9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25,841.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323,44</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1,468.</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1,078,6</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85,080.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37,020,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745.42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483,690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,805.90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2,087,7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41.59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1,924,9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25,841.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258,75</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3,174.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-258,75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3,174.0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-1,546,9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18.82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2,510,7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77.06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16,188,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600.12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-1,498,3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23.57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15,654,</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134.79</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-1,546,9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18.82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51,043,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523.98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-834,71</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4.69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48,661,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890.47</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-663,60</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8.88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-663,60</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8.88</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-663,60</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8.88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-663,60</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8.88</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2,510,7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77.06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-34,854,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923.86</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-32,344,</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146.80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2,510,7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-2,510,7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77.06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77.06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-32,344,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146.80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-32,344,</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146.80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258,75</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3,174.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-258,75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3,174.0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258,75</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3,174.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-258,75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3,174.0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582,19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4,642.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819,931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,906.32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-1,546,9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18.82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39,531,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522.48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499,879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,406.02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589,418</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1,940,5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79,976.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r>
    </w:tbl>
    <w:p>
      <w:pPr>
        <w:pStyle w:val="BodyText"/>
        <w:spacing w:line="240" w:lineRule="auto" w:before="51"/>
        <w:ind w:right="1048"/>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9"/>
        <w:gridCol w:w="550"/>
        <w:gridCol w:w="530"/>
        <w:gridCol w:w="532"/>
        <w:gridCol w:w="530"/>
        <w:gridCol w:w="665"/>
        <w:gridCol w:w="665"/>
        <w:gridCol w:w="665"/>
        <w:gridCol w:w="665"/>
        <w:gridCol w:w="665"/>
        <w:gridCol w:w="665"/>
        <w:gridCol w:w="678"/>
        <w:gridCol w:w="652"/>
        <w:gridCol w:w="659"/>
      </w:tblGrid>
      <w:tr>
        <w:trPr>
          <w:trHeight w:val="402" w:hRule="exact"/>
        </w:trPr>
        <w:tc>
          <w:tcPr>
            <w:tcW w:w="1449"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49"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49"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50"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49" w:type="dxa"/>
            <w:vMerge/>
            <w:tcBorders>
              <w:left w:val="single" w:sz="4" w:space="0" w:color="000000"/>
              <w:bottom w:val="nil" w:sz="6" w:space="0" w:color="auto"/>
              <w:right w:val="single" w:sz="4" w:space="0" w:color="000000"/>
            </w:tcBorders>
            <w:shd w:val="clear" w:color="auto" w:fill="D2D2D2"/>
          </w:tcPr>
          <w:p>
            <w:pPr/>
          </w:p>
        </w:tc>
        <w:tc>
          <w:tcPr>
            <w:tcW w:w="550"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49" w:type="dxa"/>
            <w:vMerge w:val="restart"/>
            <w:tcBorders>
              <w:top w:val="nil" w:sz="6" w:space="0" w:color="auto"/>
              <w:left w:val="single" w:sz="4" w:space="0" w:color="000000"/>
              <w:right w:val="single" w:sz="4" w:space="0" w:color="000000"/>
            </w:tcBorders>
            <w:shd w:val="clear" w:color="auto" w:fill="D2D2D2"/>
          </w:tcPr>
          <w:p>
            <w:pPr/>
          </w:p>
        </w:tc>
        <w:tc>
          <w:tcPr>
            <w:tcW w:w="5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49" w:type="dxa"/>
            <w:vMerge/>
            <w:tcBorders>
              <w:left w:val="single" w:sz="4" w:space="0" w:color="000000"/>
              <w:right w:val="single" w:sz="4" w:space="0" w:color="000000"/>
            </w:tcBorders>
            <w:shd w:val="clear" w:color="auto" w:fill="D2D2D2"/>
          </w:tcPr>
          <w:p>
            <w:pPr/>
          </w:p>
        </w:tc>
        <w:tc>
          <w:tcPr>
            <w:tcW w:w="550"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49" w:type="dxa"/>
            <w:vMerge/>
            <w:tcBorders>
              <w:left w:val="single" w:sz="4" w:space="0" w:color="000000"/>
              <w:right w:val="single" w:sz="4" w:space="0" w:color="000000"/>
            </w:tcBorders>
            <w:shd w:val="clear" w:color="auto" w:fill="D2D2D2"/>
          </w:tcPr>
          <w:p>
            <w:pPr/>
          </w:p>
        </w:tc>
        <w:tc>
          <w:tcPr>
            <w:tcW w:w="550"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49" w:type="dxa"/>
            <w:vMerge/>
            <w:tcBorders>
              <w:left w:val="single" w:sz="4" w:space="0" w:color="000000"/>
              <w:bottom w:val="single" w:sz="4" w:space="0" w:color="000000"/>
              <w:right w:val="single" w:sz="4" w:space="0" w:color="000000"/>
            </w:tcBorders>
            <w:shd w:val="clear" w:color="auto" w:fill="D2D2D2"/>
          </w:tcPr>
          <w:p>
            <w:pPr/>
          </w:p>
        </w:tc>
        <w:tc>
          <w:tcPr>
            <w:tcW w:w="550"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49" w:type="dxa"/>
            <w:tcBorders>
              <w:top w:val="single" w:sz="4" w:space="0" w:color="000000"/>
              <w:left w:val="single" w:sz="4" w:space="0" w:color="000000"/>
              <w:bottom w:val="nil" w:sz="6" w:space="0" w:color="auto"/>
              <w:right w:val="single" w:sz="4" w:space="0" w:color="000000"/>
            </w:tcBorders>
            <w:shd w:val="clear" w:color="auto" w:fill="D2D2D2"/>
          </w:tcPr>
          <w:p>
            <w:pPr/>
          </w:p>
        </w:tc>
        <w:tc>
          <w:tcPr>
            <w:tcW w:w="550" w:type="dxa"/>
            <w:vMerge w:val="restart"/>
            <w:tcBorders>
              <w:top w:val="single" w:sz="4" w:space="0" w:color="000000"/>
              <w:left w:val="single" w:sz="9" w:space="0" w:color="D2D2D2"/>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279,76</w:t>
            </w:r>
          </w:p>
          <w:p>
            <w:pPr>
              <w:pStyle w:val="TableParagraph"/>
              <w:spacing w:line="240" w:lineRule="auto" w:before="105"/>
              <w:ind w:left="61" w:right="0"/>
              <w:jc w:val="left"/>
              <w:rPr>
                <w:rFonts w:ascii="Times New Roman" w:hAnsi="Times New Roman" w:cs="Times New Roman" w:eastAsia="Times New Roman" w:hint="default"/>
                <w:sz w:val="18"/>
                <w:szCs w:val="18"/>
              </w:rPr>
            </w:pPr>
            <w:r>
              <w:rPr>
                <w:rFonts w:ascii="Times New Roman"/>
                <w:sz w:val="18"/>
              </w:rPr>
              <w:t>8,466.</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167,856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,352.61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34,856,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202.41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396,565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,430.14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2,086,7</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87.59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881,133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,238.75</w:t>
            </w:r>
          </w:p>
        </w:tc>
      </w:tr>
      <w:tr>
        <w:trPr>
          <w:trHeight w:val="392" w:hRule="exact"/>
        </w:trPr>
        <w:tc>
          <w:tcPr>
            <w:tcW w:w="14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3"/>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0"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49" w:type="dxa"/>
            <w:tcBorders>
              <w:top w:val="nil" w:sz="6" w:space="0" w:color="auto"/>
              <w:left w:val="single" w:sz="4" w:space="0" w:color="000000"/>
              <w:bottom w:val="single" w:sz="4" w:space="0" w:color="000000"/>
              <w:right w:val="single" w:sz="4" w:space="0" w:color="000000"/>
            </w:tcBorders>
            <w:shd w:val="clear" w:color="auto" w:fill="D2D2D2"/>
          </w:tcPr>
          <w:p>
            <w:pPr/>
          </w:p>
        </w:tc>
        <w:tc>
          <w:tcPr>
            <w:tcW w:w="550"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3"/>
              <w:jc w:val="right"/>
              <w:rPr>
                <w:rFonts w:ascii="宋体" w:hAnsi="宋体" w:cs="宋体" w:eastAsia="宋体" w:hint="default"/>
                <w:sz w:val="18"/>
                <w:szCs w:val="18"/>
              </w:rPr>
            </w:pPr>
            <w:r>
              <w:rPr>
                <w:rFonts w:ascii="宋体" w:hAnsi="宋体" w:cs="宋体" w:eastAsia="宋体" w:hint="default"/>
                <w:spacing w:val="-10"/>
                <w:sz w:val="18"/>
                <w:szCs w:val="18"/>
              </w:rPr>
              <w:t>加：会计政策</w:t>
            </w:r>
          </w:p>
        </w:tc>
        <w:tc>
          <w:tcPr>
            <w:tcW w:w="550"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279,76</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8,466.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167,856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,352.61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34,856,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202.41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396,565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,430.14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2,086,7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87.59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881,133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,238.75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43,673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910,828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,727.71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2,164,5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43.01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87,125,</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375.76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954.00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1,043,7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92,602.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131,255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,188.67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954.00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131,256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,142.67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43,673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910,828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,727.71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954,501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,729.71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43,673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910,828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,727.71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954,501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,729.71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2,164,5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43.01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-44,129,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812.91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-41,965,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269.90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2,164,5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43.01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-2,164,5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43.01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-41,965,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269.90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-41,965,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269.90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323,44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1,468.</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85,080.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37,020,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745.42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483,690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,805.90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2,087,7</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41.59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25,841.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48"/>
        <w:jc w:val="left"/>
        <w:rPr>
          <w:b w:val="0"/>
          <w:bCs w:val="0"/>
        </w:rPr>
      </w:pPr>
      <w:bookmarkStart w:name="8、母公司所有者权益变动表" w:id="160"/>
      <w:bookmarkEnd w:id="160"/>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48"/>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323,441,</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468.00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1,078,796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,757.73</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37,020,74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5.42</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186,731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,928.90</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1,625,990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,900.05</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323,441,</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468.00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1,078,796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,757.73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37,020,74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5.42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186,731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,928.90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1,625,990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,900.05</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258,753,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174.00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-258,753,</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174.00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-1,504,43</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2,510,777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-9,747,1</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53.28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-8,740,81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1.63</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-1,504,43</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25,107,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770.58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23,603,33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5.17</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（二）所有者投入</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2,510,777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-34,854,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923.86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-32,344,1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46.80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2,510,777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-2,510,7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77.06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-32,344,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146.80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-32,344,1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46.80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258,753,</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174.00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-258,753,</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174.00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258,753,</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174.00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-258,753,</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174.00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582,194,</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820,043,5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83.73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-1,504,43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39,531,52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2.48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176,984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,775.62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1,617,250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,088.42</w:t>
            </w:r>
          </w:p>
        </w:tc>
      </w:tr>
    </w:tbl>
    <w:p>
      <w:pPr>
        <w:pStyle w:val="BodyText"/>
        <w:spacing w:line="240" w:lineRule="auto" w:before="51"/>
        <w:ind w:right="1048"/>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199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减：库存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2"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5"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4"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5"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279,768,</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466.00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167,968,0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30.02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34,856,20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2.41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209,216</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,311.73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691,809,0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10.16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279,768,</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466.00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167,968,0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30.02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34,856,20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2.41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209,216</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,311.73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691,809,0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10.16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43,673,0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910,828,7</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27.71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2,164,543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-22,484,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382.83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934,181,8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89.89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21,645,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430.08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21,645,43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43,673,0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910,828,7</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27.71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954,501,7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29.71</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43,673,0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910,828,7</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27.71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954,501,7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29.71</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2,164,543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-44,129,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812.91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-41,965,2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69.90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2,164,543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-2,164,5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43.01</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-41,965,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269.90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-41,965,2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69.90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323,441,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1,078,796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,757.73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37,020,74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5.42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186,731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,928.90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1,625,990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,900.05</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048"/>
        <w:jc w:val="left"/>
        <w:rPr>
          <w:b w:val="0"/>
          <w:bCs w:val="0"/>
        </w:rPr>
      </w:pPr>
      <w:bookmarkStart w:name="三、公司基本情况" w:id="161"/>
      <w:bookmarkEnd w:id="161"/>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4" w:right="1048"/>
        <w:jc w:val="left"/>
      </w:pPr>
      <w:r>
        <w:rPr/>
        <w:t>北京合纵科技股份有限公司（以下简称</w:t>
      </w:r>
      <w:r>
        <w:rPr>
          <w:rFonts w:ascii="Times New Roman" w:hAnsi="Times New Roman" w:cs="Times New Roman" w:eastAsia="Times New Roman" w:hint="default"/>
        </w:rPr>
        <w:t>“</w:t>
      </w:r>
      <w:r>
        <w:rPr/>
        <w:t>合纵科技</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或者</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）前身为成立于</w:t>
      </w:r>
      <w:r>
        <w:rPr>
          <w:spacing w:val="-50"/>
        </w:rPr>
        <w:t> </w:t>
      </w:r>
      <w:r>
        <w:rPr>
          <w:rFonts w:ascii="Times New Roman" w:hAnsi="Times New Roman" w:cs="Times New Roman" w:eastAsia="Times New Roman" w:hint="default"/>
        </w:rPr>
        <w:t>1997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日的北京合纵</w:t>
      </w:r>
    </w:p>
    <w:p>
      <w:pPr>
        <w:pStyle w:val="BodyText"/>
        <w:spacing w:line="240" w:lineRule="auto" w:before="63"/>
        <w:ind w:right="1048"/>
        <w:jc w:val="left"/>
        <w:rPr>
          <w:rFonts w:ascii="Times New Roman" w:hAnsi="Times New Roman" w:cs="Times New Roman" w:eastAsia="Times New Roman" w:hint="default"/>
        </w:rPr>
      </w:pPr>
      <w:r>
        <w:rPr/>
        <w:t>科技有限公司</w:t>
      </w:r>
      <w:r>
        <w:rPr>
          <w:spacing w:val="-90"/>
        </w:rPr>
        <w:t>，</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日以经审计的</w:t>
      </w:r>
      <w:r>
        <w:rPr>
          <w:spacing w:val="-47"/>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日的净</w:t>
      </w:r>
      <w:r>
        <w:rPr>
          <w:spacing w:val="-2"/>
        </w:rPr>
        <w:t>资</w:t>
      </w:r>
      <w:r>
        <w:rPr/>
        <w:t>产整体折合</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2</w:t>
      </w:r>
      <w:r>
        <w:rPr>
          <w:rFonts w:ascii="Times New Roman" w:hAnsi="Times New Roman" w:cs="Times New Roman" w:eastAsia="Times New Roman" w:hint="default"/>
        </w:rPr>
        <w:t>18.00</w:t>
      </w:r>
      <w:r>
        <w:rPr>
          <w:rFonts w:ascii="Times New Roman" w:hAnsi="Times New Roman" w:cs="Times New Roman" w:eastAsia="Times New Roman" w:hint="default"/>
          <w:spacing w:val="-1"/>
        </w:rPr>
        <w:t> </w:t>
      </w:r>
      <w:r>
        <w:rPr/>
        <w:t>万股变</w:t>
      </w:r>
      <w:r>
        <w:rPr>
          <w:spacing w:val="-2"/>
        </w:rPr>
        <w:t>更</w:t>
      </w:r>
      <w:r>
        <w:rPr/>
        <w:t>为股份有限公司</w:t>
      </w:r>
      <w:r>
        <w:rPr>
          <w:spacing w:val="-90"/>
        </w:rPr>
        <w:t>。</w:t>
      </w:r>
      <w:r>
        <w:rPr>
          <w:rFonts w:ascii="Times New Roman" w:hAnsi="Times New Roman" w:cs="Times New Roman" w:eastAsia="Times New Roman" w:hint="default"/>
        </w:rPr>
        <w:t>2015</w:t>
      </w:r>
    </w:p>
    <w:p>
      <w:pPr>
        <w:pStyle w:val="BodyText"/>
        <w:spacing w:line="240" w:lineRule="auto" w:before="63"/>
        <w:ind w:right="1048"/>
        <w:jc w:val="left"/>
        <w:rPr>
          <w:rFonts w:ascii="Times New Roman" w:hAnsi="Times New Roman" w:cs="Times New Roman" w:eastAsia="Times New Roman" w:hint="default"/>
        </w:rPr>
      </w:pP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日，合纵科技在深圳证券交易所创业板</w:t>
      </w:r>
      <w:r>
        <w:rPr>
          <w:spacing w:val="-46"/>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股上市，首次公开发行</w:t>
      </w:r>
      <w:r>
        <w:rPr>
          <w:spacing w:val="-46"/>
        </w:rPr>
        <w:t> </w:t>
      </w:r>
      <w:r>
        <w:rPr>
          <w:rFonts w:ascii="Times New Roman" w:hAnsi="Times New Roman" w:cs="Times New Roman" w:eastAsia="Times New Roman" w:hint="default"/>
        </w:rPr>
        <w:t>2,704.50</w:t>
      </w:r>
      <w:r>
        <w:rPr>
          <w:rFonts w:ascii="Times New Roman" w:hAnsi="Times New Roman" w:cs="Times New Roman" w:eastAsia="Times New Roman" w:hint="default"/>
          <w:spacing w:val="-1"/>
        </w:rPr>
        <w:t> </w:t>
      </w:r>
      <w:r>
        <w:rPr/>
        <w:t>万股股票，发行后总股本为</w:t>
      </w:r>
      <w:r>
        <w:rPr>
          <w:spacing w:val="-46"/>
        </w:rPr>
        <w:t> </w:t>
      </w:r>
      <w:r>
        <w:rPr>
          <w:rFonts w:ascii="Times New Roman" w:hAnsi="Times New Roman" w:cs="Times New Roman" w:eastAsia="Times New Roman" w:hint="default"/>
        </w:rPr>
        <w:t>10,818.00</w:t>
      </w:r>
    </w:p>
    <w:p>
      <w:pPr>
        <w:pStyle w:val="BodyText"/>
        <w:spacing w:line="240" w:lineRule="auto" w:before="63"/>
        <w:ind w:right="1048"/>
        <w:jc w:val="left"/>
      </w:pPr>
      <w:r>
        <w:rPr/>
        <w:t>万股，股票简称</w:t>
      </w:r>
      <w:r>
        <w:rPr>
          <w:rFonts w:ascii="Times New Roman" w:hAnsi="Times New Roman" w:cs="Times New Roman" w:eastAsia="Times New Roman" w:hint="default"/>
        </w:rPr>
        <w:t>“</w:t>
      </w:r>
      <w:r>
        <w:rPr/>
        <w:t>合纵科技</w:t>
      </w:r>
      <w:r>
        <w:rPr>
          <w:rFonts w:ascii="Times New Roman" w:hAnsi="Times New Roman" w:cs="Times New Roman" w:eastAsia="Times New Roman" w:hint="default"/>
        </w:rPr>
        <w:t>”</w:t>
      </w:r>
      <w:r>
        <w:rPr/>
        <w:t>，股票代码</w:t>
      </w:r>
      <w:r>
        <w:rPr>
          <w:spacing w:val="-46"/>
        </w:rPr>
        <w:t> </w:t>
      </w:r>
      <w:r>
        <w:rPr>
          <w:rFonts w:ascii="Times New Roman" w:hAnsi="Times New Roman" w:cs="Times New Roman" w:eastAsia="Times New Roman" w:hint="default"/>
        </w:rPr>
        <w:t>300477</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日，合纵科技以股份总数</w:t>
      </w:r>
      <w:r>
        <w:rPr>
          <w:spacing w:val="-46"/>
        </w:rPr>
        <w:t> </w:t>
      </w:r>
      <w:r>
        <w:rPr>
          <w:rFonts w:ascii="Times New Roman" w:hAnsi="Times New Roman" w:cs="Times New Roman" w:eastAsia="Times New Roman" w:hint="default"/>
        </w:rPr>
        <w:t>10,818.00</w:t>
      </w:r>
      <w:r>
        <w:rPr>
          <w:rFonts w:ascii="Times New Roman" w:hAnsi="Times New Roman" w:cs="Times New Roman" w:eastAsia="Times New Roman" w:hint="default"/>
          <w:spacing w:val="-1"/>
        </w:rPr>
        <w:t> </w:t>
      </w:r>
      <w:r>
        <w:rPr/>
        <w:t>万股为基数，以资本公</w:t>
      </w:r>
    </w:p>
    <w:p>
      <w:pPr>
        <w:pStyle w:val="BodyText"/>
        <w:spacing w:line="240" w:lineRule="auto" w:before="63"/>
        <w:ind w:right="1048"/>
        <w:jc w:val="left"/>
      </w:pPr>
      <w:r>
        <w:rPr/>
        <w:t>积向全体股东每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47"/>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股，合计转增股数</w:t>
      </w:r>
      <w:r>
        <w:rPr>
          <w:spacing w:val="-47"/>
        </w:rPr>
        <w:t> </w:t>
      </w:r>
      <w:r>
        <w:rPr>
          <w:rFonts w:ascii="Times New Roman" w:hAnsi="Times New Roman" w:cs="Times New Roman" w:eastAsia="Times New Roman" w:hint="default"/>
        </w:rPr>
        <w:t>16,227.00</w:t>
      </w:r>
      <w:r>
        <w:rPr>
          <w:rFonts w:ascii="Times New Roman" w:hAnsi="Times New Roman" w:cs="Times New Roman" w:eastAsia="Times New Roman" w:hint="default"/>
          <w:spacing w:val="-2"/>
        </w:rPr>
        <w:t> </w:t>
      </w:r>
      <w:r>
        <w:rPr/>
        <w:t>万股，转增后，公司总股本变更为</w:t>
      </w:r>
      <w:r>
        <w:rPr>
          <w:spacing w:val="-47"/>
        </w:rPr>
        <w:t> </w:t>
      </w:r>
      <w:r>
        <w:rPr>
          <w:rFonts w:ascii="Times New Roman" w:hAnsi="Times New Roman" w:cs="Times New Roman" w:eastAsia="Times New Roman" w:hint="default"/>
        </w:rPr>
        <w:t>27,045.00</w:t>
      </w:r>
      <w:r>
        <w:rPr>
          <w:rFonts w:ascii="Times New Roman" w:hAnsi="Times New Roman" w:cs="Times New Roman" w:eastAsia="Times New Roman" w:hint="default"/>
          <w:spacing w:val="-2"/>
        </w:rPr>
        <w:t> </w:t>
      </w:r>
      <w:r>
        <w:rPr/>
        <w:t>万股。</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p>
    <w:p>
      <w:pPr>
        <w:pStyle w:val="BodyText"/>
        <w:spacing w:line="240" w:lineRule="auto" w:before="63"/>
        <w:ind w:right="1048"/>
        <w:jc w:val="left"/>
        <w:rPr>
          <w:rFonts w:ascii="Times New Roman" w:hAnsi="Times New Roman" w:cs="Times New Roman" w:eastAsia="Times New Roman" w:hint="default"/>
        </w:rPr>
      </w:pP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日，公司向特定对象上银基金管理有限公司作为管理人的上银基金合纵科技</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号资产管理计划</w:t>
      </w:r>
      <w:r>
        <w:rPr>
          <w:rFonts w:ascii="Times New Roman" w:hAnsi="Times New Roman" w:cs="Times New Roman" w:eastAsia="Times New Roman" w:hint="default"/>
        </w:rPr>
        <w:t>(</w:t>
      </w:r>
      <w:r>
        <w:rPr/>
        <w:t>其性质为员工持股计划</w:t>
      </w:r>
      <w:r>
        <w:rPr>
          <w:rFonts w:ascii="Times New Roman" w:hAnsi="Times New Roman" w:cs="Times New Roman" w:eastAsia="Times New Roman" w:hint="default"/>
        </w:rPr>
        <w:t>)</w:t>
      </w:r>
    </w:p>
    <w:p>
      <w:pPr>
        <w:pStyle w:val="BodyText"/>
        <w:spacing w:line="240" w:lineRule="auto" w:before="64"/>
        <w:ind w:right="1048"/>
        <w:jc w:val="left"/>
      </w:pPr>
      <w:r>
        <w:rPr/>
        <w:t>非公开发行</w:t>
      </w:r>
      <w:r>
        <w:rPr>
          <w:spacing w:val="-47"/>
        </w:rPr>
        <w:t> </w:t>
      </w:r>
      <w:r>
        <w:rPr>
          <w:rFonts w:ascii="Times New Roman" w:hAnsi="Times New Roman" w:cs="Times New Roman" w:eastAsia="Times New Roman" w:hint="default"/>
        </w:rPr>
        <w:t>931.8466</w:t>
      </w:r>
      <w:r>
        <w:rPr>
          <w:rFonts w:ascii="Times New Roman" w:hAnsi="Times New Roman" w:cs="Times New Roman" w:eastAsia="Times New Roman" w:hint="default"/>
          <w:spacing w:val="-2"/>
        </w:rPr>
        <w:t> </w:t>
      </w:r>
      <w:r>
        <w:rPr/>
        <w:t>万股，每股面值</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元，变更后的累计股本为</w:t>
      </w:r>
      <w:r>
        <w:rPr>
          <w:spacing w:val="-47"/>
        </w:rPr>
        <w:t> </w:t>
      </w:r>
      <w:r>
        <w:rPr>
          <w:rFonts w:ascii="Times New Roman" w:hAnsi="Times New Roman" w:cs="Times New Roman" w:eastAsia="Times New Roman" w:hint="default"/>
        </w:rPr>
        <w:t>27,976.8466</w:t>
      </w:r>
      <w:r>
        <w:rPr>
          <w:rFonts w:ascii="Times New Roman" w:hAnsi="Times New Roman" w:cs="Times New Roman" w:eastAsia="Times New Roman" w:hint="default"/>
          <w:spacing w:val="-2"/>
        </w:rPr>
        <w:t> </w:t>
      </w:r>
      <w:r>
        <w:rPr/>
        <w:t>万股。</w:t>
      </w:r>
    </w:p>
    <w:p>
      <w:pPr>
        <w:pStyle w:val="BodyText"/>
        <w:spacing w:line="300" w:lineRule="auto" w:before="102"/>
        <w:ind w:right="1038" w:firstLine="360"/>
        <w:jc w:val="left"/>
      </w:pP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24 </w:t>
      </w:r>
      <w:r>
        <w:rPr>
          <w:spacing w:val="-2"/>
        </w:rPr>
        <w:t>日</w:t>
      </w:r>
      <w:r>
        <w:rPr>
          <w:rFonts w:ascii="Times New Roman" w:hAnsi="Times New Roman" w:cs="Times New Roman" w:eastAsia="Times New Roman" w:hint="default"/>
          <w:spacing w:val="-2"/>
        </w:rPr>
        <w:t>,</w:t>
      </w:r>
      <w:r>
        <w:rPr>
          <w:spacing w:val="-2"/>
        </w:rPr>
        <w:t>合纵科技取得中国证监会《关于核准北京合纵科技股份有限公司向李智军等发行股份及支付现金购买</w:t>
      </w:r>
      <w:r>
        <w:rPr/>
        <w:t> </w:t>
      </w:r>
      <w:r>
        <w:rPr>
          <w:spacing w:val="-6"/>
        </w:rPr>
        <w:t>资产并募集配套资金的批复》（证监许可</w:t>
      </w:r>
      <w:r>
        <w:rPr>
          <w:rFonts w:ascii="Times New Roman" w:hAnsi="Times New Roman" w:cs="Times New Roman" w:eastAsia="Times New Roman" w:hint="default"/>
          <w:spacing w:val="-6"/>
        </w:rPr>
        <w:t>[2017]1173</w:t>
      </w:r>
      <w:r>
        <w:rPr>
          <w:rFonts w:ascii="Times New Roman" w:hAnsi="Times New Roman" w:cs="Times New Roman" w:eastAsia="Times New Roman" w:hint="default"/>
          <w:spacing w:val="9"/>
        </w:rPr>
        <w:t> </w:t>
      </w:r>
      <w:r>
        <w:rPr>
          <w:spacing w:val="-8"/>
        </w:rPr>
        <w:t>号），获准向李智军等发行股份购买资产，公司累计发行</w:t>
      </w:r>
      <w:r>
        <w:rPr>
          <w:spacing w:val="-36"/>
        </w:rPr>
        <w:t> </w:t>
      </w:r>
      <w:r>
        <w:rPr>
          <w:rFonts w:ascii="Times New Roman" w:hAnsi="Times New Roman" w:cs="Times New Roman" w:eastAsia="Times New Roman" w:hint="default"/>
          <w:spacing w:val="-1"/>
        </w:rPr>
        <w:t>2,478.3726</w:t>
      </w:r>
      <w:r>
        <w:rPr>
          <w:rFonts w:ascii="Times New Roman" w:hAnsi="Times New Roman" w:cs="Times New Roman" w:eastAsia="Times New Roman" w:hint="default"/>
          <w:spacing w:val="9"/>
        </w:rPr>
        <w:t> </w:t>
      </w:r>
      <w:r>
        <w:rPr/>
        <w:t>万股，</w:t>
      </w:r>
      <w:r>
        <w:rPr>
          <w:spacing w:val="-87"/>
        </w:rPr>
        <w:t> </w:t>
      </w:r>
      <w:r>
        <w:rPr>
          <w:spacing w:val="-87"/>
        </w:rPr>
      </w:r>
      <w:r>
        <w:rPr/>
        <w:t>每股面值</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元，变更后总股本为</w:t>
      </w:r>
      <w:r>
        <w:rPr>
          <w:spacing w:val="-52"/>
        </w:rPr>
        <w:t> </w:t>
      </w:r>
      <w:r>
        <w:rPr>
          <w:rFonts w:ascii="Times New Roman" w:hAnsi="Times New Roman" w:cs="Times New Roman" w:eastAsia="Times New Roman" w:hint="default"/>
        </w:rPr>
        <w:t>30,473.5504</w:t>
      </w:r>
      <w:r>
        <w:rPr>
          <w:rFonts w:ascii="Times New Roman" w:hAnsi="Times New Roman" w:cs="Times New Roman" w:eastAsia="Times New Roman" w:hint="default"/>
          <w:spacing w:val="-7"/>
        </w:rPr>
        <w:t> </w:t>
      </w:r>
      <w:r>
        <w:rPr/>
        <w:t>万股。</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月，合纵科技向控股股东刘泽刚、部分董监高及其他核心骨干</w:t>
      </w:r>
    </w:p>
    <w:p>
      <w:pPr>
        <w:pStyle w:val="BodyText"/>
        <w:spacing w:line="240" w:lineRule="auto" w:before="13"/>
        <w:ind w:right="1048"/>
        <w:jc w:val="left"/>
      </w:pPr>
      <w:r>
        <w:rPr/>
        <w:t>投资设立的持股平台赣州合纵投资管理有限合伙、深圳天风天成资产管理有限公司</w:t>
      </w:r>
      <w:r>
        <w:rPr>
          <w:rFonts w:ascii="Times New Roman" w:hAnsi="Times New Roman" w:cs="Times New Roman" w:eastAsia="Times New Roman" w:hint="default"/>
        </w:rPr>
        <w:t>-</w:t>
      </w:r>
      <w:r>
        <w:rPr/>
        <w:t>天富</w:t>
      </w:r>
      <w:r>
        <w:rPr>
          <w:spacing w:val="-73"/>
        </w:rPr>
        <w:t> </w:t>
      </w:r>
      <w:r>
        <w:rPr>
          <w:rFonts w:ascii="Times New Roman" w:hAnsi="Times New Roman" w:cs="Times New Roman" w:eastAsia="Times New Roman" w:hint="default"/>
        </w:rPr>
        <w:t>13</w:t>
      </w:r>
      <w:r>
        <w:rPr>
          <w:rFonts w:ascii="Times New Roman" w:hAnsi="Times New Roman" w:cs="Times New Roman" w:eastAsia="Times New Roman" w:hint="default"/>
          <w:spacing w:val="-28"/>
        </w:rPr>
        <w:t> </w:t>
      </w:r>
      <w:r>
        <w:rPr/>
        <w:t>号资产管理计划、安信基金管理</w:t>
      </w:r>
    </w:p>
    <w:p>
      <w:pPr>
        <w:pStyle w:val="BodyText"/>
        <w:spacing w:line="240" w:lineRule="auto" w:before="63"/>
        <w:ind w:right="1048"/>
        <w:jc w:val="left"/>
        <w:rPr>
          <w:rFonts w:ascii="Times New Roman" w:hAnsi="Times New Roman" w:cs="Times New Roman" w:eastAsia="Times New Roman" w:hint="default"/>
        </w:rPr>
      </w:pPr>
      <w:r>
        <w:rPr/>
        <w:t>有限责任公司</w:t>
      </w:r>
      <w:r>
        <w:rPr>
          <w:rFonts w:ascii="Times New Roman" w:hAnsi="Times New Roman" w:cs="Times New Roman" w:eastAsia="Times New Roman" w:hint="default"/>
        </w:rPr>
        <w:t>-</w:t>
      </w:r>
      <w:r>
        <w:rPr/>
        <w:t>安信基金白鹭定增</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号资</w:t>
      </w:r>
      <w:r>
        <w:rPr>
          <w:spacing w:val="-2"/>
        </w:rPr>
        <w:t>产</w:t>
      </w:r>
      <w:r>
        <w:rPr/>
        <w:t>管理计划非公开发行</w:t>
      </w:r>
      <w:r>
        <w:rPr>
          <w:spacing w:val="-46"/>
        </w:rPr>
        <w:t> </w:t>
      </w:r>
      <w:r>
        <w:rPr>
          <w:rFonts w:ascii="Times New Roman" w:hAnsi="Times New Roman" w:cs="Times New Roman" w:eastAsia="Times New Roman" w:hint="default"/>
        </w:rPr>
        <w:t>1,870.5</w:t>
      </w:r>
      <w:r>
        <w:rPr>
          <w:rFonts w:ascii="Times New Roman" w:hAnsi="Times New Roman" w:cs="Times New Roman" w:eastAsia="Times New Roman" w:hint="default"/>
          <w:spacing w:val="-2"/>
        </w:rPr>
        <w:t>9</w:t>
      </w:r>
      <w:r>
        <w:rPr>
          <w:rFonts w:ascii="Times New Roman" w:hAnsi="Times New Roman" w:cs="Times New Roman" w:eastAsia="Times New Roman" w:hint="default"/>
        </w:rPr>
        <w:t>64</w:t>
      </w:r>
      <w:r>
        <w:rPr>
          <w:rFonts w:ascii="Times New Roman" w:hAnsi="Times New Roman" w:cs="Times New Roman" w:eastAsia="Times New Roman" w:hint="default"/>
          <w:spacing w:val="-1"/>
        </w:rPr>
        <w:t> </w:t>
      </w:r>
      <w:r>
        <w:rPr/>
        <w:t>万股</w:t>
      </w:r>
      <w:r>
        <w:rPr>
          <w:spacing w:val="-90"/>
        </w:rPr>
        <w:t>，</w:t>
      </w:r>
      <w:r>
        <w:rPr/>
        <w:t>每股面值</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spacing w:val="-90"/>
        </w:rPr>
        <w:t>，</w:t>
      </w:r>
      <w:r>
        <w:rPr/>
        <w:t>变更</w:t>
      </w:r>
      <w:r>
        <w:rPr>
          <w:spacing w:val="-2"/>
        </w:rPr>
        <w:t>后</w:t>
      </w:r>
      <w:r>
        <w:rPr/>
        <w:t>总股本为</w:t>
      </w:r>
      <w:r>
        <w:rPr>
          <w:spacing w:val="-46"/>
        </w:rPr>
        <w:t> </w:t>
      </w:r>
      <w:r>
        <w:rPr>
          <w:rFonts w:ascii="Times New Roman" w:hAnsi="Times New Roman" w:cs="Times New Roman" w:eastAsia="Times New Roman" w:hint="default"/>
        </w:rPr>
        <w:t>32,3</w:t>
      </w:r>
      <w:r>
        <w:rPr>
          <w:rFonts w:ascii="Times New Roman" w:hAnsi="Times New Roman" w:cs="Times New Roman" w:eastAsia="Times New Roman" w:hint="default"/>
          <w:spacing w:val="-2"/>
        </w:rPr>
        <w:t>4</w:t>
      </w:r>
      <w:r>
        <w:rPr>
          <w:rFonts w:ascii="Times New Roman" w:hAnsi="Times New Roman" w:cs="Times New Roman" w:eastAsia="Times New Roman" w:hint="default"/>
        </w:rPr>
        <w:t>4.1468</w:t>
      </w:r>
    </w:p>
    <w:p>
      <w:pPr>
        <w:pStyle w:val="BodyText"/>
        <w:spacing w:line="240" w:lineRule="auto" w:before="64"/>
        <w:ind w:right="1048"/>
        <w:jc w:val="left"/>
      </w:pPr>
      <w:r>
        <w:rPr/>
        <w:t>万股。</w:t>
      </w:r>
    </w:p>
    <w:p>
      <w:pPr>
        <w:pStyle w:val="BodyText"/>
        <w:spacing w:line="240" w:lineRule="auto" w:before="115"/>
        <w:ind w:left="514" w:right="1048"/>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t>日，本公司以总股本</w:t>
      </w:r>
      <w:r>
        <w:rPr>
          <w:spacing w:val="-50"/>
        </w:rPr>
        <w:t> </w:t>
      </w:r>
      <w:r>
        <w:rPr>
          <w:rFonts w:ascii="Times New Roman" w:hAnsi="Times New Roman" w:cs="Times New Roman" w:eastAsia="Times New Roman" w:hint="default"/>
        </w:rPr>
        <w:t>32,344.1468</w:t>
      </w:r>
      <w:r>
        <w:rPr>
          <w:rFonts w:ascii="Times New Roman" w:hAnsi="Times New Roman" w:cs="Times New Roman" w:eastAsia="Times New Roman" w:hint="default"/>
          <w:spacing w:val="-4"/>
        </w:rPr>
        <w:t> </w:t>
      </w:r>
      <w:r>
        <w:rPr/>
        <w:t>万股为基数，以资本公积向全体股东每</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股转增</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股，合计转增股数</w:t>
      </w:r>
    </w:p>
    <w:p>
      <w:pPr>
        <w:pStyle w:val="BodyText"/>
        <w:spacing w:line="240" w:lineRule="auto" w:before="64"/>
        <w:ind w:right="1048"/>
        <w:jc w:val="left"/>
      </w:pPr>
      <w:r>
        <w:rPr>
          <w:rFonts w:ascii="Times New Roman" w:hAnsi="Times New Roman" w:cs="Times New Roman" w:eastAsia="Times New Roman" w:hint="default"/>
        </w:rPr>
        <w:t>25,875.3174</w:t>
      </w:r>
      <w:r>
        <w:rPr>
          <w:rFonts w:ascii="Times New Roman" w:hAnsi="Times New Roman" w:cs="Times New Roman" w:eastAsia="Times New Roman" w:hint="default"/>
          <w:spacing w:val="-2"/>
        </w:rPr>
        <w:t> </w:t>
      </w:r>
      <w:r>
        <w:rPr/>
        <w:t>万股，转增后，公司总股本变更为</w:t>
      </w:r>
      <w:r>
        <w:rPr>
          <w:spacing w:val="-48"/>
        </w:rPr>
        <w:t> </w:t>
      </w:r>
      <w:r>
        <w:rPr>
          <w:rFonts w:ascii="Times New Roman" w:hAnsi="Times New Roman" w:cs="Times New Roman" w:eastAsia="Times New Roman" w:hint="default"/>
        </w:rPr>
        <w:t>58,219.4642</w:t>
      </w:r>
      <w:r>
        <w:rPr>
          <w:rFonts w:ascii="Times New Roman" w:hAnsi="Times New Roman" w:cs="Times New Roman" w:eastAsia="Times New Roman" w:hint="default"/>
          <w:spacing w:val="-2"/>
        </w:rPr>
        <w:t> </w:t>
      </w:r>
      <w:r>
        <w:rPr/>
        <w:t>万股。</w:t>
      </w:r>
    </w:p>
    <w:p>
      <w:pPr>
        <w:pStyle w:val="BodyText"/>
        <w:spacing w:line="319" w:lineRule="auto" w:before="101"/>
        <w:ind w:right="1029" w:firstLine="360"/>
        <w:jc w:val="left"/>
      </w:pPr>
      <w:r>
        <w:rPr/>
        <w:t>公司企业法人营业执照统一社会信用代码为</w:t>
      </w:r>
      <w:r>
        <w:rPr>
          <w:spacing w:val="-43"/>
        </w:rPr>
        <w:t> </w:t>
      </w:r>
      <w:r>
        <w:rPr>
          <w:rFonts w:ascii="Times New Roman" w:hAnsi="Times New Roman" w:cs="Times New Roman" w:eastAsia="Times New Roman" w:hint="default"/>
          <w:spacing w:val="-3"/>
        </w:rPr>
        <w:t>911100006336146947</w:t>
      </w:r>
      <w:r>
        <w:rPr>
          <w:spacing w:val="-3"/>
        </w:rPr>
        <w:t>，注册资本为</w:t>
      </w:r>
      <w:r>
        <w:rPr>
          <w:spacing w:val="-44"/>
        </w:rPr>
        <w:t> </w:t>
      </w:r>
      <w:r>
        <w:rPr>
          <w:rFonts w:ascii="Times New Roman" w:hAnsi="Times New Roman" w:cs="Times New Roman" w:eastAsia="Times New Roman" w:hint="default"/>
        </w:rPr>
        <w:t>58,219.4642</w:t>
      </w:r>
      <w:r>
        <w:rPr>
          <w:rFonts w:ascii="Times New Roman" w:hAnsi="Times New Roman" w:cs="Times New Roman" w:eastAsia="Times New Roman" w:hint="default"/>
          <w:spacing w:val="2"/>
        </w:rPr>
        <w:t> </w:t>
      </w:r>
      <w:r>
        <w:rPr>
          <w:spacing w:val="-5"/>
        </w:rPr>
        <w:t>万元，法定代表人为刘泽刚，</w:t>
      </w:r>
      <w:r>
        <w:rPr/>
        <w:t> 注册地址为北京市海淀区上地三街</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号（嘉华大厦）</w:t>
      </w:r>
      <w:r>
        <w:rPr>
          <w:rFonts w:ascii="Times New Roman" w:hAnsi="Times New Roman" w:cs="Times New Roman" w:eastAsia="Times New Roman" w:hint="default"/>
        </w:rPr>
        <w:t>D</w:t>
      </w:r>
      <w:r>
        <w:rPr>
          <w:rFonts w:ascii="Times New Roman" w:hAnsi="Times New Roman" w:cs="Times New Roman" w:eastAsia="Times New Roman" w:hint="default"/>
          <w:spacing w:val="-1"/>
        </w:rPr>
        <w:t> </w:t>
      </w:r>
      <w:r>
        <w:rPr/>
        <w:t>座</w:t>
      </w:r>
      <w:r>
        <w:rPr>
          <w:spacing w:val="-47"/>
        </w:rPr>
        <w:t> </w:t>
      </w:r>
      <w:r>
        <w:rPr>
          <w:rFonts w:ascii="Times New Roman" w:hAnsi="Times New Roman" w:cs="Times New Roman" w:eastAsia="Times New Roman" w:hint="default"/>
        </w:rPr>
        <w:t>1211</w:t>
      </w:r>
      <w:r>
        <w:rPr/>
        <w:t>、</w:t>
      </w:r>
      <w:r>
        <w:rPr>
          <w:rFonts w:ascii="Times New Roman" w:hAnsi="Times New Roman" w:cs="Times New Roman" w:eastAsia="Times New Roman" w:hint="default"/>
        </w:rPr>
        <w:t>1212</w:t>
      </w:r>
      <w:r>
        <w:rPr/>
        <w:t>，营业期限为</w:t>
      </w:r>
      <w:r>
        <w:rPr>
          <w:spacing w:val="-4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日至长期。 </w:t>
      </w:r>
      <w:r>
        <w:rPr>
          <w:spacing w:val="-2"/>
        </w:rPr>
        <w:t>本公司经批准的经营范围：技术咨询、技术开发、技术服务、技术推广、技术转让；专业承包；建设工程项目管理；销售电</w:t>
      </w:r>
      <w:r>
        <w:rPr>
          <w:spacing w:val="-67"/>
        </w:rPr>
        <w:t> </w:t>
      </w:r>
      <w:r>
        <w:rPr>
          <w:spacing w:val="-67"/>
        </w:rPr>
      </w:r>
      <w:r>
        <w:rPr>
          <w:spacing w:val="-2"/>
        </w:rPr>
        <w:t>子产品、机械设备、建筑材料、五金交电、化工产品（不含危险化学品及一类易制毒化学品）；货物进出口、代理进出口、</w:t>
      </w:r>
      <w:r>
        <w:rPr>
          <w:spacing w:val="-72"/>
        </w:rPr>
        <w:t> </w:t>
      </w:r>
      <w:r>
        <w:rPr>
          <w:spacing w:val="-72"/>
        </w:rPr>
      </w:r>
      <w:r>
        <w:rPr/>
        <w:t>技术进出口；机械设备维修</w:t>
      </w:r>
      <w:r>
        <w:rPr>
          <w:rFonts w:ascii="Times New Roman" w:hAnsi="Times New Roman" w:cs="Times New Roman" w:eastAsia="Times New Roman" w:hint="default"/>
        </w:rPr>
        <w:t>(</w:t>
      </w:r>
      <w:r>
        <w:rPr/>
        <w:t>不含汽车维修</w:t>
      </w:r>
      <w:r>
        <w:rPr>
          <w:rFonts w:ascii="Times New Roman" w:hAnsi="Times New Roman" w:cs="Times New Roman" w:eastAsia="Times New Roman" w:hint="default"/>
        </w:rPr>
        <w:t>)</w:t>
      </w:r>
      <w:r>
        <w:rPr/>
        <w:t>；产品设计；经济贸易咨询；生产电器设备。</w:t>
      </w:r>
    </w:p>
    <w:p>
      <w:pPr>
        <w:pStyle w:val="BodyText"/>
        <w:spacing w:line="309" w:lineRule="auto" w:before="35"/>
        <w:ind w:right="1032" w:firstLine="360"/>
        <w:jc w:val="left"/>
      </w:pPr>
      <w:r>
        <w:rPr/>
        <w:t>本公司是从事配电及控制设备制造及相关技术服务的高科技企业。公司主营业务面向国内电力网络、市政建设、铁路、 </w:t>
      </w:r>
      <w:r>
        <w:rPr>
          <w:spacing w:val="-2"/>
        </w:rPr>
        <w:t>城市轨道交通等诸多领域，生产和销售户外中高压（</w:t>
      </w:r>
      <w:r>
        <w:rPr>
          <w:rFonts w:ascii="Times New Roman" w:hAnsi="Times New Roman" w:cs="Times New Roman" w:eastAsia="Times New Roman" w:hint="default"/>
          <w:spacing w:val="-2"/>
        </w:rPr>
        <w:t>12</w:t>
      </w:r>
      <w:r>
        <w:rPr>
          <w:spacing w:val="-2"/>
        </w:rPr>
        <w:t>～</w:t>
      </w:r>
      <w:r>
        <w:rPr>
          <w:rFonts w:ascii="Times New Roman" w:hAnsi="Times New Roman" w:cs="Times New Roman" w:eastAsia="Times New Roman" w:hint="default"/>
          <w:spacing w:val="-2"/>
        </w:rPr>
        <w:t>40.5kV</w:t>
      </w:r>
      <w:r>
        <w:rPr>
          <w:spacing w:val="-2"/>
        </w:rPr>
        <w:t>）配电和控制设备，主要产品包括环网柜、柱上开关（户外</w:t>
      </w:r>
      <w:r>
        <w:rPr>
          <w:spacing w:val="-58"/>
        </w:rPr>
        <w:t> </w:t>
      </w:r>
      <w:r>
        <w:rPr>
          <w:spacing w:val="-58"/>
        </w:rPr>
      </w:r>
      <w:r>
        <w:rPr>
          <w:spacing w:val="-3"/>
        </w:rPr>
        <w:t>开关）、箱式变电站、变压器、其他开关类、电缆附件等，共计六大类二十个系列产品。</w:t>
      </w:r>
    </w:p>
    <w:p>
      <w:pPr>
        <w:pStyle w:val="BodyText"/>
        <w:spacing w:line="340" w:lineRule="auto" w:before="64"/>
        <w:ind w:left="514" w:right="3862" w:hanging="360"/>
        <w:jc w:val="left"/>
      </w:pPr>
      <w:r>
        <w:rPr/>
        <w:t>本财务报表已经本公司董事会于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日决议批准报出。 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及本附注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相关内容。</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048"/>
        <w:jc w:val="left"/>
        <w:rPr>
          <w:b w:val="0"/>
          <w:bCs w:val="0"/>
        </w:rPr>
      </w:pPr>
      <w:bookmarkStart w:name="四、财务报表的编制基础" w:id="162"/>
      <w:bookmarkEnd w:id="162"/>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8"/>
        <w:jc w:val="left"/>
        <w:rPr>
          <w:b w:val="0"/>
          <w:bCs w:val="0"/>
        </w:rPr>
      </w:pPr>
      <w:bookmarkStart w:name="1、编制基础" w:id="163"/>
      <w:bookmarkEnd w:id="163"/>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48" w:firstLine="360"/>
        <w:jc w:val="left"/>
      </w:pPr>
      <w:r>
        <w:rPr>
          <w:spacing w:val="-2"/>
        </w:rPr>
        <w:t>本财务报表以公司持续经营假设为基础，根据实际发生的交易事项，按照企业会计准则的有关规定，并基于以下所述重</w:t>
      </w:r>
      <w:r>
        <w:rPr/>
        <w:t> 要会计政策、会计估计进行编制。</w:t>
      </w:r>
    </w:p>
    <w:p>
      <w:pPr>
        <w:spacing w:line="240" w:lineRule="auto" w:before="3"/>
        <w:rPr>
          <w:rFonts w:ascii="宋体" w:hAnsi="宋体" w:cs="宋体" w:eastAsia="宋体" w:hint="default"/>
          <w:sz w:val="22"/>
          <w:szCs w:val="22"/>
        </w:rPr>
      </w:pPr>
    </w:p>
    <w:p>
      <w:pPr>
        <w:pStyle w:val="Heading3"/>
        <w:spacing w:line="240" w:lineRule="auto"/>
        <w:ind w:right="1048"/>
        <w:jc w:val="left"/>
        <w:rPr>
          <w:b w:val="0"/>
          <w:bCs w:val="0"/>
        </w:rPr>
      </w:pPr>
      <w:bookmarkStart w:name="2、持续经营" w:id="164"/>
      <w:bookmarkEnd w:id="164"/>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right="1124" w:firstLine="360"/>
        <w:jc w:val="left"/>
      </w:pPr>
      <w:r>
        <w:rPr/>
        <w:t>本公司对自报告期末起</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个月的持续经营能力进行了评估，未发现影响本公司持续经营能力的事项，本公司以持续经 营为基础编制财务报表是合理的。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2"/>
        <w:spacing w:line="240" w:lineRule="auto"/>
        <w:ind w:right="1048"/>
        <w:jc w:val="left"/>
        <w:rPr>
          <w:b w:val="0"/>
          <w:bCs w:val="0"/>
        </w:rPr>
      </w:pPr>
      <w:bookmarkStart w:name="五、重要会计政策及会计估计" w:id="165"/>
      <w:bookmarkEnd w:id="165"/>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57" w:lineRule="auto" w:before="28"/>
        <w:ind w:right="8117"/>
        <w:jc w:val="left"/>
      </w:pPr>
      <w:r>
        <w:rPr/>
        <w:t>具体会计政策和会计估计提示： 无</w:t>
      </w:r>
    </w:p>
    <w:p>
      <w:pPr>
        <w:spacing w:line="240" w:lineRule="auto" w:before="2"/>
        <w:rPr>
          <w:rFonts w:ascii="宋体" w:hAnsi="宋体" w:cs="宋体" w:eastAsia="宋体" w:hint="default"/>
          <w:sz w:val="20"/>
          <w:szCs w:val="20"/>
        </w:rPr>
      </w:pPr>
    </w:p>
    <w:p>
      <w:pPr>
        <w:pStyle w:val="Heading3"/>
        <w:spacing w:line="240" w:lineRule="auto"/>
        <w:ind w:right="1048"/>
        <w:jc w:val="left"/>
        <w:rPr>
          <w:b w:val="0"/>
          <w:bCs w:val="0"/>
        </w:rPr>
      </w:pPr>
      <w:bookmarkStart w:name="1、遵循企业会计准则的声明" w:id="166"/>
      <w:bookmarkEnd w:id="166"/>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8" w:firstLine="420"/>
        <w:jc w:val="left"/>
      </w:pPr>
      <w:r>
        <w:rPr/>
        <w:t>本公司基于上述编制基础编制的财务报表符合财政部已颁布的最新企业会计准则及其应用指南、解释以及其他相关规 定（统称“企业会计准则”）的要求，真实完整地反映了公司的财务状况、经营成果和现金流量等有关信息。</w:t>
      </w:r>
    </w:p>
    <w:p>
      <w:pPr>
        <w:pStyle w:val="BodyText"/>
        <w:spacing w:line="240" w:lineRule="auto" w:before="139"/>
        <w:ind w:left="574" w:right="0"/>
        <w:jc w:val="left"/>
      </w:pPr>
      <w:r>
        <w:rPr/>
        <w:t>此外，本财务报告编制参照了证监会发布的《公开发行证券的公司信息披露编报规则第</w:t>
      </w:r>
      <w:r>
        <w:rPr>
          <w:rFonts w:ascii="宋体" w:hAnsi="宋体" w:cs="宋体" w:eastAsia="宋体" w:hint="default"/>
        </w:rPr>
        <w:t>15</w:t>
      </w:r>
      <w:r>
        <w:rPr/>
        <w:t>号——财务报告的一般规定》</w:t>
      </w:r>
    </w:p>
    <w:p>
      <w:pPr>
        <w:pStyle w:val="BodyText"/>
        <w:spacing w:line="240" w:lineRule="auto" w:before="76"/>
        <w:ind w:right="0"/>
        <w:jc w:val="left"/>
      </w:pPr>
      <w:r>
        <w:rPr/>
        <w:t>（</w:t>
      </w:r>
      <w:r>
        <w:rPr>
          <w:rFonts w:ascii="宋体" w:hAnsi="宋体" w:cs="宋体" w:eastAsia="宋体" w:hint="default"/>
        </w:rPr>
        <w:t>2014</w:t>
      </w:r>
      <w:r>
        <w:rPr/>
        <w:t>年修订）以及《关于上市公司执行新企业会计准则有关事项的通知》（会计部函〔</w:t>
      </w:r>
      <w:r>
        <w:rPr>
          <w:rFonts w:ascii="宋体" w:hAnsi="宋体" w:cs="宋体" w:eastAsia="宋体" w:hint="default"/>
        </w:rPr>
        <w:t>2018</w:t>
      </w:r>
      <w:r>
        <w:rPr/>
        <w:t>〕</w:t>
      </w:r>
      <w:r>
        <w:rPr>
          <w:rFonts w:ascii="宋体" w:hAnsi="宋体" w:cs="宋体" w:eastAsia="宋体" w:hint="default"/>
        </w:rPr>
        <w:t>453</w:t>
      </w:r>
      <w:r>
        <w:rPr/>
        <w:t>号）的列报和披露要求。</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2、会计期间" w:id="167"/>
      <w:bookmarkEnd w:id="167"/>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1048"/>
        <w:jc w:val="left"/>
      </w:pPr>
      <w:r>
        <w:rPr/>
        <w:t>本公司的会计年度从公历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3、营业周期" w:id="168"/>
      <w:bookmarkEnd w:id="168"/>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1048"/>
        <w:jc w:val="left"/>
      </w:pPr>
      <w:r>
        <w:rPr/>
        <w:t>本公司的会计年度从公历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4、记账本位币" w:id="169"/>
      <w:bookmarkEnd w:id="169"/>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1048"/>
        <w:jc w:val="left"/>
      </w:pPr>
      <w:r>
        <w:rPr/>
        <w:t>本公司采用人民币作为记账本位币。</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5、同一控制下和非同一控制下企业合并的会计处理方法" w:id="170"/>
      <w:bookmarkEnd w:id="170"/>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420" w:lineRule="atLeast" w:before="176"/>
        <w:ind w:left="574" w:right="1048"/>
        <w:jc w:val="left"/>
      </w:pPr>
      <w:r>
        <w:rPr>
          <w:rFonts w:ascii="Times New Roman" w:hAnsi="Times New Roman" w:cs="Times New Roman" w:eastAsia="Times New Roman" w:hint="default"/>
        </w:rPr>
        <w:t>1.</w:t>
      </w:r>
      <w:r>
        <w:rPr/>
        <w:t>同一控制下企业合并的会计处理方法 本公司在一次交易取得或通过多次交易分步实现同一控制下企业合并，企业合并中取得的资产和负债，按照合并日被</w:t>
      </w:r>
    </w:p>
    <w:p>
      <w:pPr>
        <w:pStyle w:val="BodyText"/>
        <w:spacing w:line="240" w:lineRule="auto" w:before="76"/>
        <w:ind w:right="0"/>
        <w:jc w:val="left"/>
      </w:pPr>
      <w:r>
        <w:rPr/>
        <w:t>合并方在最终控制方合并财务报表中的的账面价值计量。本公司取得的净资产账面价值与支付的合并对价账面价值（或发行</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股份面值总额）的差额，调整资本公积；资本公积不足冲减的，调整留存收益。</w:t>
      </w:r>
    </w:p>
    <w:p>
      <w:pPr>
        <w:pStyle w:val="BodyText"/>
        <w:spacing w:line="420" w:lineRule="atLeast" w:before="25"/>
        <w:ind w:left="574" w:right="1048"/>
        <w:jc w:val="left"/>
      </w:pPr>
      <w:r>
        <w:rPr>
          <w:rFonts w:ascii="Times New Roman" w:hAnsi="Times New Roman" w:cs="Times New Roman" w:eastAsia="Times New Roman" w:hint="default"/>
        </w:rPr>
        <w:t>2.</w:t>
      </w:r>
      <w:r>
        <w:rPr/>
        <w:t>非同一控制下企业合并的会计处理方法 本公司在购买日对合并成本大于合并中取得的被购买方可辨认净资产公允价值份额的差额，确认为商誉；如果合并成</w:t>
      </w:r>
    </w:p>
    <w:p>
      <w:pPr>
        <w:pStyle w:val="BodyText"/>
        <w:spacing w:line="316" w:lineRule="auto" w:before="77"/>
        <w:ind w:right="1132"/>
        <w:jc w:val="both"/>
      </w:pPr>
      <w:r>
        <w:rPr>
          <w:spacing w:val="-2"/>
        </w:rPr>
        <w:t>本小于合并中取得的被购买方可辨认净资产公允价值份额，首先对取得的被购买方各项可辨认资产、负债及或有负债的公允</w:t>
      </w:r>
      <w:r>
        <w:rPr>
          <w:spacing w:val="-64"/>
        </w:rPr>
        <w:t> </w:t>
      </w:r>
      <w:r>
        <w:rPr>
          <w:spacing w:val="-64"/>
        </w:rPr>
      </w:r>
      <w:r>
        <w:rPr>
          <w:spacing w:val="-2"/>
        </w:rPr>
        <w:t>价值以及合并成本的计量进行复核，经复核后合并成本仍小于合并中取得的被购买方可辨认净资产公允价值份额的，其差额</w:t>
      </w:r>
      <w:r>
        <w:rPr>
          <w:spacing w:val="-64"/>
        </w:rPr>
        <w:t> </w:t>
      </w:r>
      <w:r>
        <w:rPr>
          <w:spacing w:val="-64"/>
        </w:rPr>
      </w:r>
      <w:r>
        <w:rPr/>
        <w:t>计入当期损益。</w:t>
      </w:r>
    </w:p>
    <w:p>
      <w:pPr>
        <w:pStyle w:val="BodyText"/>
        <w:spacing w:line="240" w:lineRule="auto" w:before="139"/>
        <w:ind w:left="574" w:right="1048"/>
        <w:jc w:val="left"/>
      </w:pPr>
      <w:r>
        <w:rPr/>
        <w:t>通过多次交易分步实现非同一控制下企业合并，应按以下顺序处理：</w:t>
      </w:r>
    </w:p>
    <w:p>
      <w:pPr>
        <w:spacing w:line="240" w:lineRule="auto" w:before="0"/>
        <w:rPr>
          <w:rFonts w:ascii="宋体" w:hAnsi="宋体" w:cs="宋体" w:eastAsia="宋体" w:hint="default"/>
          <w:sz w:val="15"/>
          <w:szCs w:val="15"/>
        </w:rPr>
      </w:pPr>
    </w:p>
    <w:p>
      <w:pPr>
        <w:pStyle w:val="BodyText"/>
        <w:spacing w:line="312" w:lineRule="auto"/>
        <w:ind w:right="1130" w:firstLine="420"/>
        <w:jc w:val="both"/>
      </w:pPr>
      <w:r>
        <w:rPr>
          <w:spacing w:val="-1"/>
        </w:rPr>
        <w:t>（</w:t>
      </w:r>
      <w:r>
        <w:rPr>
          <w:rFonts w:ascii="Times New Roman" w:hAnsi="Times New Roman" w:cs="Times New Roman" w:eastAsia="Times New Roman" w:hint="default"/>
          <w:spacing w:val="-1"/>
        </w:rPr>
        <w:t>1</w:t>
      </w:r>
      <w:r>
        <w:rPr>
          <w:spacing w:val="-1"/>
        </w:rPr>
        <w:t>）调整长期股权投资初始投资成本。购买日之前持有股权采用权益法核算的，按照该股权在购买日的公允价值进行</w:t>
      </w:r>
      <w:r>
        <w:rPr/>
        <w:t> </w:t>
      </w:r>
      <w:r>
        <w:rPr>
          <w:spacing w:val="-2"/>
        </w:rPr>
        <w:t>重新计量，公允价值与其账面价值的差额计入当期投资收益；购买日之前持有的被购买方的股权涉及权益法核算下的其他综</w:t>
      </w:r>
      <w:r>
        <w:rPr>
          <w:spacing w:val="-64"/>
        </w:rPr>
        <w:t> </w:t>
      </w:r>
      <w:r>
        <w:rPr>
          <w:spacing w:val="-64"/>
        </w:rPr>
      </w:r>
      <w:r>
        <w:rPr>
          <w:spacing w:val="-2"/>
        </w:rPr>
        <w:t>合收益、其他所有者权益变动的，转为购买日所属当期收益，由于被投资方重新计量设定受益计划净负债或净资产变动而产</w:t>
      </w:r>
      <w:r>
        <w:rPr>
          <w:spacing w:val="-66"/>
        </w:rPr>
        <w:t> </w:t>
      </w:r>
      <w:r>
        <w:rPr>
          <w:spacing w:val="-66"/>
        </w:rPr>
      </w:r>
      <w:r>
        <w:rPr/>
        <w:t>生的其他综合收益除外。</w:t>
      </w:r>
    </w:p>
    <w:p>
      <w:pPr>
        <w:pStyle w:val="BodyText"/>
        <w:spacing w:line="300" w:lineRule="auto" w:before="142"/>
        <w:ind w:right="1132" w:firstLine="420"/>
        <w:jc w:val="both"/>
      </w:pPr>
      <w:r>
        <w:rPr>
          <w:spacing w:val="-2"/>
        </w:rPr>
        <w:t>（</w:t>
      </w:r>
      <w:r>
        <w:rPr>
          <w:rFonts w:ascii="Times New Roman" w:hAnsi="Times New Roman" w:cs="Times New Roman" w:eastAsia="Times New Roman" w:hint="default"/>
          <w:spacing w:val="-2"/>
        </w:rPr>
        <w:t>2</w:t>
      </w:r>
      <w:r>
        <w:rPr>
          <w:spacing w:val="-2"/>
        </w:rPr>
        <w:t>）确认商誉（或计入当期损益的金额）。将第一步调整后长期股权投资初始投资成本与购买日应享有子公司可辨认</w:t>
      </w:r>
      <w:r>
        <w:rPr/>
        <w:t> 净资产公允价值份额比较，前者大于后者，差额确认为商誉；前者小于后者，差额计入当期损益。</w:t>
      </w:r>
    </w:p>
    <w:p>
      <w:pPr>
        <w:pStyle w:val="BodyText"/>
        <w:spacing w:line="240" w:lineRule="auto" w:before="151"/>
        <w:ind w:left="574" w:right="1048"/>
        <w:jc w:val="left"/>
      </w:pPr>
      <w:r>
        <w:rPr/>
        <w:t>通过多次交易分步处置股权至丧失对子公司控制权的情形</w:t>
      </w:r>
    </w:p>
    <w:p>
      <w:pPr>
        <w:pStyle w:val="BodyText"/>
        <w:spacing w:line="420" w:lineRule="atLeast" w:before="25"/>
        <w:ind w:left="574" w:right="1048"/>
        <w:jc w:val="left"/>
      </w:pPr>
      <w:r>
        <w:rPr/>
        <w:t>（</w:t>
      </w:r>
      <w:r>
        <w:rPr>
          <w:rFonts w:ascii="Times New Roman" w:hAnsi="Times New Roman" w:cs="Times New Roman" w:eastAsia="Times New Roman" w:hint="default"/>
        </w:rPr>
        <w:t>1</w:t>
      </w:r>
      <w:r>
        <w:rPr/>
        <w:t>）判断分步处置股权至丧失对子公司控制权过程中的各项交易是否属于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的原则 处置对子公司股权投资的各项交易的条款、条件以及经济影响符合以下一种或多种情况，通常表明应将多次交易事项</w:t>
      </w:r>
    </w:p>
    <w:p>
      <w:pPr>
        <w:pStyle w:val="BodyText"/>
        <w:spacing w:line="240" w:lineRule="auto" w:before="76"/>
        <w:ind w:right="0"/>
        <w:jc w:val="both"/>
      </w:pPr>
      <w:r>
        <w:rPr/>
        <w:t>作为一揽子交易进行会计处理：</w:t>
      </w:r>
    </w:p>
    <w:p>
      <w:pPr>
        <w:spacing w:line="240" w:lineRule="auto" w:before="0"/>
        <w:rPr>
          <w:rFonts w:ascii="宋体" w:hAnsi="宋体" w:cs="宋体" w:eastAsia="宋体" w:hint="default"/>
          <w:sz w:val="15"/>
          <w:szCs w:val="15"/>
        </w:rPr>
      </w:pPr>
    </w:p>
    <w:p>
      <w:pPr>
        <w:pStyle w:val="BodyText"/>
        <w:spacing w:line="240" w:lineRule="auto"/>
        <w:ind w:left="680" w:right="1048"/>
        <w:jc w:val="left"/>
      </w:pPr>
      <w:r>
        <w:rPr>
          <w:rFonts w:ascii="Times New Roman" w:hAnsi="Times New Roman" w:cs="Times New Roman" w:eastAsia="Times New Roman" w:hint="default"/>
        </w:rPr>
        <w:t>1</w:t>
      </w:r>
      <w:r>
        <w:rPr/>
        <w:t>）这些交易是同时或者在考虑了彼此影响的情况下订立的；</w:t>
      </w:r>
    </w:p>
    <w:p>
      <w:pPr>
        <w:spacing w:line="240" w:lineRule="auto" w:before="0"/>
        <w:rPr>
          <w:rFonts w:ascii="宋体" w:hAnsi="宋体" w:cs="宋体" w:eastAsia="宋体" w:hint="default"/>
          <w:sz w:val="14"/>
          <w:szCs w:val="14"/>
        </w:rPr>
      </w:pPr>
    </w:p>
    <w:p>
      <w:pPr>
        <w:pStyle w:val="BodyText"/>
        <w:spacing w:line="240" w:lineRule="auto"/>
        <w:ind w:left="680" w:right="1048"/>
        <w:jc w:val="left"/>
      </w:pPr>
      <w:r>
        <w:rPr>
          <w:rFonts w:ascii="Times New Roman" w:hAnsi="Times New Roman" w:cs="Times New Roman" w:eastAsia="Times New Roman" w:hint="default"/>
        </w:rPr>
        <w:t>2</w:t>
      </w:r>
      <w:r>
        <w:rPr/>
        <w:t>）这些交易整体才能达成一项完整的商业结果；</w:t>
      </w:r>
    </w:p>
    <w:p>
      <w:pPr>
        <w:spacing w:line="240" w:lineRule="auto" w:before="13"/>
        <w:rPr>
          <w:rFonts w:ascii="宋体" w:hAnsi="宋体" w:cs="宋体" w:eastAsia="宋体" w:hint="default"/>
          <w:sz w:val="13"/>
          <w:szCs w:val="13"/>
        </w:rPr>
      </w:pPr>
    </w:p>
    <w:p>
      <w:pPr>
        <w:pStyle w:val="BodyText"/>
        <w:spacing w:line="240" w:lineRule="auto"/>
        <w:ind w:left="680" w:right="1048"/>
        <w:jc w:val="left"/>
      </w:pPr>
      <w:r>
        <w:rPr>
          <w:rFonts w:ascii="Times New Roman" w:hAnsi="Times New Roman" w:cs="Times New Roman" w:eastAsia="Times New Roman" w:hint="default"/>
        </w:rPr>
        <w:t>3</w:t>
      </w:r>
      <w:r>
        <w:rPr/>
        <w:t>）一项交易的发生取决于其他至少一项交易的发生；</w:t>
      </w:r>
    </w:p>
    <w:p>
      <w:pPr>
        <w:spacing w:line="240" w:lineRule="auto" w:before="13"/>
        <w:rPr>
          <w:rFonts w:ascii="宋体" w:hAnsi="宋体" w:cs="宋体" w:eastAsia="宋体" w:hint="default"/>
          <w:sz w:val="13"/>
          <w:szCs w:val="13"/>
        </w:rPr>
      </w:pPr>
    </w:p>
    <w:p>
      <w:pPr>
        <w:pStyle w:val="BodyText"/>
        <w:spacing w:line="240" w:lineRule="auto"/>
        <w:ind w:left="680" w:right="1048"/>
        <w:jc w:val="left"/>
      </w:pPr>
      <w:r>
        <w:rPr>
          <w:rFonts w:ascii="Times New Roman" w:hAnsi="Times New Roman" w:cs="Times New Roman" w:eastAsia="Times New Roman" w:hint="default"/>
        </w:rPr>
        <w:t>4</w:t>
      </w:r>
      <w:r>
        <w:rPr/>
        <w:t>）一项交易单独看是不经济的，但是和其他交易一并考虑时是经济的。</w:t>
      </w:r>
    </w:p>
    <w:p>
      <w:pPr>
        <w:pStyle w:val="BodyText"/>
        <w:spacing w:line="420" w:lineRule="atLeast" w:before="12"/>
        <w:ind w:left="574" w:right="1048"/>
        <w:jc w:val="left"/>
      </w:pPr>
      <w:r>
        <w:rPr/>
        <w:t>（</w:t>
      </w:r>
      <w:r>
        <w:rPr>
          <w:rFonts w:ascii="Times New Roman" w:hAnsi="Times New Roman" w:cs="Times New Roman" w:eastAsia="Times New Roman" w:hint="default"/>
        </w:rPr>
        <w:t>2</w:t>
      </w:r>
      <w:r>
        <w:rPr/>
        <w:t>）分步处置股权至丧失对子公司控制权过程中的各项交易属于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 处置对子公司股权投资直至丧失控制权的各项交易属于一揽子交易的，应当将各项交易作为一项处置子公司并丧失控</w:t>
      </w:r>
    </w:p>
    <w:p>
      <w:pPr>
        <w:pStyle w:val="BodyText"/>
        <w:spacing w:line="316" w:lineRule="auto" w:before="76"/>
        <w:ind w:right="1133"/>
        <w:jc w:val="both"/>
      </w:pP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合并财务报表中应当确认为其他综合收益，在丧失控制权时一并转入丧失控制权当期的损益。</w:t>
      </w:r>
    </w:p>
    <w:p>
      <w:pPr>
        <w:pStyle w:val="BodyText"/>
        <w:spacing w:line="316" w:lineRule="auto" w:before="139"/>
        <w:ind w:right="1130" w:firstLine="420"/>
        <w:jc w:val="both"/>
      </w:pPr>
      <w:r>
        <w:rPr/>
        <w:t>在合并财务报表中，对于剩余股权，应当按照其在丧失控制权日的公允价值进行重新计量。处置股权取得的对价与剩 </w:t>
      </w:r>
      <w:r>
        <w:rPr>
          <w:spacing w:val="-2"/>
        </w:rPr>
        <w:t>余股权公允价值之和，减去按原持股比例计算应享有原子公司自购买日开始持续计算的净资产的份额之间的差额，计入丧失</w:t>
      </w:r>
      <w:r>
        <w:rPr>
          <w:spacing w:val="-64"/>
        </w:rPr>
        <w:t> </w:t>
      </w:r>
      <w:r>
        <w:rPr>
          <w:spacing w:val="-64"/>
        </w:rPr>
      </w:r>
      <w:r>
        <w:rPr/>
        <w:t>控制权当期的投资收益。与原子公司股权投资相关的其他综合收益，应当在丧失控制权时转为当期投资收益。</w:t>
      </w:r>
    </w:p>
    <w:p>
      <w:pPr>
        <w:pStyle w:val="BodyText"/>
        <w:spacing w:line="432" w:lineRule="exact" w:before="3"/>
        <w:ind w:left="574" w:right="1048"/>
        <w:jc w:val="left"/>
      </w:pPr>
      <w:r>
        <w:rPr/>
        <w:t>（</w:t>
      </w:r>
      <w:r>
        <w:rPr>
          <w:rFonts w:ascii="Times New Roman" w:hAnsi="Times New Roman" w:cs="Times New Roman" w:eastAsia="Times New Roman" w:hint="default"/>
        </w:rPr>
        <w:t>3</w:t>
      </w:r>
      <w:r>
        <w:rPr/>
        <w:t>）分步处置股权至丧失对子公司控制权过程中的各项交易不属于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 处置对子公司的投资未丧失控制权的，合并财务报表中处置价款与处置投资对应的享有该子公司净资产份额的差额计</w:t>
      </w:r>
    </w:p>
    <w:p>
      <w:pPr>
        <w:pStyle w:val="BodyText"/>
        <w:spacing w:line="240" w:lineRule="auto" w:before="15"/>
        <w:ind w:right="0"/>
        <w:jc w:val="both"/>
      </w:pPr>
      <w:r>
        <w:rPr/>
        <w:t>入资本公积（资本溢价或股本溢价），资本溢价不足冲减的，应当调整留存收益。</w:t>
      </w:r>
    </w:p>
    <w:p>
      <w:pPr>
        <w:spacing w:line="240" w:lineRule="auto" w:before="0"/>
        <w:rPr>
          <w:rFonts w:ascii="宋体" w:hAnsi="宋体" w:cs="宋体" w:eastAsia="宋体" w:hint="default"/>
          <w:sz w:val="15"/>
          <w:szCs w:val="15"/>
        </w:rPr>
      </w:pPr>
    </w:p>
    <w:p>
      <w:pPr>
        <w:pStyle w:val="BodyText"/>
        <w:spacing w:line="319" w:lineRule="auto"/>
        <w:ind w:right="1132"/>
        <w:jc w:val="both"/>
      </w:pPr>
      <w:r>
        <w:rPr>
          <w:spacing w:val="-2"/>
        </w:rPr>
        <w:t>处置对子公司的投资丧失控制权的，在合并财务报表中，对于剩余股权，应当按照其在丧失控制权日的公允价值进行重新计</w:t>
      </w:r>
      <w:r>
        <w:rPr>
          <w:spacing w:val="-66"/>
        </w:rPr>
        <w:t> </w:t>
      </w:r>
      <w:r>
        <w:rPr>
          <w:spacing w:val="-66"/>
        </w:rPr>
      </w:r>
      <w:r>
        <w:rPr>
          <w:spacing w:val="-2"/>
        </w:rPr>
        <w:t>量。处置股权取得的对价与剩余股权公允价值之和，减去按原持股比例计算应享有原有子公司自购买日开始持续计算的净资</w:t>
      </w:r>
      <w:r>
        <w:rPr>
          <w:spacing w:val="-64"/>
        </w:rPr>
        <w:t> </w:t>
      </w:r>
      <w:r>
        <w:rPr>
          <w:spacing w:val="-64"/>
        </w:rPr>
      </w:r>
      <w:r>
        <w:rPr>
          <w:spacing w:val="-2"/>
        </w:rPr>
        <w:t>产的份额之间的差额，计入丧失控制权当期的投资收益。与原有子公司股权投资相关的其他综合收益，应当在丧失控制权时</w:t>
      </w:r>
      <w:r>
        <w:rPr>
          <w:spacing w:val="-66"/>
        </w:rPr>
        <w:t> </w:t>
      </w:r>
      <w:r>
        <w:rPr>
          <w:spacing w:val="-66"/>
        </w:rPr>
      </w:r>
      <w:r>
        <w:rPr/>
        <w:t>转为当期投资收益。</w:t>
      </w:r>
    </w:p>
    <w:p>
      <w:pPr>
        <w:spacing w:after="0" w:line="31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6、合并财务报表的编制方法" w:id="171"/>
      <w:bookmarkEnd w:id="171"/>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firstLine="420"/>
        <w:jc w:val="both"/>
      </w:pPr>
      <w:r>
        <w:rPr/>
        <w:t>合并财务报表以母公司及其子公司的财务报表为基础，根据其他有关资料，由本公司按照《企业会计准则第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 </w:t>
      </w:r>
      <w:r>
        <w:rPr/>
        <w:t>合并财务报表》编制。</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bookmarkStart w:name="7、合营安排分类及共同经营会计处理方法" w:id="172"/>
      <w:bookmarkEnd w:id="172"/>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8、现金及现金等价物的确定标准" w:id="173"/>
      <w:bookmarkEnd w:id="173"/>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3" w:firstLine="420"/>
        <w:jc w:val="both"/>
      </w:pPr>
      <w:r>
        <w:rPr/>
        <w:t>现金流量表的现金指企业库存现金及可以随时用于支付的存款。现金等价物指持有的期限短（一般是指从购买日起三 个月内到期）、流动性强、易于转换为已知金额现金、价值变动风险很小的投资。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9、外币业务和外币报表折算" w:id="174"/>
      <w:bookmarkEnd w:id="174"/>
      <w:r>
        <w:rPr>
          <w:b w:val="0"/>
          <w:bCs w:val="0"/>
        </w:rPr>
      </w:r>
      <w:r>
        <w:rPr>
          <w:rFonts w:ascii="Times New Roman" w:hAnsi="Times New Roman" w:cs="Times New Roman" w:eastAsia="Times New Roman" w:hint="default"/>
        </w:rPr>
        <w:t>9</w:t>
      </w:r>
      <w:r>
        <w:rPr/>
        <w:t>、外币业务和外币报表折算</w:t>
      </w:r>
      <w:r>
        <w:rPr>
          <w:b w:val="0"/>
          <w:bCs w:val="0"/>
        </w:rPr>
      </w:r>
    </w:p>
    <w:p>
      <w:pPr>
        <w:pStyle w:val="BodyText"/>
        <w:spacing w:line="420" w:lineRule="atLeast" w:before="176"/>
        <w:ind w:left="574" w:right="1048"/>
        <w:jc w:val="left"/>
      </w:pPr>
      <w:r>
        <w:rPr>
          <w:rFonts w:ascii="Times New Roman" w:hAnsi="Times New Roman" w:cs="Times New Roman" w:eastAsia="Times New Roman" w:hint="default"/>
        </w:rPr>
        <w:t>1.</w:t>
      </w:r>
      <w:r>
        <w:rPr/>
        <w:t>外币业务折算 外币交易在初始确认时，采用交易发生日的即期汇率折算为人民币金额。资产负债表日，外币货币性项目采用资产负</w:t>
      </w:r>
    </w:p>
    <w:p>
      <w:pPr>
        <w:pStyle w:val="BodyText"/>
        <w:spacing w:line="316" w:lineRule="auto" w:before="76"/>
        <w:ind w:right="1131"/>
        <w:jc w:val="both"/>
      </w:pPr>
      <w:r>
        <w:rPr>
          <w:spacing w:val="-2"/>
        </w:rPr>
        <w:t>债表日即期汇率折算，因汇率不同而产生的汇兑差额，除与购建符合资本化条件资产有关的外币专门借款本金及利息的汇兑</w:t>
      </w:r>
      <w:r>
        <w:rPr>
          <w:spacing w:val="-64"/>
        </w:rPr>
        <w:t> </w:t>
      </w:r>
      <w:r>
        <w:rPr>
          <w:spacing w:val="-64"/>
        </w:rPr>
      </w:r>
      <w:r>
        <w:rPr>
          <w:spacing w:val="-2"/>
        </w:rPr>
        <w:t>差额外，计入当期损益；以历史成本计量的外币非货币性项目仍采用交易发生日的即期汇率折算，不改变其人民币金额；以</w:t>
      </w:r>
      <w:r>
        <w:rPr>
          <w:spacing w:val="-66"/>
        </w:rPr>
        <w:t> </w:t>
      </w:r>
      <w:r>
        <w:rPr>
          <w:spacing w:val="-66"/>
        </w:rPr>
      </w:r>
      <w:r>
        <w:rPr/>
        <w:t>公允价值计量的外币非货币性项目，采用公允价值确定日的即期汇率折算，差额计入当期损益或其他综合收益。</w:t>
      </w:r>
    </w:p>
    <w:p>
      <w:pPr>
        <w:pStyle w:val="BodyText"/>
        <w:spacing w:line="432" w:lineRule="exact" w:before="3"/>
        <w:ind w:left="574" w:right="1048"/>
        <w:jc w:val="left"/>
      </w:pPr>
      <w:r>
        <w:rPr>
          <w:rFonts w:ascii="Times New Roman" w:hAnsi="Times New Roman" w:cs="Times New Roman" w:eastAsia="Times New Roman" w:hint="default"/>
        </w:rPr>
        <w:t>2.</w:t>
      </w:r>
      <w:r>
        <w:rPr/>
        <w:t>外币财务报表折算 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w:t>
      </w:r>
    </w:p>
    <w:p>
      <w:pPr>
        <w:pStyle w:val="BodyText"/>
        <w:spacing w:line="300" w:lineRule="auto" w:before="15"/>
        <w:ind w:right="1048"/>
        <w:jc w:val="left"/>
      </w:pPr>
      <w:r>
        <w:rPr/>
        <w:t>项目采用交易发生日的即期汇率折算；利润表中的收入和费用项目，采用交易发生日的即期汇率</w:t>
      </w:r>
      <w:r>
        <w:rPr>
          <w:rFonts w:ascii="Times New Roman" w:hAnsi="Times New Roman" w:cs="Times New Roman" w:eastAsia="Times New Roman" w:hint="default"/>
        </w:rPr>
        <w:t>/</w:t>
      </w:r>
      <w:r>
        <w:rPr/>
        <w:t>交易发生日即期汇率的近</w:t>
      </w:r>
      <w:r>
        <w:rPr>
          <w:spacing w:val="-45"/>
        </w:rPr>
        <w:t> </w:t>
      </w:r>
      <w:r>
        <w:rPr>
          <w:spacing w:val="-45"/>
        </w:rPr>
      </w:r>
      <w:r>
        <w:rPr/>
        <w:t>似汇率折算。按照上述折算产生的外币财务报表折算差额，确认为其他综合收益。</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bookmarkStart w:name="10、金融工具" w:id="175"/>
      <w:bookmarkEnd w:id="175"/>
      <w:r>
        <w:rPr>
          <w:b w:val="0"/>
          <w:bCs w:val="0"/>
        </w:rPr>
      </w:r>
      <w:r>
        <w:rPr>
          <w:rFonts w:ascii="Times New Roman" w:hAnsi="Times New Roman" w:cs="Times New Roman" w:eastAsia="Times New Roman" w:hint="default"/>
        </w:rPr>
        <w:t>10</w:t>
      </w:r>
      <w:r>
        <w:rPr/>
        <w:t>、金融工具</w:t>
      </w:r>
      <w:r>
        <w:rPr>
          <w:b w:val="0"/>
          <w:bCs w:val="0"/>
        </w:rPr>
      </w:r>
    </w:p>
    <w:p>
      <w:pPr>
        <w:pStyle w:val="BodyText"/>
        <w:spacing w:line="430" w:lineRule="atLeast" w:before="152"/>
        <w:ind w:left="574" w:right="1048"/>
        <w:jc w:val="left"/>
      </w:pPr>
      <w:r>
        <w:rPr>
          <w:rFonts w:ascii="宋体" w:hAnsi="宋体" w:cs="宋体" w:eastAsia="宋体" w:hint="default"/>
        </w:rPr>
        <w:t>1.</w:t>
      </w:r>
      <w:r>
        <w:rPr/>
        <w:t>金融资产和金融负债的分类 金融资产在初始确认时划分为以下四类：以公允价值计量且其变动计入当期损益的金融资产（包括交易性金融资产和</w:t>
      </w:r>
    </w:p>
    <w:p>
      <w:pPr>
        <w:pStyle w:val="BodyText"/>
        <w:spacing w:line="240" w:lineRule="auto" w:before="76"/>
        <w:ind w:right="0"/>
        <w:jc w:val="both"/>
      </w:pPr>
      <w:r>
        <w:rPr/>
        <w:t>指定为以公允价值计量且其变动计入当期损益的金融资产）、持有至到期投资、贷款和应收款项、可供出售金融资产。</w:t>
      </w:r>
    </w:p>
    <w:p>
      <w:pPr>
        <w:spacing w:line="240" w:lineRule="auto" w:before="0"/>
        <w:rPr>
          <w:rFonts w:ascii="宋体" w:hAnsi="宋体" w:cs="宋体" w:eastAsia="宋体" w:hint="default"/>
          <w:sz w:val="15"/>
          <w:szCs w:val="15"/>
        </w:rPr>
      </w:pPr>
    </w:p>
    <w:p>
      <w:pPr>
        <w:pStyle w:val="BodyText"/>
        <w:spacing w:line="316" w:lineRule="auto"/>
        <w:ind w:right="1133" w:firstLine="420"/>
        <w:jc w:val="both"/>
      </w:pPr>
      <w:r>
        <w:rPr/>
        <w:t>金融负债在初始确认时划分为以下两类：以公允价值计量且其变动计入当期损益的金融负债（包括交易性金融负债和 指定为以公允价值计量且其变动计入当期损益的金融负债）、其他金融负债。</w:t>
      </w:r>
    </w:p>
    <w:p>
      <w:pPr>
        <w:pStyle w:val="BodyText"/>
        <w:spacing w:line="432" w:lineRule="exact" w:before="3"/>
        <w:ind w:left="574" w:right="1048"/>
        <w:jc w:val="left"/>
      </w:pPr>
      <w:r>
        <w:rPr>
          <w:rFonts w:ascii="宋体" w:hAnsi="宋体" w:cs="宋体" w:eastAsia="宋体" w:hint="default"/>
        </w:rPr>
        <w:t>2.</w:t>
      </w:r>
      <w:r>
        <w:rPr/>
        <w:t>金融资产和金融负债的确认依据、计量方法和终止确认条件 本公司成为金融工具合同的一方时，确认一项金融资产或金融负债。初始确认金融资产或金融负债时，按照公允价值</w:t>
      </w:r>
    </w:p>
    <w:p>
      <w:pPr>
        <w:pStyle w:val="BodyText"/>
        <w:spacing w:line="316" w:lineRule="auto" w:before="15"/>
        <w:ind w:right="1048"/>
        <w:jc w:val="left"/>
      </w:pPr>
      <w:r>
        <w:rPr>
          <w:spacing w:val="-2"/>
        </w:rPr>
        <w:t>计量；对于以公允价值计量且其变动计入当期损益的金融资产和金融负债，相关交易费用直接计入当期损益；对于其他类别</w:t>
      </w:r>
      <w:r>
        <w:rPr>
          <w:spacing w:val="-66"/>
        </w:rPr>
        <w:t> </w:t>
      </w:r>
      <w:r>
        <w:rPr>
          <w:spacing w:val="-66"/>
        </w:rPr>
      </w:r>
      <w:r>
        <w:rPr/>
        <w:t>的金融资产或金融负债，相关交易费用计入初始确认金额。</w:t>
      </w:r>
    </w:p>
    <w:p>
      <w:pPr>
        <w:pStyle w:val="BodyText"/>
        <w:spacing w:line="316" w:lineRule="auto" w:before="139"/>
        <w:ind w:right="1132" w:firstLine="420"/>
        <w:jc w:val="both"/>
      </w:pPr>
      <w:r>
        <w:rPr/>
        <w:t>本公司按照公允价值对金融资产进行后续计量，且不扣除将来处置该金融资产时可能发生的交易费用，但下列情况除 </w:t>
      </w:r>
      <w:r>
        <w:rPr>
          <w:spacing w:val="-2"/>
        </w:rPr>
        <w:t>外：（</w:t>
      </w:r>
      <w:r>
        <w:rPr>
          <w:rFonts w:ascii="宋体" w:hAnsi="宋体" w:cs="宋体" w:eastAsia="宋体" w:hint="default"/>
          <w:spacing w:val="-2"/>
        </w:rPr>
        <w:t>1</w:t>
      </w:r>
      <w:r>
        <w:rPr>
          <w:spacing w:val="-2"/>
        </w:rPr>
        <w:t>）持有至到期投资以及贷款和应收款项采用实际利率法，按摊余成本计量；（</w:t>
      </w:r>
      <w:r>
        <w:rPr>
          <w:rFonts w:ascii="宋体" w:hAnsi="宋体" w:cs="宋体" w:eastAsia="宋体" w:hint="default"/>
          <w:spacing w:val="-2"/>
        </w:rPr>
        <w:t>2</w:t>
      </w:r>
      <w:r>
        <w:rPr>
          <w:spacing w:val="-2"/>
        </w:rPr>
        <w:t>）在活跃市场中没有报价且其公允价</w:t>
      </w:r>
      <w:r>
        <w:rPr>
          <w:spacing w:val="-66"/>
        </w:rPr>
        <w:t> </w:t>
      </w:r>
      <w:r>
        <w:rPr>
          <w:spacing w:val="-66"/>
        </w:rPr>
      </w:r>
      <w:r>
        <w:rPr/>
        <w:t>值不能可靠计量的权益工具投资，以及与该权益工具挂钩并须通过交付该权益工具结算的衍生金融资产，按照成本计量。</w:t>
      </w:r>
    </w:p>
    <w:p>
      <w:pPr>
        <w:pStyle w:val="BodyText"/>
        <w:spacing w:line="240" w:lineRule="auto" w:before="139"/>
        <w:ind w:left="574" w:right="0"/>
        <w:jc w:val="left"/>
      </w:pPr>
      <w:r>
        <w:rPr/>
        <w:t>本公司采用实际利率法，按摊余成本对金融负债进行后续计量，但下列情况除外：（</w:t>
      </w:r>
      <w:r>
        <w:rPr>
          <w:rFonts w:ascii="宋体" w:hAnsi="宋体" w:cs="宋体" w:eastAsia="宋体" w:hint="default"/>
        </w:rPr>
        <w:t>1</w:t>
      </w:r>
      <w:r>
        <w:rPr/>
        <w:t>）以公允价值计量且其变动计入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29"/>
        <w:jc w:val="both"/>
      </w:pPr>
      <w:r>
        <w:rPr/>
        <w:t>当期损益的金融负债，按照公允价值计量，且不扣除将来结清金融负债时可能发生的交易费用；（</w:t>
      </w:r>
      <w:r>
        <w:rPr>
          <w:rFonts w:ascii="宋体" w:hAnsi="宋体" w:cs="宋体" w:eastAsia="宋体" w:hint="default"/>
        </w:rPr>
        <w:t>2</w:t>
      </w:r>
      <w:r>
        <w:rPr/>
        <w:t>）与在活跃市场中没有</w:t>
      </w:r>
      <w:r>
        <w:rPr>
          <w:spacing w:val="-81"/>
        </w:rPr>
        <w:t> </w:t>
      </w:r>
      <w:r>
        <w:rPr>
          <w:spacing w:val="-81"/>
        </w:rPr>
      </w:r>
      <w:r>
        <w:rPr/>
        <w:t>报价、公允价值不能可靠计量的权益工具挂钩并须通过交付该权益工具结算的衍生金融负债，按照成本计量；（</w:t>
      </w:r>
      <w:r>
        <w:rPr>
          <w:rFonts w:ascii="宋体" w:hAnsi="宋体" w:cs="宋体" w:eastAsia="宋体" w:hint="default"/>
        </w:rPr>
        <w:t>3</w:t>
      </w:r>
      <w:r>
        <w:rPr/>
        <w:t>）不属于</w:t>
      </w:r>
      <w:r>
        <w:rPr>
          <w:spacing w:val="-83"/>
        </w:rPr>
        <w:t> </w:t>
      </w:r>
      <w:r>
        <w:rPr>
          <w:spacing w:val="-83"/>
        </w:rPr>
      </w:r>
      <w:r>
        <w:rPr>
          <w:spacing w:val="-2"/>
        </w:rPr>
        <w:t>指定为以公允价值计量且其变动计入当期损益的金融负债的财务担保合同，或没有指定为以公允价值计量且其变动计入当期</w:t>
      </w:r>
      <w:r>
        <w:rPr>
          <w:spacing w:val="-64"/>
        </w:rPr>
        <w:t> </w:t>
      </w:r>
      <w:r>
        <w:rPr>
          <w:spacing w:val="-64"/>
        </w:rPr>
      </w:r>
      <w:r>
        <w:rPr/>
        <w:t>损益并将以低于市场利率贷款的贷款承诺，在初始确认后按照下列两项金额之中的较高者进行后续计量：（</w:t>
      </w:r>
      <w:r>
        <w:rPr>
          <w:rFonts w:ascii="宋体" w:hAnsi="宋体" w:cs="宋体" w:eastAsia="宋体" w:hint="default"/>
        </w:rPr>
        <w:t>1</w:t>
      </w:r>
      <w:r>
        <w:rPr/>
        <w:t>）按照《企业</w:t>
      </w:r>
      <w:r>
        <w:rPr>
          <w:spacing w:val="-82"/>
        </w:rPr>
        <w:t> </w:t>
      </w:r>
      <w:r>
        <w:rPr>
          <w:spacing w:val="-82"/>
        </w:rPr>
      </w:r>
      <w:r>
        <w:rPr/>
        <w:t>会计准则第</w:t>
      </w:r>
      <w:r>
        <w:rPr>
          <w:rFonts w:ascii="宋体" w:hAnsi="宋体" w:cs="宋体" w:eastAsia="宋体" w:hint="default"/>
        </w:rPr>
        <w:t>13</w:t>
      </w:r>
      <w:r>
        <w:rPr/>
        <w:t>号——或有事项》确定的金额；（</w:t>
      </w:r>
      <w:r>
        <w:rPr>
          <w:rFonts w:ascii="宋体" w:hAnsi="宋体" w:cs="宋体" w:eastAsia="宋体" w:hint="default"/>
        </w:rPr>
        <w:t>2</w:t>
      </w:r>
      <w:r>
        <w:rPr/>
        <w:t>）初始确认金额扣除按照《企业会计准则第</w:t>
      </w:r>
      <w:r>
        <w:rPr>
          <w:rFonts w:ascii="宋体" w:hAnsi="宋体" w:cs="宋体" w:eastAsia="宋体" w:hint="default"/>
        </w:rPr>
        <w:t>14</w:t>
      </w:r>
      <w:r>
        <w:rPr/>
        <w:t>号——收入》的原则确定的</w:t>
      </w:r>
      <w:r>
        <w:rPr>
          <w:spacing w:val="-83"/>
        </w:rPr>
        <w:t> </w:t>
      </w:r>
      <w:r>
        <w:rPr>
          <w:spacing w:val="-83"/>
        </w:rPr>
      </w:r>
      <w:r>
        <w:rPr/>
        <w:t>累积摊销额后的余额。</w:t>
      </w:r>
    </w:p>
    <w:p>
      <w:pPr>
        <w:pStyle w:val="BodyText"/>
        <w:spacing w:line="316" w:lineRule="auto" w:before="139"/>
        <w:ind w:right="1130" w:firstLine="420"/>
        <w:jc w:val="both"/>
      </w:pPr>
      <w:r>
        <w:rPr>
          <w:spacing w:val="-1"/>
        </w:rPr>
        <w:t>金融资产或金融负债公允价值变动形成的利得或损失，除与套期保值有关外，按照如下方法处理：（</w:t>
      </w:r>
      <w:r>
        <w:rPr>
          <w:rFonts w:ascii="宋体" w:hAnsi="宋体" w:cs="宋体" w:eastAsia="宋体" w:hint="default"/>
          <w:spacing w:val="-1"/>
        </w:rPr>
        <w:t>1</w:t>
      </w:r>
      <w:r>
        <w:rPr>
          <w:spacing w:val="-1"/>
        </w:rPr>
        <w:t>）以公允价值计</w:t>
      </w:r>
      <w:r>
        <w:rPr/>
        <w:t> </w:t>
      </w:r>
      <w:r>
        <w:rPr>
          <w:spacing w:val="-2"/>
        </w:rPr>
        <w:t>量且其变动计入当期损益的金融资产或金融负债公允价值变动形成的利得或损失，计入公允价值变动损益；在资产持有期间</w:t>
      </w:r>
      <w:r>
        <w:rPr>
          <w:spacing w:val="-64"/>
        </w:rPr>
        <w:t> </w:t>
      </w:r>
      <w:r>
        <w:rPr>
          <w:spacing w:val="-64"/>
        </w:rPr>
      </w:r>
      <w:r>
        <w:rPr>
          <w:spacing w:val="-2"/>
        </w:rPr>
        <w:t>所取得的利息或现金股利，确认为投资收益；处置时，将实际收到的金额与初始入账金额之间的差额确认为投资收益，同时</w:t>
      </w:r>
      <w:r>
        <w:rPr>
          <w:spacing w:val="-66"/>
        </w:rPr>
        <w:t> </w:t>
      </w:r>
      <w:r>
        <w:rPr>
          <w:spacing w:val="-66"/>
        </w:rPr>
      </w:r>
      <w:r>
        <w:rPr/>
        <w:t>调整公允价值变动损益。（</w:t>
      </w:r>
      <w:r>
        <w:rPr>
          <w:rFonts w:ascii="宋体" w:hAnsi="宋体" w:cs="宋体" w:eastAsia="宋体" w:hint="default"/>
        </w:rPr>
        <w:t>2</w:t>
      </w:r>
      <w:r>
        <w:rPr/>
        <w:t>）可供出售金融资产的公允价值变动计入其他综合收益；持有期间按实际利率法计算的利息，</w:t>
      </w:r>
      <w:r>
        <w:rPr>
          <w:spacing w:val="-83"/>
        </w:rPr>
        <w:t> </w:t>
      </w:r>
      <w:r>
        <w:rPr>
          <w:spacing w:val="-83"/>
        </w:rPr>
      </w:r>
      <w:r>
        <w:rPr>
          <w:spacing w:val="-2"/>
        </w:rPr>
        <w:t>计入投资收益；可供出售权益工具投资的现金股利，于被投资单位宣告发放股利时计入投资收益；处置时，将实际收到的金</w:t>
      </w:r>
      <w:r>
        <w:rPr>
          <w:spacing w:val="-66"/>
        </w:rPr>
        <w:t> </w:t>
      </w:r>
      <w:r>
        <w:rPr>
          <w:spacing w:val="-66"/>
        </w:rPr>
      </w:r>
      <w:r>
        <w:rPr/>
        <w:t>额与账面价值扣除原直接计入其他综合收益的公允价值变动累计额之后的差额确认为投资收益。</w:t>
      </w:r>
    </w:p>
    <w:p>
      <w:pPr>
        <w:pStyle w:val="BodyText"/>
        <w:spacing w:line="316" w:lineRule="auto" w:before="139"/>
        <w:ind w:right="1133" w:firstLine="420"/>
        <w:jc w:val="both"/>
      </w:pPr>
      <w:r>
        <w:rPr/>
        <w:t>当收取某项金融资产现金流量的合同权利已终止或该金融资产所有权上几乎所有的风险和报酬已转移时，终止确认该 金融资产；当金融负债的现时义务全部或部分解除时，相应终止确认该金融负债或其一部分。</w:t>
      </w:r>
    </w:p>
    <w:p>
      <w:pPr>
        <w:pStyle w:val="BodyText"/>
        <w:spacing w:line="432" w:lineRule="exact" w:before="3"/>
        <w:ind w:left="574" w:right="1048"/>
        <w:jc w:val="left"/>
      </w:pPr>
      <w:r>
        <w:rPr>
          <w:rFonts w:ascii="宋体" w:hAnsi="宋体" w:cs="宋体" w:eastAsia="宋体" w:hint="default"/>
        </w:rPr>
        <w:t>3.</w:t>
      </w:r>
      <w:r>
        <w:rPr/>
        <w:t>金融资产转移的确认依据和计量方法 本公司已将金融资产所有权上几乎所有的风险和报酬转移给了转入方的，终止确认该金融资产；保留了金融资产所有</w:t>
      </w:r>
    </w:p>
    <w:p>
      <w:pPr>
        <w:pStyle w:val="BodyText"/>
        <w:spacing w:line="316" w:lineRule="auto" w:before="15"/>
        <w:ind w:right="1042"/>
        <w:jc w:val="both"/>
      </w:pPr>
      <w:r>
        <w:rPr>
          <w:spacing w:val="-2"/>
        </w:rPr>
        <w:t>权上几乎所有的风险和报酬的，继续确认所转移的金融资产，并将收到的对价确认为一项金融负债。本公司既没有转移也没</w:t>
      </w:r>
      <w:r>
        <w:rPr>
          <w:spacing w:val="-66"/>
        </w:rPr>
        <w:t> </w:t>
      </w:r>
      <w:r>
        <w:rPr>
          <w:spacing w:val="-66"/>
        </w:rPr>
      </w:r>
      <w:r>
        <w:rPr/>
        <w:t>有保留金融资产所有权上几乎所有的风险和报酬的，分别下列情况处理：（</w:t>
      </w:r>
      <w:r>
        <w:rPr>
          <w:rFonts w:ascii="宋体" w:hAnsi="宋体" w:cs="宋体" w:eastAsia="宋体" w:hint="default"/>
        </w:rPr>
        <w:t>1</w:t>
      </w:r>
      <w:r>
        <w:rPr/>
        <w:t>）放弃了对该金融资产控制的，终止确认该金</w:t>
      </w:r>
      <w:r>
        <w:rPr>
          <w:spacing w:val="-82"/>
        </w:rPr>
        <w:t> </w:t>
      </w:r>
      <w:r>
        <w:rPr>
          <w:spacing w:val="-82"/>
        </w:rPr>
      </w:r>
      <w:r>
        <w:rPr>
          <w:spacing w:val="-2"/>
        </w:rPr>
        <w:t>融资产；（</w:t>
      </w:r>
      <w:r>
        <w:rPr>
          <w:rFonts w:ascii="宋体" w:hAnsi="宋体" w:cs="宋体" w:eastAsia="宋体" w:hint="default"/>
          <w:spacing w:val="-2"/>
        </w:rPr>
        <w:t>2</w:t>
      </w:r>
      <w:r>
        <w:rPr>
          <w:spacing w:val="-2"/>
        </w:rPr>
        <w:t>）未放弃对该金融资产控制的，按照继续涉入所转移金融资产的程度确认有关金融资产，并相应确认有关负债。</w:t>
      </w:r>
    </w:p>
    <w:p>
      <w:pPr>
        <w:pStyle w:val="BodyText"/>
        <w:spacing w:line="319" w:lineRule="auto" w:before="139"/>
        <w:ind w:right="0" w:firstLine="420"/>
        <w:jc w:val="left"/>
      </w:pPr>
      <w:r>
        <w:rPr>
          <w:spacing w:val="-5"/>
        </w:rPr>
        <w:t>金融资产整体转移满足终止确认条件的，将下列两项金额的差额计入当期损益：（</w:t>
      </w:r>
      <w:r>
        <w:rPr>
          <w:rFonts w:ascii="宋体" w:hAnsi="宋体" w:cs="宋体" w:eastAsia="宋体" w:hint="default"/>
          <w:spacing w:val="-5"/>
        </w:rPr>
        <w:t>1</w:t>
      </w:r>
      <w:r>
        <w:rPr>
          <w:spacing w:val="-5"/>
        </w:rPr>
        <w:t>）所转移金融资产的账面价值；（</w:t>
      </w:r>
      <w:r>
        <w:rPr>
          <w:rFonts w:ascii="宋体" w:hAnsi="宋体" w:cs="宋体" w:eastAsia="宋体" w:hint="default"/>
          <w:spacing w:val="-5"/>
        </w:rPr>
        <w:t>2</w:t>
      </w:r>
      <w:r>
        <w:rPr>
          <w:spacing w:val="-5"/>
        </w:rPr>
        <w:t>）</w:t>
      </w:r>
      <w:r>
        <w:rPr/>
        <w:t> </w:t>
      </w:r>
      <w:r>
        <w:rPr>
          <w:spacing w:val="-2"/>
        </w:rPr>
        <w:t>因转移而收到的对价，与原直接计入其他综合收益的公允价值变动累计额之和。金融资产部分转移满足终止确认条件的，将</w:t>
      </w:r>
      <w:r>
        <w:rPr>
          <w:spacing w:val="-66"/>
        </w:rPr>
        <w:t> </w:t>
      </w:r>
      <w:r>
        <w:rPr>
          <w:spacing w:val="-66"/>
        </w:rPr>
      </w:r>
      <w:r>
        <w:rPr>
          <w:spacing w:val="-2"/>
        </w:rPr>
        <w:t>所转移金融资产整体的账面价值，在终止确认部分和未终止确认部分之间，按照各自的相对公允价值进行分摊，并将下列两</w:t>
      </w:r>
      <w:r>
        <w:rPr>
          <w:spacing w:val="-66"/>
        </w:rPr>
        <w:t> </w:t>
      </w:r>
      <w:r>
        <w:rPr>
          <w:spacing w:val="-66"/>
        </w:rPr>
      </w:r>
      <w:r>
        <w:rPr>
          <w:spacing w:val="-2"/>
        </w:rPr>
        <w:t>项金额的差额计入当期损益：（</w:t>
      </w:r>
      <w:r>
        <w:rPr>
          <w:rFonts w:ascii="宋体" w:hAnsi="宋体" w:cs="宋体" w:eastAsia="宋体" w:hint="default"/>
          <w:spacing w:val="-2"/>
        </w:rPr>
        <w:t>1</w:t>
      </w:r>
      <w:r>
        <w:rPr>
          <w:spacing w:val="-2"/>
        </w:rPr>
        <w:t>）终止确认部分的账面价值；（</w:t>
      </w:r>
      <w:r>
        <w:rPr>
          <w:rFonts w:ascii="宋体" w:hAnsi="宋体" w:cs="宋体" w:eastAsia="宋体" w:hint="default"/>
          <w:spacing w:val="-2"/>
        </w:rPr>
        <w:t>2</w:t>
      </w:r>
      <w:r>
        <w:rPr>
          <w:spacing w:val="-2"/>
        </w:rPr>
        <w:t>）终止确认部分的对价，与原直接计入其他综合收益的公</w:t>
      </w:r>
      <w:r>
        <w:rPr>
          <w:spacing w:val="-65"/>
        </w:rPr>
        <w:t> </w:t>
      </w:r>
      <w:r>
        <w:rPr>
          <w:spacing w:val="-65"/>
        </w:rPr>
      </w:r>
      <w:r>
        <w:rPr/>
        <w:t>允价值变动累计额中对应终止确认部分的金额之和。</w:t>
      </w:r>
    </w:p>
    <w:p>
      <w:pPr>
        <w:pStyle w:val="BodyText"/>
        <w:spacing w:line="432" w:lineRule="exact" w:before="1"/>
        <w:ind w:left="574" w:right="1048"/>
        <w:jc w:val="left"/>
      </w:pPr>
      <w:r>
        <w:rPr>
          <w:rFonts w:ascii="宋体" w:hAnsi="宋体" w:cs="宋体" w:eastAsia="宋体" w:hint="default"/>
        </w:rPr>
        <w:t>4.</w:t>
      </w:r>
      <w:r>
        <w:rPr/>
        <w:t>主要金融资产和金融负债的公允价值确定方法 存在活跃市场的金融资产或金融负债，以活跃市场的报价确定其公允价值；不存在活跃市场的金融资产或金融负债，</w:t>
      </w:r>
    </w:p>
    <w:p>
      <w:pPr>
        <w:pStyle w:val="BodyText"/>
        <w:spacing w:line="316" w:lineRule="auto" w:before="15"/>
        <w:ind w:right="1131"/>
        <w:jc w:val="both"/>
      </w:pPr>
      <w:r>
        <w:rPr>
          <w:spacing w:val="-2"/>
        </w:rPr>
        <w:t>采用估值技术（包括参考熟悉情况并自愿交易的各方最近进行的市场交易中使用的价格、参照实质上相同的其他金融工具的</w:t>
      </w:r>
      <w:r>
        <w:rPr>
          <w:spacing w:val="-64"/>
        </w:rPr>
        <w:t> </w:t>
      </w:r>
      <w:r>
        <w:rPr>
          <w:spacing w:val="-64"/>
        </w:rPr>
      </w:r>
      <w:r>
        <w:rPr>
          <w:spacing w:val="-2"/>
        </w:rPr>
        <w:t>当前公允价值、现金流量折现法和期权定价模型等）确定其公允价值；初始取得或源生的金融资产或承担的金融负债，以市</w:t>
      </w:r>
      <w:r>
        <w:rPr>
          <w:spacing w:val="-66"/>
        </w:rPr>
        <w:t> </w:t>
      </w:r>
      <w:r>
        <w:rPr>
          <w:spacing w:val="-66"/>
        </w:rPr>
      </w:r>
      <w:r>
        <w:rPr/>
        <w:t>场交易价格作为确定其公允价值的基础。</w:t>
      </w:r>
    </w:p>
    <w:p>
      <w:pPr>
        <w:pStyle w:val="BodyText"/>
        <w:spacing w:line="432" w:lineRule="exact" w:before="3"/>
        <w:ind w:left="574" w:right="1048"/>
        <w:jc w:val="left"/>
      </w:pPr>
      <w:r>
        <w:rPr>
          <w:rFonts w:ascii="宋体" w:hAnsi="宋体" w:cs="宋体" w:eastAsia="宋体" w:hint="default"/>
        </w:rPr>
        <w:t>5.</w:t>
      </w:r>
      <w:r>
        <w:rPr/>
        <w:t>金融资产的减值测试和减值准备计提方法 资产负债表日对以公允价值计量且其变动计入当期损益的金融资产以外的金融资产的账面价值进行检查，如有客观证</w:t>
      </w:r>
    </w:p>
    <w:p>
      <w:pPr>
        <w:pStyle w:val="BodyText"/>
        <w:spacing w:line="240" w:lineRule="auto" w:before="15"/>
        <w:ind w:right="0"/>
        <w:jc w:val="both"/>
      </w:pPr>
      <w:r>
        <w:rPr/>
        <w:t>据表明该金融资产发生减值的，计提减值准备。</w:t>
      </w:r>
    </w:p>
    <w:p>
      <w:pPr>
        <w:spacing w:line="240" w:lineRule="auto" w:before="0"/>
        <w:rPr>
          <w:rFonts w:ascii="宋体" w:hAnsi="宋体" w:cs="宋体" w:eastAsia="宋体" w:hint="default"/>
          <w:sz w:val="15"/>
          <w:szCs w:val="15"/>
        </w:rPr>
      </w:pPr>
    </w:p>
    <w:p>
      <w:pPr>
        <w:pStyle w:val="BodyText"/>
        <w:spacing w:line="316" w:lineRule="auto"/>
        <w:ind w:right="1132" w:firstLine="420"/>
        <w:jc w:val="both"/>
      </w:pPr>
      <w:r>
        <w:rPr/>
        <w:t>对单项金额重大的金融资产单独进行减值测试；对单项金额不重大的金融资产，可以单独进行减值测试，或包括在具 </w:t>
      </w:r>
      <w:r>
        <w:rPr>
          <w:spacing w:val="-2"/>
        </w:rPr>
        <w:t>有类似信用风险特征的金融资产组合中进行减值测试；单独测试未发生减值的金融资产（包括单项金额重大和不重大的金融</w:t>
      </w:r>
      <w:r>
        <w:rPr>
          <w:spacing w:val="-64"/>
        </w:rPr>
        <w:t> </w:t>
      </w:r>
      <w:r>
        <w:rPr>
          <w:spacing w:val="-64"/>
        </w:rPr>
      </w:r>
      <w:r>
        <w:rPr/>
        <w:t>资产），包括在具有类似信用风险特征的金融资产组合中再进行减值测试。</w:t>
      </w:r>
    </w:p>
    <w:p>
      <w:pPr>
        <w:pStyle w:val="BodyText"/>
        <w:spacing w:line="319" w:lineRule="auto" w:before="139"/>
        <w:ind w:right="1131" w:firstLine="420"/>
        <w:jc w:val="both"/>
      </w:pPr>
      <w:r>
        <w:rPr/>
        <w:t>按摊余成本计量的金融资产，期末有客观证据表明其发生了减值的，根据其账面价值与预计未来现金流量现值之间的 </w:t>
      </w:r>
      <w:r>
        <w:rPr>
          <w:spacing w:val="-2"/>
        </w:rPr>
        <w:t>差额确认减值损失。在活跃市场中没有报价且其公允价值不能可靠计量的权益工具投资，或与该权益工具挂钩并须通过交付</w:t>
      </w:r>
      <w:r>
        <w:rPr>
          <w:spacing w:val="-64"/>
        </w:rPr>
        <w:t> </w:t>
      </w:r>
      <w:r>
        <w:rPr>
          <w:spacing w:val="-64"/>
        </w:rPr>
      </w:r>
      <w:r>
        <w:rPr>
          <w:spacing w:val="-2"/>
        </w:rPr>
        <w:t>该权益工具结算的衍生金融资产发生减值时，将该权益工具投资或衍生金融资产的账面价值，与按照类似金融资产当时市场</w:t>
      </w:r>
      <w:r>
        <w:rPr>
          <w:spacing w:val="-64"/>
        </w:rPr>
        <w:t> </w:t>
      </w:r>
      <w:r>
        <w:rPr>
          <w:spacing w:val="-64"/>
        </w:rPr>
      </w:r>
      <w:r>
        <w:rPr/>
        <w:t>收益率对未来现金流量折现确定的现值之间的差额，确认为减值损失。</w:t>
      </w:r>
    </w:p>
    <w:p>
      <w:pPr>
        <w:pStyle w:val="BodyText"/>
        <w:spacing w:line="240" w:lineRule="auto" w:before="137"/>
        <w:ind w:left="574" w:right="0"/>
        <w:jc w:val="left"/>
      </w:pPr>
      <w:r>
        <w:rPr/>
        <w:t>可供出售金融资产的公允价值发生较大幅度下降，或在综合考虑各种相关因素后，预期这种下降趋势属于非暂时性的，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439" w:lineRule="auto" w:before="44"/>
        <w:ind w:left="514" w:right="2472" w:hanging="360"/>
        <w:jc w:val="left"/>
      </w:pPr>
      <w:r>
        <w:rPr/>
        <w:t>确认其减值损失，并将原直接计入其他综合收益的公允价值累计损失一并转出计入减值损失。 </w:t>
      </w:r>
      <w:r>
        <w:rPr>
          <w:rFonts w:ascii="宋体" w:hAnsi="宋体" w:cs="宋体" w:eastAsia="宋体" w:hint="default"/>
        </w:rPr>
        <w:t>6.</w:t>
      </w:r>
      <w:r>
        <w:rPr/>
        <w:t>本期将尚未到期的持有至到期投资重分类为可供出售金融资产，持有意图或能力发生改变的依据。</w:t>
      </w:r>
    </w:p>
    <w:p>
      <w:pPr>
        <w:spacing w:line="240" w:lineRule="auto" w:before="7"/>
        <w:rPr>
          <w:rFonts w:ascii="宋体" w:hAnsi="宋体" w:cs="宋体" w:eastAsia="宋体" w:hint="default"/>
          <w:sz w:val="15"/>
          <w:szCs w:val="15"/>
        </w:rPr>
      </w:pPr>
    </w:p>
    <w:p>
      <w:pPr>
        <w:pStyle w:val="Heading3"/>
        <w:spacing w:line="240" w:lineRule="auto"/>
        <w:ind w:right="1048"/>
        <w:jc w:val="left"/>
        <w:rPr>
          <w:b w:val="0"/>
          <w:bCs w:val="0"/>
        </w:rPr>
      </w:pPr>
      <w:bookmarkStart w:name="11、应收票据及应收账款" w:id="176"/>
      <w:bookmarkEnd w:id="176"/>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8"/>
        <w:jc w:val="left"/>
        <w:rPr>
          <w:b w:val="0"/>
          <w:bCs w:val="0"/>
        </w:rPr>
      </w:pPr>
      <w:bookmarkStart w:name="（1）单项金额重大并单独计提坏账准备的应收款项" w:id="177"/>
      <w:bookmarkEnd w:id="177"/>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万元以上的应收款项确认为单项 金额重大的应收款项。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1048"/>
        <w:jc w:val="left"/>
        <w:rPr>
          <w:b w:val="0"/>
          <w:bCs w:val="0"/>
        </w:rPr>
      </w:pPr>
      <w:bookmarkStart w:name="（2）按信用风险特征组合计提坏账准备的应收款项" w:id="178"/>
      <w:bookmarkEnd w:id="178"/>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1048"/>
        <w:jc w:val="left"/>
      </w:pPr>
      <w:r>
        <w:rPr/>
        <w:t>组合中，采用账龄分析法计提坏账准备的：</w:t>
      </w:r>
    </w:p>
    <w:p>
      <w:pPr>
        <w:pStyle w:val="BodyText"/>
        <w:spacing w:line="240" w:lineRule="auto" w:before="117"/>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1048"/>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48"/>
        <w:jc w:val="left"/>
        <w:rPr>
          <w:b w:val="0"/>
          <w:bCs w:val="0"/>
        </w:rPr>
      </w:pPr>
      <w:bookmarkStart w:name="（3）单项金额不重大但单独计提坏账准备的应收款项" w:id="179"/>
      <w:bookmarkEnd w:id="179"/>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 征的应收款项。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 备。</w:t>
            </w:r>
          </w:p>
        </w:tc>
      </w:tr>
    </w:tbl>
    <w:p>
      <w:pPr>
        <w:spacing w:line="240" w:lineRule="auto" w:before="2"/>
        <w:rPr>
          <w:rFonts w:ascii="宋体" w:hAnsi="宋体" w:cs="宋体" w:eastAsia="宋体" w:hint="default"/>
          <w:b/>
          <w:bCs/>
          <w:sz w:val="19"/>
          <w:szCs w:val="19"/>
        </w:rPr>
      </w:pPr>
    </w:p>
    <w:p>
      <w:pPr>
        <w:pStyle w:val="Heading3"/>
        <w:spacing w:line="240" w:lineRule="auto" w:before="35"/>
        <w:ind w:right="1048"/>
        <w:jc w:val="left"/>
        <w:rPr>
          <w:b w:val="0"/>
          <w:bCs w:val="0"/>
        </w:rPr>
      </w:pPr>
      <w:bookmarkStart w:name="12、存货" w:id="180"/>
      <w:bookmarkEnd w:id="180"/>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公司是否需要遵守特殊行业的披露要求</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48"/>
        <w:jc w:val="left"/>
      </w:pPr>
      <w:r>
        <w:rPr/>
        <w:t>否</w:t>
      </w:r>
    </w:p>
    <w:p>
      <w:pPr>
        <w:pStyle w:val="BodyText"/>
        <w:spacing w:line="240" w:lineRule="auto" w:before="115"/>
        <w:ind w:left="574" w:right="1048"/>
        <w:jc w:val="left"/>
      </w:pPr>
      <w:r>
        <w:rPr>
          <w:rFonts w:ascii="宋体" w:hAnsi="宋体" w:cs="宋体" w:eastAsia="宋体" w:hint="default"/>
        </w:rPr>
        <w:t>1.</w:t>
      </w:r>
      <w:r>
        <w:rPr/>
        <w:t>存货的分类</w:t>
      </w:r>
    </w:p>
    <w:p>
      <w:pPr>
        <w:spacing w:line="240" w:lineRule="auto" w:before="8"/>
        <w:rPr>
          <w:rFonts w:ascii="宋体" w:hAnsi="宋体" w:cs="宋体" w:eastAsia="宋体" w:hint="default"/>
          <w:sz w:val="11"/>
          <w:szCs w:val="11"/>
        </w:rPr>
      </w:pPr>
    </w:p>
    <w:p>
      <w:pPr>
        <w:pStyle w:val="BodyText"/>
        <w:spacing w:line="316" w:lineRule="auto" w:before="44"/>
        <w:ind w:right="1133" w:firstLine="420"/>
        <w:jc w:val="both"/>
      </w:pPr>
      <w:r>
        <w:rPr/>
        <w:t>存货包括在日常活动中持有以备出售的产成品或库存商品、处在生产过程中的在产品、委托发出物资、发出商品、在 生产过程或提供劳务过程中耗用的原材料和、包装物和低值易耗品等。</w:t>
      </w:r>
    </w:p>
    <w:p>
      <w:pPr>
        <w:pStyle w:val="BodyText"/>
        <w:spacing w:line="432" w:lineRule="exact" w:before="4"/>
        <w:ind w:left="574" w:right="1048"/>
        <w:jc w:val="left"/>
      </w:pPr>
      <w:r>
        <w:rPr>
          <w:rFonts w:ascii="宋体" w:hAnsi="宋体" w:cs="宋体" w:eastAsia="宋体" w:hint="default"/>
        </w:rPr>
        <w:t>2.</w:t>
      </w:r>
      <w:r>
        <w:rPr/>
        <w:t>发出存货的计价方法 存货实行永续盘存制，存货在取得时按实际成本计价；领用或发出原材料、在产品采用加权平均法，产成品和发出商</w:t>
      </w:r>
    </w:p>
    <w:p>
      <w:pPr>
        <w:pStyle w:val="BodyText"/>
        <w:spacing w:line="240" w:lineRule="auto" w:before="15"/>
        <w:ind w:right="0"/>
        <w:jc w:val="both"/>
      </w:pPr>
      <w:r>
        <w:rPr/>
        <w:t>品按个别计价法确定其实际成本。低值易耗品采用一次摊销法进行摊销，包装物采用一次摊销法摊销。</w:t>
      </w:r>
    </w:p>
    <w:p>
      <w:pPr>
        <w:pStyle w:val="BodyText"/>
        <w:spacing w:line="430" w:lineRule="atLeast" w:before="2"/>
        <w:ind w:left="574" w:right="1048"/>
        <w:jc w:val="left"/>
      </w:pPr>
      <w:r>
        <w:rPr>
          <w:rFonts w:ascii="宋体" w:hAnsi="宋体" w:cs="宋体" w:eastAsia="宋体" w:hint="default"/>
        </w:rPr>
        <w:t>3.</w:t>
      </w:r>
      <w:r>
        <w:rPr/>
        <w:t>存货可变现净值的确定依据及存货跌价准备的计提方法 </w:t>
      </w:r>
      <w:r>
        <w:rPr>
          <w:spacing w:val="-2"/>
        </w:rPr>
        <w:t>资产负债表日，存货采用成本与可变现净值孰低计量，按照单个存货</w:t>
      </w:r>
      <w:r>
        <w:rPr>
          <w:rFonts w:ascii="宋体" w:hAnsi="宋体" w:cs="宋体" w:eastAsia="宋体" w:hint="default"/>
          <w:spacing w:val="-2"/>
        </w:rPr>
        <w:t>/</w:t>
      </w:r>
      <w:r>
        <w:rPr>
          <w:spacing w:val="-2"/>
        </w:rPr>
        <w:t>存货类别成本高于可变现净值的差额计提存货跌</w:t>
      </w:r>
    </w:p>
    <w:p>
      <w:pPr>
        <w:pStyle w:val="BodyText"/>
        <w:spacing w:line="316" w:lineRule="auto" w:before="76"/>
        <w:ind w:right="1131"/>
        <w:jc w:val="both"/>
      </w:pPr>
      <w:r>
        <w:rPr>
          <w:spacing w:val="-2"/>
        </w:rPr>
        <w:t>价准备。对于存货因遭受毁损、全部或部分陈旧过时或销售价格低于成本等原因，预计其成本不可收回的部分，提取存货跌</w:t>
      </w:r>
      <w:r>
        <w:rPr>
          <w:spacing w:val="-66"/>
        </w:rPr>
        <w:t> </w:t>
      </w:r>
      <w:r>
        <w:rPr>
          <w:spacing w:val="-66"/>
        </w:rPr>
      </w:r>
      <w:r>
        <w:rPr>
          <w:spacing w:val="-2"/>
        </w:rPr>
        <w:t>价准备。库存商品及大宗原材料的存货跌价准备按单个存货项目的成本高于其可变现净值的差额提取；其他数量繁多、单价</w:t>
      </w:r>
      <w:r>
        <w:rPr>
          <w:spacing w:val="-66"/>
        </w:rPr>
        <w:t> </w:t>
      </w:r>
      <w:r>
        <w:rPr>
          <w:spacing w:val="-66"/>
        </w:rPr>
      </w:r>
      <w:r>
        <w:rPr/>
        <w:t>较低的原辅材料按类别提取存货跌价准备。</w:t>
      </w:r>
    </w:p>
    <w:p>
      <w:pPr>
        <w:pStyle w:val="BodyText"/>
        <w:spacing w:line="316" w:lineRule="auto" w:before="139"/>
        <w:ind w:right="1131" w:firstLine="420"/>
        <w:jc w:val="both"/>
      </w:pPr>
      <w:r>
        <w:rPr/>
        <w:t>库存商品、在产品和用于出售的材料等直接用于出售的商品存货，其可变现净值按该存货的估计售价减去估计的销售 </w:t>
      </w:r>
      <w:r>
        <w:rPr>
          <w:spacing w:val="-2"/>
        </w:rPr>
        <w:t>费用和相关税费后的金额确定；用于生产而持有的材料存货，其可变现净值按所生产的产成品的估计售价减去至完工时估计</w:t>
      </w:r>
      <w:r>
        <w:rPr>
          <w:spacing w:val="-63"/>
        </w:rPr>
        <w:t> </w:t>
      </w:r>
      <w:r>
        <w:rPr>
          <w:spacing w:val="-63"/>
        </w:rPr>
      </w:r>
      <w:r>
        <w:rPr/>
        <w:t>将要发生的成本、估计的销售费用和相关税费后的金额确定。</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3、持有待售资产" w:id="181"/>
      <w:bookmarkEnd w:id="181"/>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420"/>
        <w:jc w:val="both"/>
      </w:pPr>
      <w:r>
        <w:rPr>
          <w:spacing w:val="-2"/>
        </w:rPr>
        <w:t>本公司将同时满足下列条件的企业组成部分（或非流动资产）划分为持有待售：（</w:t>
      </w:r>
      <w:r>
        <w:rPr>
          <w:rFonts w:ascii="Times New Roman" w:hAnsi="Times New Roman" w:cs="Times New Roman" w:eastAsia="Times New Roman" w:hint="default"/>
          <w:spacing w:val="-2"/>
        </w:rPr>
        <w:t>1</w:t>
      </w:r>
      <w:r>
        <w:rPr>
          <w:spacing w:val="-2"/>
        </w:rPr>
        <w:t>）根据类似交易中出售此类资产或</w:t>
      </w:r>
      <w:r>
        <w:rPr/>
        <w:t> 处置组的惯例，在当前状况下即可立即出售；（</w:t>
      </w:r>
      <w:r>
        <w:rPr>
          <w:rFonts w:ascii="Times New Roman" w:hAnsi="Times New Roman" w:cs="Times New Roman" w:eastAsia="Times New Roman" w:hint="default"/>
        </w:rPr>
        <w:t>2</w:t>
      </w:r>
      <w:r>
        <w:rPr/>
        <w:t>）出售极可能发生，已经就一项出售计划作出决议且获得确定的购买承诺</w:t>
      </w:r>
    </w:p>
    <w:p>
      <w:pPr>
        <w:pStyle w:val="BodyText"/>
        <w:spacing w:line="316" w:lineRule="auto" w:before="13"/>
        <w:ind w:right="1132"/>
        <w:jc w:val="both"/>
      </w:pPr>
      <w:r>
        <w:rPr>
          <w:spacing w:val="-2"/>
        </w:rPr>
        <w:t>（确定的购买承诺，是指企业与其他方签订的具有法律约束力的购买协议，该协议包含交易价格、时间和足够严厉的违约惩</w:t>
      </w:r>
      <w:r>
        <w:rPr>
          <w:spacing w:val="-66"/>
        </w:rPr>
        <w:t> </w:t>
      </w:r>
      <w:r>
        <w:rPr>
          <w:spacing w:val="-66"/>
        </w:rPr>
      </w:r>
      <w:r>
        <w:rPr>
          <w:spacing w:val="-2"/>
        </w:rPr>
        <w:t>罚等重要条款，使协议出现重大调整或者撤销的可能性极小。预计出售将在一年内完成。已经获得按照有关规定需得到相关</w:t>
      </w:r>
      <w:r>
        <w:rPr>
          <w:spacing w:val="-66"/>
        </w:rPr>
        <w:t> </w:t>
      </w:r>
      <w:r>
        <w:rPr>
          <w:spacing w:val="-66"/>
        </w:rPr>
      </w:r>
      <w:r>
        <w:rPr/>
        <w:t>权力机构或者监管部门的批准。</w:t>
      </w:r>
    </w:p>
    <w:p>
      <w:pPr>
        <w:pStyle w:val="BodyText"/>
        <w:spacing w:line="316" w:lineRule="auto" w:before="139"/>
        <w:ind w:right="1132" w:firstLine="420"/>
        <w:jc w:val="both"/>
      </w:pPr>
      <w:r>
        <w:rPr/>
        <w:t>本公司将持有待售的预计净残值调整为反映其公允价值减去出售费用后的净额（但不得超过该项持有待售的原账面价 </w:t>
      </w:r>
      <w:r>
        <w:rPr>
          <w:spacing w:val="-2"/>
        </w:rPr>
        <w:t>值），原账面价值高于调整后预计净残值的差额，作为资产减值损失计入当期损益，同时计提持有待售资产减值准备。对于</w:t>
      </w:r>
      <w:r>
        <w:rPr>
          <w:spacing w:val="-66"/>
        </w:rPr>
        <w:t> </w:t>
      </w:r>
      <w:r>
        <w:rPr>
          <w:spacing w:val="-66"/>
        </w:rPr>
      </w:r>
      <w:r>
        <w:rPr>
          <w:spacing w:val="-2"/>
        </w:rPr>
        <w:t>持有待售的处置组确认的资产减值损失金额，应当先抵减处置组中商誉的账面价值，再根据处置组中适用本准则计量规定的</w:t>
      </w:r>
      <w:r>
        <w:rPr>
          <w:spacing w:val="-64"/>
        </w:rPr>
        <w:t> </w:t>
      </w:r>
      <w:r>
        <w:rPr>
          <w:spacing w:val="-64"/>
        </w:rPr>
      </w:r>
      <w:r>
        <w:rPr/>
        <w:t>各项非流动资产账面价值所占比重，按比例抵减其账面价值。</w:t>
      </w:r>
    </w:p>
    <w:p>
      <w:pPr>
        <w:pStyle w:val="BodyText"/>
        <w:spacing w:line="316" w:lineRule="auto" w:before="139"/>
        <w:ind w:right="1048" w:firstLine="420"/>
        <w:jc w:val="left"/>
      </w:pPr>
      <w:r>
        <w:rPr/>
        <w:t>后续资产负债表日持有待售的非流动资产公允价值减去出售费用后的净额增加的，以前减记的金额应当予以恢复，并 </w:t>
      </w:r>
      <w:r>
        <w:rPr>
          <w:spacing w:val="-2"/>
        </w:rPr>
        <w:t>在划分为持有待售类别后确认的资产减值损失金额内转回，转回金额计入当期损益。划分为持有待售类别前确认的资产减值</w:t>
      </w:r>
      <w:r>
        <w:rPr>
          <w:spacing w:val="-64"/>
        </w:rPr>
        <w:t> </w:t>
      </w:r>
      <w:r>
        <w:rPr>
          <w:spacing w:val="-64"/>
        </w:rPr>
      </w:r>
      <w:r>
        <w:rPr>
          <w:spacing w:val="-4"/>
        </w:rPr>
        <w:t>损失不得转回。后续资产负债表日持有待售的处置组公允价值减去出售费用后的净额增加的，以前减记的金额应当予以恢复，</w:t>
      </w:r>
      <w:r>
        <w:rPr>
          <w:spacing w:val="-44"/>
        </w:rPr>
        <w:t> </w:t>
      </w:r>
      <w:r>
        <w:rPr>
          <w:spacing w:val="-44"/>
        </w:rPr>
      </w:r>
      <w:r>
        <w:rPr>
          <w:spacing w:val="-2"/>
        </w:rPr>
        <w:t>并在划分为持有待售类别后适用本准则计量规定的非流动资产确认的资产减值损失金额内转回，转回金额计入当期损益。已</w:t>
      </w:r>
      <w:r>
        <w:rPr>
          <w:spacing w:val="-64"/>
        </w:rPr>
        <w:t> </w:t>
      </w:r>
      <w:r>
        <w:rPr>
          <w:spacing w:val="-64"/>
        </w:rPr>
      </w:r>
      <w:r>
        <w:rPr>
          <w:spacing w:val="-2"/>
        </w:rPr>
        <w:t>抵减的商誉账面价值，以及适用本准则计量规定的非流动资产在划分为持有待售类别前确认的资产减值损失不得转回。持有</w:t>
      </w:r>
      <w:r>
        <w:rPr>
          <w:spacing w:val="-64"/>
        </w:rPr>
        <w:t> </w:t>
      </w:r>
      <w:r>
        <w:rPr>
          <w:spacing w:val="-64"/>
        </w:rPr>
      </w:r>
      <w:r>
        <w:rPr/>
        <w:t>待售的处置组确认的资产减值损失后续转回金额，</w:t>
      </w:r>
      <w:r>
        <w:rPr>
          <w:spacing w:val="-9"/>
        </w:rPr>
        <w:t> </w:t>
      </w:r>
      <w:r>
        <w:rPr/>
        <w:t>应当根据处置组中除商誉外适用本准则计量规定的各项非流动资产账面</w:t>
      </w:r>
      <w:r>
        <w:rPr>
          <w:spacing w:val="-79"/>
        </w:rPr>
        <w:t> </w:t>
      </w:r>
      <w:r>
        <w:rPr>
          <w:spacing w:val="-79"/>
        </w:rPr>
      </w:r>
      <w:r>
        <w:rPr/>
        <w:t>价值所占比重，按比例增加其账面价值。</w:t>
      </w:r>
    </w:p>
    <w:p>
      <w:pPr>
        <w:pStyle w:val="BodyText"/>
        <w:spacing w:line="316" w:lineRule="auto" w:before="139"/>
        <w:ind w:right="1132"/>
        <w:jc w:val="both"/>
      </w:pPr>
      <w:r>
        <w:rPr>
          <w:spacing w:val="-2"/>
        </w:rPr>
        <w:t>企业因出售对子公司的投资等原因导致其丧失对子公司控制权的，无论出售后企业是否保留部分权益性投资，应当在拟出售</w:t>
      </w:r>
      <w:r>
        <w:rPr>
          <w:spacing w:val="-64"/>
        </w:rPr>
        <w:t> </w:t>
      </w:r>
      <w:r>
        <w:rPr>
          <w:spacing w:val="-64"/>
        </w:rPr>
      </w:r>
      <w:r>
        <w:rPr>
          <w:spacing w:val="-2"/>
        </w:rPr>
        <w:t>的对子公司投资满足持有待售类别划分条件时，在母公司个别财务报表中将对子公司投资整体划分为持有待售类别，在合并</w:t>
      </w:r>
      <w:r>
        <w:rPr>
          <w:spacing w:val="-64"/>
        </w:rPr>
        <w:t> </w:t>
      </w:r>
      <w:r>
        <w:rPr>
          <w:spacing w:val="-64"/>
        </w:rPr>
      </w:r>
      <w:r>
        <w:rPr/>
        <w:t>财务报表中将子公司所有资产和负债划分为持有待售类别。</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4、长期股权投资" w:id="182"/>
      <w:bookmarkEnd w:id="182"/>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1048"/>
        <w:jc w:val="left"/>
      </w:pPr>
      <w:r>
        <w:rPr>
          <w:rFonts w:ascii="宋体" w:hAnsi="宋体" w:cs="宋体" w:eastAsia="宋体" w:hint="default"/>
        </w:rPr>
        <w:t>1.</w:t>
      </w:r>
      <w:r>
        <w:rPr/>
        <w:t>投资成本的确定</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firstLine="420"/>
        <w:jc w:val="both"/>
      </w:pPr>
      <w:r>
        <w:rPr>
          <w:spacing w:val="-2"/>
        </w:rPr>
        <w:t>（</w:t>
      </w:r>
      <w:r>
        <w:rPr>
          <w:rFonts w:ascii="宋体" w:hAnsi="宋体" w:cs="宋体" w:eastAsia="宋体" w:hint="default"/>
          <w:spacing w:val="-2"/>
        </w:rPr>
        <w:t>1</w:t>
      </w:r>
      <w:r>
        <w:rPr>
          <w:spacing w:val="-2"/>
        </w:rPr>
        <w:t>）同一控制下的企业合并形成的，合并方以支付现金、转让非现金资产、承担债务或发行权益性证券作为合并对价</w:t>
      </w:r>
      <w:r>
        <w:rPr/>
        <w:t> </w:t>
      </w:r>
      <w:r>
        <w:rPr>
          <w:spacing w:val="-2"/>
        </w:rPr>
        <w:t>的，在合并日按照被合并方所有者权益在最终控制方合并财务报表中的账面价值的份额作为其初始投资成本。长期股权投资</w:t>
      </w:r>
      <w:r>
        <w:rPr>
          <w:spacing w:val="-64"/>
        </w:rPr>
        <w:t> </w:t>
      </w:r>
      <w:r>
        <w:rPr>
          <w:spacing w:val="-64"/>
        </w:rPr>
      </w:r>
      <w:r>
        <w:rPr>
          <w:spacing w:val="-2"/>
        </w:rPr>
        <w:t>初始投资成本与支付的合并对价的账面价值或发行股份的面值总额之间的差额调整资本公积</w:t>
      </w:r>
      <w:r>
        <w:rPr>
          <w:rFonts w:ascii="宋体" w:hAnsi="宋体" w:cs="宋体" w:eastAsia="宋体" w:hint="default"/>
          <w:spacing w:val="-2"/>
        </w:rPr>
        <w:t>(</w:t>
      </w:r>
      <w:r>
        <w:rPr>
          <w:spacing w:val="-2"/>
        </w:rPr>
        <w:t>资本溢价或股本溢价</w:t>
      </w:r>
      <w:r>
        <w:rPr>
          <w:rFonts w:ascii="宋体" w:hAnsi="宋体" w:cs="宋体" w:eastAsia="宋体" w:hint="default"/>
          <w:spacing w:val="-2"/>
        </w:rPr>
        <w:t>)</w:t>
      </w:r>
      <w:r>
        <w:rPr>
          <w:spacing w:val="-2"/>
        </w:rPr>
        <w:t>；资本公</w:t>
      </w:r>
      <w:r>
        <w:rPr>
          <w:spacing w:val="-61"/>
        </w:rPr>
        <w:t> </w:t>
      </w:r>
      <w:r>
        <w:rPr>
          <w:spacing w:val="-61"/>
        </w:rPr>
      </w:r>
      <w:r>
        <w:rPr/>
        <w:t>积不足冲减的，调整留存收益。</w:t>
      </w:r>
    </w:p>
    <w:p>
      <w:pPr>
        <w:pStyle w:val="BodyText"/>
        <w:spacing w:line="316" w:lineRule="auto" w:before="139"/>
        <w:ind w:right="1032" w:firstLine="420"/>
        <w:jc w:val="left"/>
      </w:pPr>
      <w:r>
        <w:rPr/>
        <w:t>分步实现同一控制下企业合并的，应当以持股比例计算的合并日应享有被合并方账面所有者权益份额作为该项投资的 初始投资成本。初始投资成本与其原长期股权投资账面价值加上合并日取得进一步股份新支付对价的账面价值之和的差额， 调整资本公积（资本溢价或股本溢价），资本公积不足冲减的，冲减留存收益。</w:t>
      </w:r>
    </w:p>
    <w:p>
      <w:pPr>
        <w:pStyle w:val="BodyText"/>
        <w:spacing w:line="240" w:lineRule="auto" w:before="139"/>
        <w:ind w:left="574" w:right="1048"/>
        <w:jc w:val="left"/>
      </w:pPr>
      <w:r>
        <w:rPr/>
        <w:t>（</w:t>
      </w:r>
      <w:r>
        <w:rPr>
          <w:rFonts w:ascii="宋体" w:hAnsi="宋体" w:cs="宋体" w:eastAsia="宋体" w:hint="default"/>
        </w:rPr>
        <w:t>2</w:t>
      </w:r>
      <w:r>
        <w:rPr/>
        <w:t>）非同一控制下的企业合并形成的，在购买日按照支付的合并对价的公允价值作为其初始投资成本。</w:t>
      </w:r>
    </w:p>
    <w:p>
      <w:pPr>
        <w:spacing w:line="240" w:lineRule="auto" w:before="0"/>
        <w:rPr>
          <w:rFonts w:ascii="宋体" w:hAnsi="宋体" w:cs="宋体" w:eastAsia="宋体" w:hint="default"/>
          <w:sz w:val="15"/>
          <w:szCs w:val="15"/>
        </w:rPr>
      </w:pPr>
    </w:p>
    <w:p>
      <w:pPr>
        <w:pStyle w:val="BodyText"/>
        <w:spacing w:line="316" w:lineRule="auto"/>
        <w:ind w:right="1132" w:firstLine="420"/>
        <w:jc w:val="both"/>
      </w:pPr>
      <w:r>
        <w:rPr>
          <w:spacing w:val="-2"/>
        </w:rPr>
        <w:t>（</w:t>
      </w:r>
      <w:r>
        <w:rPr>
          <w:rFonts w:ascii="宋体" w:hAnsi="宋体" w:cs="宋体" w:eastAsia="宋体" w:hint="default"/>
          <w:spacing w:val="-2"/>
        </w:rPr>
        <w:t>3</w:t>
      </w:r>
      <w:r>
        <w:rPr>
          <w:spacing w:val="-2"/>
        </w:rPr>
        <w:t>）除企业合并形成以外的：以支付现金取得的，按照实际支付的购买价款作为其初始投资成本；以发行权益性证券</w:t>
      </w:r>
      <w:r>
        <w:rPr/>
        <w:t> </w:t>
      </w:r>
      <w:r>
        <w:rPr>
          <w:spacing w:val="-2"/>
        </w:rPr>
        <w:t>取得的，按照发行权益性证券的公允价值作为其初始投资成本；投资者投入的，按照投资合同或协议约定的价值作为其初始</w:t>
      </w:r>
      <w:r>
        <w:rPr>
          <w:spacing w:val="-66"/>
        </w:rPr>
        <w:t> </w:t>
      </w:r>
      <w:r>
        <w:rPr>
          <w:spacing w:val="-66"/>
        </w:rPr>
      </w:r>
      <w:r>
        <w:rPr/>
        <w:t>投资成本（合同或协议约定价值不公允的除外）。</w:t>
      </w:r>
    </w:p>
    <w:p>
      <w:pPr>
        <w:pStyle w:val="BodyText"/>
        <w:spacing w:line="432" w:lineRule="exact" w:before="3"/>
        <w:ind w:left="574" w:right="1114"/>
        <w:jc w:val="left"/>
      </w:pPr>
      <w:r>
        <w:rPr>
          <w:rFonts w:ascii="宋体" w:hAnsi="宋体" w:cs="宋体" w:eastAsia="宋体" w:hint="default"/>
        </w:rPr>
        <w:t>2.</w:t>
      </w:r>
      <w:r>
        <w:rPr/>
        <w:t>后续计量及损益确认方法 </w:t>
      </w:r>
      <w:r>
        <w:rPr>
          <w:spacing w:val="-1"/>
        </w:rPr>
        <w:t>本公司能够对被投资单位实施控制的长期股权投资</w:t>
      </w:r>
      <w:r>
        <w:rPr>
          <w:rFonts w:ascii="宋体" w:hAnsi="宋体" w:cs="宋体" w:eastAsia="宋体" w:hint="default"/>
          <w:spacing w:val="-1"/>
        </w:rPr>
        <w:t>,</w:t>
      </w:r>
      <w:r>
        <w:rPr>
          <w:spacing w:val="-1"/>
        </w:rPr>
        <w:t>在本公司个别财务报表中采用成本法核算；对具有共同控制或重大</w:t>
      </w:r>
    </w:p>
    <w:p>
      <w:pPr>
        <w:pStyle w:val="BodyText"/>
        <w:spacing w:line="240" w:lineRule="auto" w:before="15"/>
        <w:ind w:right="1048"/>
        <w:jc w:val="left"/>
      </w:pPr>
      <w:r>
        <w:rPr/>
        <w:t>影响的长期股权投资，采用权益法核算。</w:t>
      </w:r>
    </w:p>
    <w:p>
      <w:pPr>
        <w:spacing w:line="240" w:lineRule="auto" w:before="0"/>
        <w:rPr>
          <w:rFonts w:ascii="宋体" w:hAnsi="宋体" w:cs="宋体" w:eastAsia="宋体" w:hint="default"/>
          <w:sz w:val="15"/>
          <w:szCs w:val="15"/>
        </w:rPr>
      </w:pPr>
    </w:p>
    <w:p>
      <w:pPr>
        <w:pStyle w:val="BodyText"/>
        <w:spacing w:line="316" w:lineRule="auto"/>
        <w:ind w:right="1130" w:firstLine="420"/>
        <w:jc w:val="both"/>
      </w:pPr>
      <w:r>
        <w:rPr/>
        <w:t>采用成本法时</w:t>
      </w:r>
      <w:r>
        <w:rPr>
          <w:rFonts w:ascii="宋体" w:hAnsi="宋体" w:cs="宋体" w:eastAsia="宋体" w:hint="default"/>
        </w:rPr>
        <w:t>,</w:t>
      </w:r>
      <w:r>
        <w:rPr/>
        <w:t>长期股权投资按初始投资成本计价</w:t>
      </w:r>
      <w:r>
        <w:rPr>
          <w:rFonts w:ascii="宋体" w:hAnsi="宋体" w:cs="宋体" w:eastAsia="宋体" w:hint="default"/>
        </w:rPr>
        <w:t>,</w:t>
      </w:r>
      <w:r>
        <w:rPr/>
        <w:t>除取得投资时实际支付的价款或对价中包含的已宣告但尚未发放的 现金股利或利润外</w:t>
      </w:r>
      <w:r>
        <w:rPr>
          <w:rFonts w:ascii="宋体" w:hAnsi="宋体" w:cs="宋体" w:eastAsia="宋体" w:hint="default"/>
        </w:rPr>
        <w:t>,</w:t>
      </w:r>
      <w:r>
        <w:rPr/>
        <w:t>按享有被投资单位宣告分派的现金股利或利润</w:t>
      </w:r>
      <w:r>
        <w:rPr>
          <w:rFonts w:ascii="宋体" w:hAnsi="宋体" w:cs="宋体" w:eastAsia="宋体" w:hint="default"/>
        </w:rPr>
        <w:t>,</w:t>
      </w:r>
      <w:r>
        <w:rPr/>
        <w:t>确认为当期投资收益</w:t>
      </w:r>
      <w:r>
        <w:rPr>
          <w:rFonts w:ascii="宋体" w:hAnsi="宋体" w:cs="宋体" w:eastAsia="宋体" w:hint="default"/>
        </w:rPr>
        <w:t>,</w:t>
      </w:r>
      <w:r>
        <w:rPr/>
        <w:t>并同时根据有关资产减值政策考虑</w:t>
      </w:r>
      <w:r>
        <w:rPr>
          <w:spacing w:val="-83"/>
        </w:rPr>
        <w:t> </w:t>
      </w:r>
      <w:r>
        <w:rPr>
          <w:spacing w:val="-83"/>
        </w:rPr>
      </w:r>
      <w:r>
        <w:rPr/>
        <w:t>长期投资是否减值。</w:t>
      </w:r>
    </w:p>
    <w:p>
      <w:pPr>
        <w:pStyle w:val="BodyText"/>
        <w:spacing w:line="319" w:lineRule="auto" w:before="139"/>
        <w:ind w:right="1129" w:firstLine="420"/>
        <w:jc w:val="both"/>
      </w:pPr>
      <w:r>
        <w:rPr/>
        <w:t>采用权益法时</w:t>
      </w:r>
      <w:r>
        <w:rPr>
          <w:rFonts w:ascii="宋体" w:hAnsi="宋体" w:cs="宋体" w:eastAsia="宋体" w:hint="default"/>
        </w:rPr>
        <w:t>,</w:t>
      </w:r>
      <w:r>
        <w:rPr/>
        <w:t>长期股权投资的初始投资成本大于投资时应享有被投资单位可辨认净资产公允价值份额的</w:t>
      </w:r>
      <w:r>
        <w:rPr>
          <w:rFonts w:ascii="宋体" w:hAnsi="宋体" w:cs="宋体" w:eastAsia="宋体" w:hint="default"/>
        </w:rPr>
        <w:t>,</w:t>
      </w:r>
      <w:r>
        <w:rPr/>
        <w:t>归入长期股 权投资的初始投资成本；长期股权投资的初始投资成本小于投资时应享有被投资单位可辨认净资产公允价值份额的</w:t>
      </w:r>
      <w:r>
        <w:rPr>
          <w:rFonts w:ascii="宋体" w:hAnsi="宋体" w:cs="宋体" w:eastAsia="宋体" w:hint="default"/>
        </w:rPr>
        <w:t>,</w:t>
      </w:r>
      <w:r>
        <w:rPr/>
        <w:t>其差额</w:t>
      </w:r>
      <w:r>
        <w:rPr>
          <w:spacing w:val="-83"/>
        </w:rPr>
        <w:t> </w:t>
      </w:r>
      <w:r>
        <w:rPr>
          <w:spacing w:val="-83"/>
        </w:rPr>
      </w:r>
      <w:r>
        <w:rPr/>
        <w:t>计入当期损益</w:t>
      </w:r>
      <w:r>
        <w:rPr>
          <w:rFonts w:ascii="宋体" w:hAnsi="宋体" w:cs="宋体" w:eastAsia="宋体" w:hint="default"/>
        </w:rPr>
        <w:t>,</w:t>
      </w:r>
      <w:r>
        <w:rPr/>
        <w:t>同时调整长期股权投资的成本。</w:t>
      </w:r>
    </w:p>
    <w:p>
      <w:pPr>
        <w:pStyle w:val="BodyText"/>
        <w:spacing w:line="316" w:lineRule="auto" w:before="137"/>
        <w:ind w:right="1130" w:firstLine="420"/>
        <w:jc w:val="both"/>
      </w:pPr>
      <w:r>
        <w:rPr>
          <w:spacing w:val="2"/>
        </w:rPr>
        <w:t>采用权益法时</w:t>
      </w:r>
      <w:r>
        <w:rPr>
          <w:rFonts w:ascii="宋体" w:hAnsi="宋体" w:cs="宋体" w:eastAsia="宋体" w:hint="default"/>
          <w:spacing w:val="2"/>
        </w:rPr>
        <w:t>,</w:t>
      </w:r>
      <w:r>
        <w:rPr>
          <w:spacing w:val="2"/>
        </w:rPr>
        <w:t>取得长期股权投资后</w:t>
      </w:r>
      <w:r>
        <w:rPr>
          <w:rFonts w:ascii="宋体" w:hAnsi="宋体" w:cs="宋体" w:eastAsia="宋体" w:hint="default"/>
          <w:spacing w:val="2"/>
        </w:rPr>
        <w:t>,</w:t>
      </w:r>
      <w:r>
        <w:rPr>
          <w:spacing w:val="2"/>
        </w:rPr>
        <w:t>按照应享有或应分担的被投资单位实现的净损益的份额</w:t>
      </w:r>
      <w:r>
        <w:rPr>
          <w:rFonts w:ascii="宋体" w:hAnsi="宋体" w:cs="宋体" w:eastAsia="宋体" w:hint="default"/>
          <w:spacing w:val="2"/>
        </w:rPr>
        <w:t>,</w:t>
      </w:r>
      <w:r>
        <w:rPr>
          <w:spacing w:val="2"/>
        </w:rPr>
        <w:t>确认投资损益并调整长</w:t>
      </w:r>
      <w:r>
        <w:rPr/>
        <w:t> 期股权投资的账面价值。在确认应享有被投资单位净损益的份额时</w:t>
      </w:r>
      <w:r>
        <w:rPr>
          <w:rFonts w:ascii="宋体" w:hAnsi="宋体" w:cs="宋体" w:eastAsia="宋体" w:hint="default"/>
        </w:rPr>
        <w:t>,</w:t>
      </w:r>
      <w:r>
        <w:rPr/>
        <w:t>以取得投资时被投资单位各项可辨认资产等的公允价值</w:t>
      </w:r>
      <w:r>
        <w:rPr>
          <w:spacing w:val="-82"/>
        </w:rPr>
        <w:t> </w:t>
      </w:r>
      <w:r>
        <w:rPr>
          <w:spacing w:val="-82"/>
        </w:rPr>
      </w:r>
      <w:r>
        <w:rPr/>
        <w:t>为基础</w:t>
      </w:r>
      <w:r>
        <w:rPr>
          <w:rFonts w:ascii="宋体" w:hAnsi="宋体" w:cs="宋体" w:eastAsia="宋体" w:hint="default"/>
        </w:rPr>
        <w:t>,</w:t>
      </w:r>
      <w:r>
        <w:rPr/>
        <w:t>按照本公司的会计政策及会计期间</w:t>
      </w:r>
      <w:r>
        <w:rPr>
          <w:rFonts w:ascii="宋体" w:hAnsi="宋体" w:cs="宋体" w:eastAsia="宋体" w:hint="default"/>
        </w:rPr>
        <w:t>,</w:t>
      </w:r>
      <w:r>
        <w:rPr/>
        <w:t>并抵销与联营企业及合营企业之间发生的内部交易损益按照持股比例计算归属</w:t>
      </w:r>
      <w:r>
        <w:rPr>
          <w:spacing w:val="-7"/>
        </w:rPr>
        <w:t> </w:t>
      </w:r>
      <w:r>
        <w:rPr>
          <w:spacing w:val="-7"/>
        </w:rPr>
      </w:r>
      <w:r>
        <w:rPr/>
        <w:t>于投资企业的部分</w:t>
      </w:r>
      <w:r>
        <w:rPr>
          <w:rFonts w:ascii="宋体" w:hAnsi="宋体" w:cs="宋体" w:eastAsia="宋体" w:hint="default"/>
        </w:rPr>
        <w:t>(</w:t>
      </w:r>
      <w:r>
        <w:rPr/>
        <w:t>但内部交易损失属于资产减值损失的</w:t>
      </w:r>
      <w:r>
        <w:rPr>
          <w:rFonts w:ascii="宋体" w:hAnsi="宋体" w:cs="宋体" w:eastAsia="宋体" w:hint="default"/>
        </w:rPr>
        <w:t>,</w:t>
      </w:r>
      <w:r>
        <w:rPr/>
        <w:t>应全额确认</w:t>
      </w:r>
      <w:r>
        <w:rPr>
          <w:rFonts w:ascii="宋体" w:hAnsi="宋体" w:cs="宋体" w:eastAsia="宋体" w:hint="default"/>
        </w:rPr>
        <w:t>)</w:t>
      </w:r>
      <w:r>
        <w:rPr/>
        <w:t>，对被投资单位的净利润进行调整后确认。按照被投</w:t>
      </w:r>
      <w:r>
        <w:rPr>
          <w:spacing w:val="-83"/>
        </w:rPr>
        <w:t> </w:t>
      </w:r>
      <w:r>
        <w:rPr>
          <w:spacing w:val="-83"/>
        </w:rPr>
      </w:r>
      <w:r>
        <w:rPr/>
        <w:t>资单位宣告分派的利润或现金股利计算应分得的部分</w:t>
      </w:r>
      <w:r>
        <w:rPr>
          <w:rFonts w:ascii="宋体" w:hAnsi="宋体" w:cs="宋体" w:eastAsia="宋体" w:hint="default"/>
        </w:rPr>
        <w:t>,</w:t>
      </w:r>
      <w:r>
        <w:rPr/>
        <w:t>相应减少长期股权投资的账面价值。本公司确认被投资单位发生的净</w:t>
      </w:r>
      <w:r>
        <w:rPr>
          <w:spacing w:val="-82"/>
        </w:rPr>
        <w:t> </w:t>
      </w:r>
      <w:r>
        <w:rPr>
          <w:spacing w:val="-82"/>
        </w:rPr>
      </w:r>
      <w:r>
        <w:rPr/>
        <w:t>亏损</w:t>
      </w:r>
      <w:r>
        <w:rPr>
          <w:rFonts w:ascii="宋体" w:hAnsi="宋体" w:cs="宋体" w:eastAsia="宋体" w:hint="default"/>
        </w:rPr>
        <w:t>,</w:t>
      </w:r>
      <w:r>
        <w:rPr/>
        <w:t>以长期股权投资的账面价值以及其他实质上构成对被投资单位净投资的长期权益减记至零为限</w:t>
      </w:r>
      <w:r>
        <w:rPr>
          <w:rFonts w:ascii="宋体" w:hAnsi="宋体" w:cs="宋体" w:eastAsia="宋体" w:hint="default"/>
        </w:rPr>
        <w:t>,</w:t>
      </w:r>
      <w:r>
        <w:rPr/>
        <w:t>本公司负有承担额外</w:t>
      </w:r>
      <w:r>
        <w:rPr>
          <w:spacing w:val="-1"/>
        </w:rPr>
        <w:t> </w:t>
      </w:r>
      <w:r>
        <w:rPr>
          <w:spacing w:val="-1"/>
        </w:rPr>
      </w:r>
      <w:r>
        <w:rPr/>
        <w:t>损失义务的除外。对于被投资单位除净损益以外所有者权益的其他变动</w:t>
      </w:r>
      <w:r>
        <w:rPr>
          <w:rFonts w:ascii="宋体" w:hAnsi="宋体" w:cs="宋体" w:eastAsia="宋体" w:hint="default"/>
        </w:rPr>
        <w:t>,</w:t>
      </w:r>
      <w:r>
        <w:rPr/>
        <w:t>调整长期股权投资的账面价值并计入所有者权益。</w:t>
      </w:r>
    </w:p>
    <w:p>
      <w:pPr>
        <w:pStyle w:val="BodyText"/>
        <w:spacing w:line="432" w:lineRule="exact" w:before="3"/>
        <w:ind w:left="574" w:right="1048"/>
        <w:jc w:val="left"/>
      </w:pPr>
      <w:r>
        <w:rPr>
          <w:rFonts w:ascii="宋体" w:hAnsi="宋体" w:cs="宋体" w:eastAsia="宋体" w:hint="default"/>
        </w:rPr>
        <w:t>3.</w:t>
      </w:r>
      <w:r>
        <w:rPr/>
        <w:t>确定对被投资单位具有控制、重大影响的依据 控制，是指拥有对被投资方的权力，通过参与被投资方的相关活动而享有可变回报，并且有能力运用对被投资方的权</w:t>
      </w:r>
    </w:p>
    <w:p>
      <w:pPr>
        <w:pStyle w:val="BodyText"/>
        <w:spacing w:line="316" w:lineRule="auto" w:before="15"/>
        <w:ind w:right="1048"/>
        <w:jc w:val="left"/>
      </w:pPr>
      <w:r>
        <w:rPr>
          <w:spacing w:val="-2"/>
        </w:rPr>
        <w:t>力影响回报金额；重大影响，是指投资方对被投资单位的财务和经营政策有参与决策的权力，但并不能够控制或者与其他方</w:t>
      </w:r>
      <w:r>
        <w:rPr>
          <w:spacing w:val="-65"/>
        </w:rPr>
        <w:t> </w:t>
      </w:r>
      <w:r>
        <w:rPr>
          <w:spacing w:val="-65"/>
        </w:rPr>
      </w:r>
      <w:r>
        <w:rPr/>
        <w:t>一起共同控制这些政策的制定。</w:t>
      </w:r>
    </w:p>
    <w:p>
      <w:pPr>
        <w:pStyle w:val="BodyText"/>
        <w:spacing w:line="240" w:lineRule="auto" w:before="139"/>
        <w:ind w:left="574" w:right="1048"/>
        <w:jc w:val="left"/>
      </w:pPr>
      <w:r>
        <w:rPr>
          <w:rFonts w:ascii="宋体" w:hAnsi="宋体" w:cs="宋体" w:eastAsia="宋体" w:hint="default"/>
        </w:rPr>
        <w:t>4.</w:t>
      </w:r>
      <w:r>
        <w:rPr/>
        <w:t>长期股权投资的处置</w:t>
      </w:r>
    </w:p>
    <w:p>
      <w:pPr>
        <w:pStyle w:val="BodyText"/>
        <w:spacing w:line="430" w:lineRule="atLeast" w:before="2"/>
        <w:ind w:left="574" w:right="1048"/>
        <w:jc w:val="left"/>
      </w:pPr>
      <w:r>
        <w:rPr/>
        <w:t>（</w:t>
      </w:r>
      <w:r>
        <w:rPr>
          <w:rFonts w:ascii="宋体" w:hAnsi="宋体" w:cs="宋体" w:eastAsia="宋体" w:hint="default"/>
        </w:rPr>
        <w:t>1</w:t>
      </w:r>
      <w:r>
        <w:rPr/>
        <w:t>）部分处置对子公司的长期股权投资，但不丧失控制权的情形 部分处置对子公司的长期股权投资，但不丧失控制权时，应当将处置价款与处置投资对应的账面价值的差额确认为当</w:t>
      </w:r>
    </w:p>
    <w:p>
      <w:pPr>
        <w:pStyle w:val="BodyText"/>
        <w:spacing w:line="240" w:lineRule="auto" w:before="76"/>
        <w:ind w:right="1048"/>
        <w:jc w:val="left"/>
      </w:pPr>
      <w:r>
        <w:rPr/>
        <w:t>期投资收益。</w:t>
      </w:r>
    </w:p>
    <w:p>
      <w:pPr>
        <w:pStyle w:val="BodyText"/>
        <w:spacing w:line="430" w:lineRule="atLeast" w:before="2"/>
        <w:ind w:left="574" w:right="1048"/>
        <w:jc w:val="left"/>
      </w:pPr>
      <w:r>
        <w:rPr/>
        <w:t>（</w:t>
      </w:r>
      <w:r>
        <w:rPr>
          <w:rFonts w:ascii="宋体" w:hAnsi="宋体" w:cs="宋体" w:eastAsia="宋体" w:hint="default"/>
        </w:rPr>
        <w:t>2</w:t>
      </w:r>
      <w:r>
        <w:rPr/>
        <w:t>）部分处置股权投资或其他原因丧失了对子公司控制权的情形 部分处置股权投资或其他原因丧失了对子公司控制权的，对于处置的股权，应结转与所售股权相对应的长期股权投资</w:t>
      </w:r>
    </w:p>
    <w:p>
      <w:pPr>
        <w:pStyle w:val="BodyText"/>
        <w:spacing w:line="316" w:lineRule="auto" w:before="76"/>
        <w:ind w:right="1048"/>
        <w:jc w:val="left"/>
      </w:pPr>
      <w:r>
        <w:rPr>
          <w:spacing w:val="-2"/>
        </w:rPr>
        <w:t>的账面价值，出售所得价款与处置长期股权投资账面价值之间差额，确认为投资收益（损失）；同时，对于剩余股权，应当</w:t>
      </w:r>
      <w:r>
        <w:rPr>
          <w:spacing w:val="-72"/>
        </w:rPr>
        <w:t> </w:t>
      </w:r>
      <w:r>
        <w:rPr>
          <w:spacing w:val="-72"/>
        </w:rPr>
      </w:r>
      <w:r>
        <w:rPr>
          <w:spacing w:val="-2"/>
        </w:rPr>
        <w:t>按其账面价值确认为长期股权投资或其它相关金融资产。处置后的剩余股权能够对子公司实施共同控制或重大影响的，应按</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439" w:lineRule="auto" w:before="44"/>
        <w:ind w:left="574" w:right="6792" w:hanging="420"/>
        <w:jc w:val="left"/>
      </w:pPr>
      <w:r>
        <w:rPr/>
        <w:t>有关成本法转为权益法的相关规定进行会计处理。 </w:t>
      </w:r>
      <w:r>
        <w:rPr>
          <w:rFonts w:ascii="宋体" w:hAnsi="宋体" w:cs="宋体" w:eastAsia="宋体" w:hint="default"/>
        </w:rPr>
        <w:t>5.</w:t>
      </w:r>
      <w:r>
        <w:rPr/>
        <w:t>减值测试方法及减值准备计提方法</w:t>
      </w:r>
    </w:p>
    <w:p>
      <w:pPr>
        <w:pStyle w:val="BodyText"/>
        <w:spacing w:line="319" w:lineRule="auto" w:before="47"/>
        <w:ind w:right="1048" w:firstLine="420"/>
        <w:jc w:val="left"/>
      </w:pPr>
      <w:r>
        <w:rPr/>
        <w:t>对子公司、联营企业及合营企业的投资，在资产负债表日有客观证据表明其发生减值的，按照账面价值与可收回金额 的差额计提相应的减值准备。</w:t>
      </w:r>
    </w:p>
    <w:p>
      <w:pPr>
        <w:spacing w:line="240" w:lineRule="auto" w:before="5"/>
        <w:rPr>
          <w:rFonts w:ascii="宋体" w:hAnsi="宋体" w:cs="宋体" w:eastAsia="宋体" w:hint="default"/>
          <w:sz w:val="22"/>
          <w:szCs w:val="22"/>
        </w:rPr>
      </w:pPr>
    </w:p>
    <w:p>
      <w:pPr>
        <w:pStyle w:val="Heading3"/>
        <w:spacing w:line="240" w:lineRule="auto"/>
        <w:ind w:right="1048"/>
        <w:jc w:val="left"/>
        <w:rPr>
          <w:b w:val="0"/>
          <w:bCs w:val="0"/>
        </w:rPr>
      </w:pPr>
      <w:bookmarkStart w:name="15、投资性房地产" w:id="183"/>
      <w:bookmarkEnd w:id="183"/>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right="1048"/>
        <w:jc w:val="left"/>
        <w:rPr>
          <w:b w:val="0"/>
          <w:bCs w:val="0"/>
        </w:rPr>
      </w:pPr>
      <w:bookmarkStart w:name="16、固定资产" w:id="184"/>
      <w:bookmarkEnd w:id="184"/>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8"/>
        <w:jc w:val="left"/>
        <w:rPr>
          <w:b w:val="0"/>
          <w:bCs w:val="0"/>
        </w:rPr>
      </w:pPr>
      <w:bookmarkStart w:name="（1）确认条件" w:id="185"/>
      <w:bookmarkEnd w:id="18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48"/>
        <w:jc w:val="left"/>
      </w:pPr>
      <w:r>
        <w:rPr>
          <w:spacing w:val="-2"/>
        </w:rPr>
        <w:t>固定资产是指为生产商品、提供劳务、出租或经营管理而持有的，使用年限超过一个会计年度的有形资产。固定资产以取得</w:t>
      </w:r>
      <w:r>
        <w:rPr>
          <w:spacing w:val="-66"/>
        </w:rPr>
        <w:t> </w:t>
      </w:r>
      <w:r>
        <w:rPr>
          <w:spacing w:val="-66"/>
        </w:rPr>
      </w:r>
      <w:r>
        <w:rPr/>
        <w:t>时的实际成本入账，并从其达到预定可使用状态的次月起采用年限平均法计提折旧。</w:t>
      </w:r>
    </w:p>
    <w:p>
      <w:pPr>
        <w:spacing w:line="240" w:lineRule="auto" w:before="3"/>
        <w:rPr>
          <w:rFonts w:ascii="宋体" w:hAnsi="宋体" w:cs="宋体" w:eastAsia="宋体" w:hint="default"/>
          <w:sz w:val="22"/>
          <w:szCs w:val="22"/>
        </w:rPr>
      </w:pPr>
    </w:p>
    <w:p>
      <w:pPr>
        <w:pStyle w:val="Heading3"/>
        <w:spacing w:line="240" w:lineRule="auto"/>
        <w:ind w:right="1048"/>
        <w:jc w:val="left"/>
        <w:rPr>
          <w:b w:val="0"/>
          <w:bCs w:val="0"/>
        </w:rPr>
      </w:pPr>
      <w:bookmarkStart w:name="（2）折旧方法" w:id="186"/>
      <w:bookmarkEnd w:id="18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19.00%-31.67%</w:t>
            </w:r>
          </w:p>
        </w:tc>
      </w:tr>
    </w:tbl>
    <w:p>
      <w:pPr>
        <w:spacing w:line="240" w:lineRule="auto" w:before="2"/>
        <w:rPr>
          <w:rFonts w:ascii="宋体" w:hAnsi="宋体" w:cs="宋体" w:eastAsia="宋体" w:hint="default"/>
          <w:b/>
          <w:bCs/>
          <w:sz w:val="19"/>
          <w:szCs w:val="19"/>
        </w:rPr>
      </w:pPr>
    </w:p>
    <w:p>
      <w:pPr>
        <w:pStyle w:val="Heading3"/>
        <w:spacing w:line="240" w:lineRule="auto" w:before="35"/>
        <w:ind w:right="1048"/>
        <w:jc w:val="left"/>
        <w:rPr>
          <w:b w:val="0"/>
          <w:bCs w:val="0"/>
        </w:rPr>
      </w:pPr>
      <w:bookmarkStart w:name="（3）融资租入固定资产的认定依据、计价和折旧方法" w:id="187"/>
      <w:bookmarkEnd w:id="187"/>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129" w:firstLine="360"/>
        <w:jc w:val="both"/>
      </w:pPr>
      <w:r>
        <w:rPr>
          <w:spacing w:val="-5"/>
        </w:rPr>
        <w:t>符合下列一项或数项标准的，认定为融资租赁：（</w:t>
      </w:r>
      <w:r>
        <w:rPr>
          <w:rFonts w:ascii="Times New Roman" w:hAnsi="Times New Roman" w:cs="Times New Roman" w:eastAsia="Times New Roman" w:hint="default"/>
          <w:spacing w:val="-5"/>
        </w:rPr>
        <w:t>1</w:t>
      </w:r>
      <w:r>
        <w:rPr>
          <w:spacing w:val="-5"/>
        </w:rPr>
        <w:t>）在租赁期届满时，租赁资产的所有权转移给承租人；（</w:t>
      </w:r>
      <w:r>
        <w:rPr>
          <w:rFonts w:ascii="Times New Roman" w:hAnsi="Times New Roman" w:cs="Times New Roman" w:eastAsia="Times New Roman" w:hint="default"/>
          <w:spacing w:val="-5"/>
        </w:rPr>
        <w:t>2</w:t>
      </w:r>
      <w:r>
        <w:rPr>
          <w:spacing w:val="-5"/>
        </w:rPr>
        <w:t>）承租人有</w:t>
      </w:r>
      <w:r>
        <w:rPr/>
        <w:t> </w:t>
      </w:r>
      <w:r>
        <w:rPr>
          <w:spacing w:val="-2"/>
        </w:rPr>
        <w:t>购买租赁资产的选择权，所订立的购买价款预计将远低于行使选择权时租赁资产的公允价值，因而在租赁开始日就可以合理</w:t>
      </w:r>
      <w:r>
        <w:rPr>
          <w:spacing w:val="-64"/>
        </w:rPr>
        <w:t> </w:t>
      </w:r>
      <w:r>
        <w:rPr>
          <w:spacing w:val="-64"/>
        </w:rPr>
      </w:r>
      <w:r>
        <w:rPr>
          <w:spacing w:val="-2"/>
        </w:rPr>
        <w:t>确定承租人将会行使这种选择权；（</w:t>
      </w:r>
      <w:r>
        <w:rPr>
          <w:rFonts w:ascii="Times New Roman" w:hAnsi="Times New Roman" w:cs="Times New Roman" w:eastAsia="Times New Roman" w:hint="default"/>
          <w:spacing w:val="-2"/>
        </w:rPr>
        <w:t>3</w:t>
      </w:r>
      <w:r>
        <w:rPr>
          <w:spacing w:val="-2"/>
        </w:rPr>
        <w:t>）即使资产的所有权不转移，但租赁期占租赁资产使用寿命的大部分</w:t>
      </w:r>
      <w:r>
        <w:rPr>
          <w:rFonts w:ascii="Times New Roman" w:hAnsi="Times New Roman" w:cs="Times New Roman" w:eastAsia="Times New Roman" w:hint="default"/>
          <w:spacing w:val="-2"/>
        </w:rPr>
        <w:t>[</w:t>
      </w:r>
      <w:r>
        <w:rPr>
          <w:spacing w:val="-2"/>
        </w:rPr>
        <w:t>通常占租赁资产</w:t>
      </w:r>
      <w:r>
        <w:rPr>
          <w:spacing w:val="-70"/>
        </w:rPr>
        <w:t> </w:t>
      </w:r>
      <w:r>
        <w:rPr/>
        <w:t>使用寿命的</w:t>
      </w:r>
      <w:r>
        <w:rPr>
          <w:spacing w:val="-29"/>
        </w:rPr>
        <w:t> </w:t>
      </w:r>
      <w:r>
        <w:rPr>
          <w:rFonts w:ascii="Times New Roman" w:hAnsi="Times New Roman" w:cs="Times New Roman" w:eastAsia="Times New Roman" w:hint="default"/>
        </w:rPr>
        <w:t>75%</w:t>
      </w:r>
      <w:r>
        <w:rPr/>
        <w:t>以上（含</w:t>
      </w:r>
      <w:r>
        <w:rPr>
          <w:spacing w:val="-29"/>
        </w:rPr>
        <w:t> </w:t>
      </w:r>
      <w:r>
        <w:rPr>
          <w:rFonts w:ascii="Times New Roman" w:hAnsi="Times New Roman" w:cs="Times New Roman" w:eastAsia="Times New Roman" w:hint="default"/>
          <w:spacing w:val="-3"/>
        </w:rPr>
        <w:t>75%</w:t>
      </w:r>
      <w:r>
        <w:rPr>
          <w:spacing w:val="-3"/>
        </w:rPr>
        <w:t>）</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4</w:t>
      </w:r>
      <w:r>
        <w:rPr>
          <w:spacing w:val="-3"/>
        </w:rPr>
        <w:t>）承租人在租赁开始日的最低租赁付款额现值，几乎相当于租赁开始日租赁资产公允</w:t>
      </w:r>
      <w:r>
        <w:rPr>
          <w:spacing w:val="-82"/>
        </w:rPr>
        <w:t> </w:t>
      </w:r>
      <w:r>
        <w:rPr>
          <w:spacing w:val="-82"/>
        </w:rPr>
      </w:r>
      <w:r>
        <w:rPr>
          <w:spacing w:val="-1"/>
        </w:rPr>
        <w:t>价值</w:t>
      </w:r>
      <w:r>
        <w:rPr>
          <w:rFonts w:ascii="Times New Roman" w:hAnsi="Times New Roman" w:cs="Times New Roman" w:eastAsia="Times New Roman" w:hint="default"/>
          <w:spacing w:val="-1"/>
        </w:rPr>
        <w:t>[90%</w:t>
      </w:r>
      <w:r>
        <w:rPr>
          <w:spacing w:val="-1"/>
        </w:rPr>
        <w:t>以上（含</w:t>
      </w:r>
      <w:r>
        <w:rPr>
          <w:spacing w:val="-33"/>
        </w:rPr>
        <w:t> </w:t>
      </w:r>
      <w:r>
        <w:rPr>
          <w:rFonts w:ascii="Times New Roman" w:hAnsi="Times New Roman" w:cs="Times New Roman" w:eastAsia="Times New Roman" w:hint="default"/>
          <w:spacing w:val="-1"/>
        </w:rPr>
        <w:t>90%</w:t>
      </w:r>
      <w:r>
        <w:rPr>
          <w:spacing w:val="-1"/>
        </w:rPr>
        <w:t>）</w:t>
      </w:r>
      <w:r>
        <w:rPr>
          <w:rFonts w:ascii="Times New Roman" w:hAnsi="Times New Roman" w:cs="Times New Roman" w:eastAsia="Times New Roman" w:hint="default"/>
          <w:spacing w:val="-1"/>
        </w:rPr>
        <w:t>]</w:t>
      </w:r>
      <w:r>
        <w:rPr>
          <w:spacing w:val="-1"/>
        </w:rPr>
        <w:t>；出租人在租赁开始日的最低租赁收款额现值，几乎相当于租赁开始日租赁资产公允价值</w:t>
      </w:r>
      <w:r>
        <w:rPr>
          <w:rFonts w:ascii="Times New Roman" w:hAnsi="Times New Roman" w:cs="Times New Roman" w:eastAsia="Times New Roman" w:hint="default"/>
          <w:spacing w:val="-1"/>
        </w:rPr>
        <w:t>[90%</w:t>
      </w:r>
      <w:r>
        <w:rPr>
          <w:spacing w:val="-1"/>
        </w:rPr>
        <w:t>以</w:t>
      </w:r>
      <w:r>
        <w:rPr>
          <w:spacing w:val="-86"/>
        </w:rPr>
        <w:t> </w:t>
      </w:r>
      <w:r>
        <w:rPr/>
        <w:t>上（含</w:t>
      </w:r>
      <w:r>
        <w:rPr>
          <w:spacing w:val="-37"/>
        </w:rPr>
        <w:t> </w:t>
      </w:r>
      <w:r>
        <w:rPr>
          <w:rFonts w:ascii="Times New Roman" w:hAnsi="Times New Roman" w:cs="Times New Roman" w:eastAsia="Times New Roman" w:hint="default"/>
          <w:spacing w:val="-2"/>
        </w:rPr>
        <w:t>90%</w:t>
      </w:r>
      <w:r>
        <w:rPr>
          <w:spacing w:val="-2"/>
        </w:rPr>
        <w:t>）</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5</w:t>
      </w:r>
      <w:r>
        <w:rPr>
          <w:spacing w:val="-2"/>
        </w:rPr>
        <w:t>）租赁资产性质特殊，如果不作较大改造，只有承租人才能使用。融资租入的固定资产，按租赁开始日</w:t>
      </w:r>
      <w:r>
        <w:rPr>
          <w:spacing w:val="-84"/>
        </w:rPr>
        <w:t> </w:t>
      </w:r>
      <w:r>
        <w:rPr/>
        <w:t>租赁资产的公允价值与最低租赁付款额的现值中较低者入账，按自有固定资产的折旧政策计提折旧。</w:t>
      </w:r>
    </w:p>
    <w:p>
      <w:pPr>
        <w:spacing w:line="240" w:lineRule="auto" w:before="1"/>
        <w:rPr>
          <w:rFonts w:ascii="宋体" w:hAnsi="宋体" w:cs="宋体" w:eastAsia="宋体" w:hint="default"/>
          <w:sz w:val="23"/>
          <w:szCs w:val="23"/>
        </w:rPr>
      </w:pPr>
    </w:p>
    <w:p>
      <w:pPr>
        <w:pStyle w:val="Heading3"/>
        <w:spacing w:line="240" w:lineRule="auto"/>
        <w:ind w:right="1048"/>
        <w:jc w:val="left"/>
        <w:rPr>
          <w:b w:val="0"/>
          <w:bCs w:val="0"/>
        </w:rPr>
      </w:pPr>
      <w:bookmarkStart w:name="17、在建工程" w:id="188"/>
      <w:bookmarkEnd w:id="188"/>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240" w:lineRule="auto" w:before="28"/>
        <w:ind w:left="574" w:right="1048"/>
        <w:jc w:val="left"/>
      </w:pPr>
      <w:r>
        <w:rPr>
          <w:rFonts w:ascii="宋体" w:hAnsi="宋体" w:cs="宋体" w:eastAsia="宋体" w:hint="default"/>
        </w:rPr>
        <w:t>1.</w:t>
      </w:r>
      <w:r>
        <w:rPr/>
        <w:t>在建工程达到预定可使用状态时，按工程实际成本转入固定资产。已达到预定可使用状态但尚未办理竣工决算的，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439" w:lineRule="auto" w:before="44"/>
        <w:ind w:left="574" w:right="1692" w:hanging="420"/>
        <w:jc w:val="left"/>
      </w:pPr>
      <w:r>
        <w:rPr/>
        <w:t>先按估计价值转入固定资产，待办理竣工决算后再按实际成本调整原暂估价值，但不再调整原已计提的折旧。 </w:t>
      </w:r>
      <w:r>
        <w:rPr>
          <w:rFonts w:ascii="宋体" w:hAnsi="宋体" w:cs="宋体" w:eastAsia="宋体" w:hint="default"/>
        </w:rPr>
        <w:t>2.</w:t>
      </w:r>
      <w:r>
        <w:rPr/>
        <w:t>资产负债表日，有迹象表明在建工程发生减值的，按照账面价值与可收回金额的差额计提相应的减值准备。</w:t>
      </w:r>
    </w:p>
    <w:p>
      <w:pPr>
        <w:spacing w:line="240" w:lineRule="auto" w:before="7"/>
        <w:rPr>
          <w:rFonts w:ascii="宋体" w:hAnsi="宋体" w:cs="宋体" w:eastAsia="宋体" w:hint="default"/>
          <w:sz w:val="15"/>
          <w:szCs w:val="15"/>
        </w:rPr>
      </w:pPr>
    </w:p>
    <w:p>
      <w:pPr>
        <w:pStyle w:val="Heading3"/>
        <w:spacing w:line="240" w:lineRule="auto"/>
        <w:ind w:right="1048"/>
        <w:jc w:val="left"/>
        <w:rPr>
          <w:b w:val="0"/>
          <w:bCs w:val="0"/>
        </w:rPr>
      </w:pPr>
      <w:bookmarkStart w:name="18、借款费用" w:id="189"/>
      <w:bookmarkEnd w:id="189"/>
      <w:r>
        <w:rPr>
          <w:b w:val="0"/>
          <w:bCs w:val="0"/>
        </w:rPr>
      </w:r>
      <w:r>
        <w:rPr>
          <w:rFonts w:ascii="Times New Roman" w:hAnsi="Times New Roman" w:cs="Times New Roman" w:eastAsia="Times New Roman" w:hint="default"/>
        </w:rPr>
        <w:t>18</w:t>
      </w:r>
      <w:r>
        <w:rPr/>
        <w:t>、借款费用</w:t>
      </w:r>
      <w:r>
        <w:rPr>
          <w:b w:val="0"/>
          <w:bCs w:val="0"/>
        </w:rPr>
      </w:r>
    </w:p>
    <w:p>
      <w:pPr>
        <w:pStyle w:val="BodyText"/>
        <w:spacing w:line="430" w:lineRule="atLeast" w:before="152"/>
        <w:ind w:left="574" w:right="1048"/>
        <w:jc w:val="left"/>
      </w:pPr>
      <w:r>
        <w:rPr>
          <w:rFonts w:ascii="宋体" w:hAnsi="宋体" w:cs="宋体" w:eastAsia="宋体" w:hint="default"/>
        </w:rPr>
        <w:t>1.</w:t>
      </w:r>
      <w:r>
        <w:rPr/>
        <w:t>借款费用资本化的确认原则 本公司发生的借款费用，可直接归属于符合资本化条件的资产的购建或者生产的，予以资本化，计入相关资产成本；</w:t>
      </w:r>
    </w:p>
    <w:p>
      <w:pPr>
        <w:pStyle w:val="BodyText"/>
        <w:spacing w:line="439" w:lineRule="auto" w:before="76"/>
        <w:ind w:left="574" w:right="6432" w:hanging="420"/>
        <w:jc w:val="left"/>
      </w:pPr>
      <w:r>
        <w:rPr/>
        <w:t>其他借款费用，在发生时确认为费用，计入当期损益。 </w:t>
      </w:r>
      <w:r>
        <w:rPr>
          <w:rFonts w:ascii="宋体" w:hAnsi="宋体" w:cs="宋体" w:eastAsia="宋体" w:hint="default"/>
        </w:rPr>
        <w:t>2</w:t>
      </w:r>
      <w:r>
        <w:rPr/>
        <w:t>．借款费用资本化期间</w:t>
      </w:r>
    </w:p>
    <w:p>
      <w:pPr>
        <w:pStyle w:val="BodyText"/>
        <w:spacing w:line="316" w:lineRule="auto" w:before="47"/>
        <w:ind w:right="1048" w:firstLine="420"/>
        <w:jc w:val="left"/>
      </w:pPr>
      <w:r>
        <w:rPr/>
        <w:t>（</w:t>
      </w:r>
      <w:r>
        <w:rPr>
          <w:rFonts w:ascii="宋体" w:hAnsi="宋体" w:cs="宋体" w:eastAsia="宋体" w:hint="default"/>
        </w:rPr>
        <w:t>1</w:t>
      </w:r>
      <w:r>
        <w:rPr/>
        <w:t>）当借款费用同时满足下列条件时，开始资本化：</w:t>
      </w:r>
      <w:r>
        <w:rPr>
          <w:rFonts w:ascii="宋体" w:hAnsi="宋体" w:cs="宋体" w:eastAsia="宋体" w:hint="default"/>
        </w:rPr>
        <w:t>1</w:t>
      </w:r>
      <w:r>
        <w:rPr/>
        <w:t>）资产支出已经发生；</w:t>
      </w:r>
      <w:r>
        <w:rPr>
          <w:rFonts w:ascii="宋体" w:hAnsi="宋体" w:cs="宋体" w:eastAsia="宋体" w:hint="default"/>
        </w:rPr>
        <w:t>2</w:t>
      </w:r>
      <w:r>
        <w:rPr/>
        <w:t>）借款费用已经发生；</w:t>
      </w:r>
      <w:r>
        <w:rPr>
          <w:rFonts w:ascii="宋体" w:hAnsi="宋体" w:cs="宋体" w:eastAsia="宋体" w:hint="default"/>
        </w:rPr>
        <w:t>3</w:t>
      </w:r>
      <w:r>
        <w:rPr/>
        <w:t>）为使资产达 到预定可使用或可销售状态所必要的购建或者生产活动已经开始。</w:t>
      </w:r>
    </w:p>
    <w:p>
      <w:pPr>
        <w:pStyle w:val="BodyText"/>
        <w:spacing w:line="316" w:lineRule="auto" w:before="139"/>
        <w:ind w:right="1048" w:firstLine="420"/>
        <w:jc w:val="left"/>
      </w:pPr>
      <w:r>
        <w:rPr/>
        <w:t>（</w:t>
      </w:r>
      <w:r>
        <w:rPr>
          <w:rFonts w:ascii="宋体" w:hAnsi="宋体" w:cs="宋体" w:eastAsia="宋体" w:hint="default"/>
        </w:rPr>
        <w:t>2</w:t>
      </w:r>
      <w:r>
        <w:rPr/>
        <w:t>）若符合资本化条件的资产在购建或者生产过程中发生非正常中断，并且中断时间连续超过</w:t>
      </w:r>
      <w:r>
        <w:rPr>
          <w:rFonts w:ascii="宋体" w:hAnsi="宋体" w:cs="宋体" w:eastAsia="宋体" w:hint="default"/>
        </w:rPr>
        <w:t>3</w:t>
      </w:r>
      <w:r>
        <w:rPr/>
        <w:t>个月，暂停借款费用 的资本化；中断期间发生的借款费用确认为当期费用，直至资产的购建或者生产活动重新开始。</w:t>
      </w:r>
    </w:p>
    <w:p>
      <w:pPr>
        <w:pStyle w:val="BodyText"/>
        <w:spacing w:line="432" w:lineRule="exact" w:before="3"/>
        <w:ind w:left="574" w:right="1048"/>
        <w:jc w:val="left"/>
      </w:pPr>
      <w:r>
        <w:rPr/>
        <w:t>（</w:t>
      </w:r>
      <w:r>
        <w:rPr>
          <w:rFonts w:ascii="宋体" w:hAnsi="宋体" w:cs="宋体" w:eastAsia="宋体" w:hint="default"/>
        </w:rPr>
        <w:t>3</w:t>
      </w:r>
      <w:r>
        <w:rPr/>
        <w:t>）当所购建或者生产符合资本化条件的资产达到预定可使用或可销售状态时，借款费用停止资本化。 </w:t>
      </w:r>
      <w:r>
        <w:rPr>
          <w:rFonts w:ascii="宋体" w:hAnsi="宋体" w:cs="宋体" w:eastAsia="宋体" w:hint="default"/>
        </w:rPr>
        <w:t>3</w:t>
      </w:r>
      <w:r>
        <w:rPr/>
        <w:t>．借款费用资本化金额 为购建或者生产符合资本化条件的资产而借入专门借款的，以专门借款当期实际发生的利息费用（包括按照实际利率</w:t>
      </w:r>
    </w:p>
    <w:p>
      <w:pPr>
        <w:pStyle w:val="BodyText"/>
        <w:spacing w:line="316" w:lineRule="auto" w:before="15"/>
        <w:ind w:right="1131"/>
        <w:jc w:val="both"/>
      </w:pPr>
      <w:r>
        <w:rPr>
          <w:spacing w:val="-2"/>
        </w:rPr>
        <w:t>法确定的折价或溢价的摊销），减去将尚未动用的借款资金存入银行取得的利息收入或进行暂时性投资取得的投资收益后的</w:t>
      </w:r>
      <w:r>
        <w:rPr>
          <w:spacing w:val="-64"/>
        </w:rPr>
        <w:t> </w:t>
      </w:r>
      <w:r>
        <w:rPr>
          <w:spacing w:val="-64"/>
        </w:rPr>
      </w:r>
      <w:r>
        <w:rPr>
          <w:spacing w:val="-2"/>
        </w:rPr>
        <w:t>金额，确定应予资本化的利息金额；为购建或者生产符合资本化条件的资产占用了一般借款的，根据累计资产支出超过专门</w:t>
      </w:r>
      <w:r>
        <w:rPr>
          <w:spacing w:val="-66"/>
        </w:rPr>
        <w:t> </w:t>
      </w:r>
      <w:r>
        <w:rPr>
          <w:spacing w:val="-66"/>
        </w:rPr>
      </w:r>
      <w:r>
        <w:rPr/>
        <w:t>借款的资产支出加权平均数乘以占用一般借款的资本化率，计算确定一般借款应予资本化的利息金额。</w:t>
      </w:r>
    </w:p>
    <w:p>
      <w:pPr>
        <w:spacing w:line="240" w:lineRule="auto" w:before="7"/>
        <w:rPr>
          <w:rFonts w:ascii="宋体" w:hAnsi="宋体" w:cs="宋体" w:eastAsia="宋体" w:hint="default"/>
          <w:sz w:val="22"/>
          <w:szCs w:val="22"/>
        </w:rPr>
      </w:pPr>
    </w:p>
    <w:p>
      <w:pPr>
        <w:pStyle w:val="Heading3"/>
        <w:spacing w:line="240" w:lineRule="auto"/>
        <w:ind w:right="1048"/>
        <w:jc w:val="left"/>
        <w:rPr>
          <w:b w:val="0"/>
          <w:bCs w:val="0"/>
        </w:rPr>
      </w:pPr>
      <w:bookmarkStart w:name="19、生物资产" w:id="190"/>
      <w:bookmarkEnd w:id="190"/>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20、油气资产" w:id="191"/>
      <w:bookmarkEnd w:id="191"/>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21、无形资产" w:id="192"/>
      <w:bookmarkEnd w:id="192"/>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8"/>
        <w:jc w:val="left"/>
        <w:rPr>
          <w:b w:val="0"/>
          <w:bCs w:val="0"/>
        </w:rPr>
      </w:pPr>
      <w:bookmarkStart w:name="（1）计价方法、使用寿命、减值测试" w:id="193"/>
      <w:bookmarkEnd w:id="193"/>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240" w:lineRule="auto" w:before="25"/>
        <w:ind w:left="574" w:right="1048"/>
        <w:jc w:val="left"/>
      </w:pPr>
      <w:r>
        <w:rPr>
          <w:rFonts w:ascii="宋体" w:hAnsi="宋体" w:cs="宋体" w:eastAsia="宋体" w:hint="default"/>
        </w:rPr>
        <w:t>1.</w:t>
      </w:r>
      <w:r>
        <w:rPr/>
        <w:t>无形资产包括土地使用权、软件、专利权及非专利技术等，按成本进行初始计量。</w:t>
      </w:r>
    </w:p>
    <w:p>
      <w:pPr>
        <w:spacing w:line="240" w:lineRule="auto" w:before="0"/>
        <w:rPr>
          <w:rFonts w:ascii="宋体" w:hAnsi="宋体" w:cs="宋体" w:eastAsia="宋体" w:hint="default"/>
          <w:sz w:val="15"/>
          <w:szCs w:val="15"/>
        </w:rPr>
      </w:pPr>
    </w:p>
    <w:p>
      <w:pPr>
        <w:pStyle w:val="BodyText"/>
        <w:spacing w:line="316" w:lineRule="auto"/>
        <w:ind w:right="1048" w:firstLine="420"/>
        <w:jc w:val="left"/>
      </w:pPr>
      <w:r>
        <w:rPr>
          <w:rFonts w:ascii="宋体" w:hAnsi="宋体" w:cs="宋体" w:eastAsia="宋体" w:hint="default"/>
        </w:rPr>
        <w:t>2.</w:t>
      </w:r>
      <w:r>
        <w:rPr/>
        <w:t>使用寿命有限的无形资产，在使用寿命内按照与该项无形资产有关的经济利益的预期实现方式系统合理地摊销，无 法可靠确定预期实现方式的，采用直线法摊销。具体年限如下：</w:t>
      </w:r>
    </w:p>
    <w:p>
      <w:pPr>
        <w:spacing w:line="240" w:lineRule="auto" w:before="11"/>
        <w:rPr>
          <w:rFonts w:ascii="宋体" w:hAnsi="宋体" w:cs="宋体" w:eastAsia="宋体" w:hint="default"/>
          <w:sz w:val="9"/>
          <w:szCs w:val="9"/>
        </w:rPr>
      </w:pPr>
    </w:p>
    <w:tbl>
      <w:tblPr>
        <w:tblW w:w="0" w:type="auto"/>
        <w:jc w:val="left"/>
        <w:tblInd w:w="153" w:type="dxa"/>
        <w:tblLayout w:type="fixed"/>
        <w:tblCellMar>
          <w:top w:w="0" w:type="dxa"/>
          <w:left w:w="0" w:type="dxa"/>
          <w:bottom w:w="0" w:type="dxa"/>
          <w:right w:w="0" w:type="dxa"/>
        </w:tblCellMar>
        <w:tblLook w:val="01E0"/>
      </w:tblPr>
      <w:tblGrid>
        <w:gridCol w:w="3651"/>
        <w:gridCol w:w="4855"/>
      </w:tblGrid>
      <w:tr>
        <w:trPr>
          <w:trHeight w:val="347" w:hRule="exact"/>
        </w:trPr>
        <w:tc>
          <w:tcPr>
            <w:tcW w:w="3651"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1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85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14" w:right="0"/>
              <w:jc w:val="center"/>
              <w:rPr>
                <w:rFonts w:ascii="宋体" w:hAnsi="宋体" w:cs="宋体" w:eastAsia="宋体" w:hint="default"/>
                <w:sz w:val="18"/>
                <w:szCs w:val="18"/>
              </w:rPr>
            </w:pPr>
            <w:r>
              <w:rPr>
                <w:rFonts w:ascii="宋体" w:hAnsi="宋体" w:cs="宋体" w:eastAsia="宋体" w:hint="default"/>
                <w:b/>
                <w:bCs/>
                <w:sz w:val="18"/>
                <w:szCs w:val="18"/>
              </w:rPr>
              <w:t>摊销年限（年）</w:t>
            </w:r>
            <w:r>
              <w:rPr>
                <w:rFonts w:ascii="宋体" w:hAnsi="宋体" w:cs="宋体" w:eastAsia="宋体" w:hint="default"/>
                <w:sz w:val="18"/>
                <w:szCs w:val="18"/>
              </w:rPr>
            </w:r>
          </w:p>
        </w:tc>
      </w:tr>
      <w:tr>
        <w:trPr>
          <w:trHeight w:val="347" w:hRule="exact"/>
        </w:trPr>
        <w:tc>
          <w:tcPr>
            <w:tcW w:w="3651"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14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485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16" w:right="0"/>
              <w:jc w:val="center"/>
              <w:rPr>
                <w:rFonts w:ascii="宋体" w:hAnsi="宋体" w:cs="宋体" w:eastAsia="宋体" w:hint="default"/>
                <w:sz w:val="18"/>
                <w:szCs w:val="18"/>
              </w:rPr>
            </w:pPr>
            <w:r>
              <w:rPr>
                <w:rFonts w:ascii="宋体" w:hAnsi="宋体" w:cs="宋体" w:eastAsia="宋体" w:hint="default"/>
                <w:sz w:val="18"/>
                <w:szCs w:val="18"/>
              </w:rPr>
              <w:t>土地使用权证规定年限</w:t>
            </w:r>
          </w:p>
        </w:tc>
      </w:tr>
      <w:tr>
        <w:trPr>
          <w:trHeight w:val="272" w:hRule="exact"/>
        </w:trPr>
        <w:tc>
          <w:tcPr>
            <w:tcW w:w="3651"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140"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4855"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left="116" w:right="0"/>
              <w:jc w:val="center"/>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tbl>
      <w:tblPr>
        <w:tblW w:w="0" w:type="auto"/>
        <w:jc w:val="left"/>
        <w:tblInd w:w="153" w:type="dxa"/>
        <w:tblLayout w:type="fixed"/>
        <w:tblCellMar>
          <w:top w:w="0" w:type="dxa"/>
          <w:left w:w="0" w:type="dxa"/>
          <w:bottom w:w="0" w:type="dxa"/>
          <w:right w:w="0" w:type="dxa"/>
        </w:tblCellMar>
        <w:tblLook w:val="01E0"/>
      </w:tblPr>
      <w:tblGrid>
        <w:gridCol w:w="4043"/>
        <w:gridCol w:w="4462"/>
      </w:tblGrid>
      <w:tr>
        <w:trPr>
          <w:trHeight w:val="682" w:hRule="exact"/>
        </w:trPr>
        <w:tc>
          <w:tcPr>
            <w:tcW w:w="404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114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4462"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2002" w:right="0"/>
              <w:jc w:val="left"/>
              <w:rPr>
                <w:rFonts w:ascii="Times New Roman" w:hAnsi="Times New Roman" w:cs="Times New Roman" w:eastAsia="Times New Roman" w:hint="default"/>
                <w:sz w:val="18"/>
                <w:szCs w:val="18"/>
              </w:rPr>
            </w:pPr>
            <w:r>
              <w:rPr>
                <w:rFonts w:ascii="Times New Roman"/>
                <w:sz w:val="18"/>
              </w:rPr>
              <w:t>10</w:t>
            </w:r>
          </w:p>
        </w:tc>
      </w:tr>
      <w:tr>
        <w:trPr>
          <w:trHeight w:val="272" w:hRule="exact"/>
        </w:trPr>
        <w:tc>
          <w:tcPr>
            <w:tcW w:w="4043"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14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4462"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left="2002" w:right="0"/>
              <w:jc w:val="left"/>
              <w:rPr>
                <w:rFonts w:ascii="Times New Roman" w:hAnsi="Times New Roman" w:cs="Times New Roman" w:eastAsia="Times New Roman" w:hint="default"/>
                <w:sz w:val="18"/>
                <w:szCs w:val="18"/>
              </w:rPr>
            </w:pPr>
            <w:r>
              <w:rPr>
                <w:rFonts w:ascii="Times New Roman"/>
                <w:sz w:val="18"/>
              </w:rPr>
              <w:t>10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19" w:lineRule="auto" w:before="44"/>
        <w:ind w:right="1050" w:firstLine="420"/>
        <w:jc w:val="both"/>
      </w:pPr>
      <w:r>
        <w:rPr/>
        <w:pict>
          <v:group style="position:absolute;margin-left:55.200001pt;margin-top:-70.988304pt;width:485pt;height:.1pt;mso-position-horizontal-relative:page;mso-position-vertical-relative:paragraph;z-index:-968608" coordorigin="1104,-1420" coordsize="9700,2">
            <v:shape style="position:absolute;left:1104;top:-1420;width:9700;height:2" coordorigin="1104,-1420" coordsize="9700,0" path="m1104,-1420l10804,-1420e" filled="false" stroked="true" strokeweight=".72pt" strokecolor="#000000">
              <v:path arrowok="t"/>
            </v:shape>
            <w10:wrap type="none"/>
          </v:group>
        </w:pict>
      </w:r>
      <w:r>
        <w:rPr>
          <w:rFonts w:ascii="宋体" w:hAnsi="宋体" w:cs="宋体" w:eastAsia="宋体" w:hint="default"/>
        </w:rPr>
        <w:t>3</w:t>
      </w:r>
      <w:r>
        <w:rPr/>
        <w:t>．使用寿命确定的无形资产，在资产负债表日有迹象表明发生减值的，按照账面价值与可收回金额的差额计提相应的 减值准备；使用寿命不确定的无形资产和尚未达到可使用状态的无形资产，无论是否存在减值迹象，每年均进行减值测试。</w:t>
      </w:r>
    </w:p>
    <w:p>
      <w:pPr>
        <w:spacing w:line="240" w:lineRule="auto" w:before="5"/>
        <w:rPr>
          <w:rFonts w:ascii="宋体" w:hAnsi="宋体" w:cs="宋体" w:eastAsia="宋体" w:hint="default"/>
          <w:sz w:val="22"/>
          <w:szCs w:val="22"/>
        </w:rPr>
      </w:pPr>
    </w:p>
    <w:p>
      <w:pPr>
        <w:pStyle w:val="Heading3"/>
        <w:spacing w:line="240" w:lineRule="auto"/>
        <w:ind w:right="1048"/>
        <w:jc w:val="left"/>
        <w:rPr>
          <w:b w:val="0"/>
          <w:bCs w:val="0"/>
        </w:rPr>
      </w:pPr>
      <w:bookmarkStart w:name="（2）内部研究开发支出会计政策" w:id="194"/>
      <w:bookmarkEnd w:id="194"/>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420"/>
        <w:jc w:val="both"/>
      </w:pPr>
      <w:r>
        <w:rPr/>
        <w:t>研究开发项目研究阶段的支出，于发生时计入当期损益。内部研究开发项目开发阶段的支出，同时满足下列条件的， </w:t>
      </w:r>
      <w:r>
        <w:rPr>
          <w:spacing w:val="-2"/>
        </w:rPr>
        <w:t>确认为无形资产：（</w:t>
      </w:r>
      <w:r>
        <w:rPr>
          <w:rFonts w:ascii="宋体" w:hAnsi="宋体" w:cs="宋体" w:eastAsia="宋体" w:hint="default"/>
          <w:spacing w:val="-2"/>
        </w:rPr>
        <w:t>1</w:t>
      </w:r>
      <w:r>
        <w:rPr>
          <w:spacing w:val="-2"/>
        </w:rPr>
        <w:t>）完成该无形资产以使其能够使用或出售在技术上具有可行性；（</w:t>
      </w:r>
      <w:r>
        <w:rPr>
          <w:rFonts w:ascii="宋体" w:hAnsi="宋体" w:cs="宋体" w:eastAsia="宋体" w:hint="default"/>
          <w:spacing w:val="-2"/>
        </w:rPr>
        <w:t>2</w:t>
      </w:r>
      <w:r>
        <w:rPr>
          <w:spacing w:val="-2"/>
        </w:rPr>
        <w:t>）具有完成该无形资产并使用或出</w:t>
      </w:r>
      <w:r>
        <w:rPr>
          <w:spacing w:val="-66"/>
        </w:rPr>
        <w:t> </w:t>
      </w:r>
      <w:r>
        <w:rPr>
          <w:spacing w:val="-66"/>
        </w:rPr>
      </w:r>
      <w:r>
        <w:rPr/>
        <w:t>售的意图；（</w:t>
      </w:r>
      <w:r>
        <w:rPr>
          <w:rFonts w:ascii="宋体" w:hAnsi="宋体" w:cs="宋体" w:eastAsia="宋体" w:hint="default"/>
        </w:rPr>
        <w:t>3</w:t>
      </w:r>
      <w:r>
        <w:rPr/>
        <w:t>）无形资产产生经济利益的方式，包括能够证明运用该无形资产生产的产品存在市场或无形资产自身存在市</w:t>
      </w:r>
      <w:r>
        <w:rPr>
          <w:spacing w:val="-83"/>
        </w:rPr>
        <w:t> </w:t>
      </w:r>
      <w:r>
        <w:rPr>
          <w:spacing w:val="-83"/>
        </w:rPr>
      </w:r>
      <w:r>
        <w:rPr/>
        <w:t>场，无形资产将在内部使用的，能证明其有用性；（</w:t>
      </w:r>
      <w:r>
        <w:rPr>
          <w:rFonts w:ascii="宋体" w:hAnsi="宋体" w:cs="宋体" w:eastAsia="宋体" w:hint="default"/>
        </w:rPr>
        <w:t>4</w:t>
      </w:r>
      <w:r>
        <w:rPr/>
        <w:t>）有足够的技术、财务资源和其他资源支持，以完成该无形资产的开</w:t>
      </w:r>
      <w:r>
        <w:rPr>
          <w:spacing w:val="-82"/>
        </w:rPr>
        <w:t> </w:t>
      </w:r>
      <w:r>
        <w:rPr>
          <w:spacing w:val="-82"/>
        </w:rPr>
      </w:r>
      <w:r>
        <w:rPr/>
        <w:t>发，并有能力使用或出售该无形资产；（</w:t>
      </w:r>
      <w:r>
        <w:rPr>
          <w:rFonts w:ascii="宋体" w:hAnsi="宋体" w:cs="宋体" w:eastAsia="宋体" w:hint="default"/>
        </w:rPr>
        <w:t>5</w:t>
      </w:r>
      <w:r>
        <w:rPr/>
        <w:t>）归属于该无形资产开发阶段的支出能够可靠地计量。</w:t>
      </w:r>
    </w:p>
    <w:p>
      <w:pPr>
        <w:pStyle w:val="BodyText"/>
        <w:spacing w:line="432" w:lineRule="exact" w:before="3"/>
        <w:ind w:left="574" w:right="1048"/>
        <w:jc w:val="left"/>
      </w:pPr>
      <w:r>
        <w:rPr/>
        <w:t>本公司划分内部研究开发项目研究阶段支出和开发阶段支出的具体标准： 研发阶段：为获取新的技术和知识等进行的有计划的调研以及通过技术可行性及经济可行性研究，立项前的阶段。 开发阶段：以样机的设计为起点包括建造装配、试验测试及达到预定可使用状态前发生的支出。 开发阶段具体资本化时间为： 完成前期的计划调研及可行性研究后，管理层内部通过《产品立项建议书（技术任务书》并已经开始了实质性的开发</w:t>
      </w:r>
    </w:p>
    <w:p>
      <w:pPr>
        <w:pStyle w:val="BodyText"/>
        <w:spacing w:line="240" w:lineRule="auto" w:before="15"/>
        <w:ind w:right="1048"/>
        <w:jc w:val="left"/>
      </w:pPr>
      <w:r>
        <w:rPr/>
        <w:t>设计投入。</w:t>
      </w:r>
    </w:p>
    <w:p>
      <w:pPr>
        <w:spacing w:line="240" w:lineRule="auto" w:before="1"/>
        <w:rPr>
          <w:rFonts w:ascii="宋体" w:hAnsi="宋体" w:cs="宋体" w:eastAsia="宋体" w:hint="default"/>
          <w:sz w:val="15"/>
          <w:szCs w:val="15"/>
        </w:rPr>
      </w:pPr>
    </w:p>
    <w:p>
      <w:pPr>
        <w:pStyle w:val="BodyText"/>
        <w:spacing w:line="240" w:lineRule="auto"/>
        <w:ind w:left="574" w:right="1048"/>
        <w:jc w:val="left"/>
      </w:pPr>
      <w:r>
        <w:rPr/>
        <w:t>开发支出确认为无形资产的条件（同时满足）：</w:t>
      </w:r>
    </w:p>
    <w:p>
      <w:pPr>
        <w:spacing w:line="240" w:lineRule="auto" w:before="0"/>
        <w:rPr>
          <w:rFonts w:ascii="宋体" w:hAnsi="宋体" w:cs="宋体" w:eastAsia="宋体" w:hint="default"/>
          <w:sz w:val="15"/>
          <w:szCs w:val="15"/>
        </w:rPr>
      </w:pPr>
    </w:p>
    <w:p>
      <w:pPr>
        <w:pStyle w:val="BodyText"/>
        <w:spacing w:line="240" w:lineRule="auto"/>
        <w:ind w:left="574" w:right="1048"/>
        <w:jc w:val="left"/>
      </w:pPr>
      <w:r>
        <w:rPr/>
        <w:t>（</w:t>
      </w:r>
      <w:r>
        <w:rPr>
          <w:rFonts w:ascii="宋体" w:hAnsi="宋体" w:cs="宋体" w:eastAsia="宋体" w:hint="default"/>
        </w:rPr>
        <w:t>1</w:t>
      </w:r>
      <w:r>
        <w:rPr/>
        <w:t>）研发项目至少取得一项相关证书或很可能取得相关证书：</w:t>
      </w:r>
    </w:p>
    <w:p>
      <w:pPr>
        <w:spacing w:line="240" w:lineRule="auto" w:before="0"/>
        <w:rPr>
          <w:rFonts w:ascii="宋体" w:hAnsi="宋体" w:cs="宋体" w:eastAsia="宋体" w:hint="default"/>
          <w:sz w:val="15"/>
          <w:szCs w:val="15"/>
        </w:rPr>
      </w:pPr>
    </w:p>
    <w:p>
      <w:pPr>
        <w:pStyle w:val="BodyText"/>
        <w:spacing w:line="240" w:lineRule="auto"/>
        <w:ind w:left="574" w:right="1048"/>
        <w:jc w:val="left"/>
      </w:pPr>
      <w:r>
        <w:rPr/>
        <w:t>①软件著作权证书；</w:t>
      </w:r>
    </w:p>
    <w:p>
      <w:pPr>
        <w:spacing w:line="240" w:lineRule="auto" w:before="0"/>
        <w:rPr>
          <w:rFonts w:ascii="宋体" w:hAnsi="宋体" w:cs="宋体" w:eastAsia="宋体" w:hint="default"/>
          <w:sz w:val="15"/>
          <w:szCs w:val="15"/>
        </w:rPr>
      </w:pPr>
    </w:p>
    <w:p>
      <w:pPr>
        <w:pStyle w:val="BodyText"/>
        <w:spacing w:line="240" w:lineRule="auto"/>
        <w:ind w:left="574" w:right="1048"/>
        <w:jc w:val="left"/>
      </w:pPr>
      <w:r>
        <w:rPr/>
        <w:t>②专利证书。</w:t>
      </w:r>
    </w:p>
    <w:p>
      <w:pPr>
        <w:spacing w:line="240" w:lineRule="auto" w:before="0"/>
        <w:rPr>
          <w:rFonts w:ascii="宋体" w:hAnsi="宋体" w:cs="宋体" w:eastAsia="宋体" w:hint="default"/>
          <w:sz w:val="15"/>
          <w:szCs w:val="15"/>
        </w:rPr>
      </w:pPr>
    </w:p>
    <w:p>
      <w:pPr>
        <w:pStyle w:val="BodyText"/>
        <w:spacing w:line="240" w:lineRule="auto"/>
        <w:ind w:left="574" w:right="1048"/>
        <w:jc w:val="left"/>
      </w:pPr>
      <w:r>
        <w:rPr/>
        <w:t>（</w:t>
      </w:r>
      <w:r>
        <w:rPr>
          <w:rFonts w:ascii="宋体" w:hAnsi="宋体" w:cs="宋体" w:eastAsia="宋体" w:hint="default"/>
        </w:rPr>
        <w:t>2</w:t>
      </w:r>
      <w:r>
        <w:rPr/>
        <w:t>）完成研发项目样机的设计与制造，符合批量性生产条件；</w:t>
      </w:r>
    </w:p>
    <w:p>
      <w:pPr>
        <w:spacing w:line="240" w:lineRule="auto" w:before="0"/>
        <w:rPr>
          <w:rFonts w:ascii="宋体" w:hAnsi="宋体" w:cs="宋体" w:eastAsia="宋体" w:hint="default"/>
          <w:sz w:val="15"/>
          <w:szCs w:val="15"/>
        </w:rPr>
      </w:pPr>
    </w:p>
    <w:p>
      <w:pPr>
        <w:pStyle w:val="BodyText"/>
        <w:spacing w:line="240" w:lineRule="auto"/>
        <w:ind w:left="574" w:right="1048"/>
        <w:jc w:val="left"/>
      </w:pPr>
      <w:r>
        <w:rPr/>
        <w:t>（</w:t>
      </w:r>
      <w:r>
        <w:rPr>
          <w:rFonts w:ascii="宋体" w:hAnsi="宋体" w:cs="宋体" w:eastAsia="宋体" w:hint="default"/>
        </w:rPr>
        <w:t>3</w:t>
      </w:r>
      <w:r>
        <w:rPr/>
        <w:t>）研发项目可转化为具有商业用途的产品，并可以最终对外销售；或签订了正式的销售意向合同；</w:t>
      </w:r>
    </w:p>
    <w:p>
      <w:pPr>
        <w:spacing w:line="240" w:lineRule="auto" w:before="0"/>
        <w:rPr>
          <w:rFonts w:ascii="宋体" w:hAnsi="宋体" w:cs="宋体" w:eastAsia="宋体" w:hint="default"/>
          <w:sz w:val="15"/>
          <w:szCs w:val="15"/>
        </w:rPr>
      </w:pPr>
    </w:p>
    <w:p>
      <w:pPr>
        <w:pStyle w:val="BodyText"/>
        <w:spacing w:line="316" w:lineRule="auto"/>
        <w:ind w:right="1132" w:firstLine="420"/>
        <w:jc w:val="both"/>
      </w:pPr>
      <w:r>
        <w:rPr>
          <w:spacing w:val="-2"/>
        </w:rPr>
        <w:t>（</w:t>
      </w:r>
      <w:r>
        <w:rPr>
          <w:rFonts w:ascii="宋体" w:hAnsi="宋体" w:cs="宋体" w:eastAsia="宋体" w:hint="default"/>
          <w:spacing w:val="-2"/>
        </w:rPr>
        <w:t>4</w:t>
      </w:r>
      <w:r>
        <w:rPr>
          <w:spacing w:val="-2"/>
        </w:rPr>
        <w:t>）研发的新产品已经符合行业标准，并取得相关测试合格证书，符合对外销售的条件，或者研发的产品在技术上已</w:t>
      </w:r>
      <w:r>
        <w:rPr/>
        <w:t> 经满足客户的技术标准。</w:t>
      </w:r>
    </w:p>
    <w:p>
      <w:pPr>
        <w:pStyle w:val="BodyText"/>
        <w:spacing w:line="316" w:lineRule="auto" w:before="139"/>
        <w:ind w:right="1133" w:firstLine="420"/>
        <w:jc w:val="both"/>
      </w:pPr>
      <w:r>
        <w:rPr/>
        <w:t>不满足上述条件的开发阶段的支出，于发生时计入当期损益。前期已计入损益的开发支出不在以后期间确认为资产。 已资本化的开发阶段的支出在资产负债表上列示为开发支出，自该项目达到预定可使用状态之日起转为无形资产。</w:t>
      </w:r>
    </w:p>
    <w:p>
      <w:pPr>
        <w:spacing w:line="240" w:lineRule="auto" w:before="7"/>
        <w:rPr>
          <w:rFonts w:ascii="宋体" w:hAnsi="宋体" w:cs="宋体" w:eastAsia="宋体" w:hint="default"/>
          <w:sz w:val="22"/>
          <w:szCs w:val="22"/>
        </w:rPr>
      </w:pPr>
    </w:p>
    <w:p>
      <w:pPr>
        <w:pStyle w:val="Heading3"/>
        <w:spacing w:line="240" w:lineRule="auto"/>
        <w:ind w:right="1048"/>
        <w:jc w:val="left"/>
        <w:rPr>
          <w:b w:val="0"/>
          <w:bCs w:val="0"/>
        </w:rPr>
      </w:pPr>
      <w:bookmarkStart w:name="22、长期资产减值" w:id="195"/>
      <w:bookmarkEnd w:id="195"/>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left="574" w:right="1692"/>
        <w:jc w:val="left"/>
      </w:pPr>
      <w:r>
        <w:rPr/>
        <w:t>企业应当在资产负债表日判断资产是否存在可能发生减值的迹象。 因企业合并所形成的商誉和使用寿命不确定的无形资产，无论是否存在减值迹象，每年都应当进行减值测试。 存在下列迹象的，表明资产可能发生了减值：</w:t>
      </w:r>
    </w:p>
    <w:p>
      <w:pPr>
        <w:pStyle w:val="BodyText"/>
        <w:spacing w:line="316" w:lineRule="auto" w:before="47"/>
        <w:ind w:right="1129" w:firstLine="420"/>
        <w:jc w:val="both"/>
      </w:pPr>
      <w:r>
        <w:rPr/>
        <w:t>（</w:t>
      </w:r>
      <w:r>
        <w:rPr>
          <w:rFonts w:ascii="宋体" w:hAnsi="宋体" w:cs="宋体" w:eastAsia="宋体" w:hint="default"/>
        </w:rPr>
        <w:t>1</w:t>
      </w:r>
      <w:r>
        <w:rPr/>
        <w:t>）资产的市价当期大幅度下跌，其跌幅明显高于因时间的推移或者正常使用而预计的下跌；（</w:t>
      </w:r>
      <w:r>
        <w:rPr>
          <w:rFonts w:ascii="宋体" w:hAnsi="宋体" w:cs="宋体" w:eastAsia="宋体" w:hint="default"/>
        </w:rPr>
        <w:t>2</w:t>
      </w:r>
      <w:r>
        <w:rPr/>
        <w:t>）企业经营所处的 经济、技术或者法律等环境以及资产所处的市场在当期或者将在近期发生重大变化，从而对企业产生不利影响；（</w:t>
      </w:r>
      <w:r>
        <w:rPr>
          <w:rFonts w:ascii="宋体" w:hAnsi="宋体" w:cs="宋体" w:eastAsia="宋体" w:hint="default"/>
        </w:rPr>
        <w:t>3</w:t>
      </w:r>
      <w:r>
        <w:rPr/>
        <w:t>）市场</w:t>
      </w:r>
      <w:r>
        <w:rPr>
          <w:spacing w:val="-83"/>
        </w:rPr>
        <w:t> </w:t>
      </w:r>
      <w:r>
        <w:rPr>
          <w:spacing w:val="-83"/>
        </w:rPr>
      </w:r>
      <w:r>
        <w:rPr/>
        <w:t>利率或者其他市场投资报酬率在当期已经提高，从而影响企业计算资产预计未来现金流量现值的折现率，</w:t>
      </w:r>
      <w:r>
        <w:rPr>
          <w:spacing w:val="9"/>
        </w:rPr>
        <w:t> </w:t>
      </w:r>
      <w:r>
        <w:rPr/>
        <w:t>导致资产可收回</w:t>
      </w:r>
    </w:p>
    <w:p>
      <w:pPr>
        <w:spacing w:after="0" w:line="316" w:lineRule="auto"/>
        <w:jc w:val="both"/>
        <w:sectPr>
          <w:footerReference w:type="default" r:id="rId21"/>
          <w:pgSz w:w="11910" w:h="16840"/>
          <w:pgMar w:footer="979" w:header="747"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316" w:lineRule="auto" w:before="44"/>
        <w:ind w:right="1131"/>
        <w:jc w:val="both"/>
      </w:pPr>
      <w:r>
        <w:rPr>
          <w:spacing w:val="-2"/>
        </w:rPr>
        <w:t>金额大幅度降低；（</w:t>
      </w:r>
      <w:r>
        <w:rPr>
          <w:rFonts w:ascii="宋体" w:hAnsi="宋体" w:cs="宋体" w:eastAsia="宋体" w:hint="default"/>
          <w:spacing w:val="-2"/>
        </w:rPr>
        <w:t>4</w:t>
      </w:r>
      <w:r>
        <w:rPr>
          <w:spacing w:val="-2"/>
        </w:rPr>
        <w:t>）有证据表明资产已经陈旧过时或者其实体已经损坏；（</w:t>
      </w:r>
      <w:r>
        <w:rPr>
          <w:rFonts w:ascii="宋体" w:hAnsi="宋体" w:cs="宋体" w:eastAsia="宋体" w:hint="default"/>
          <w:spacing w:val="-2"/>
        </w:rPr>
        <w:t>5</w:t>
      </w:r>
      <w:r>
        <w:rPr>
          <w:spacing w:val="-2"/>
        </w:rPr>
        <w:t>）资产已经或者将被闲置、终止使用或者计</w:t>
      </w:r>
      <w:r>
        <w:rPr>
          <w:spacing w:val="-64"/>
        </w:rPr>
        <w:t> </w:t>
      </w:r>
      <w:r>
        <w:rPr>
          <w:spacing w:val="-64"/>
        </w:rPr>
      </w:r>
      <w:r>
        <w:rPr/>
        <w:t>划提前处置；（</w:t>
      </w:r>
      <w:r>
        <w:rPr>
          <w:rFonts w:ascii="宋体" w:hAnsi="宋体" w:cs="宋体" w:eastAsia="宋体" w:hint="default"/>
        </w:rPr>
        <w:t>6</w:t>
      </w:r>
      <w:r>
        <w:rPr/>
        <w:t>）企业内部报告的证据表明资产的经济绩效已经低于或者将低于预期，如资产所创造的净现金流量或者实</w:t>
      </w:r>
      <w:r>
        <w:rPr>
          <w:spacing w:val="-83"/>
        </w:rPr>
        <w:t> </w:t>
      </w:r>
      <w:r>
        <w:rPr>
          <w:spacing w:val="-83"/>
        </w:rPr>
      </w:r>
      <w:r>
        <w:rPr/>
        <w:t>现的营业利润（或者亏损）远远低于（或者高于）预计金额等；（</w:t>
      </w:r>
      <w:r>
        <w:rPr>
          <w:rFonts w:ascii="宋体" w:hAnsi="宋体" w:cs="宋体" w:eastAsia="宋体" w:hint="default"/>
        </w:rPr>
        <w:t>7</w:t>
      </w:r>
      <w:r>
        <w:rPr/>
        <w:t>）其他表明资产可能已经发生减值的迹象。</w:t>
      </w:r>
    </w:p>
    <w:p>
      <w:pPr>
        <w:pStyle w:val="BodyText"/>
        <w:spacing w:line="439" w:lineRule="auto" w:before="139"/>
        <w:ind w:left="574" w:right="1048"/>
        <w:jc w:val="left"/>
      </w:pPr>
      <w:r>
        <w:rPr/>
        <w:t>资产存在减值迹象的，应当估计其可收回金额。 可收回金额应当根据资产的公允价值减去处置费用后的净额与资产预计未来现金流量的现值两者之间较高者确定。 处置费用包括与资产处置有关的法律费用、相关税费、搬运费以及为使资产达到可销售状态所发生的直接费用等。</w:t>
      </w:r>
    </w:p>
    <w:p>
      <w:pPr>
        <w:pStyle w:val="BodyText"/>
        <w:spacing w:line="316" w:lineRule="auto" w:before="47"/>
        <w:ind w:right="1133" w:firstLine="420"/>
        <w:jc w:val="both"/>
      </w:pPr>
      <w:r>
        <w:rPr/>
        <w:t>资产预计未来现金流量的现值，应当按照资产在持续使用过程中和最终处置时所产生的预计未来现金流量，选择恰当 </w:t>
      </w:r>
      <w:r>
        <w:rPr>
          <w:spacing w:val="-2"/>
        </w:rPr>
        <w:t>的折现率对其进行折现后的金额加以确定。预计资产未来现金流量的现值，应当综合考虑资产的预计未来现金流量、使用寿</w:t>
      </w:r>
      <w:r>
        <w:rPr>
          <w:spacing w:val="-66"/>
        </w:rPr>
        <w:t> </w:t>
      </w:r>
      <w:r>
        <w:rPr>
          <w:spacing w:val="-66"/>
        </w:rPr>
      </w:r>
      <w:r>
        <w:rPr/>
        <w:t>命和折现率等因素。</w:t>
      </w:r>
    </w:p>
    <w:p>
      <w:pPr>
        <w:pStyle w:val="BodyText"/>
        <w:spacing w:line="316" w:lineRule="auto" w:before="139"/>
        <w:ind w:right="1048"/>
        <w:jc w:val="left"/>
      </w:pPr>
      <w:r>
        <w:rPr>
          <w:spacing w:val="-2"/>
        </w:rPr>
        <w:t>可收回金额的计量结果表明，资产的可收回金额低于其账面价值的，应当将资产的账面价值减记至可收回金额，减记的金额</w:t>
      </w:r>
      <w:r>
        <w:rPr>
          <w:spacing w:val="-66"/>
        </w:rPr>
        <w:t> </w:t>
      </w:r>
      <w:r>
        <w:rPr>
          <w:spacing w:val="-66"/>
        </w:rPr>
      </w:r>
      <w:r>
        <w:rPr/>
        <w:t>确认为资产减值损失，计入当期损益，同时计提相应的资产减值准备。</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3、长期待摊费用" w:id="196"/>
      <w:bookmarkEnd w:id="196"/>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420"/>
        <w:jc w:val="both"/>
      </w:pPr>
      <w:r>
        <w:rPr/>
        <w:t>长期待摊费用按实际发生额入账，在受益期或规定的期限内分期平均摊销。如果长期待摊的费用项目不能使以后会计 期间受益则将尚未摊销的该项目的摊余价值全部转入当期损益。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4、职工薪酬" w:id="197"/>
      <w:bookmarkEnd w:id="197"/>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短期薪酬的会计处理方法" w:id="198"/>
      <w:bookmarkEnd w:id="198"/>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20"/>
        <w:jc w:val="both"/>
      </w:pPr>
      <w:r>
        <w:rPr/>
        <w:t>本公司在职工提供服务的会计期间，将实际发生的短期薪酬确认为负债，并计入当期损益或相关资产成本。其中，非 货币性福利按照公允价值计量。</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离职后福利的会计处理方法" w:id="199"/>
      <w:bookmarkEnd w:id="199"/>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3）辞退福利的会计处理方法" w:id="200"/>
      <w:bookmarkEnd w:id="200"/>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420"/>
        <w:jc w:val="both"/>
      </w:pPr>
      <w:r>
        <w:rPr/>
        <w:t>本公司在职工劳动合同到期之前解除与职工的劳动关系、或者为鼓励职工自愿接受裁减而提出给予补偿，在本公司不 </w:t>
      </w:r>
      <w:r>
        <w:rPr>
          <w:spacing w:val="-2"/>
        </w:rPr>
        <w:t>能单方面撤回解除劳动关系计划或裁减建议时和确认与涉及支付辞退福利的重组相关的成本费用时两者孰早日，确认因解除</w:t>
      </w:r>
      <w:r>
        <w:rPr>
          <w:spacing w:val="-64"/>
        </w:rPr>
        <w:t> </w:t>
      </w:r>
      <w:r>
        <w:rPr>
          <w:spacing w:val="-64"/>
        </w:rPr>
      </w:r>
      <w:r>
        <w:rPr/>
        <w:t>与职工的劳动关系给予补偿而产生的负债，同时计入当期损益。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4）其他长期职工福利的会计处理方法" w:id="201"/>
      <w:bookmarkEnd w:id="201"/>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2" w:firstLine="420"/>
        <w:jc w:val="left"/>
      </w:pPr>
      <w:r>
        <w:rPr/>
        <w:t>本公司职工参加了由当地劳动和社会保障部门组织实施的社会基本养老保险。本公司以当地规定的社会基本养老保险 </w:t>
      </w:r>
      <w:r>
        <w:rPr>
          <w:spacing w:val="-2"/>
        </w:rPr>
        <w:t>缴纳基数和比例，按月向当地社会基本养老保险经办机构缴纳养老保险费。职工退休后，当地劳动及社会保障部门有责任向</w:t>
      </w:r>
      <w:r>
        <w:rPr>
          <w:spacing w:val="-66"/>
        </w:rPr>
        <w:t> </w:t>
      </w:r>
      <w:r>
        <w:rPr>
          <w:spacing w:val="-66"/>
        </w:rPr>
      </w:r>
      <w:r>
        <w:rPr/>
        <w:t>已退休员工支付社会基本养老金。本公司在职工提供服务的会计期间，将根据上述社保规定计算应缴纳的金额确认为负债， 并计入当期损益或相关资产成本。</w:t>
      </w:r>
    </w:p>
    <w:p>
      <w:pPr>
        <w:spacing w:after="0" w:line="319" w:lineRule="auto"/>
        <w:jc w:val="left"/>
        <w:sectPr>
          <w:footerReference w:type="default" r:id="rId22"/>
          <w:pgSz w:w="11910" w:h="16840"/>
          <w:pgMar w:footer="979" w:header="747" w:top="1060" w:bottom="1160" w:left="980" w:right="0"/>
          <w:pgNumType w:start="101"/>
        </w:sectPr>
      </w:pPr>
    </w:p>
    <w:p>
      <w:pPr>
        <w:spacing w:line="240" w:lineRule="auto" w:before="10"/>
        <w:rPr>
          <w:rFonts w:ascii="宋体" w:hAnsi="宋体" w:cs="宋体" w:eastAsia="宋体" w:hint="default"/>
          <w:sz w:val="24"/>
          <w:szCs w:val="24"/>
        </w:rPr>
      </w:pPr>
    </w:p>
    <w:p>
      <w:pPr>
        <w:pStyle w:val="Heading3"/>
        <w:spacing w:line="240" w:lineRule="auto" w:before="35"/>
        <w:ind w:right="1048"/>
        <w:jc w:val="left"/>
        <w:rPr>
          <w:b w:val="0"/>
          <w:bCs w:val="0"/>
        </w:rPr>
      </w:pPr>
      <w:bookmarkStart w:name="25、预计负债" w:id="202"/>
      <w:bookmarkEnd w:id="202"/>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8" w:firstLine="420"/>
        <w:jc w:val="left"/>
      </w:pPr>
      <w:r>
        <w:rPr>
          <w:rFonts w:ascii="宋体" w:hAnsi="宋体" w:cs="宋体" w:eastAsia="宋体" w:hint="default"/>
        </w:rPr>
        <w:t>1.</w:t>
      </w:r>
      <w:r>
        <w:rPr/>
        <w:t>因对外提供担保、诉讼事项、产品质量保证、亏损合同等或有事项形成的义务成为本公司承担的现时义务，履行该 义务很可能导致经济利益流出本公司，且该义务的金额能够可靠的计量时，本公司将该项义务确认为预计负债。</w:t>
      </w:r>
    </w:p>
    <w:p>
      <w:pPr>
        <w:pStyle w:val="BodyText"/>
        <w:spacing w:line="316" w:lineRule="auto" w:before="139"/>
        <w:ind w:right="1048" w:firstLine="420"/>
        <w:jc w:val="left"/>
      </w:pPr>
      <w:r>
        <w:rPr>
          <w:rFonts w:ascii="宋体" w:hAnsi="宋体" w:cs="宋体" w:eastAsia="宋体" w:hint="default"/>
        </w:rPr>
        <w:t>2.</w:t>
      </w:r>
      <w:r>
        <w:rPr/>
        <w:t>本公司按照履行相关现时义务所需支出的最佳估计数对预计负债进行初始计量，并在资产负债表日对预计负债的账 面价值进行复核。</w:t>
      </w:r>
    </w:p>
    <w:p>
      <w:pPr>
        <w:spacing w:line="240" w:lineRule="auto" w:before="7"/>
        <w:rPr>
          <w:rFonts w:ascii="宋体" w:hAnsi="宋体" w:cs="宋体" w:eastAsia="宋体" w:hint="default"/>
          <w:sz w:val="22"/>
          <w:szCs w:val="22"/>
        </w:rPr>
      </w:pPr>
    </w:p>
    <w:p>
      <w:pPr>
        <w:pStyle w:val="Heading3"/>
        <w:spacing w:line="240" w:lineRule="auto"/>
        <w:ind w:right="1048"/>
        <w:jc w:val="left"/>
        <w:rPr>
          <w:b w:val="0"/>
          <w:bCs w:val="0"/>
        </w:rPr>
      </w:pPr>
      <w:bookmarkStart w:name="26、股份支付" w:id="203"/>
      <w:bookmarkEnd w:id="203"/>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27、优先股、永续债等其他金融工具" w:id="204"/>
      <w:bookmarkEnd w:id="204"/>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28、收入" w:id="205"/>
      <w:bookmarkEnd w:id="205"/>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240" w:lineRule="auto" w:before="25"/>
        <w:ind w:left="574" w:right="1048"/>
        <w:jc w:val="left"/>
      </w:pPr>
      <w:r>
        <w:rPr>
          <w:rFonts w:ascii="宋体" w:hAnsi="宋体" w:cs="宋体" w:eastAsia="宋体" w:hint="default"/>
        </w:rPr>
        <w:t>1.</w:t>
      </w:r>
      <w:r>
        <w:rPr/>
        <w:t>销售商品</w:t>
      </w:r>
    </w:p>
    <w:p>
      <w:pPr>
        <w:spacing w:line="240" w:lineRule="auto" w:before="0"/>
        <w:rPr>
          <w:rFonts w:ascii="宋体" w:hAnsi="宋体" w:cs="宋体" w:eastAsia="宋体" w:hint="default"/>
          <w:sz w:val="15"/>
          <w:szCs w:val="15"/>
        </w:rPr>
      </w:pPr>
    </w:p>
    <w:p>
      <w:pPr>
        <w:pStyle w:val="BodyText"/>
        <w:spacing w:line="319" w:lineRule="auto"/>
        <w:ind w:right="1048" w:firstLine="420"/>
        <w:jc w:val="left"/>
      </w:pPr>
      <w:r>
        <w:rPr/>
        <w:t>本公司主要销售产品为环网柜、柱上开关（户外开关）、箱式变电站、电缆附件、变压器、其他开关类等。在销售合 </w:t>
      </w:r>
      <w:r>
        <w:rPr>
          <w:spacing w:val="-2"/>
        </w:rPr>
        <w:t>同（订单）已经签订，相关产品已经发出交付客户，已将商品所有权上的主要风险和报酬转移给买方，既没有保留通常与所</w:t>
      </w:r>
      <w:r>
        <w:rPr>
          <w:spacing w:val="-66"/>
        </w:rPr>
        <w:t> </w:t>
      </w:r>
      <w:r>
        <w:rPr>
          <w:spacing w:val="-66"/>
        </w:rPr>
      </w:r>
      <w:r>
        <w:rPr>
          <w:spacing w:val="-4"/>
        </w:rPr>
        <w:t>有权相联系的继续管理权，也没有对已售商品实施有效控制，收入的金额能够可靠地计量，相关的经济利益很可能流入企业，</w:t>
      </w:r>
      <w:r>
        <w:rPr>
          <w:spacing w:val="-44"/>
        </w:rPr>
        <w:t> </w:t>
      </w:r>
      <w:r>
        <w:rPr>
          <w:spacing w:val="-44"/>
        </w:rPr>
      </w:r>
      <w:r>
        <w:rPr/>
        <w:t>相关的已发生或将发生的成本能够可靠地计量时，确认商品销售收入的实现。</w:t>
      </w:r>
    </w:p>
    <w:p>
      <w:pPr>
        <w:pStyle w:val="BodyText"/>
        <w:spacing w:line="316" w:lineRule="auto" w:before="137"/>
        <w:ind w:right="1132" w:firstLine="420"/>
        <w:jc w:val="both"/>
      </w:pPr>
      <w:r>
        <w:rPr/>
        <w:t>在具体业务中，本公司一般按合同约定的期限内，将产品运至买方指定地点，并安装测试、正常运行后确认收入，但 </w:t>
      </w:r>
      <w:r>
        <w:rPr>
          <w:spacing w:val="-2"/>
        </w:rPr>
        <w:t>如果在合同中明确规定为到货后开箱验收合格后，可支付除质保金以外的全部货款，即以开箱验收合格后确认收入；其他小</w:t>
      </w:r>
      <w:r>
        <w:rPr>
          <w:spacing w:val="-66"/>
        </w:rPr>
        <w:t> </w:t>
      </w:r>
      <w:r>
        <w:rPr>
          <w:spacing w:val="-66"/>
        </w:rPr>
      </w:r>
      <w:r>
        <w:rPr/>
        <w:t>型配件类产品（如指示器和电缆附件）单独销售时一般以客户收到产品并验收合格后即确认收入。</w:t>
      </w:r>
    </w:p>
    <w:p>
      <w:pPr>
        <w:pStyle w:val="BodyText"/>
        <w:spacing w:line="316" w:lineRule="auto" w:before="139"/>
        <w:ind w:right="1048" w:firstLine="420"/>
        <w:jc w:val="left"/>
      </w:pPr>
      <w:r>
        <w:rPr/>
        <w:t>本公司之子公司湖南雅城主要销售产品为四氧化三钴、氢氧化钴、磷酸铁等。在具体业务中，国内销售业务一般按合 </w:t>
      </w:r>
      <w:r>
        <w:rPr>
          <w:spacing w:val="-4"/>
        </w:rPr>
        <w:t>同约定的期限内，将产品运至买方指定地点，并验收合格后即确认收入；出口业务一般按与对方签的合同约定离岸价格结算，</w:t>
      </w:r>
      <w:r>
        <w:rPr>
          <w:spacing w:val="-44"/>
        </w:rPr>
        <w:t> </w:t>
      </w:r>
      <w:r>
        <w:rPr>
          <w:spacing w:val="-44"/>
        </w:rPr>
      </w:r>
      <w:r>
        <w:rPr/>
        <w:t>货物由公司运送到指定港口，上船后即确认收入。</w:t>
      </w:r>
    </w:p>
    <w:p>
      <w:pPr>
        <w:pStyle w:val="BodyText"/>
        <w:spacing w:line="432" w:lineRule="exact" w:before="3"/>
        <w:ind w:left="574" w:right="1152"/>
        <w:jc w:val="left"/>
      </w:pPr>
      <w:r>
        <w:rPr>
          <w:rFonts w:ascii="宋体" w:hAnsi="宋体" w:cs="宋体" w:eastAsia="宋体" w:hint="default"/>
        </w:rPr>
        <w:t>2.</w:t>
      </w:r>
      <w:r>
        <w:rPr/>
        <w:t>提供劳务 提供劳务交易的结果在资产负债表日能够可靠估计的（同时满足收入的金额能够可靠地计量、相关经济利益很可能流</w:t>
      </w:r>
    </w:p>
    <w:p>
      <w:pPr>
        <w:pStyle w:val="BodyText"/>
        <w:spacing w:line="316" w:lineRule="auto" w:before="15"/>
        <w:ind w:right="1131"/>
        <w:jc w:val="both"/>
      </w:pPr>
      <w:r>
        <w:rPr>
          <w:spacing w:val="-2"/>
        </w:rPr>
        <w:t>入、交易的完工进度能够可靠地确定、交易中已发生和将发生的成本能够可靠地计量），采用完工百分比法确认提供劳务的</w:t>
      </w:r>
      <w:r>
        <w:rPr>
          <w:spacing w:val="-66"/>
        </w:rPr>
        <w:t> </w:t>
      </w:r>
      <w:r>
        <w:rPr>
          <w:spacing w:val="-66"/>
        </w:rPr>
      </w:r>
      <w:r>
        <w:rPr>
          <w:spacing w:val="-2"/>
        </w:rPr>
        <w:t>收入，并按已经发生的成本占估计总成本的比例确定提供劳务交易的完工进度。提供劳务交易的结果在资产负债表日不能够</w:t>
      </w:r>
      <w:r>
        <w:rPr>
          <w:spacing w:val="-64"/>
        </w:rPr>
        <w:t> </w:t>
      </w:r>
      <w:r>
        <w:rPr>
          <w:spacing w:val="-64"/>
        </w:rPr>
      </w:r>
      <w:r>
        <w:rPr>
          <w:spacing w:val="-2"/>
        </w:rPr>
        <w:t>可靠估计的，若已经发生的劳务成本预计能够得到补偿，按已经发生的劳务成本金额确认提供劳务收入，并按相同金额结转</w:t>
      </w:r>
      <w:r>
        <w:rPr>
          <w:spacing w:val="-66"/>
        </w:rPr>
        <w:t> </w:t>
      </w:r>
      <w:r>
        <w:rPr>
          <w:spacing w:val="-66"/>
        </w:rPr>
      </w:r>
      <w:r>
        <w:rPr/>
        <w:t>劳务成本；若已经发生的劳务成本预计不能够得到补偿，将已经发生的劳务成本计入当期损益，不确认劳务收入。</w:t>
      </w:r>
    </w:p>
    <w:p>
      <w:pPr>
        <w:pStyle w:val="BodyText"/>
        <w:spacing w:line="319" w:lineRule="auto" w:before="139"/>
        <w:ind w:right="1133" w:firstLine="420"/>
        <w:jc w:val="both"/>
      </w:pPr>
      <w:r>
        <w:rPr/>
        <w:t>本公司与其他企业签订的合同或协议包括销售商品和提供劳务时，如销售商品部分和提供劳务部分能够区分并单独计 </w:t>
      </w:r>
      <w:r>
        <w:rPr>
          <w:spacing w:val="-2"/>
        </w:rPr>
        <w:t>量的，将销售商品部分和提供劳务部分分别处理；如销售商品部分和提供劳务部分不能够区分，或虽能区分但不能够单独计</w:t>
      </w:r>
      <w:r>
        <w:rPr>
          <w:spacing w:val="-66"/>
        </w:rPr>
        <w:t> </w:t>
      </w:r>
      <w:r>
        <w:rPr>
          <w:spacing w:val="-66"/>
        </w:rPr>
      </w:r>
      <w:r>
        <w:rPr/>
        <w:t>量的，将该合同全部作为销售商品处理。</w:t>
      </w:r>
    </w:p>
    <w:p>
      <w:pPr>
        <w:pStyle w:val="BodyText"/>
        <w:spacing w:line="439" w:lineRule="auto" w:before="137"/>
        <w:ind w:left="574" w:right="6552"/>
        <w:jc w:val="left"/>
      </w:pPr>
      <w:r>
        <w:rPr>
          <w:rFonts w:ascii="宋体" w:hAnsi="宋体" w:cs="宋体" w:eastAsia="宋体" w:hint="default"/>
        </w:rPr>
        <w:t>3.</w:t>
      </w:r>
      <w:r>
        <w:rPr/>
        <w:t>使用费收入 根据有关合同或协议，按权责发生制确认收入。</w:t>
      </w:r>
    </w:p>
    <w:p>
      <w:pPr>
        <w:spacing w:after="0" w:line="43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48"/>
        <w:jc w:val="left"/>
        <w:rPr>
          <w:b w:val="0"/>
          <w:bCs w:val="0"/>
        </w:rPr>
      </w:pPr>
      <w:bookmarkStart w:name="29、政府补助" w:id="206"/>
      <w:bookmarkEnd w:id="206"/>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1048"/>
        <w:jc w:val="left"/>
      </w:pPr>
      <w:r>
        <w:rPr>
          <w:rFonts w:ascii="宋体" w:hAnsi="宋体" w:cs="宋体" w:eastAsia="宋体" w:hint="default"/>
        </w:rPr>
        <w:t>1.</w:t>
      </w:r>
      <w:r>
        <w:rPr/>
        <w:t>政府补助包括与资产相关的政府补助和与收益相关的政府补助。</w:t>
      </w:r>
    </w:p>
    <w:p>
      <w:pPr>
        <w:spacing w:line="240" w:lineRule="auto" w:before="0"/>
        <w:rPr>
          <w:rFonts w:ascii="宋体" w:hAnsi="宋体" w:cs="宋体" w:eastAsia="宋体" w:hint="default"/>
          <w:sz w:val="15"/>
          <w:szCs w:val="15"/>
        </w:rPr>
      </w:pPr>
    </w:p>
    <w:p>
      <w:pPr>
        <w:pStyle w:val="BodyText"/>
        <w:spacing w:line="319" w:lineRule="auto"/>
        <w:ind w:right="1133" w:firstLine="420"/>
        <w:jc w:val="both"/>
      </w:pPr>
      <w:r>
        <w:rPr>
          <w:rFonts w:ascii="宋体" w:hAnsi="宋体" w:cs="宋体" w:eastAsia="宋体" w:hint="default"/>
        </w:rPr>
        <w:t>2.</w:t>
      </w:r>
      <w:r>
        <w:rPr/>
        <w:t>政府补助为货币性资产的，按照收到或应收的金额计量；政府补助为非货币性资产的，按照公允价值计量，公允价 值不能可靠取得的，按照名义金额计量。</w:t>
      </w:r>
    </w:p>
    <w:p>
      <w:pPr>
        <w:pStyle w:val="BodyText"/>
        <w:spacing w:line="240" w:lineRule="auto" w:before="137"/>
        <w:ind w:left="574" w:right="1048"/>
        <w:jc w:val="left"/>
      </w:pPr>
      <w:r>
        <w:rPr>
          <w:rFonts w:ascii="宋体" w:hAnsi="宋体" w:cs="宋体" w:eastAsia="宋体" w:hint="default"/>
        </w:rPr>
        <w:t>3.</w:t>
      </w:r>
      <w:r>
        <w:rPr/>
        <w:t>政府补助采用总额法：</w:t>
      </w:r>
    </w:p>
    <w:p>
      <w:pPr>
        <w:spacing w:line="240" w:lineRule="auto" w:before="0"/>
        <w:rPr>
          <w:rFonts w:ascii="宋体" w:hAnsi="宋体" w:cs="宋体" w:eastAsia="宋体" w:hint="default"/>
          <w:sz w:val="15"/>
          <w:szCs w:val="15"/>
        </w:rPr>
      </w:pPr>
    </w:p>
    <w:p>
      <w:pPr>
        <w:pStyle w:val="BodyText"/>
        <w:spacing w:line="316" w:lineRule="auto"/>
        <w:ind w:right="1132" w:firstLine="420"/>
        <w:jc w:val="both"/>
      </w:pPr>
      <w:r>
        <w:rPr>
          <w:spacing w:val="-2"/>
        </w:rPr>
        <w:t>（</w:t>
      </w:r>
      <w:r>
        <w:rPr>
          <w:rFonts w:ascii="宋体" w:hAnsi="宋体" w:cs="宋体" w:eastAsia="宋体" w:hint="default"/>
          <w:spacing w:val="-2"/>
        </w:rPr>
        <w:t>1</w:t>
      </w:r>
      <w:r>
        <w:rPr>
          <w:spacing w:val="-2"/>
        </w:rPr>
        <w:t>）与资产相关的政府补助，确认为递延收益，在相关资产使用寿命内按照合理、系统的方法分期计入损益。相关资</w:t>
      </w:r>
      <w:r>
        <w:rPr/>
        <w:t> 产在使用寿命结束前被出售、转让、报废或发生毁损的，将尚未分配的相关递延收益余额转入资产处置当期的损益。</w:t>
      </w:r>
    </w:p>
    <w:p>
      <w:pPr>
        <w:pStyle w:val="BodyText"/>
        <w:spacing w:line="316" w:lineRule="auto" w:before="139"/>
        <w:ind w:right="1132" w:firstLine="420"/>
        <w:jc w:val="both"/>
      </w:pPr>
      <w:r>
        <w:rPr>
          <w:spacing w:val="-2"/>
        </w:rPr>
        <w:t>（</w:t>
      </w:r>
      <w:r>
        <w:rPr>
          <w:rFonts w:ascii="宋体" w:hAnsi="宋体" w:cs="宋体" w:eastAsia="宋体" w:hint="default"/>
          <w:spacing w:val="-2"/>
        </w:rPr>
        <w:t>2</w:t>
      </w:r>
      <w:r>
        <w:rPr>
          <w:spacing w:val="-2"/>
        </w:rPr>
        <w:t>）与收益相关的政府补助，用于补偿以后期间的相关费用或损失的，确认为递延收益，在确认相关费用的期间，计</w:t>
      </w:r>
      <w:r>
        <w:rPr/>
        <w:t> 入当期损益；用于补偿已发生的相关费用或损失的，直接计入当期损益。</w:t>
      </w:r>
    </w:p>
    <w:p>
      <w:pPr>
        <w:pStyle w:val="BodyText"/>
        <w:spacing w:line="316" w:lineRule="auto" w:before="139"/>
        <w:ind w:right="1132" w:firstLine="420"/>
        <w:jc w:val="both"/>
      </w:pPr>
      <w:r>
        <w:rPr>
          <w:rFonts w:ascii="宋体" w:hAnsi="宋体" w:cs="宋体" w:eastAsia="宋体" w:hint="default"/>
          <w:spacing w:val="-2"/>
        </w:rPr>
        <w:t>4</w:t>
      </w:r>
      <w:r>
        <w:rPr>
          <w:spacing w:val="-2"/>
        </w:rPr>
        <w:t>．对于同时包含与资产相关部分和与收益相关部分的政府补助，区分不同部分分别进行会计处理；难以区分的，整体</w:t>
      </w:r>
      <w:r>
        <w:rPr/>
        <w:t> 归类为与收益相关的政府补助。</w:t>
      </w:r>
    </w:p>
    <w:p>
      <w:pPr>
        <w:pStyle w:val="BodyText"/>
        <w:spacing w:line="316" w:lineRule="auto" w:before="139"/>
        <w:ind w:right="1130" w:firstLine="420"/>
        <w:jc w:val="both"/>
      </w:pPr>
      <w:r>
        <w:rPr>
          <w:rFonts w:ascii="宋体" w:hAnsi="宋体" w:cs="宋体" w:eastAsia="宋体" w:hint="default"/>
        </w:rPr>
        <w:t>5.</w:t>
      </w:r>
      <w:r>
        <w:rPr/>
        <w:t>本公司将与本公司日常活动相关的政府补助按照经济业务实质计入其他收益或冲减相关成本费用；将与本公司日常 活动无关的政府补助，应当计入营业外收入。</w:t>
      </w:r>
    </w:p>
    <w:p>
      <w:pPr>
        <w:pStyle w:val="BodyText"/>
        <w:spacing w:line="316" w:lineRule="auto" w:before="139"/>
        <w:ind w:right="1133" w:firstLine="420"/>
        <w:jc w:val="both"/>
      </w:pPr>
      <w:r>
        <w:rPr>
          <w:rFonts w:ascii="宋体" w:hAnsi="宋体" w:cs="宋体" w:eastAsia="宋体" w:hint="default"/>
        </w:rPr>
        <w:t>6.</w:t>
      </w:r>
      <w:r>
        <w:rPr/>
        <w:t>本公司将取得的政策性优惠贷款贴息分为按照财政将贴息资金拨付给贷款银行和财政将贴息资金直接拨付给本公司 两种情况处理：</w:t>
      </w:r>
    </w:p>
    <w:p>
      <w:pPr>
        <w:pStyle w:val="BodyText"/>
        <w:spacing w:line="316" w:lineRule="auto" w:before="139"/>
        <w:ind w:right="1130" w:firstLine="420"/>
        <w:jc w:val="both"/>
      </w:pPr>
      <w:r>
        <w:rPr>
          <w:spacing w:val="-1"/>
        </w:rPr>
        <w:t>（</w:t>
      </w:r>
      <w:r>
        <w:rPr>
          <w:rFonts w:ascii="宋体" w:hAnsi="宋体" w:cs="宋体" w:eastAsia="宋体" w:hint="default"/>
          <w:spacing w:val="-1"/>
        </w:rPr>
        <w:t>1</w:t>
      </w:r>
      <w:r>
        <w:rPr>
          <w:spacing w:val="-1"/>
        </w:rPr>
        <w:t>）财政将贴息资金拨付给贷款银行，由贷款银行以政策性优惠利率向本公司提供贷款的，本公司以实际收到的借款</w:t>
      </w:r>
      <w:r>
        <w:rPr/>
        <w:t> 金额作为借款的入账价值，按照借款本金和该政策性优惠利率计算相关借款费用。</w:t>
      </w:r>
    </w:p>
    <w:p>
      <w:pPr>
        <w:pStyle w:val="BodyText"/>
        <w:spacing w:line="240" w:lineRule="auto" w:before="139"/>
        <w:ind w:left="574" w:right="1048"/>
        <w:jc w:val="left"/>
      </w:pPr>
      <w:r>
        <w:rPr/>
        <w:t>（</w:t>
      </w:r>
      <w:r>
        <w:rPr>
          <w:rFonts w:ascii="宋体" w:hAnsi="宋体" w:cs="宋体" w:eastAsia="宋体" w:hint="default"/>
        </w:rPr>
        <w:t>2</w:t>
      </w:r>
      <w:r>
        <w:rPr/>
        <w:t>）财政将贴息资金直接拨付给本公司的，本公司将对应的贴息冲减相关借款费用。</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30、递延所得税资产/递延所得税负债" w:id="207"/>
      <w:bookmarkEnd w:id="20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420"/>
        <w:jc w:val="both"/>
      </w:pPr>
      <w:r>
        <w:rPr>
          <w:rFonts w:ascii="宋体" w:hAnsi="宋体" w:cs="宋体" w:eastAsia="宋体" w:hint="default"/>
        </w:rPr>
        <w:t>1.</w:t>
      </w:r>
      <w:r>
        <w:rPr/>
        <w:t>根据资产、负债的账面价值与其计税基础之间的差额（未作为资产和负债确认的项目按照税法规定可以确定其计税 </w:t>
      </w:r>
      <w:r>
        <w:rPr>
          <w:spacing w:val="-2"/>
        </w:rPr>
        <w:t>基础的，该计税基础与其账面数之间的差额），按照预期收回该资产或清偿该负债期间的适用税率计算确认递延所得税资产</w:t>
      </w:r>
      <w:r>
        <w:rPr>
          <w:spacing w:val="-66"/>
        </w:rPr>
        <w:t> </w:t>
      </w:r>
      <w:r>
        <w:rPr>
          <w:spacing w:val="-66"/>
        </w:rPr>
      </w:r>
      <w:r>
        <w:rPr/>
        <w:t>或递延所得税负债。</w:t>
      </w:r>
    </w:p>
    <w:p>
      <w:pPr>
        <w:pStyle w:val="BodyText"/>
        <w:spacing w:line="316" w:lineRule="auto" w:before="139"/>
        <w:ind w:right="1133" w:firstLine="420"/>
        <w:jc w:val="both"/>
      </w:pPr>
      <w:r>
        <w:rPr>
          <w:rFonts w:ascii="宋体" w:hAnsi="宋体" w:cs="宋体" w:eastAsia="宋体" w:hint="default"/>
        </w:rPr>
        <w:t>2.</w:t>
      </w:r>
      <w:r>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BodyText"/>
        <w:spacing w:line="316" w:lineRule="auto" w:before="139"/>
        <w:ind w:right="1129" w:firstLine="420"/>
        <w:jc w:val="both"/>
      </w:pPr>
      <w:r>
        <w:rPr>
          <w:rFonts w:ascii="宋体" w:hAnsi="宋体" w:cs="宋体" w:eastAsia="宋体" w:hint="default"/>
        </w:rPr>
        <w:t>3.</w:t>
      </w:r>
      <w:r>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BodyText"/>
        <w:spacing w:line="316" w:lineRule="auto" w:before="139"/>
        <w:ind w:right="1131" w:firstLine="420"/>
        <w:jc w:val="both"/>
      </w:pPr>
      <w:r>
        <w:rPr>
          <w:rFonts w:ascii="宋体" w:hAnsi="宋体" w:cs="宋体" w:eastAsia="宋体" w:hint="default"/>
          <w:spacing w:val="-2"/>
        </w:rPr>
        <w:t>4.</w:t>
      </w:r>
      <w:r>
        <w:rPr>
          <w:spacing w:val="-2"/>
        </w:rPr>
        <w:t>本公司当期所得税和递延所得税作为所得税费用或收益计入当期损益，但不包括下列情况产生的所得税：（</w:t>
      </w:r>
      <w:r>
        <w:rPr>
          <w:rFonts w:ascii="宋体" w:hAnsi="宋体" w:cs="宋体" w:eastAsia="宋体" w:hint="default"/>
          <w:spacing w:val="-2"/>
        </w:rPr>
        <w:t>1</w:t>
      </w:r>
      <w:r>
        <w:rPr>
          <w:spacing w:val="-2"/>
        </w:rPr>
        <w:t>）企业</w:t>
      </w:r>
      <w:r>
        <w:rPr/>
        <w:t> 合并；（</w:t>
      </w:r>
      <w:r>
        <w:rPr>
          <w:rFonts w:ascii="宋体" w:hAnsi="宋体" w:cs="宋体" w:eastAsia="宋体" w:hint="default"/>
        </w:rPr>
        <w:t>2</w:t>
      </w:r>
      <w:r>
        <w:rPr/>
        <w:t>）直接在所有者权益中确认的交易或者事项。</w:t>
      </w:r>
    </w:p>
    <w:p>
      <w:pPr>
        <w:spacing w:line="240" w:lineRule="auto" w:before="7"/>
        <w:rPr>
          <w:rFonts w:ascii="宋体" w:hAnsi="宋体" w:cs="宋体" w:eastAsia="宋体" w:hint="default"/>
          <w:sz w:val="22"/>
          <w:szCs w:val="22"/>
        </w:rPr>
      </w:pPr>
    </w:p>
    <w:p>
      <w:pPr>
        <w:pStyle w:val="Heading3"/>
        <w:spacing w:line="240" w:lineRule="auto"/>
        <w:ind w:right="1048"/>
        <w:jc w:val="left"/>
        <w:rPr>
          <w:b w:val="0"/>
          <w:bCs w:val="0"/>
        </w:rPr>
      </w:pPr>
      <w:bookmarkStart w:name="31、租赁" w:id="208"/>
      <w:bookmarkEnd w:id="208"/>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8"/>
        <w:jc w:val="left"/>
        <w:rPr>
          <w:b w:val="0"/>
          <w:bCs w:val="0"/>
        </w:rPr>
      </w:pPr>
      <w:bookmarkStart w:name="（1）经营租赁的会计处理方法" w:id="209"/>
      <w:bookmarkEnd w:id="20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20"/>
        <w:jc w:val="both"/>
      </w:pPr>
      <w:r>
        <w:rPr/>
        <w:t>本公司为承租人时，在租赁期内各个期间按照直线法将租金计入相关资产成本或确认为当期损益，发生的初始直接费 用，直接计入当期损益。或有租金在实际发生时计入当期损益。</w:t>
      </w:r>
    </w:p>
    <w:p>
      <w:pPr>
        <w:pStyle w:val="BodyText"/>
        <w:spacing w:line="316" w:lineRule="auto" w:before="139"/>
        <w:ind w:right="1132" w:firstLine="420"/>
        <w:jc w:val="both"/>
      </w:pPr>
      <w:r>
        <w:rPr/>
        <w:t>本公司为出租人时，在租赁期内各个期间按照直线法将租金确认为当期损益，发生的初始直接费用，除金额较大的予 以资本化并分期计入损益外，均直接计入当期损益。或有租金在实际发生时计入当期损益。</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48"/>
        <w:jc w:val="left"/>
        <w:rPr>
          <w:b w:val="0"/>
          <w:bCs w:val="0"/>
        </w:rPr>
      </w:pPr>
      <w:bookmarkStart w:name="（2）融资租赁的会计处理方法" w:id="210"/>
      <w:bookmarkEnd w:id="21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2" w:firstLine="420"/>
        <w:jc w:val="left"/>
      </w:pPr>
      <w:r>
        <w:rPr/>
        <w:t>本公司为承租人时，在租赁期开始日，本公司以租赁开始日租赁资产公允价值与最低租赁付款额现值中两者较低者作 为租入资产的入账价值，将最低租赁付款额作为长期应付款的入账价值，其差额为未确认融资费用，发生的初始直接费用， 计入租赁资产价值。在租赁期各个期间，采用实际利率法计算确认当期的融资费用。</w:t>
      </w:r>
    </w:p>
    <w:p>
      <w:pPr>
        <w:pStyle w:val="BodyText"/>
        <w:spacing w:line="316" w:lineRule="auto" w:before="137"/>
        <w:ind w:right="1131" w:firstLine="420"/>
        <w:jc w:val="both"/>
      </w:pPr>
      <w:r>
        <w:rPr/>
        <w:t>本公司为出租人时，在租赁期开始日，本公司以租赁开始日最低租赁收款额与初始直接费用之和作为应收融资租赁款 </w:t>
      </w:r>
      <w:r>
        <w:rPr>
          <w:spacing w:val="-2"/>
        </w:rPr>
        <w:t>的入账价值，同时记录未担保余值；将最低租赁收款额、初始直接费用及未担保余值之和与其现值之和的差额确认为未实现</w:t>
      </w:r>
      <w:r>
        <w:rPr>
          <w:spacing w:val="-66"/>
        </w:rPr>
        <w:t> </w:t>
      </w:r>
      <w:r>
        <w:rPr>
          <w:spacing w:val="-66"/>
        </w:rPr>
      </w:r>
      <w:r>
        <w:rPr/>
        <w:t>融资收益。在租赁期各个期间，采用实际利率法计算确认当期的融资收入。</w:t>
      </w:r>
    </w:p>
    <w:p>
      <w:pPr>
        <w:spacing w:line="240" w:lineRule="auto" w:before="7"/>
        <w:rPr>
          <w:rFonts w:ascii="宋体" w:hAnsi="宋体" w:cs="宋体" w:eastAsia="宋体" w:hint="default"/>
          <w:sz w:val="22"/>
          <w:szCs w:val="22"/>
        </w:rPr>
      </w:pPr>
    </w:p>
    <w:p>
      <w:pPr>
        <w:pStyle w:val="Heading3"/>
        <w:spacing w:line="240" w:lineRule="auto"/>
        <w:ind w:right="1048"/>
        <w:jc w:val="left"/>
        <w:rPr>
          <w:b w:val="0"/>
          <w:bCs w:val="0"/>
        </w:rPr>
      </w:pPr>
      <w:bookmarkStart w:name="32、其他重要的会计政策和会计估计" w:id="211"/>
      <w:bookmarkEnd w:id="211"/>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33、重要会计政策和会计估计变更" w:id="212"/>
      <w:bookmarkEnd w:id="212"/>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8"/>
        <w:jc w:val="left"/>
        <w:rPr>
          <w:b w:val="0"/>
          <w:bCs w:val="0"/>
        </w:rPr>
      </w:pPr>
      <w:bookmarkStart w:name="（1）重要会计政策变更" w:id="213"/>
      <w:bookmarkEnd w:id="21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48"/>
        <w:jc w:val="left"/>
        <w:rPr>
          <w:b w:val="0"/>
          <w:bCs w:val="0"/>
        </w:rPr>
      </w:pPr>
      <w:bookmarkStart w:name="（2）重要会计估计变更" w:id="214"/>
      <w:bookmarkEnd w:id="21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1048"/>
        <w:jc w:val="left"/>
        <w:rPr>
          <w:b w:val="0"/>
          <w:bCs w:val="0"/>
        </w:rPr>
      </w:pPr>
      <w:bookmarkStart w:name="34、其他" w:id="215"/>
      <w:bookmarkEnd w:id="215"/>
      <w:r>
        <w:rPr>
          <w:b w:val="0"/>
          <w:bCs w:val="0"/>
        </w:rPr>
      </w: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2"/>
        <w:rPr>
          <w:rFonts w:ascii="宋体" w:hAnsi="宋体" w:cs="宋体" w:eastAsia="宋体" w:hint="default"/>
          <w:sz w:val="25"/>
          <w:szCs w:val="25"/>
        </w:rPr>
      </w:pPr>
    </w:p>
    <w:p>
      <w:pPr>
        <w:pStyle w:val="Heading2"/>
        <w:spacing w:line="240" w:lineRule="auto"/>
        <w:ind w:right="1048"/>
        <w:jc w:val="left"/>
        <w:rPr>
          <w:b w:val="0"/>
          <w:bCs w:val="0"/>
        </w:rPr>
      </w:pPr>
      <w:bookmarkStart w:name="六、税项" w:id="216"/>
      <w:bookmarkEnd w:id="216"/>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8"/>
        <w:jc w:val="left"/>
        <w:rPr>
          <w:b w:val="0"/>
          <w:bCs w:val="0"/>
        </w:rPr>
      </w:pPr>
      <w:bookmarkStart w:name="1、主要税种及税率" w:id="217"/>
      <w:bookmarkEnd w:id="21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6.00%</w:t>
            </w:r>
            <w:r>
              <w:rPr>
                <w:rFonts w:ascii="宋体" w:hAnsi="宋体" w:cs="宋体" w:eastAsia="宋体" w:hint="default"/>
                <w:sz w:val="18"/>
                <w:szCs w:val="18"/>
              </w:rPr>
              <w:t>、</w:t>
            </w:r>
            <w:r>
              <w:rPr>
                <w:rFonts w:ascii="Times New Roman" w:hAnsi="Times New Roman" w:cs="Times New Roman" w:eastAsia="Times New Roman" w:hint="default"/>
                <w:sz w:val="18"/>
                <w:szCs w:val="18"/>
              </w:rPr>
              <w:t>16.00%</w:t>
            </w:r>
            <w:r>
              <w:rPr>
                <w:rFonts w:ascii="宋体" w:hAnsi="宋体" w:cs="宋体" w:eastAsia="宋体" w:hint="default"/>
                <w:sz w:val="18"/>
                <w:szCs w:val="18"/>
              </w:rPr>
              <w:t>、</w:t>
            </w:r>
            <w:r>
              <w:rPr>
                <w:rFonts w:ascii="Times New Roman" w:hAnsi="Times New Roman" w:cs="Times New Roman" w:eastAsia="Times New Roman" w:hint="default"/>
                <w:sz w:val="18"/>
                <w:szCs w:val="18"/>
              </w:rPr>
              <w:t>17.00%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7.00%</w:t>
            </w:r>
            <w:r>
              <w:rPr>
                <w:rFonts w:ascii="宋体" w:hAnsi="宋体" w:cs="宋体" w:eastAsia="宋体" w:hint="default"/>
                <w:sz w:val="18"/>
                <w:szCs w:val="18"/>
              </w:rPr>
              <w:t>、</w:t>
            </w:r>
            <w:r>
              <w:rPr>
                <w:rFonts w:ascii="Times New Roman" w:hAnsi="Times New Roman" w:cs="Times New Roman" w:eastAsia="Times New Roman" w:hint="default"/>
                <w:sz w:val="18"/>
                <w:szCs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25.00%</w:t>
            </w:r>
            <w:r>
              <w:rPr>
                <w:rFonts w:ascii="宋体" w:hAnsi="宋体" w:cs="宋体" w:eastAsia="宋体" w:hint="default"/>
                <w:sz w:val="18"/>
                <w:szCs w:val="18"/>
              </w:rPr>
              <w:t>、</w:t>
            </w:r>
            <w:r>
              <w:rPr>
                <w:rFonts w:ascii="Times New Roman" w:hAnsi="Times New Roman" w:cs="Times New Roman" w:eastAsia="Times New Roman" w:hint="default"/>
                <w:sz w:val="18"/>
                <w:szCs w:val="18"/>
              </w:rPr>
              <w:t>16.50%</w:t>
            </w:r>
            <w:r>
              <w:rPr>
                <w:rFonts w:ascii="宋体" w:hAnsi="宋体" w:cs="宋体" w:eastAsia="宋体" w:hint="default"/>
                <w:sz w:val="18"/>
                <w:szCs w:val="18"/>
              </w:rPr>
              <w:t>、</w:t>
            </w:r>
            <w:r>
              <w:rPr>
                <w:rFonts w:ascii="Times New Roman" w:hAnsi="Times New Roman" w:cs="Times New Roman" w:eastAsia="Times New Roman" w:hint="default"/>
                <w:sz w:val="18"/>
                <w:szCs w:val="18"/>
              </w:rPr>
              <w:t>15.00%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后的余值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w:t>
            </w:r>
          </w:p>
        </w:tc>
      </w:tr>
    </w:tbl>
    <w:p>
      <w:pPr>
        <w:pStyle w:val="BodyText"/>
        <w:spacing w:line="240" w:lineRule="auto" w:before="51"/>
        <w:ind w:right="1048"/>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48"/>
        <w:jc w:val="left"/>
        <w:rPr>
          <w:b w:val="0"/>
          <w:bCs w:val="0"/>
        </w:rPr>
      </w:pPr>
      <w:bookmarkStart w:name="2、税收优惠" w:id="218"/>
      <w:bookmarkEnd w:id="21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firstLine="420"/>
        <w:jc w:val="left"/>
      </w:pPr>
      <w:r>
        <w:rPr>
          <w:spacing w:val="-1"/>
        </w:rPr>
        <w:t>（</w:t>
      </w:r>
      <w:r>
        <w:rPr>
          <w:rFonts w:ascii="宋体" w:hAnsi="宋体" w:cs="宋体" w:eastAsia="宋体" w:hint="default"/>
          <w:spacing w:val="-1"/>
        </w:rPr>
        <w:t>1</w:t>
      </w:r>
      <w:r>
        <w:rPr>
          <w:spacing w:val="-1"/>
        </w:rPr>
        <w:t>）本公司位于国家级高新技术产业开发区北京中关村科技园，为高新技术企业，</w:t>
      </w:r>
      <w:r>
        <w:rPr>
          <w:rFonts w:ascii="宋体" w:hAnsi="宋体" w:cs="宋体" w:eastAsia="宋体" w:hint="default"/>
          <w:spacing w:val="-1"/>
        </w:rPr>
        <w:t>2017</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25</w:t>
      </w:r>
      <w:r>
        <w:rPr>
          <w:spacing w:val="-1"/>
        </w:rPr>
        <w:t>日重新取得了编号为</w:t>
      </w:r>
      <w:r>
        <w:rPr/>
        <w:t> </w:t>
      </w:r>
      <w:r>
        <w:rPr>
          <w:rFonts w:ascii="宋体" w:hAnsi="宋体" w:cs="宋体" w:eastAsia="宋体" w:hint="default"/>
        </w:rPr>
        <w:t>GR201711004153</w:t>
      </w:r>
      <w:r>
        <w:rPr/>
        <w:t>的《高新技术企业证书》，有效期三年。</w:t>
      </w:r>
      <w:r>
        <w:rPr>
          <w:rFonts w:ascii="宋体" w:hAnsi="宋体" w:cs="宋体" w:eastAsia="宋体" w:hint="default"/>
        </w:rPr>
        <w:t>2018</w:t>
      </w:r>
      <w:r>
        <w:rPr/>
        <w:t>年度企业所得税税率为</w:t>
      </w:r>
      <w:r>
        <w:rPr>
          <w:rFonts w:ascii="宋体" w:hAnsi="宋体" w:cs="宋体" w:eastAsia="宋体" w:hint="default"/>
        </w:rPr>
        <w:t>15.00%</w:t>
      </w:r>
      <w:r>
        <w:rPr/>
        <w:t>。</w:t>
      </w:r>
    </w:p>
    <w:p>
      <w:pPr>
        <w:pStyle w:val="BodyText"/>
        <w:spacing w:line="316" w:lineRule="auto" w:before="139"/>
        <w:ind w:right="1048" w:firstLine="420"/>
        <w:jc w:val="left"/>
      </w:pPr>
      <w:r>
        <w:rPr/>
        <w:t>（</w:t>
      </w:r>
      <w:r>
        <w:rPr>
          <w:rFonts w:ascii="宋体" w:hAnsi="宋体" w:cs="宋体" w:eastAsia="宋体" w:hint="default"/>
        </w:rPr>
        <w:t>2</w:t>
      </w:r>
      <w:r>
        <w:rPr/>
        <w:t>）北京合纵实科电力科技有限公司于</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10</w:t>
      </w:r>
      <w:r>
        <w:rPr/>
        <w:t>日，取得编号为</w:t>
      </w:r>
      <w:r>
        <w:rPr>
          <w:rFonts w:ascii="宋体" w:hAnsi="宋体" w:cs="宋体" w:eastAsia="宋体" w:hint="default"/>
        </w:rPr>
        <w:t>GR201811002757</w:t>
      </w:r>
      <w:r>
        <w:rPr/>
        <w:t>号的《高新技术企业证书》，有 效期三年。</w:t>
      </w:r>
      <w:r>
        <w:rPr>
          <w:rFonts w:ascii="宋体" w:hAnsi="宋体" w:cs="宋体" w:eastAsia="宋体" w:hint="default"/>
        </w:rPr>
        <w:t>2018</w:t>
      </w:r>
      <w:r>
        <w:rPr/>
        <w:t>年度企业所得税税率为</w:t>
      </w:r>
      <w:r>
        <w:rPr>
          <w:rFonts w:ascii="宋体" w:hAnsi="宋体" w:cs="宋体" w:eastAsia="宋体" w:hint="default"/>
        </w:rPr>
        <w:t>15.00%</w:t>
      </w:r>
      <w:r>
        <w:rPr/>
        <w:t>。</w:t>
      </w:r>
    </w:p>
    <w:p>
      <w:pPr>
        <w:pStyle w:val="BodyText"/>
        <w:spacing w:line="316" w:lineRule="auto" w:before="139"/>
        <w:ind w:right="1048" w:firstLine="420"/>
        <w:jc w:val="left"/>
      </w:pPr>
      <w:r>
        <w:rPr/>
        <w:t>（</w:t>
      </w:r>
      <w:r>
        <w:rPr>
          <w:rFonts w:ascii="宋体" w:hAnsi="宋体" w:cs="宋体" w:eastAsia="宋体" w:hint="default"/>
        </w:rPr>
        <w:t>3</w:t>
      </w:r>
      <w:r>
        <w:rPr/>
        <w:t>）天津合纵电力设备有限公司于</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9</w:t>
      </w:r>
      <w:r>
        <w:rPr/>
        <w:t>日取得了编号为</w:t>
      </w:r>
      <w:r>
        <w:rPr>
          <w:rFonts w:ascii="宋体" w:hAnsi="宋体" w:cs="宋体" w:eastAsia="宋体" w:hint="default"/>
        </w:rPr>
        <w:t>GR201612000580</w:t>
      </w:r>
      <w:r>
        <w:rPr/>
        <w:t>号的《高新技术企业证书》，有效期 三年，</w:t>
      </w:r>
      <w:r>
        <w:rPr>
          <w:rFonts w:ascii="宋体" w:hAnsi="宋体" w:cs="宋体" w:eastAsia="宋体" w:hint="default"/>
        </w:rPr>
        <w:t>2018</w:t>
      </w:r>
      <w:r>
        <w:rPr/>
        <w:t>年度企业所得税税率为</w:t>
      </w:r>
      <w:r>
        <w:rPr>
          <w:rFonts w:ascii="宋体" w:hAnsi="宋体" w:cs="宋体" w:eastAsia="宋体" w:hint="default"/>
        </w:rPr>
        <w:t>15.00%</w:t>
      </w:r>
      <w:r>
        <w:rPr/>
        <w:t>。</w:t>
      </w:r>
    </w:p>
    <w:p>
      <w:pPr>
        <w:pStyle w:val="BodyText"/>
        <w:spacing w:line="316" w:lineRule="auto" w:before="139"/>
        <w:ind w:right="1124" w:firstLine="420"/>
        <w:jc w:val="left"/>
      </w:pPr>
      <w:r>
        <w:rPr>
          <w:spacing w:val="-1"/>
        </w:rPr>
        <w:t>（</w:t>
      </w:r>
      <w:r>
        <w:rPr>
          <w:rFonts w:ascii="宋体" w:hAnsi="宋体" w:cs="宋体" w:eastAsia="宋体" w:hint="default"/>
          <w:spacing w:val="-1"/>
        </w:rPr>
        <w:t>5</w:t>
      </w:r>
      <w:r>
        <w:rPr>
          <w:spacing w:val="-1"/>
        </w:rPr>
        <w:t>）湖南雅城新材料有限公司于</w:t>
      </w: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5</w:t>
      </w:r>
      <w:r>
        <w:rPr>
          <w:spacing w:val="-1"/>
        </w:rPr>
        <w:t>日重新取得了编号为</w:t>
      </w:r>
      <w:r>
        <w:rPr>
          <w:rFonts w:ascii="宋体" w:hAnsi="宋体" w:cs="宋体" w:eastAsia="宋体" w:hint="default"/>
          <w:spacing w:val="-1"/>
        </w:rPr>
        <w:t>GR201743000026</w:t>
      </w:r>
      <w:r>
        <w:rPr>
          <w:spacing w:val="-1"/>
        </w:rPr>
        <w:t>的《高新技术企业证书》，有效期三</w:t>
      </w:r>
      <w:r>
        <w:rPr/>
        <w:t> 年。</w:t>
      </w:r>
      <w:r>
        <w:rPr>
          <w:rFonts w:ascii="宋体" w:hAnsi="宋体" w:cs="宋体" w:eastAsia="宋体" w:hint="default"/>
        </w:rPr>
        <w:t>2018</w:t>
      </w:r>
      <w:r>
        <w:rPr/>
        <w:t>年度企业所得税税率为</w:t>
      </w:r>
      <w:r>
        <w:rPr>
          <w:rFonts w:ascii="宋体" w:hAnsi="宋体" w:cs="宋体" w:eastAsia="宋体" w:hint="default"/>
        </w:rPr>
        <w:t>15.00%</w:t>
      </w:r>
      <w:r>
        <w:rPr/>
        <w:t>。</w:t>
      </w:r>
    </w:p>
    <w:p>
      <w:pPr>
        <w:pStyle w:val="BodyText"/>
        <w:spacing w:line="316" w:lineRule="auto" w:before="139"/>
        <w:ind w:right="1125" w:firstLine="420"/>
        <w:jc w:val="left"/>
      </w:pPr>
      <w:r>
        <w:rPr>
          <w:spacing w:val="-1"/>
        </w:rPr>
        <w:t>（</w:t>
      </w:r>
      <w:r>
        <w:rPr>
          <w:rFonts w:ascii="宋体" w:hAnsi="宋体" w:cs="宋体" w:eastAsia="宋体" w:hint="default"/>
          <w:spacing w:val="-1"/>
        </w:rPr>
        <w:t>6</w:t>
      </w:r>
      <w:r>
        <w:rPr>
          <w:spacing w:val="-1"/>
        </w:rPr>
        <w:t>）江苏鹏创电力设计有限公司于</w:t>
      </w:r>
      <w:r>
        <w:rPr>
          <w:rFonts w:ascii="宋体" w:hAnsi="宋体" w:cs="宋体" w:eastAsia="宋体" w:hint="default"/>
          <w:spacing w:val="-1"/>
        </w:rPr>
        <w:t>2016</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30</w:t>
      </w:r>
      <w:r>
        <w:rPr>
          <w:spacing w:val="-1"/>
        </w:rPr>
        <w:t>日取得了编号为</w:t>
      </w:r>
      <w:r>
        <w:rPr>
          <w:rFonts w:ascii="宋体" w:hAnsi="宋体" w:cs="宋体" w:eastAsia="宋体" w:hint="default"/>
          <w:spacing w:val="-1"/>
        </w:rPr>
        <w:t>GR201632001829</w:t>
      </w:r>
      <w:r>
        <w:rPr>
          <w:spacing w:val="-1"/>
        </w:rPr>
        <w:t>号的《高新技术企业证书》，有效期</w:t>
      </w:r>
      <w:r>
        <w:rPr/>
        <w:t> 三年，</w:t>
      </w:r>
      <w:r>
        <w:rPr>
          <w:rFonts w:ascii="宋体" w:hAnsi="宋体" w:cs="宋体" w:eastAsia="宋体" w:hint="default"/>
        </w:rPr>
        <w:t>2018</w:t>
      </w:r>
      <w:r>
        <w:rPr/>
        <w:t>年度企业所得税税率为</w:t>
      </w:r>
      <w:r>
        <w:rPr>
          <w:rFonts w:ascii="宋体" w:hAnsi="宋体" w:cs="宋体" w:eastAsia="宋体" w:hint="default"/>
        </w:rPr>
        <w:t>15.00%</w:t>
      </w:r>
      <w:r>
        <w:rPr/>
        <w:t>。</w:t>
      </w:r>
    </w:p>
    <w:p>
      <w:pPr>
        <w:spacing w:line="240" w:lineRule="auto" w:before="7"/>
        <w:rPr>
          <w:rFonts w:ascii="宋体" w:hAnsi="宋体" w:cs="宋体" w:eastAsia="宋体" w:hint="default"/>
          <w:sz w:val="22"/>
          <w:szCs w:val="22"/>
        </w:rPr>
      </w:pPr>
    </w:p>
    <w:p>
      <w:pPr>
        <w:pStyle w:val="Heading3"/>
        <w:spacing w:line="240" w:lineRule="auto"/>
        <w:ind w:right="1048"/>
        <w:jc w:val="left"/>
        <w:rPr>
          <w:b w:val="0"/>
          <w:bCs w:val="0"/>
        </w:rPr>
      </w:pPr>
      <w:bookmarkStart w:name="3、其他" w:id="219"/>
      <w:bookmarkEnd w:id="219"/>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2"/>
        <w:rPr>
          <w:rFonts w:ascii="宋体" w:hAnsi="宋体" w:cs="宋体" w:eastAsia="宋体" w:hint="default"/>
          <w:sz w:val="25"/>
          <w:szCs w:val="25"/>
        </w:rPr>
      </w:pPr>
    </w:p>
    <w:p>
      <w:pPr>
        <w:pStyle w:val="Heading2"/>
        <w:spacing w:line="240" w:lineRule="auto"/>
        <w:ind w:right="1048"/>
        <w:jc w:val="left"/>
        <w:rPr>
          <w:b w:val="0"/>
          <w:bCs w:val="0"/>
        </w:rPr>
      </w:pPr>
      <w:bookmarkStart w:name="七、合并财务报表项目注释" w:id="220"/>
      <w:bookmarkEnd w:id="220"/>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8"/>
        <w:jc w:val="left"/>
        <w:rPr>
          <w:b w:val="0"/>
          <w:bCs w:val="0"/>
        </w:rPr>
      </w:pPr>
      <w:bookmarkStart w:name="1、货币资金" w:id="221"/>
      <w:bookmarkEnd w:id="22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290,327.54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101,257.30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236,315,806.18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225,770,087.97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65,615,684.51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139,888,768.33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302,221,818.23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365,760,113.60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1,755,069.37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48"/>
        <w:jc w:val="left"/>
      </w:pPr>
      <w:r>
        <w:rPr/>
        <w:t>其他说明</w:t>
      </w:r>
    </w:p>
    <w:p>
      <w:pPr>
        <w:pStyle w:val="BodyText"/>
        <w:spacing w:line="316" w:lineRule="auto" w:before="116"/>
        <w:ind w:right="1048" w:firstLine="420"/>
        <w:jc w:val="left"/>
      </w:pPr>
      <w:r>
        <w:rPr>
          <w:rFonts w:ascii="宋体" w:hAnsi="宋体" w:cs="宋体" w:eastAsia="宋体" w:hint="default"/>
        </w:rPr>
        <w:t>1.</w:t>
      </w:r>
      <w:r>
        <w:rPr/>
        <w:t>期末存在抵押、质押、冻结等对使用有限制款项</w:t>
      </w:r>
      <w:r>
        <w:rPr>
          <w:rFonts w:ascii="宋体" w:hAnsi="宋体" w:cs="宋体" w:eastAsia="宋体" w:hint="default"/>
        </w:rPr>
        <w:t>65,615,684.51</w:t>
      </w:r>
      <w:r>
        <w:rPr/>
        <w:t>元，其中银行承兑票据保证金</w:t>
      </w:r>
      <w:r>
        <w:rPr>
          <w:rFonts w:ascii="宋体" w:hAnsi="宋体" w:cs="宋体" w:eastAsia="宋体" w:hint="default"/>
        </w:rPr>
        <w:t>49,824,163.83</w:t>
      </w:r>
      <w:r>
        <w:rPr/>
        <w:t>元，保</w:t>
      </w:r>
      <w:r>
        <w:rPr>
          <w:spacing w:val="1"/>
        </w:rPr>
        <w:t> </w:t>
      </w:r>
      <w:r>
        <w:rPr/>
        <w:t>函保证金</w:t>
      </w:r>
      <w:r>
        <w:rPr>
          <w:rFonts w:ascii="宋体" w:hAnsi="宋体" w:cs="宋体" w:eastAsia="宋体" w:hint="default"/>
        </w:rPr>
        <w:t>15,791,520.68</w:t>
      </w:r>
      <w:r>
        <w:rPr/>
        <w:t>元。</w:t>
      </w:r>
    </w:p>
    <w:p>
      <w:pPr>
        <w:pStyle w:val="BodyText"/>
        <w:spacing w:line="240" w:lineRule="auto" w:before="139"/>
        <w:ind w:left="574" w:right="1048"/>
        <w:jc w:val="left"/>
      </w:pPr>
      <w:r>
        <w:rPr>
          <w:rFonts w:ascii="宋体" w:hAnsi="宋体" w:cs="宋体" w:eastAsia="宋体" w:hint="default"/>
        </w:rPr>
        <w:t>2.</w:t>
      </w:r>
      <w:r>
        <w:rPr/>
        <w:t>期末无存放在境外且资金汇回受到限制的款项。</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2、以公允价值计量且其变动计入当期损益的金融资产" w:id="222"/>
      <w:bookmarkEnd w:id="222"/>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2"/>
        <w:jc w:val="left"/>
      </w:pPr>
      <w:r>
        <w:rPr/>
        <w:t>其他说明： 不适用</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48"/>
        <w:jc w:val="left"/>
        <w:rPr>
          <w:b w:val="0"/>
          <w:bCs w:val="0"/>
        </w:rPr>
      </w:pPr>
      <w:bookmarkStart w:name="3、衍生金融资产" w:id="223"/>
      <w:bookmarkEnd w:id="223"/>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48"/>
        <w:jc w:val="left"/>
        <w:rPr>
          <w:b w:val="0"/>
          <w:bCs w:val="0"/>
        </w:rPr>
      </w:pPr>
      <w:bookmarkStart w:name="4、应收票据及应收账款" w:id="224"/>
      <w:bookmarkEnd w:id="224"/>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100,328,986.72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103,448,904.64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1,222,601,969.89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1,260,779,915.47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1,322,930,956.61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1,364,228,820.11</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1）应收票据" w:id="225"/>
      <w:bookmarkEnd w:id="225"/>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48"/>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25,651,849.28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49,726,811.20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74,677,137.44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53,722,093.44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100,328,986.72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103,448,904.64</w:t>
            </w:r>
          </w:p>
        </w:tc>
      </w:tr>
    </w:tbl>
    <w:p>
      <w:pPr>
        <w:pStyle w:val="BodyText"/>
        <w:spacing w:line="240" w:lineRule="auto" w:before="51"/>
        <w:ind w:right="1048"/>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48"/>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330,365,533.20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25,737,815.86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31,657,137.44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356,103,349.06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31,657,137.44</w:t>
            </w:r>
          </w:p>
        </w:tc>
      </w:tr>
    </w:tbl>
    <w:p>
      <w:pPr>
        <w:pStyle w:val="BodyText"/>
        <w:spacing w:line="240" w:lineRule="auto" w:before="51"/>
        <w:ind w:right="1048"/>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4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2）应收账款" w:id="226"/>
      <w:bookmarkEnd w:id="226"/>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48"/>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73,052,4</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14.87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18,814,5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71.84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25.75%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54,237,84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3.03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73,052,</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414.87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14,610,48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2.98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58,441,931.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1,260,14</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4,940.78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91,780,8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13.92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1,168,364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,126.86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1,283,1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24,672.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94.61%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80,786,68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8.58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1,202,337,9</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83.58</w:t>
            </w: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1,333,19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7,355.65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110,595,</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385.76</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1,222,601</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,969.89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1,356,1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77,087.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95,397,17</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1.56</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1,260,779,9</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15.47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淄博君灿新能源有限公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34,465,587.38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8,842,848.76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未按合同约定回款</w:t>
            </w:r>
            <w:r>
              <w:rPr>
                <w:rFonts w:ascii="Times New Roman" w:hAnsi="Times New Roman" w:cs="Times New Roman" w:eastAsia="Times New Roman" w:hint="default"/>
                <w:sz w:val="18"/>
                <w:szCs w:val="18"/>
              </w:rPr>
              <w:t>,</w:t>
            </w:r>
            <w:r>
              <w:rPr>
                <w:rFonts w:ascii="宋体" w:hAnsi="宋体" w:cs="宋体" w:eastAsia="宋体" w:hint="default"/>
                <w:sz w:val="18"/>
                <w:szCs w:val="18"/>
              </w:rPr>
              <w:t>存在 收回风险</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山东太奇新能源科技有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38,586,827.49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9,971,723.08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未按合同约定回款</w:t>
            </w:r>
            <w:r>
              <w:rPr>
                <w:rFonts w:ascii="Times New Roman" w:hAnsi="Times New Roman" w:cs="Times New Roman" w:eastAsia="Times New Roman" w:hint="default"/>
                <w:sz w:val="18"/>
                <w:szCs w:val="18"/>
              </w:rPr>
              <w:t>,</w:t>
            </w:r>
            <w:r>
              <w:rPr>
                <w:rFonts w:ascii="宋体" w:hAnsi="宋体" w:cs="宋体" w:eastAsia="宋体" w:hint="default"/>
                <w:sz w:val="18"/>
                <w:szCs w:val="18"/>
              </w:rPr>
              <w:t>存在 收回风险</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73,052,414.87</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18,814,571.84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1,007,106,454.44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50,355,322.73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173,508,176.91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17,350,817.69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56,618,800.44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11,323,760.08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19,464,870.96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9,732,435.50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2,140,800.55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1,712,640.44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1,305,837.48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1,305,837.48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1,260,144,940.78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91,780,813.92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360" w:lineRule="auto" w:before="51"/>
        <w:ind w:right="2049"/>
        <w:jc w:val="left"/>
      </w:pPr>
      <w:r>
        <w:rPr/>
        <w:t>确定该组合依据的说明： 组合中，采用余额百分比法计提坏账准备的应收账款：</w:t>
      </w:r>
    </w:p>
    <w:p>
      <w:pPr>
        <w:pStyle w:val="BodyText"/>
        <w:spacing w:line="348" w:lineRule="auto" w:before="26"/>
        <w:ind w:right="2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12"/>
        <w:ind w:right="-14"/>
        <w:jc w:val="left"/>
      </w:pPr>
      <w:r>
        <w:rPr/>
        <w:t>本期计提坏账准备金额</w:t>
      </w:r>
      <w:r>
        <w:rPr>
          <w:spacing w:val="-47"/>
        </w:rPr>
        <w:t> </w:t>
      </w:r>
      <w:r>
        <w:rPr>
          <w:rFonts w:ascii="Times New Roman" w:hAnsi="Times New Roman" w:cs="Times New Roman" w:eastAsia="Times New Roman" w:hint="default"/>
        </w:rPr>
        <w:t>15,358,414.20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153" w:right="0"/>
        <w:jc w:val="left"/>
      </w:pPr>
      <w:r>
        <w:rPr/>
        <w:t>单位： 元</w:t>
      </w:r>
    </w:p>
    <w:p>
      <w:pPr>
        <w:spacing w:after="0" w:line="240" w:lineRule="auto"/>
        <w:jc w:val="left"/>
        <w:sectPr>
          <w:type w:val="continuous"/>
          <w:pgSz w:w="11910" w:h="16840"/>
          <w:pgMar w:top="1060" w:bottom="1160" w:left="980" w:right="0"/>
          <w:cols w:num="2" w:equalWidth="0">
            <w:col w:w="6544" w:space="228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1048"/>
        <w:jc w:val="left"/>
      </w:pPr>
      <w:r>
        <w:rPr>
          <w:rFonts w:ascii="Times New Roman" w:hAnsi="Times New Roman" w:cs="Times New Roman" w:eastAsia="Times New Roman" w:hint="default"/>
        </w:rPr>
        <w:t>3)</w:t>
      </w:r>
      <w:r>
        <w:rPr/>
        <w:t>本期实际核销的应收账款情况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160,200.00</w:t>
            </w:r>
          </w:p>
        </w:tc>
      </w:tr>
    </w:tbl>
    <w:p>
      <w:pPr>
        <w:pStyle w:val="BodyText"/>
        <w:spacing w:line="240" w:lineRule="auto" w:before="51"/>
        <w:ind w:right="1048"/>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实际核销的应收账 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对方客户公司已注 </w:t>
            </w:r>
            <w:r>
              <w:rPr>
                <w:rFonts w:ascii="宋体" w:hAnsi="宋体" w:cs="宋体" w:eastAsia="宋体" w:hint="default"/>
                <w:spacing w:val="-10"/>
                <w:sz w:val="18"/>
                <w:szCs w:val="18"/>
              </w:rPr>
              <w:t>销，剩余债权预计无</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法收回，进行核销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160,200.00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8" w:lineRule="auto" w:before="51"/>
        <w:ind w:right="6822"/>
        <w:jc w:val="left"/>
      </w:pPr>
      <w:r>
        <w:rPr/>
        <w:pict>
          <v:group style="position:absolute;margin-left:375.880005pt;margin-top:-36.198273pt;width:79.25pt;height:15.6pt;mso-position-horizontal-relative:page;mso-position-vertical-relative:paragraph;z-index:-968560" coordorigin="7518,-724" coordsize="1585,312">
            <v:shape style="position:absolute;left:7518;top:-724;width:1585;height:312" coordorigin="7518,-724" coordsize="1585,312" path="m7518,-412l9102,-412,9102,-724,7518,-724,7518,-412xe" filled="true" fillcolor="#ffffff" stroked="false">
              <v:path arrowok="t"/>
              <v:fill type="solid"/>
            </v:shape>
            <w10:wrap type="none"/>
          </v:group>
        </w:pict>
      </w:r>
      <w:r>
        <w:rPr/>
        <w:t>应收账款核销说明： </w:t>
      </w:r>
      <w:r>
        <w:rPr>
          <w:rFonts w:ascii="Times New Roman" w:hAnsi="Times New Roman" w:cs="Times New Roman" w:eastAsia="Times New Roman" w:hint="default"/>
        </w:rPr>
        <w:t>4)</w:t>
      </w:r>
      <w:r>
        <w:rPr/>
        <w:t>按欠款方归集的期末余额前五名的应收账款情况 公司是否需要遵守特殊行业的披露要求</w:t>
      </w:r>
    </w:p>
    <w:p>
      <w:pPr>
        <w:pStyle w:val="BodyText"/>
        <w:spacing w:line="240" w:lineRule="auto" w:before="36"/>
        <w:ind w:right="1048"/>
        <w:jc w:val="left"/>
      </w:pPr>
      <w:r>
        <w:rPr/>
        <w:t>否</w:t>
      </w:r>
    </w:p>
    <w:p>
      <w:pPr>
        <w:spacing w:line="240" w:lineRule="auto" w:before="13"/>
        <w:rPr>
          <w:rFonts w:ascii="宋体" w:hAnsi="宋体" w:cs="宋体" w:eastAsia="宋体" w:hint="default"/>
          <w:sz w:val="7"/>
          <w:szCs w:val="7"/>
        </w:rPr>
      </w:pPr>
    </w:p>
    <w:tbl>
      <w:tblPr>
        <w:tblW w:w="0" w:type="auto"/>
        <w:jc w:val="left"/>
        <w:tblInd w:w="153" w:type="dxa"/>
        <w:tblLayout w:type="fixed"/>
        <w:tblCellMar>
          <w:top w:w="0" w:type="dxa"/>
          <w:left w:w="0" w:type="dxa"/>
          <w:bottom w:w="0" w:type="dxa"/>
          <w:right w:w="0" w:type="dxa"/>
        </w:tblCellMar>
        <w:tblLook w:val="01E0"/>
      </w:tblPr>
      <w:tblGrid>
        <w:gridCol w:w="1746"/>
        <w:gridCol w:w="2275"/>
        <w:gridCol w:w="1421"/>
        <w:gridCol w:w="1934"/>
        <w:gridCol w:w="1419"/>
      </w:tblGrid>
      <w:tr>
        <w:trPr>
          <w:trHeight w:val="659" w:hRule="exact"/>
        </w:trPr>
        <w:tc>
          <w:tcPr>
            <w:tcW w:w="174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71"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27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55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421"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30"/>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934" w:type="dxa"/>
            <w:tcBorders>
              <w:top w:val="single" w:sz="6" w:space="0" w:color="000000"/>
              <w:left w:val="nil" w:sz="6" w:space="0" w:color="auto"/>
              <w:bottom w:val="single" w:sz="6" w:space="0" w:color="000000"/>
              <w:right w:val="nil" w:sz="6" w:space="0" w:color="auto"/>
            </w:tcBorders>
          </w:tcPr>
          <w:p>
            <w:pPr>
              <w:pStyle w:val="TableParagraph"/>
              <w:spacing w:line="316" w:lineRule="auto" w:before="21"/>
              <w:ind w:left="503" w:right="256" w:hanging="92"/>
              <w:jc w:val="left"/>
              <w:rPr>
                <w:rFonts w:ascii="宋体" w:hAnsi="宋体" w:cs="宋体" w:eastAsia="宋体" w:hint="default"/>
                <w:sz w:val="18"/>
                <w:szCs w:val="18"/>
              </w:rPr>
            </w:pPr>
            <w:r>
              <w:rPr>
                <w:rFonts w:ascii="宋体" w:hAnsi="宋体" w:cs="宋体" w:eastAsia="宋体" w:hint="default"/>
                <w:b/>
                <w:bCs/>
                <w:sz w:val="18"/>
                <w:szCs w:val="18"/>
              </w:rPr>
              <w:t>占应收账款总额</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19" w:type="dxa"/>
            <w:tcBorders>
              <w:top w:val="single" w:sz="6" w:space="0" w:color="000000"/>
              <w:left w:val="nil" w:sz="6" w:space="0" w:color="auto"/>
              <w:bottom w:val="single" w:sz="6" w:space="0" w:color="000000"/>
              <w:right w:val="nil" w:sz="6" w:space="0" w:color="auto"/>
            </w:tcBorders>
          </w:tcPr>
          <w:p>
            <w:pPr>
              <w:pStyle w:val="TableParagraph"/>
              <w:spacing w:line="316" w:lineRule="auto" w:before="21"/>
              <w:ind w:left="258" w:right="437"/>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47" w:hRule="exact"/>
        </w:trPr>
        <w:tc>
          <w:tcPr>
            <w:tcW w:w="174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27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376"/>
              <w:jc w:val="right"/>
              <w:rPr>
                <w:rFonts w:ascii="Times New Roman" w:hAnsi="Times New Roman" w:cs="Times New Roman" w:eastAsia="Times New Roman" w:hint="default"/>
                <w:sz w:val="18"/>
                <w:szCs w:val="18"/>
              </w:rPr>
            </w:pPr>
            <w:r>
              <w:rPr>
                <w:rFonts w:ascii="Times New Roman"/>
                <w:spacing w:val="-1"/>
                <w:sz w:val="18"/>
              </w:rPr>
              <w:t>81,452,750.52</w:t>
            </w:r>
          </w:p>
        </w:tc>
        <w:tc>
          <w:tcPr>
            <w:tcW w:w="1421"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34"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358"/>
              <w:jc w:val="right"/>
              <w:rPr>
                <w:rFonts w:ascii="Times New Roman" w:hAnsi="Times New Roman" w:cs="Times New Roman" w:eastAsia="Times New Roman" w:hint="default"/>
                <w:sz w:val="18"/>
                <w:szCs w:val="18"/>
              </w:rPr>
            </w:pPr>
            <w:r>
              <w:rPr>
                <w:rFonts w:ascii="Times New Roman"/>
                <w:sz w:val="18"/>
              </w:rPr>
              <w:t>6.11</w:t>
            </w:r>
          </w:p>
        </w:tc>
        <w:tc>
          <w:tcPr>
            <w:tcW w:w="1419"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4,072,637.53</w:t>
            </w:r>
          </w:p>
        </w:tc>
      </w:tr>
      <w:tr>
        <w:trPr>
          <w:trHeight w:val="347" w:hRule="exact"/>
        </w:trPr>
        <w:tc>
          <w:tcPr>
            <w:tcW w:w="174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27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376"/>
              <w:jc w:val="right"/>
              <w:rPr>
                <w:rFonts w:ascii="Times New Roman" w:hAnsi="Times New Roman" w:cs="Times New Roman" w:eastAsia="Times New Roman" w:hint="default"/>
                <w:sz w:val="18"/>
                <w:szCs w:val="18"/>
              </w:rPr>
            </w:pPr>
            <w:r>
              <w:rPr>
                <w:rFonts w:ascii="Times New Roman"/>
                <w:spacing w:val="-1"/>
                <w:sz w:val="18"/>
              </w:rPr>
              <w:t>74,312,687.96</w:t>
            </w:r>
          </w:p>
        </w:tc>
        <w:tc>
          <w:tcPr>
            <w:tcW w:w="1421"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34"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358"/>
              <w:jc w:val="right"/>
              <w:rPr>
                <w:rFonts w:ascii="Times New Roman" w:hAnsi="Times New Roman" w:cs="Times New Roman" w:eastAsia="Times New Roman" w:hint="default"/>
                <w:sz w:val="18"/>
                <w:szCs w:val="18"/>
              </w:rPr>
            </w:pPr>
            <w:r>
              <w:rPr>
                <w:rFonts w:ascii="Times New Roman"/>
                <w:sz w:val="18"/>
              </w:rPr>
              <w:t>5.57</w:t>
            </w:r>
          </w:p>
        </w:tc>
        <w:tc>
          <w:tcPr>
            <w:tcW w:w="1419"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3,715,634.40</w:t>
            </w:r>
          </w:p>
        </w:tc>
      </w:tr>
      <w:tr>
        <w:trPr>
          <w:trHeight w:val="348" w:hRule="exact"/>
        </w:trPr>
        <w:tc>
          <w:tcPr>
            <w:tcW w:w="174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27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376"/>
              <w:jc w:val="right"/>
              <w:rPr>
                <w:rFonts w:ascii="Times New Roman" w:hAnsi="Times New Roman" w:cs="Times New Roman" w:eastAsia="Times New Roman" w:hint="default"/>
                <w:sz w:val="18"/>
                <w:szCs w:val="18"/>
              </w:rPr>
            </w:pPr>
            <w:r>
              <w:rPr>
                <w:rFonts w:ascii="Times New Roman"/>
                <w:spacing w:val="-1"/>
                <w:sz w:val="18"/>
              </w:rPr>
              <w:t>57,374,799.13</w:t>
            </w:r>
          </w:p>
        </w:tc>
        <w:tc>
          <w:tcPr>
            <w:tcW w:w="1421"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34"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358"/>
              <w:jc w:val="right"/>
              <w:rPr>
                <w:rFonts w:ascii="Times New Roman" w:hAnsi="Times New Roman" w:cs="Times New Roman" w:eastAsia="Times New Roman" w:hint="default"/>
                <w:sz w:val="18"/>
                <w:szCs w:val="18"/>
              </w:rPr>
            </w:pPr>
            <w:r>
              <w:rPr>
                <w:rFonts w:ascii="Times New Roman"/>
                <w:sz w:val="18"/>
              </w:rPr>
              <w:t>4.30</w:t>
            </w:r>
          </w:p>
        </w:tc>
        <w:tc>
          <w:tcPr>
            <w:tcW w:w="1419"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2,868,739.96</w:t>
            </w:r>
          </w:p>
        </w:tc>
      </w:tr>
      <w:tr>
        <w:trPr>
          <w:trHeight w:val="347" w:hRule="exact"/>
        </w:trPr>
        <w:tc>
          <w:tcPr>
            <w:tcW w:w="174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275"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376"/>
              <w:jc w:val="right"/>
              <w:rPr>
                <w:rFonts w:ascii="Times New Roman" w:hAnsi="Times New Roman" w:cs="Times New Roman" w:eastAsia="Times New Roman" w:hint="default"/>
                <w:sz w:val="18"/>
                <w:szCs w:val="18"/>
              </w:rPr>
            </w:pPr>
            <w:r>
              <w:rPr>
                <w:rFonts w:ascii="Times New Roman"/>
                <w:spacing w:val="-1"/>
                <w:sz w:val="18"/>
              </w:rPr>
              <w:t>54,314,429.82</w:t>
            </w:r>
          </w:p>
        </w:tc>
        <w:tc>
          <w:tcPr>
            <w:tcW w:w="142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34"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358"/>
              <w:jc w:val="right"/>
              <w:rPr>
                <w:rFonts w:ascii="Times New Roman" w:hAnsi="Times New Roman" w:cs="Times New Roman" w:eastAsia="Times New Roman" w:hint="default"/>
                <w:sz w:val="18"/>
                <w:szCs w:val="18"/>
              </w:rPr>
            </w:pPr>
            <w:r>
              <w:rPr>
                <w:rFonts w:ascii="Times New Roman"/>
                <w:sz w:val="18"/>
              </w:rPr>
              <w:t>4.07</w:t>
            </w:r>
          </w:p>
        </w:tc>
        <w:tc>
          <w:tcPr>
            <w:tcW w:w="1419"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2,715,721.49</w:t>
            </w:r>
          </w:p>
        </w:tc>
      </w:tr>
      <w:tr>
        <w:trPr>
          <w:trHeight w:val="347" w:hRule="exact"/>
        </w:trPr>
        <w:tc>
          <w:tcPr>
            <w:tcW w:w="1746"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27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376"/>
              <w:jc w:val="right"/>
              <w:rPr>
                <w:rFonts w:ascii="Times New Roman" w:hAnsi="Times New Roman" w:cs="Times New Roman" w:eastAsia="Times New Roman" w:hint="default"/>
                <w:sz w:val="18"/>
                <w:szCs w:val="18"/>
              </w:rPr>
            </w:pPr>
            <w:r>
              <w:rPr>
                <w:rFonts w:ascii="Times New Roman"/>
                <w:spacing w:val="-1"/>
                <w:sz w:val="18"/>
              </w:rPr>
              <w:t>40,944,794.97</w:t>
            </w:r>
          </w:p>
        </w:tc>
        <w:tc>
          <w:tcPr>
            <w:tcW w:w="1421"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34"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358"/>
              <w:jc w:val="right"/>
              <w:rPr>
                <w:rFonts w:ascii="Times New Roman" w:hAnsi="Times New Roman" w:cs="Times New Roman" w:eastAsia="Times New Roman" w:hint="default"/>
                <w:sz w:val="18"/>
                <w:szCs w:val="18"/>
              </w:rPr>
            </w:pPr>
            <w:r>
              <w:rPr>
                <w:rFonts w:ascii="Times New Roman"/>
                <w:sz w:val="18"/>
              </w:rPr>
              <w:t>3.07</w:t>
            </w:r>
          </w:p>
        </w:tc>
        <w:tc>
          <w:tcPr>
            <w:tcW w:w="1419"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2,047,239.75</w:t>
            </w:r>
          </w:p>
        </w:tc>
      </w:tr>
      <w:tr>
        <w:trPr>
          <w:trHeight w:val="272" w:hRule="exact"/>
        </w:trPr>
        <w:tc>
          <w:tcPr>
            <w:tcW w:w="1746"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77"/>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275"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right="37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308,399,462.40</w:t>
            </w:r>
            <w:r>
              <w:rPr>
                <w:rFonts w:ascii="Times New Roman"/>
                <w:spacing w:val="-1"/>
                <w:sz w:val="18"/>
              </w:rPr>
            </w:r>
          </w:p>
        </w:tc>
        <w:tc>
          <w:tcPr>
            <w:tcW w:w="1421" w:type="dxa"/>
            <w:tcBorders>
              <w:top w:val="single" w:sz="6" w:space="0" w:color="000000"/>
              <w:left w:val="nil" w:sz="6" w:space="0" w:color="auto"/>
              <w:bottom w:val="nil" w:sz="6" w:space="0" w:color="auto"/>
              <w:right w:val="nil" w:sz="6" w:space="0" w:color="auto"/>
            </w:tcBorders>
          </w:tcPr>
          <w:p>
            <w:pPr/>
          </w:p>
        </w:tc>
        <w:tc>
          <w:tcPr>
            <w:tcW w:w="1934"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right="35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23.12</w:t>
            </w:r>
            <w:r>
              <w:rPr>
                <w:rFonts w:ascii="Times New Roman"/>
                <w:sz w:val="18"/>
              </w:rPr>
            </w:r>
          </w:p>
        </w:tc>
        <w:tc>
          <w:tcPr>
            <w:tcW w:w="1419"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15,419,973.13</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7542"/>
        <w:jc w:val="left"/>
      </w:pPr>
      <w:r>
        <w:rPr>
          <w:rFonts w:ascii="Times New Roman" w:hAnsi="Times New Roman" w:cs="Times New Roman" w:eastAsia="Times New Roman" w:hint="default"/>
        </w:rPr>
        <w:t>5)</w:t>
      </w:r>
      <w:r>
        <w:rPr/>
        <w:t>因金融资产转移而终止确认的应收账款</w:t>
      </w:r>
      <w:r>
        <w:rPr>
          <w:w w:val="99"/>
        </w:rPr>
        <w:t> </w:t>
      </w:r>
      <w:r>
        <w:rPr/>
        <w:t>无</w:t>
      </w:r>
    </w:p>
    <w:p>
      <w:pPr>
        <w:pStyle w:val="BodyText"/>
        <w:spacing w:line="338" w:lineRule="auto" w:before="4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无</w:t>
      </w:r>
    </w:p>
    <w:p>
      <w:pPr>
        <w:pStyle w:val="BodyText"/>
        <w:spacing w:line="240" w:lineRule="auto" w:before="44"/>
        <w:ind w:right="104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48"/>
        <w:jc w:val="left"/>
        <w:rPr>
          <w:b w:val="0"/>
          <w:bCs w:val="0"/>
        </w:rPr>
      </w:pPr>
      <w:bookmarkStart w:name="5、预付款项" w:id="227"/>
      <w:bookmarkEnd w:id="227"/>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8"/>
        <w:jc w:val="left"/>
        <w:rPr>
          <w:b w:val="0"/>
          <w:bCs w:val="0"/>
        </w:rPr>
      </w:pPr>
      <w:bookmarkStart w:name="（1）预付款项按账龄列示" w:id="228"/>
      <w:bookmarkEnd w:id="22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207,718,630.19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22,956,274.85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89.70%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409,627.56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2,090,324.53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89,209.55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545,318.91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208,217,467.30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25,591,918.29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48"/>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3"/>
        <w:spacing w:line="240" w:lineRule="auto"/>
        <w:ind w:right="1048"/>
        <w:jc w:val="left"/>
        <w:rPr>
          <w:b w:val="0"/>
          <w:bCs w:val="0"/>
        </w:rPr>
      </w:pPr>
      <w:bookmarkStart w:name="（2）按预付对象归集的期末余额前五名的预付款情况" w:id="229"/>
      <w:bookmarkEnd w:id="22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53" w:type="dxa"/>
        <w:tblLayout w:type="fixed"/>
        <w:tblCellMar>
          <w:top w:w="0" w:type="dxa"/>
          <w:left w:w="0" w:type="dxa"/>
          <w:bottom w:w="0" w:type="dxa"/>
          <w:right w:w="0" w:type="dxa"/>
        </w:tblCellMar>
        <w:tblLook w:val="01E0"/>
      </w:tblPr>
      <w:tblGrid>
        <w:gridCol w:w="2668"/>
        <w:gridCol w:w="2611"/>
        <w:gridCol w:w="1277"/>
        <w:gridCol w:w="2241"/>
      </w:tblGrid>
      <w:tr>
        <w:trPr>
          <w:trHeight w:val="659" w:hRule="exact"/>
        </w:trPr>
        <w:tc>
          <w:tcPr>
            <w:tcW w:w="266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33"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61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74"/>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27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241"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322" w:right="110" w:firstLine="451"/>
              <w:jc w:val="left"/>
              <w:rPr>
                <w:rFonts w:ascii="宋体" w:hAnsi="宋体" w:cs="宋体" w:eastAsia="宋体" w:hint="default"/>
                <w:sz w:val="18"/>
                <w:szCs w:val="18"/>
              </w:rPr>
            </w:pPr>
            <w:r>
              <w:rPr>
                <w:rFonts w:ascii="宋体" w:hAnsi="宋体" w:cs="宋体" w:eastAsia="宋体" w:hint="default"/>
                <w:b/>
                <w:bCs/>
                <w:sz w:val="18"/>
                <w:szCs w:val="18"/>
              </w:rPr>
              <w:t>占预付款项</w:t>
            </w:r>
            <w:r>
              <w:rPr>
                <w:rFonts w:ascii="宋体" w:hAnsi="宋体" w:cs="宋体" w:eastAsia="宋体" w:hint="default"/>
                <w:b/>
                <w:bCs/>
                <w:w w:val="99"/>
                <w:sz w:val="18"/>
                <w:szCs w:val="18"/>
              </w:rPr>
              <w:t> </w:t>
            </w:r>
            <w:r>
              <w:rPr>
                <w:rFonts w:ascii="宋体" w:hAnsi="宋体" w:cs="宋体" w:eastAsia="宋体" w:hint="default"/>
                <w:b/>
                <w:bCs/>
                <w:sz w:val="18"/>
                <w:szCs w:val="18"/>
              </w:rPr>
              <w:t>期末余额合计数（</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7" w:hRule="exact"/>
        </w:trPr>
        <w:tc>
          <w:tcPr>
            <w:tcW w:w="266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61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321"/>
              <w:jc w:val="right"/>
              <w:rPr>
                <w:rFonts w:ascii="Times New Roman" w:hAnsi="Times New Roman" w:cs="Times New Roman" w:eastAsia="Times New Roman" w:hint="default"/>
                <w:sz w:val="18"/>
                <w:szCs w:val="18"/>
              </w:rPr>
            </w:pPr>
            <w:r>
              <w:rPr>
                <w:rFonts w:ascii="Times New Roman"/>
                <w:spacing w:val="-1"/>
                <w:sz w:val="18"/>
              </w:rPr>
              <w:t>135,174,059.31</w:t>
            </w:r>
          </w:p>
        </w:tc>
        <w:tc>
          <w:tcPr>
            <w:tcW w:w="127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4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504"/>
              <w:jc w:val="right"/>
              <w:rPr>
                <w:rFonts w:ascii="Times New Roman" w:hAnsi="Times New Roman" w:cs="Times New Roman" w:eastAsia="Times New Roman" w:hint="default"/>
                <w:sz w:val="18"/>
                <w:szCs w:val="18"/>
              </w:rPr>
            </w:pPr>
            <w:r>
              <w:rPr>
                <w:rFonts w:ascii="Times New Roman"/>
                <w:sz w:val="18"/>
              </w:rPr>
              <w:t>64.92</w:t>
            </w:r>
          </w:p>
        </w:tc>
      </w:tr>
      <w:tr>
        <w:trPr>
          <w:trHeight w:val="347" w:hRule="exact"/>
        </w:trPr>
        <w:tc>
          <w:tcPr>
            <w:tcW w:w="266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61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321"/>
              <w:jc w:val="right"/>
              <w:rPr>
                <w:rFonts w:ascii="Times New Roman" w:hAnsi="Times New Roman" w:cs="Times New Roman" w:eastAsia="Times New Roman" w:hint="default"/>
                <w:sz w:val="18"/>
                <w:szCs w:val="18"/>
              </w:rPr>
            </w:pPr>
            <w:r>
              <w:rPr>
                <w:rFonts w:ascii="Times New Roman"/>
                <w:spacing w:val="-1"/>
                <w:sz w:val="18"/>
              </w:rPr>
              <w:t>38,662,116.47</w:t>
            </w:r>
          </w:p>
        </w:tc>
        <w:tc>
          <w:tcPr>
            <w:tcW w:w="127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4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504"/>
              <w:jc w:val="right"/>
              <w:rPr>
                <w:rFonts w:ascii="Times New Roman" w:hAnsi="Times New Roman" w:cs="Times New Roman" w:eastAsia="Times New Roman" w:hint="default"/>
                <w:sz w:val="18"/>
                <w:szCs w:val="18"/>
              </w:rPr>
            </w:pPr>
            <w:r>
              <w:rPr>
                <w:rFonts w:ascii="Times New Roman"/>
                <w:sz w:val="18"/>
              </w:rPr>
              <w:t>18.57</w:t>
            </w:r>
          </w:p>
        </w:tc>
      </w:tr>
      <w:tr>
        <w:trPr>
          <w:trHeight w:val="347" w:hRule="exact"/>
        </w:trPr>
        <w:tc>
          <w:tcPr>
            <w:tcW w:w="266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61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321"/>
              <w:jc w:val="right"/>
              <w:rPr>
                <w:rFonts w:ascii="Times New Roman" w:hAnsi="Times New Roman" w:cs="Times New Roman" w:eastAsia="Times New Roman" w:hint="default"/>
                <w:sz w:val="18"/>
                <w:szCs w:val="18"/>
              </w:rPr>
            </w:pPr>
            <w:r>
              <w:rPr>
                <w:rFonts w:ascii="Times New Roman"/>
                <w:spacing w:val="-1"/>
                <w:sz w:val="18"/>
              </w:rPr>
              <w:t>8,235,253.50</w:t>
            </w:r>
          </w:p>
        </w:tc>
        <w:tc>
          <w:tcPr>
            <w:tcW w:w="127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4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504"/>
              <w:jc w:val="right"/>
              <w:rPr>
                <w:rFonts w:ascii="Times New Roman" w:hAnsi="Times New Roman" w:cs="Times New Roman" w:eastAsia="Times New Roman" w:hint="default"/>
                <w:sz w:val="18"/>
                <w:szCs w:val="18"/>
              </w:rPr>
            </w:pPr>
            <w:r>
              <w:rPr>
                <w:rFonts w:ascii="Times New Roman"/>
                <w:sz w:val="18"/>
              </w:rPr>
              <w:t>3.96</w:t>
            </w:r>
          </w:p>
        </w:tc>
      </w:tr>
      <w:tr>
        <w:trPr>
          <w:trHeight w:val="347" w:hRule="exact"/>
        </w:trPr>
        <w:tc>
          <w:tcPr>
            <w:tcW w:w="266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61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321"/>
              <w:jc w:val="right"/>
              <w:rPr>
                <w:rFonts w:ascii="Times New Roman" w:hAnsi="Times New Roman" w:cs="Times New Roman" w:eastAsia="Times New Roman" w:hint="default"/>
                <w:sz w:val="18"/>
                <w:szCs w:val="18"/>
              </w:rPr>
            </w:pPr>
            <w:r>
              <w:rPr>
                <w:rFonts w:ascii="Times New Roman"/>
                <w:spacing w:val="-1"/>
                <w:sz w:val="18"/>
              </w:rPr>
              <w:t>7,000,000.00</w:t>
            </w:r>
          </w:p>
        </w:tc>
        <w:tc>
          <w:tcPr>
            <w:tcW w:w="127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4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504"/>
              <w:jc w:val="right"/>
              <w:rPr>
                <w:rFonts w:ascii="Times New Roman" w:hAnsi="Times New Roman" w:cs="Times New Roman" w:eastAsia="Times New Roman" w:hint="default"/>
                <w:sz w:val="18"/>
                <w:szCs w:val="18"/>
              </w:rPr>
            </w:pPr>
            <w:r>
              <w:rPr>
                <w:rFonts w:ascii="Times New Roman"/>
                <w:sz w:val="18"/>
              </w:rPr>
              <w:t>3.36</w:t>
            </w:r>
          </w:p>
        </w:tc>
      </w:tr>
      <w:tr>
        <w:trPr>
          <w:trHeight w:val="348" w:hRule="exact"/>
        </w:trPr>
        <w:tc>
          <w:tcPr>
            <w:tcW w:w="266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61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321"/>
              <w:jc w:val="right"/>
              <w:rPr>
                <w:rFonts w:ascii="Times New Roman" w:hAnsi="Times New Roman" w:cs="Times New Roman" w:eastAsia="Times New Roman" w:hint="default"/>
                <w:sz w:val="18"/>
                <w:szCs w:val="18"/>
              </w:rPr>
            </w:pPr>
            <w:r>
              <w:rPr>
                <w:rFonts w:ascii="Times New Roman"/>
                <w:spacing w:val="-1"/>
                <w:sz w:val="18"/>
              </w:rPr>
              <w:t>5,948,119.11</w:t>
            </w:r>
          </w:p>
        </w:tc>
        <w:tc>
          <w:tcPr>
            <w:tcW w:w="127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4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504"/>
              <w:jc w:val="right"/>
              <w:rPr>
                <w:rFonts w:ascii="Times New Roman" w:hAnsi="Times New Roman" w:cs="Times New Roman" w:eastAsia="Times New Roman" w:hint="default"/>
                <w:sz w:val="18"/>
                <w:szCs w:val="18"/>
              </w:rPr>
            </w:pPr>
            <w:r>
              <w:rPr>
                <w:rFonts w:ascii="Times New Roman"/>
                <w:sz w:val="18"/>
              </w:rPr>
              <w:t>2.86</w:t>
            </w:r>
          </w:p>
        </w:tc>
      </w:tr>
      <w:tr>
        <w:trPr>
          <w:trHeight w:val="270" w:hRule="exact"/>
        </w:trPr>
        <w:tc>
          <w:tcPr>
            <w:tcW w:w="2668"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13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611"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3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195,019,548.39</w:t>
            </w:r>
            <w:r>
              <w:rPr>
                <w:rFonts w:ascii="Times New Roman"/>
                <w:spacing w:val="-1"/>
                <w:sz w:val="18"/>
              </w:rPr>
            </w:r>
          </w:p>
        </w:tc>
        <w:tc>
          <w:tcPr>
            <w:tcW w:w="1277" w:type="dxa"/>
            <w:tcBorders>
              <w:top w:val="single" w:sz="6" w:space="0" w:color="000000"/>
              <w:left w:val="nil" w:sz="6" w:space="0" w:color="auto"/>
              <w:bottom w:val="nil" w:sz="6" w:space="0" w:color="auto"/>
              <w:right w:val="nil" w:sz="6" w:space="0" w:color="auto"/>
            </w:tcBorders>
          </w:tcPr>
          <w:p>
            <w:pPr/>
          </w:p>
        </w:tc>
        <w:tc>
          <w:tcPr>
            <w:tcW w:w="2241"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50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93.67</w:t>
            </w:r>
            <w:r>
              <w:rPr>
                <w:rFonts w:ascii="Times New Roman"/>
                <w:sz w:val="18"/>
              </w:rPr>
            </w:r>
          </w:p>
        </w:tc>
      </w:tr>
    </w:tbl>
    <w:p>
      <w:pPr>
        <w:spacing w:line="240" w:lineRule="auto" w:before="9"/>
        <w:rPr>
          <w:rFonts w:ascii="宋体" w:hAnsi="宋体" w:cs="宋体" w:eastAsia="宋体" w:hint="default"/>
          <w:b/>
          <w:bCs/>
          <w:sz w:val="29"/>
          <w:szCs w:val="29"/>
        </w:rPr>
      </w:pPr>
    </w:p>
    <w:p>
      <w:pPr>
        <w:pStyle w:val="BodyText"/>
        <w:spacing w:line="240" w:lineRule="auto" w:before="44"/>
        <w:ind w:right="104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6、其他应收款" w:id="230"/>
      <w:bookmarkEnd w:id="230"/>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22,957,944.22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43,572,957.87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22,957,944.22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43,572,957.87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48"/>
        <w:jc w:val="left"/>
        <w:rPr>
          <w:b w:val="0"/>
          <w:bCs w:val="0"/>
        </w:rPr>
      </w:pPr>
      <w:bookmarkStart w:name="（1）应收利息" w:id="231"/>
      <w:bookmarkEnd w:id="231"/>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2）应收股利" w:id="232"/>
      <w:bookmarkEnd w:id="232"/>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3）其他应收款" w:id="233"/>
      <w:bookmarkEnd w:id="233"/>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48"/>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24,482,6</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71.83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1,524,72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22,957,94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4.22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46,176,</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413.71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2,603,455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43,572,957.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87</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24,482,6</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71.83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1,524,72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7.61</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22,957,94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4.22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46,176,</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413.71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2,603,455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.84</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43,572,957.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21,263,728.38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1,073,198.42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1,854,513.83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185,451.38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1,073,390.00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214,678.00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70,799.62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35,399.81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24,482,671.83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1,524,727.61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6252"/>
        <w:jc w:val="left"/>
      </w:pPr>
      <w:r>
        <w:rPr/>
        <w:t>确定该组合依据的说明： 组合中，采用余额百分比法计提坏账准备的其他应收款：</w:t>
      </w:r>
    </w:p>
    <w:p>
      <w:pPr>
        <w:pStyle w:val="BodyText"/>
        <w:spacing w:line="338" w:lineRule="auto" w:before="29"/>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spacing w:after="0" w:line="338"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240" w:lineRule="auto" w:before="44"/>
        <w:ind w:right="-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3"/>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3"/>
        <w:jc w:val="left"/>
      </w:pPr>
      <w:r>
        <w:rPr/>
        <w:t>本期计提坏账准备金额</w:t>
      </w:r>
      <w:r>
        <w:rPr>
          <w:rFonts w:ascii="Times New Roman" w:hAnsi="Times New Roman" w:cs="Times New Roman" w:eastAsia="Times New Roman" w:hint="default"/>
        </w:rPr>
        <w:t>-1,048,692.24</w:t>
      </w:r>
      <w:r>
        <w:rPr>
          <w:rFonts w:ascii="Times New Roman" w:hAnsi="Times New Roman" w:cs="Times New Roman" w:eastAsia="Times New Roman" w:hint="default"/>
          <w:spacing w:val="-2"/>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pStyle w:val="BodyText"/>
        <w:spacing w:line="240" w:lineRule="auto" w:before="102"/>
        <w:ind w:right="-13"/>
        <w:jc w:val="left"/>
      </w:pPr>
      <w:r>
        <w:rPr>
          <w:rFonts w:ascii="Times New Roman" w:hAnsi="Times New Roman" w:cs="Times New Roman" w:eastAsia="Times New Roman" w:hint="default"/>
        </w:rPr>
        <w:t>3)</w:t>
      </w:r>
      <w:r>
        <w:rPr/>
        <w:t>本期实际核销的其他应收款情况：无</w:t>
      </w:r>
    </w:p>
    <w:p>
      <w:pPr>
        <w:pStyle w:val="BodyText"/>
        <w:spacing w:line="240" w:lineRule="auto" w:before="103"/>
        <w:ind w:right="-13"/>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153" w:right="0"/>
        <w:jc w:val="left"/>
      </w:pPr>
      <w:r>
        <w:rPr/>
        <w:t>单位： 元</w:t>
      </w:r>
    </w:p>
    <w:p>
      <w:pPr>
        <w:spacing w:after="0" w:line="240" w:lineRule="auto"/>
        <w:jc w:val="left"/>
        <w:sectPr>
          <w:type w:val="continuous"/>
          <w:pgSz w:w="11910" w:h="16840"/>
          <w:pgMar w:top="1060" w:bottom="1160" w:left="980" w:right="0"/>
          <w:cols w:num="2" w:equalWidth="0">
            <w:col w:w="6469" w:space="2361"/>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16,120,391.49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26,230,863.55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在途</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2,728,107.79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7,891,487.44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3,607,051.21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5,317,438.62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应收市场拓展合作费</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3,583,746.35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342,136.66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272,669.16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1,684,984.68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2,880,208.59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24,482,671.83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46,176,413.71</w:t>
            </w:r>
          </w:p>
        </w:tc>
      </w:tr>
    </w:tbl>
    <w:p>
      <w:pPr>
        <w:pStyle w:val="BodyText"/>
        <w:spacing w:line="240" w:lineRule="auto" w:before="51"/>
        <w:ind w:right="1048"/>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998,200.00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54,801.85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5,918,200.00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300,801.85</w:t>
            </w:r>
          </w:p>
        </w:tc>
      </w:tr>
    </w:tbl>
    <w:p>
      <w:pPr>
        <w:pStyle w:val="BodyText"/>
        <w:spacing w:line="240" w:lineRule="auto" w:before="51"/>
        <w:ind w:right="1048"/>
        <w:jc w:val="left"/>
      </w:pPr>
      <w:r>
        <w:rPr>
          <w:rFonts w:ascii="Times New Roman" w:hAnsi="Times New Roman" w:cs="Times New Roman" w:eastAsia="Times New Roman" w:hint="default"/>
        </w:rPr>
        <w:t>6)</w:t>
      </w:r>
      <w:r>
        <w:rPr/>
        <w:t>涉及政府补助的应收款项：无</w:t>
      </w:r>
    </w:p>
    <w:p>
      <w:pPr>
        <w:pStyle w:val="BodyText"/>
        <w:spacing w:line="240" w:lineRule="auto" w:before="102"/>
        <w:ind w:right="1048"/>
        <w:jc w:val="left"/>
      </w:pPr>
      <w:r>
        <w:rPr>
          <w:rFonts w:ascii="Times New Roman" w:hAnsi="Times New Roman" w:cs="Times New Roman" w:eastAsia="Times New Roman" w:hint="default"/>
        </w:rPr>
        <w:t>7)</w:t>
      </w:r>
      <w:r>
        <w:rPr/>
        <w:t>因金融资产转移而终止确认的其他应收款：无</w:t>
      </w:r>
    </w:p>
    <w:p>
      <w:pPr>
        <w:pStyle w:val="BodyText"/>
        <w:spacing w:line="240" w:lineRule="auto" w:before="103"/>
        <w:ind w:right="1048"/>
        <w:jc w:val="left"/>
      </w:pPr>
      <w:r>
        <w:rPr>
          <w:rFonts w:ascii="Times New Roman" w:hAnsi="Times New Roman" w:cs="Times New Roman" w:eastAsia="Times New Roman" w:hint="default"/>
        </w:rPr>
        <w:t>8)</w:t>
      </w:r>
      <w:r>
        <w:rPr/>
        <w:t>转移其他应收款且继续涉入形成的资产、负债金额：无</w:t>
      </w:r>
    </w:p>
    <w:p>
      <w:pPr>
        <w:spacing w:line="240" w:lineRule="auto" w:before="9"/>
        <w:rPr>
          <w:rFonts w:ascii="宋体" w:hAnsi="宋体" w:cs="宋体" w:eastAsia="宋体" w:hint="default"/>
          <w:sz w:val="25"/>
          <w:szCs w:val="25"/>
        </w:rPr>
      </w:pPr>
    </w:p>
    <w:p>
      <w:pPr>
        <w:pStyle w:val="Heading3"/>
        <w:spacing w:line="240" w:lineRule="auto"/>
        <w:ind w:right="1048"/>
        <w:jc w:val="left"/>
        <w:rPr>
          <w:b w:val="0"/>
          <w:bCs w:val="0"/>
        </w:rPr>
      </w:pPr>
      <w:bookmarkStart w:name="7、存货" w:id="234"/>
      <w:bookmarkEnd w:id="234"/>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13"/>
        <w:rPr>
          <w:rFonts w:ascii="宋体" w:hAnsi="宋体" w:cs="宋体" w:eastAsia="宋体" w:hint="default"/>
          <w:sz w:val="19"/>
          <w:szCs w:val="19"/>
        </w:rPr>
      </w:pPr>
    </w:p>
    <w:p>
      <w:pPr>
        <w:pStyle w:val="Heading3"/>
        <w:spacing w:line="240" w:lineRule="auto"/>
        <w:ind w:right="1048"/>
        <w:jc w:val="left"/>
        <w:rPr>
          <w:b w:val="0"/>
          <w:bCs w:val="0"/>
        </w:rPr>
      </w:pPr>
      <w:bookmarkStart w:name="（1）存货分类" w:id="235"/>
      <w:bookmarkEnd w:id="23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124,910,636.67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124,910,636.67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142,540,497.85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142,540,497.85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234,905,354.80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234,905,354.80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117,262,846.96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117,262,846.96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379,199,573.93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168,988.90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379,030,585.03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135,788,313.80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135,788,313.80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1,756,528.86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1,756,528.86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1,498,722.14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1,498,722.14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6,003,963.52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6,003,963.52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6,019,799.23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6,019,799.23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721,994.46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721,994.46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785,438.03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785,438.03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5,722,008.21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5,722,008.21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9,288,713.96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9,288,713.96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1,745,891.55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1,745,891.55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2,511,956.83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2,511,956.83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754,965,952.00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168,988.90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754,796,963.10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415,696,288.80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415,696,288.80</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0"/>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3"/>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2"/>
        <w:rPr>
          <w:rFonts w:ascii="宋体" w:hAnsi="宋体" w:cs="宋体" w:eastAsia="宋体" w:hint="default"/>
          <w:sz w:val="21"/>
          <w:szCs w:val="21"/>
        </w:rPr>
      </w:pPr>
    </w:p>
    <w:p>
      <w:pPr>
        <w:pStyle w:val="Heading3"/>
        <w:spacing w:line="240" w:lineRule="auto"/>
        <w:ind w:right="1048"/>
        <w:jc w:val="left"/>
        <w:rPr>
          <w:b w:val="0"/>
          <w:bCs w:val="0"/>
        </w:rPr>
      </w:pPr>
      <w:bookmarkStart w:name="（2）存货跌价准备" w:id="236"/>
      <w:bookmarkEnd w:id="23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168,988.90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168,988.90</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168,988.90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168,988.90</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3）存货期末余额含有借款费用资本化金额的说明" w:id="237"/>
      <w:bookmarkEnd w:id="237"/>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4）期末建造合同形成的已完工未结算资产情况" w:id="238"/>
      <w:bookmarkEnd w:id="238"/>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8、持有待售资产" w:id="239"/>
      <w:bookmarkEnd w:id="239"/>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不适用</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48"/>
        <w:jc w:val="left"/>
        <w:rPr>
          <w:b w:val="0"/>
          <w:bCs w:val="0"/>
        </w:rPr>
      </w:pPr>
      <w:bookmarkStart w:name="9、一年内到期的非流动资产" w:id="240"/>
      <w:bookmarkEnd w:id="240"/>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10、其他流动资产" w:id="241"/>
      <w:bookmarkEnd w:id="241"/>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56,018,962.67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8,932,542.71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1,555,299.78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3,080,912.57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待抵扣的进项税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26,820,384.43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581,878.03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2,363,122.75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1,341,499.90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预缴职工社保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570,134.66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87,327,904.29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233,936,833.21</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11、可供出售金融资产" w:id="242"/>
      <w:bookmarkEnd w:id="242"/>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12、持有至到期投资" w:id="243"/>
      <w:bookmarkEnd w:id="243"/>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13、长期应收款" w:id="244"/>
      <w:bookmarkEnd w:id="244"/>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14、长期股权投资" w:id="245"/>
      <w:bookmarkEnd w:id="245"/>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29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北京中能 互联创业 投资中心</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（有限合</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5" w:right="0"/>
              <w:jc w:val="left"/>
              <w:rPr>
                <w:rFonts w:ascii="Times New Roman" w:hAnsi="Times New Roman" w:cs="Times New Roman" w:eastAsia="Times New Roman" w:hint="default"/>
                <w:sz w:val="18"/>
                <w:szCs w:val="18"/>
              </w:rPr>
            </w:pPr>
            <w:r>
              <w:rPr>
                <w:rFonts w:ascii="Times New Roman"/>
                <w:sz w:val="18"/>
              </w:rPr>
              <w:t>24,187,47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110,826.8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4" w:right="0"/>
              <w:jc w:val="left"/>
              <w:rPr>
                <w:rFonts w:ascii="Times New Roman" w:hAnsi="Times New Roman" w:cs="Times New Roman" w:eastAsia="Times New Roman" w:hint="default"/>
                <w:sz w:val="18"/>
                <w:szCs w:val="18"/>
              </w:rPr>
            </w:pPr>
            <w:r>
              <w:rPr>
                <w:rFonts w:ascii="Times New Roman"/>
                <w:sz w:val="18"/>
              </w:rPr>
              <w:t>24,298,30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4.96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北京中能 互联电力 投资中心</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19,684,78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187,104.7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19,871,88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6.57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贵州中能 互联投资 合伙企业</w:t>
            </w:r>
          </w:p>
          <w:p>
            <w:pPr>
              <w:pStyle w:val="TableParagraph"/>
              <w:spacing w:line="319" w:lineRule="auto" w:before="19"/>
              <w:ind w:left="22"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13,259,59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-175,279.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13,084,31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6.67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宁波源纵 股权投资 合伙企业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-529,836.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99,470,16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天津市茂 联科技有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332,881,8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761,219.5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-1,504,43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332,138,6</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02.11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157,131,8</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56.09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332,881,8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354,035.1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-1,504,43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488,863,2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73.83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157,131,8</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56.09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332,881,8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354,035.1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-1,504,43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488,863,2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73.83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15、投资性房地产" w:id="246"/>
      <w:bookmarkEnd w:id="246"/>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8"/>
        <w:jc w:val="left"/>
        <w:rPr>
          <w:b w:val="0"/>
          <w:bCs w:val="0"/>
        </w:rPr>
      </w:pPr>
      <w:bookmarkStart w:name="（1）采用成本计量模式的投资性房地产" w:id="247"/>
      <w:bookmarkEnd w:id="247"/>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48"/>
        <w:jc w:val="left"/>
        <w:rPr>
          <w:b w:val="0"/>
          <w:bCs w:val="0"/>
        </w:rPr>
      </w:pPr>
      <w:bookmarkStart w:name="（2）采用公允价值计量模式的投资性房地产" w:id="248"/>
      <w:bookmarkEnd w:id="248"/>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48"/>
        <w:jc w:val="left"/>
        <w:rPr>
          <w:b w:val="0"/>
          <w:bCs w:val="0"/>
        </w:rPr>
      </w:pPr>
      <w:bookmarkStart w:name="（3）未办妥产权证书的投资性房地产情况" w:id="249"/>
      <w:bookmarkEnd w:id="249"/>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16、固定资产" w:id="250"/>
      <w:bookmarkEnd w:id="25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5"/>
        <w:gridCol w:w="3188"/>
        <w:gridCol w:w="3176"/>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188"/>
        <w:gridCol w:w="318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647,397,311.81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636,445,722.95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647,397,311.81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636,445,722.95</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1）固定资产情况" w:id="251"/>
      <w:bookmarkEnd w:id="251"/>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group style="position:absolute;margin-left:116.779999pt;margin-top:54.86174pt;width:58.15pt;height:20.8pt;mso-position-horizontal-relative:page;mso-position-vertical-relative:paragraph;z-index:-968536" coordorigin="2336,1097" coordsize="1163,416">
            <v:group style="position:absolute;left:2347;top:1109;width:2;height:393" coordorigin="2347,1109" coordsize="2,393">
              <v:shape style="position:absolute;left:2347;top:1109;width:2;height:393" coordorigin="2347,1109" coordsize="0,393" path="m2347,1109l2347,1501e" filled="false" stroked="true" strokeweight="1.140pt" strokecolor="#ffffff">
                <v:path arrowok="t"/>
              </v:shape>
            </v:group>
            <v:group style="position:absolute;left:2358;top:1109;width:1140;height:393" coordorigin="2358,1109" coordsize="1140,393">
              <v:shape style="position:absolute;left:2358;top:1109;width:1140;height:393" coordorigin="2358,1109" coordsize="1140,393" path="m2358,1501l3498,1501,3498,1109,2358,1109,2358,1501xe" filled="true" fillcolor="#ffffff" stroked="false">
                <v:path arrowok="t"/>
                <v:fill type="solid"/>
              </v:shape>
            </v:group>
            <w10:wrap type="none"/>
          </v:group>
        </w:pict>
      </w: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502" w:right="53" w:hanging="450"/>
              <w:jc w:val="left"/>
              <w:rPr>
                <w:rFonts w:ascii="宋体" w:hAnsi="宋体" w:cs="宋体" w:eastAsia="宋体" w:hint="default"/>
                <w:sz w:val="18"/>
                <w:szCs w:val="18"/>
              </w:rPr>
            </w:pPr>
            <w:r>
              <w:rPr>
                <w:rFonts w:ascii="宋体" w:hAnsi="宋体" w:cs="宋体" w:eastAsia="宋体" w:hint="default"/>
                <w:sz w:val="18"/>
                <w:szCs w:val="18"/>
              </w:rPr>
              <w:t>办公设备及其 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一、账面原值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529,093,141.38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161,222,849.21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10,631,797.91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4,082,716.08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11,953,194.88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23,653,977.94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740,637,677.40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8,294,609.84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38,396,762.05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268,966.57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328,609.22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1,496,209.95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306,018.10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49,091,175.73</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8,580,407.22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268,966.57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328,609.22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882,139.50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306,018.10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10,366,140.61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w:t>
            </w:r>
            <w:r>
              <w:rPr>
                <w:rFonts w:ascii="宋体" w:hAnsi="宋体" w:cs="宋体" w:eastAsia="宋体" w:hint="default"/>
                <w:sz w:val="18"/>
                <w:szCs w:val="18"/>
              </w:rPr>
              <w:t> 工程转入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8,294,609.84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29,816,354.83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614,070.45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38,725,035.12</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6,044,737.35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768,780.00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339,223.10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156,101.09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257,802.66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7,566,644.20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6,044,737.35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768,780.00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339,223.10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156,101.09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257,802.66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7,566,644.20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537,387,751.22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193,574,873.91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10,131,984.48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4,072,102.20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13,293,303.74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23,702,193.38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782,162,208.93</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32,866,107.97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48,315,556.58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5,411,064.12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2,766,705.42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8,931,448.90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5,880,431.46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104,171,314.45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14,167,335.99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17,539,955.85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1,079,223.83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380,305.17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1,019,789.16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2,677,729.35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36,864,339.35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14,167,335.99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17,539,955.85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1,079,223.83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380,305.17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1,019,789.16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2,677,729.35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36,864,339.35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4,893,140.74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695,001.48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313,749.90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148,060.40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241,444.16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6,291,396.68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4,893,140.74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695,001.48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313,749.90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148,060.40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241,444.16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6,291,396.68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47,033,443.96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60,962,371.69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5,795,286.47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2,833,260.69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9,803,177.66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8,316,716.65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134,744,257.12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20,640.00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20,640.00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20,640.00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20,640.00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490,354,307.26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132,591,862.22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4,336,698.01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1,238,841.51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3,490,126.08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15,385,476.73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647,397,311.81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496,227,033.41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112,886,652.63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5,220,733.79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1,316,010.66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3,021,745.98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17,773,546.48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636,445,722.95</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2）暂时闲置的固定资产情况" w:id="252"/>
      <w:bookmarkEnd w:id="252"/>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048"/>
        <w:jc w:val="left"/>
        <w:rPr>
          <w:b w:val="0"/>
          <w:bCs w:val="0"/>
        </w:rPr>
      </w:pPr>
      <w:bookmarkStart w:name="（3）通过融资租赁租入的固定资产情况" w:id="253"/>
      <w:bookmarkEnd w:id="253"/>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5" w:right="0"/>
              <w:jc w:val="left"/>
              <w:rPr>
                <w:rFonts w:ascii="Times New Roman" w:hAnsi="Times New Roman" w:cs="Times New Roman" w:eastAsia="Times New Roman" w:hint="default"/>
                <w:sz w:val="18"/>
                <w:szCs w:val="18"/>
              </w:rPr>
            </w:pPr>
            <w:r>
              <w:rPr>
                <w:rFonts w:ascii="Times New Roman"/>
                <w:sz w:val="18"/>
              </w:rPr>
              <w:t>16,004,658.11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3,346,359.66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12,658,298.45</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4）通过经营租赁租出的固定资产" w:id="254"/>
      <w:bookmarkEnd w:id="254"/>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048"/>
        <w:jc w:val="left"/>
        <w:rPr>
          <w:b w:val="0"/>
          <w:bCs w:val="0"/>
        </w:rPr>
      </w:pPr>
      <w:bookmarkStart w:name="（5）未办妥产权证书的固定资产情况" w:id="255"/>
      <w:bookmarkEnd w:id="255"/>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天津生产基地生产车间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235,966,555.81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产权证正在办理中</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6）固定资产清理" w:id="256"/>
      <w:bookmarkEnd w:id="256"/>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48"/>
        <w:jc w:val="left"/>
        <w:rPr>
          <w:b w:val="0"/>
          <w:bCs w:val="0"/>
        </w:rPr>
      </w:pPr>
      <w:bookmarkStart w:name="17、在建工程" w:id="257"/>
      <w:bookmarkEnd w:id="25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151,863,447.60</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31,031,663.35</w:t>
            </w: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151,863,447.60</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31,031,663.35</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1）在建工程情况" w:id="258"/>
      <w:bookmarkEnd w:id="25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天津基建项目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12,926,035.01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12,926,035.01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11,884,461.57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11,884,461.57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磷酸铁车间改造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3,072,769.56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3,072,769.56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19,082,024.04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19,082,024.04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电池级铁锂材料 生产基地项目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134,018,096.82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134,018,096.82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大颗粒车间改造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1,284,570.74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1,284,570.74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阿米巴信息化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环保设备</w:t>
            </w:r>
            <w:r>
              <w:rPr>
                <w:rFonts w:ascii="Times New Roman" w:hAnsi="Times New Roman" w:cs="Times New Roman" w:eastAsia="Times New Roman" w:hint="default"/>
                <w:sz w:val="18"/>
                <w:szCs w:val="18"/>
              </w:rPr>
              <w:t>/</w:t>
            </w:r>
            <w:r>
              <w:rPr>
                <w:rFonts w:ascii="宋体" w:hAnsi="宋体" w:cs="宋体" w:eastAsia="宋体" w:hint="default"/>
                <w:sz w:val="18"/>
                <w:szCs w:val="18"/>
              </w:rPr>
              <w:t>车间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73,009.95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73,009.95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65,177.74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65,177.74</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油烟处理器光催 化处理器活性炭 吸附设备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68,965.52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68,965.52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151,863,447.60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151,863,447.60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31,031,663.35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31,031,663.35</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2）重要在建工程项目本期变动情况" w:id="259"/>
      <w:bookmarkEnd w:id="25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天津基 建项目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342,230,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800.00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11,884,4</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61.57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1,041,57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3.44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12,926,0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35.01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84.24%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96.83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磷酸铁 车间改 造</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68,535,5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19,082,0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24.04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8,427,93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24,437,1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84.72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3,072,76</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9.56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63.94%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84.68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98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电池级 铁锂材 料生产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134,018,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096.82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134,018,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096.82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26" w:right="0"/>
              <w:jc w:val="center"/>
              <w:rPr>
                <w:rFonts w:ascii="Times New Roman" w:hAnsi="Times New Roman" w:cs="Times New Roman" w:eastAsia="Times New Roman" w:hint="default"/>
                <w:sz w:val="18"/>
                <w:szCs w:val="18"/>
              </w:rPr>
            </w:pPr>
            <w:r>
              <w:rPr>
                <w:rFonts w:ascii="Times New Roman"/>
                <w:sz w:val="18"/>
              </w:rPr>
              <w:t>44.67%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44.67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6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基地项 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710,766,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30,966,4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85.61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143,487,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600.50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24,437,1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84.72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150,016,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901.39</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3）本期计提在建工程减值准备情况" w:id="260"/>
      <w:bookmarkEnd w:id="26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1048"/>
        <w:jc w:val="left"/>
        <w:rPr>
          <w:b w:val="0"/>
          <w:bCs w:val="0"/>
        </w:rPr>
      </w:pPr>
      <w:bookmarkStart w:name="（4）工程物资" w:id="261"/>
      <w:bookmarkEnd w:id="261"/>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18、生产性生物资产" w:id="262"/>
      <w:bookmarkEnd w:id="262"/>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8"/>
        <w:jc w:val="left"/>
        <w:rPr>
          <w:b w:val="0"/>
          <w:bCs w:val="0"/>
        </w:rPr>
      </w:pPr>
      <w:bookmarkStart w:name="（1）采用成本计量模式的生产性生物资产" w:id="263"/>
      <w:bookmarkEnd w:id="263"/>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48"/>
        <w:jc w:val="left"/>
        <w:rPr>
          <w:b w:val="0"/>
          <w:bCs w:val="0"/>
        </w:rPr>
      </w:pPr>
      <w:bookmarkStart w:name="（2）采用公允价值计量模式的生产性生物资产" w:id="264"/>
      <w:bookmarkEnd w:id="264"/>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48"/>
        <w:jc w:val="left"/>
        <w:rPr>
          <w:b w:val="0"/>
          <w:bCs w:val="0"/>
        </w:rPr>
      </w:pPr>
      <w:bookmarkStart w:name="19、油气资产" w:id="265"/>
      <w:bookmarkEnd w:id="265"/>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48"/>
        <w:jc w:val="left"/>
        <w:rPr>
          <w:b w:val="0"/>
          <w:bCs w:val="0"/>
        </w:rPr>
      </w:pPr>
      <w:bookmarkStart w:name="20、无形资产" w:id="266"/>
      <w:bookmarkEnd w:id="266"/>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48"/>
        <w:jc w:val="left"/>
        <w:rPr>
          <w:b w:val="0"/>
          <w:bCs w:val="0"/>
        </w:rPr>
      </w:pPr>
      <w:bookmarkStart w:name="（1）无形资产情况" w:id="267"/>
      <w:bookmarkEnd w:id="26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118,825,983.03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81,369,770.19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4,753,418.29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12,773,879.29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217,723,050.80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17,454,871.52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299,184.49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17,754,056.01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299,184.49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299,184.49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17,454,871.52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17,454,871.52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36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118,825,983.03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98,824,641.71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4,753,418.29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13,073,063.78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235,477,106.81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9,754,313.56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6,586,005.87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588,014.16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1,867,357.30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18,795,690.89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2,608,389.04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8,275,661.62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475,341.84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1,288,877.01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12,648,269.51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2,608,389.04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8,275,661.62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475,341.84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1,288,877.01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12,648,269.51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12,362,702.60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14,861,667.49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1,063,356.00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3,156,234.31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31,443,960.40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106,463,280.43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83,962,974.22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3,690,062.29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9,916,829.47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204,033,146.41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109,071,669.47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74,783,764.32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4,165,404.13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10,906,521.99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198,927,359.91</w:t>
            </w:r>
          </w:p>
        </w:tc>
      </w:tr>
    </w:tbl>
    <w:p>
      <w:pPr>
        <w:pStyle w:val="BodyText"/>
        <w:spacing w:line="240" w:lineRule="auto" w:before="51"/>
        <w:ind w:right="1048"/>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42.96%</w:t>
      </w:r>
      <w:r>
        <w:rPr/>
        <w:t>。</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48"/>
        <w:jc w:val="left"/>
        <w:rPr>
          <w:b w:val="0"/>
          <w:bCs w:val="0"/>
        </w:rPr>
      </w:pPr>
      <w:bookmarkStart w:name="（2）未办妥产权证书的土地使用权情况" w:id="268"/>
      <w:bookmarkEnd w:id="268"/>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21、开发支出" w:id="269"/>
      <w:bookmarkEnd w:id="269"/>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6,952,627.95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933,912.84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7,886,540.79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463,972.35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43,540.74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507,513.09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39,826.08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5,397,011.44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5,436,837.52</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2,399,768.99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1,029,923.46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3,429,692.45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1,496,498.95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2,214,161.80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3,710,660.75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616,614.85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1,811,362.68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2,427,977.53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12,281.23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13,428.87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25,710.10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289,051.25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136.75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289,188.00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1,616,700.80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1,616,700.80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1,109,018.68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1,109,018.68</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870,531.80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870,531.80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344,912.49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116,413.78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228,498.71</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2,175,877.23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1,193,134.08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982,743.15</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17,080.60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17,080.60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99,727.33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99,727.33</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1,504.15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1,504.15</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132,167.72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132,167.72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146,792.46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146,792.46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590,469.34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590,469.34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24,630.27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24,630.27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421,095.48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421,095.48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93,574.01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93,574.01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154,922.87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154,922.87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40,435.52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40,435.52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89,630.41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89,630.41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24,563.28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24,563.28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30,474.92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30,474.92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45,194.18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45,194.18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9,719.39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9,719.39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542.59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542.59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25,562.86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25,562.86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1,586.85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1,586.85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30,267.87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30,267.87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13,552.19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13,552.19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3,008,986.73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3,008,986.73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323,773.39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323,773.39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2,398,446.30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2,398,446.30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2,484,182.07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2,484,182.07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1,589,876.52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1,589,876.52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894,305.55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894,305.55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613,652.92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613,652.92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728,938.00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728,938.00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626,775.16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626,775.16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657,337.86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657,337.86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567,492.56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567,492.56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3,121,444.86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3,121,444.86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5,146,464.57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5,146,464.57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3,613,664.94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3,613,664.94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2,700,024.45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2,700,024.45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12,270,641.6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48,033,929.7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17,454,871.5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32,461,347.0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10,388,352.8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right="104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48"/>
        <w:jc w:val="left"/>
        <w:rPr>
          <w:b w:val="0"/>
          <w:bCs w:val="0"/>
        </w:rPr>
      </w:pPr>
      <w:bookmarkStart w:name="22、商誉" w:id="270"/>
      <w:bookmarkEnd w:id="270"/>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48"/>
        <w:jc w:val="left"/>
        <w:rPr>
          <w:b w:val="0"/>
          <w:bCs w:val="0"/>
        </w:rPr>
      </w:pPr>
      <w:bookmarkStart w:name="（1）商誉账面原值" w:id="271"/>
      <w:bookmarkEnd w:id="27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湖南雅城新材料 有限公司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 w:right="0"/>
              <w:jc w:val="left"/>
              <w:rPr>
                <w:rFonts w:ascii="Times New Roman" w:hAnsi="Times New Roman" w:cs="Times New Roman" w:eastAsia="Times New Roman" w:hint="default"/>
                <w:sz w:val="18"/>
                <w:szCs w:val="18"/>
              </w:rPr>
            </w:pPr>
            <w:r>
              <w:rPr>
                <w:rFonts w:ascii="Times New Roman"/>
                <w:sz w:val="18"/>
              </w:rPr>
              <w:t>279,194,405.65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279,194,405.65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江苏鹏创电力设 计有限公司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142,757,982.21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142,757,982.21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四川鹏华电力工 程设计有限公司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775,000.00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422,727,387.86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422,727,387.86</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2）商誉减值准备" w:id="272"/>
      <w:bookmarkEnd w:id="27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湖南雅城新材料 有限公司</w:t>
            </w: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17,337,109.49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17,337,109.49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17,337,109.49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17,337,109.49</w:t>
            </w:r>
          </w:p>
        </w:tc>
      </w:tr>
    </w:tbl>
    <w:p>
      <w:pPr>
        <w:pStyle w:val="BodyText"/>
        <w:spacing w:line="240" w:lineRule="auto" w:before="51"/>
        <w:ind w:right="1048"/>
        <w:jc w:val="left"/>
      </w:pPr>
      <w:r>
        <w:rPr/>
        <w:t>商誉所在资产组或资产组组合的相关信息：</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36"/>
        <w:gridCol w:w="1187"/>
        <w:gridCol w:w="1476"/>
        <w:gridCol w:w="1493"/>
        <w:gridCol w:w="2080"/>
      </w:tblGrid>
      <w:tr>
        <w:trPr>
          <w:trHeight w:val="342" w:hRule="exact"/>
        </w:trPr>
        <w:tc>
          <w:tcPr>
            <w:tcW w:w="2736" w:type="dxa"/>
            <w:vMerge w:val="restart"/>
            <w:tcBorders>
              <w:top w:val="single" w:sz="4" w:space="0" w:color="000000"/>
              <w:left w:val="single" w:sz="4" w:space="0" w:color="000000"/>
              <w:right w:val="single" w:sz="4" w:space="0" w:color="000000"/>
            </w:tcBorders>
          </w:tcPr>
          <w:p>
            <w:pPr>
              <w:pStyle w:val="TableParagraph"/>
              <w:spacing w:line="240" w:lineRule="auto" w:before="20"/>
              <w:ind w:left="730"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62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资产组或资产组组合</w:t>
            </w:r>
            <w:r>
              <w:rPr>
                <w:rFonts w:ascii="宋体" w:hAnsi="宋体" w:cs="宋体" w:eastAsia="宋体" w:hint="default"/>
                <w:sz w:val="18"/>
                <w:szCs w:val="18"/>
              </w:rPr>
            </w:r>
          </w:p>
        </w:tc>
      </w:tr>
      <w:tr>
        <w:trPr>
          <w:trHeight w:val="342" w:hRule="exact"/>
        </w:trPr>
        <w:tc>
          <w:tcPr>
            <w:tcW w:w="2736" w:type="dxa"/>
            <w:vMerge/>
            <w:tcBorders>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6" w:right="0"/>
              <w:jc w:val="left"/>
              <w:rPr>
                <w:rFonts w:ascii="宋体" w:hAnsi="宋体" w:cs="宋体" w:eastAsia="宋体" w:hint="default"/>
                <w:sz w:val="18"/>
                <w:szCs w:val="18"/>
              </w:rPr>
            </w:pPr>
            <w:r>
              <w:rPr>
                <w:rFonts w:ascii="宋体" w:hAnsi="宋体" w:cs="宋体" w:eastAsia="宋体" w:hint="default"/>
                <w:b/>
                <w:bCs/>
                <w:sz w:val="18"/>
                <w:szCs w:val="18"/>
              </w:rPr>
              <w:t>主要构成</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7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79" w:right="0"/>
              <w:jc w:val="left"/>
              <w:rPr>
                <w:rFonts w:ascii="宋体" w:hAnsi="宋体" w:cs="宋体" w:eastAsia="宋体" w:hint="default"/>
                <w:sz w:val="18"/>
                <w:szCs w:val="18"/>
              </w:rPr>
            </w:pPr>
            <w:r>
              <w:rPr>
                <w:rFonts w:ascii="宋体" w:hAnsi="宋体" w:cs="宋体" w:eastAsia="宋体" w:hint="default"/>
                <w:b/>
                <w:bCs/>
                <w:sz w:val="18"/>
                <w:szCs w:val="18"/>
              </w:rPr>
              <w:t>确定方法</w:t>
            </w:r>
            <w:r>
              <w:rPr>
                <w:rFonts w:ascii="宋体" w:hAnsi="宋体" w:cs="宋体" w:eastAsia="宋体" w:hint="default"/>
                <w:sz w:val="18"/>
                <w:szCs w:val="18"/>
              </w:rPr>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12" w:right="0"/>
              <w:jc w:val="left"/>
              <w:rPr>
                <w:rFonts w:ascii="宋体" w:hAnsi="宋体" w:cs="宋体" w:eastAsia="宋体" w:hint="default"/>
                <w:sz w:val="18"/>
                <w:szCs w:val="18"/>
              </w:rPr>
            </w:pPr>
            <w:r>
              <w:rPr>
                <w:rFonts w:ascii="宋体" w:hAnsi="宋体" w:cs="宋体" w:eastAsia="宋体" w:hint="default"/>
                <w:b/>
                <w:bCs/>
                <w:sz w:val="18"/>
                <w:szCs w:val="18"/>
              </w:rPr>
              <w:t>本期是否发生变动</w:t>
            </w:r>
            <w:r>
              <w:rPr>
                <w:rFonts w:ascii="宋体" w:hAnsi="宋体" w:cs="宋体" w:eastAsia="宋体" w:hint="default"/>
                <w:sz w:val="18"/>
                <w:szCs w:val="18"/>
              </w:rPr>
            </w:r>
          </w:p>
        </w:tc>
      </w:tr>
      <w:tr>
        <w:trPr>
          <w:trHeight w:val="342"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雅城新材</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386,440,203.84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独立现金流</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江苏鹏创电力设计有限公司</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71,852,946.90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独立现金流</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四川鹏华电力工程设计有限公司</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3</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独立现金流</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439" w:lineRule="auto" w:before="10"/>
        <w:ind w:left="576" w:right="2410" w:hanging="2"/>
        <w:jc w:val="left"/>
      </w:pPr>
      <w:r>
        <w:rPr/>
        <w:t>注</w:t>
      </w:r>
      <w:r>
        <w:rPr>
          <w:rFonts w:ascii="宋体" w:hAnsi="宋体" w:cs="宋体" w:eastAsia="宋体" w:hint="default"/>
        </w:rPr>
        <w:t>1</w:t>
      </w:r>
      <w:r>
        <w:rPr/>
        <w:t>：</w:t>
      </w:r>
      <w:r>
        <w:rPr>
          <w:rFonts w:ascii="宋体" w:hAnsi="宋体" w:cs="宋体" w:eastAsia="宋体" w:hint="default"/>
        </w:rPr>
        <w:t>2017</w:t>
      </w:r>
      <w:r>
        <w:rPr/>
        <w:t>年公司并购雅城新材对应的所有资产和负债。 注</w:t>
      </w:r>
      <w:r>
        <w:rPr>
          <w:rFonts w:ascii="宋体" w:hAnsi="宋体" w:cs="宋体" w:eastAsia="宋体" w:hint="default"/>
        </w:rPr>
        <w:t>2</w:t>
      </w:r>
      <w:r>
        <w:rPr/>
        <w:t>：</w:t>
      </w:r>
      <w:r>
        <w:rPr>
          <w:rFonts w:ascii="宋体" w:hAnsi="宋体" w:cs="宋体" w:eastAsia="宋体" w:hint="default"/>
        </w:rPr>
        <w:t>2017</w:t>
      </w:r>
      <w:r>
        <w:rPr/>
        <w:t>年公司并购江苏鹏创电力设计有限公司对应的所有资产和负债。 注</w:t>
      </w:r>
      <w:r>
        <w:rPr>
          <w:rFonts w:ascii="宋体" w:hAnsi="宋体" w:cs="宋体" w:eastAsia="宋体" w:hint="default"/>
        </w:rPr>
        <w:t>3:2017</w:t>
      </w:r>
      <w:r>
        <w:rPr/>
        <w:t>年江苏鹏创电力设计有限公司并购四川鹏华电力工程设计有限公司对应的所有资产和负债。</w:t>
      </w:r>
    </w:p>
    <w:p>
      <w:pPr>
        <w:pStyle w:val="BodyText"/>
        <w:spacing w:line="319" w:lineRule="auto" w:before="47"/>
        <w:ind w:right="1048"/>
        <w:jc w:val="left"/>
      </w:pP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688"/>
        <w:gridCol w:w="1851"/>
        <w:gridCol w:w="1832"/>
        <w:gridCol w:w="1630"/>
        <w:gridCol w:w="2549"/>
      </w:tblGrid>
      <w:tr>
        <w:trPr>
          <w:trHeight w:val="654"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06"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7" w:right="0"/>
              <w:jc w:val="left"/>
              <w:rPr>
                <w:rFonts w:ascii="宋体" w:hAnsi="宋体" w:cs="宋体" w:eastAsia="宋体" w:hint="default"/>
                <w:sz w:val="18"/>
                <w:szCs w:val="18"/>
              </w:rPr>
            </w:pPr>
            <w:r>
              <w:rPr>
                <w:rFonts w:ascii="宋体" w:hAnsi="宋体" w:cs="宋体" w:eastAsia="宋体" w:hint="default"/>
                <w:b/>
                <w:bCs/>
                <w:sz w:val="18"/>
                <w:szCs w:val="18"/>
              </w:rPr>
              <w:t>商誉账面价值</w:t>
            </w:r>
            <w:r>
              <w:rPr>
                <w:rFonts w:ascii="宋体" w:hAnsi="宋体" w:cs="宋体" w:eastAsia="宋体" w:hint="default"/>
                <w:sz w:val="18"/>
                <w:szCs w:val="18"/>
              </w:rPr>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b/>
                <w:bCs/>
                <w:sz w:val="18"/>
                <w:szCs w:val="18"/>
              </w:rPr>
              <w:t>可收回金额的确定方法</w:t>
            </w:r>
            <w:r>
              <w:rPr>
                <w:rFonts w:ascii="宋体" w:hAnsi="宋体" w:cs="宋体" w:eastAsia="宋体" w:hint="default"/>
                <w:sz w:val="18"/>
                <w:szCs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30" w:right="86" w:hanging="543"/>
              <w:jc w:val="left"/>
              <w:rPr>
                <w:rFonts w:ascii="宋体" w:hAnsi="宋体" w:cs="宋体" w:eastAsia="宋体" w:hint="default"/>
                <w:sz w:val="18"/>
                <w:szCs w:val="18"/>
              </w:rPr>
            </w:pPr>
            <w:r>
              <w:rPr>
                <w:rFonts w:ascii="宋体" w:hAnsi="宋体" w:cs="宋体" w:eastAsia="宋体" w:hint="default"/>
                <w:b/>
                <w:bCs/>
                <w:sz w:val="18"/>
                <w:szCs w:val="18"/>
              </w:rPr>
              <w:t>重要假设及其合理</w:t>
            </w:r>
            <w:r>
              <w:rPr>
                <w:rFonts w:ascii="宋体" w:hAnsi="宋体" w:cs="宋体" w:eastAsia="宋体" w:hint="default"/>
                <w:b/>
                <w:bCs/>
                <w:w w:val="99"/>
                <w:sz w:val="18"/>
                <w:szCs w:val="18"/>
              </w:rPr>
              <w:t> </w:t>
            </w:r>
            <w:r>
              <w:rPr>
                <w:rFonts w:ascii="宋体" w:hAnsi="宋体" w:cs="宋体" w:eastAsia="宋体" w:hint="default"/>
                <w:b/>
                <w:bCs/>
                <w:sz w:val="18"/>
                <w:szCs w:val="18"/>
              </w:rPr>
              <w:t>理由</w:t>
            </w:r>
            <w:r>
              <w:rPr>
                <w:rFonts w:ascii="宋体" w:hAnsi="宋体" w:cs="宋体" w:eastAsia="宋体" w:hint="default"/>
                <w:sz w:val="18"/>
                <w:szCs w:val="18"/>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5" w:right="0"/>
              <w:jc w:val="left"/>
              <w:rPr>
                <w:rFonts w:ascii="宋体" w:hAnsi="宋体" w:cs="宋体" w:eastAsia="宋体" w:hint="default"/>
                <w:sz w:val="18"/>
                <w:szCs w:val="18"/>
              </w:rPr>
            </w:pPr>
            <w:r>
              <w:rPr>
                <w:rFonts w:ascii="宋体" w:hAnsi="宋体" w:cs="宋体" w:eastAsia="宋体" w:hint="default"/>
                <w:b/>
                <w:bCs/>
                <w:sz w:val="18"/>
                <w:szCs w:val="18"/>
              </w:rPr>
              <w:t>关键参数及其理由</w:t>
            </w:r>
            <w:r>
              <w:rPr>
                <w:rFonts w:ascii="宋体" w:hAnsi="宋体" w:cs="宋体" w:eastAsia="宋体" w:hint="default"/>
                <w:sz w:val="18"/>
                <w:szCs w:val="18"/>
              </w:rPr>
            </w:r>
          </w:p>
        </w:tc>
      </w:tr>
      <w:tr>
        <w:trPr>
          <w:trHeight w:val="2214"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雅城新材</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261,857,296.16</w:t>
            </w:r>
          </w:p>
        </w:tc>
        <w:tc>
          <w:tcPr>
            <w:tcW w:w="1832" w:type="dxa"/>
            <w:vMerge w:val="restart"/>
            <w:tcBorders>
              <w:top w:val="single" w:sz="4" w:space="0" w:color="000000"/>
              <w:left w:val="single" w:sz="4" w:space="0" w:color="000000"/>
              <w:right w:val="single" w:sz="4" w:space="0" w:color="000000"/>
            </w:tcBorders>
          </w:tcPr>
          <w:p>
            <w:pPr>
              <w:pStyle w:val="TableParagraph"/>
              <w:spacing w:line="316" w:lineRule="auto" w:before="21"/>
              <w:ind w:left="4" w:right="5"/>
              <w:jc w:val="both"/>
              <w:rPr>
                <w:rFonts w:ascii="宋体" w:hAnsi="宋体" w:cs="宋体" w:eastAsia="宋体" w:hint="default"/>
                <w:sz w:val="18"/>
                <w:szCs w:val="18"/>
              </w:rPr>
            </w:pPr>
            <w:r>
              <w:rPr>
                <w:rFonts w:ascii="宋体" w:hAnsi="宋体" w:cs="宋体" w:eastAsia="宋体" w:hint="default"/>
                <w:sz w:val="18"/>
                <w:szCs w:val="18"/>
              </w:rPr>
              <w:t>管理层基于未来五年财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务预算的现金流预测确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定预测期现金流，超过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五年的现金流量采用第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五年的现金流量确定稳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定期现金流，结合资产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组所在行业具体情况采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用国际上通用的加权平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均资本成本模型计算得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出折现率。以此确定资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产组未来现金流量的现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值。</w:t>
            </w:r>
          </w:p>
        </w:tc>
        <w:tc>
          <w:tcPr>
            <w:tcW w:w="1630" w:type="dxa"/>
            <w:vMerge w:val="restart"/>
            <w:tcBorders>
              <w:top w:val="single" w:sz="4" w:space="0" w:color="000000"/>
              <w:left w:val="single" w:sz="4" w:space="0" w:color="000000"/>
              <w:right w:val="single" w:sz="4" w:space="0" w:color="000000"/>
            </w:tcBorders>
          </w:tcPr>
          <w:p>
            <w:pPr>
              <w:pStyle w:val="TableParagraph"/>
              <w:spacing w:line="316" w:lineRule="auto" w:before="21"/>
              <w:ind w:left="5" w:right="3"/>
              <w:jc w:val="both"/>
              <w:rPr>
                <w:rFonts w:ascii="宋体" w:hAnsi="宋体" w:cs="宋体" w:eastAsia="宋体" w:hint="default"/>
                <w:sz w:val="18"/>
                <w:szCs w:val="18"/>
              </w:rPr>
            </w:pPr>
            <w:r>
              <w:rPr>
                <w:rFonts w:ascii="宋体" w:hAnsi="宋体" w:cs="宋体" w:eastAsia="宋体" w:hint="default"/>
                <w:sz w:val="18"/>
                <w:szCs w:val="18"/>
              </w:rPr>
              <w:t>管</w:t>
            </w:r>
            <w:r>
              <w:rPr>
                <w:rFonts w:ascii="宋体" w:hAnsi="宋体" w:cs="宋体" w:eastAsia="宋体" w:hint="default"/>
                <w:spacing w:val="-67"/>
                <w:sz w:val="18"/>
                <w:szCs w:val="18"/>
              </w:rPr>
              <w:t> </w:t>
            </w:r>
            <w:r>
              <w:rPr>
                <w:rFonts w:ascii="宋体" w:hAnsi="宋体" w:cs="宋体" w:eastAsia="宋体" w:hint="default"/>
                <w:sz w:val="18"/>
                <w:szCs w:val="18"/>
              </w:rPr>
              <w:t>理</w:t>
            </w:r>
            <w:r>
              <w:rPr>
                <w:rFonts w:ascii="宋体" w:hAnsi="宋体" w:cs="宋体" w:eastAsia="宋体" w:hint="default"/>
                <w:spacing w:val="-67"/>
                <w:sz w:val="18"/>
                <w:szCs w:val="18"/>
              </w:rPr>
              <w:t> </w:t>
            </w:r>
            <w:r>
              <w:rPr>
                <w:rFonts w:ascii="宋体" w:hAnsi="宋体" w:cs="宋体" w:eastAsia="宋体" w:hint="default"/>
                <w:sz w:val="18"/>
                <w:szCs w:val="18"/>
              </w:rPr>
              <w:t>层</w:t>
            </w:r>
            <w:r>
              <w:rPr>
                <w:rFonts w:ascii="宋体" w:hAnsi="宋体" w:cs="宋体" w:eastAsia="宋体" w:hint="default"/>
                <w:spacing w:val="-67"/>
                <w:sz w:val="18"/>
                <w:szCs w:val="18"/>
              </w:rPr>
              <w:t> </w:t>
            </w:r>
            <w:r>
              <w:rPr>
                <w:rFonts w:ascii="宋体" w:hAnsi="宋体" w:cs="宋体" w:eastAsia="宋体" w:hint="default"/>
                <w:sz w:val="18"/>
                <w:szCs w:val="18"/>
              </w:rPr>
              <w:t>根</w:t>
            </w:r>
            <w:r>
              <w:rPr>
                <w:rFonts w:ascii="宋体" w:hAnsi="宋体" w:cs="宋体" w:eastAsia="宋体" w:hint="default"/>
                <w:spacing w:val="-67"/>
                <w:sz w:val="18"/>
                <w:szCs w:val="18"/>
              </w:rPr>
              <w:t> </w:t>
            </w:r>
            <w:r>
              <w:rPr>
                <w:rFonts w:ascii="宋体" w:hAnsi="宋体" w:cs="宋体" w:eastAsia="宋体" w:hint="default"/>
                <w:sz w:val="18"/>
                <w:szCs w:val="18"/>
              </w:rPr>
              <w:t>据</w:t>
            </w:r>
            <w:r>
              <w:rPr>
                <w:rFonts w:ascii="宋体" w:hAnsi="宋体" w:cs="宋体" w:eastAsia="宋体" w:hint="default"/>
                <w:spacing w:val="-67"/>
                <w:sz w:val="18"/>
                <w:szCs w:val="18"/>
              </w:rPr>
              <w:t> </w:t>
            </w:r>
            <w:r>
              <w:rPr>
                <w:rFonts w:ascii="宋体" w:hAnsi="宋体" w:cs="宋体" w:eastAsia="宋体" w:hint="default"/>
                <w:sz w:val="18"/>
                <w:szCs w:val="18"/>
              </w:rPr>
              <w:t>每</w:t>
            </w:r>
            <w:r>
              <w:rPr>
                <w:rFonts w:ascii="宋体" w:hAnsi="宋体" w:cs="宋体" w:eastAsia="宋体" w:hint="default"/>
                <w:spacing w:val="-65"/>
                <w:sz w:val="18"/>
                <w:szCs w:val="18"/>
              </w:rPr>
              <w:t> </w:t>
            </w:r>
            <w:r>
              <w:rPr>
                <w:rFonts w:ascii="宋体" w:hAnsi="宋体" w:cs="宋体" w:eastAsia="宋体" w:hint="default"/>
                <w:sz w:val="18"/>
                <w:szCs w:val="18"/>
              </w:rPr>
              <w:t>个</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z w:val="18"/>
                <w:szCs w:val="18"/>
              </w:rPr>
              <w:t> 产</w:t>
            </w:r>
            <w:r>
              <w:rPr>
                <w:rFonts w:ascii="宋体" w:hAnsi="宋体" w:cs="宋体" w:eastAsia="宋体" w:hint="default"/>
                <w:spacing w:val="-67"/>
                <w:sz w:val="18"/>
                <w:szCs w:val="18"/>
              </w:rPr>
              <w:t> </w:t>
            </w:r>
            <w:r>
              <w:rPr>
                <w:rFonts w:ascii="宋体" w:hAnsi="宋体" w:cs="宋体" w:eastAsia="宋体" w:hint="default"/>
                <w:sz w:val="18"/>
                <w:szCs w:val="18"/>
              </w:rPr>
              <w:t>组</w:t>
            </w:r>
            <w:r>
              <w:rPr>
                <w:rFonts w:ascii="宋体" w:hAnsi="宋体" w:cs="宋体" w:eastAsia="宋体" w:hint="default"/>
                <w:spacing w:val="-67"/>
                <w:sz w:val="18"/>
                <w:szCs w:val="18"/>
              </w:rPr>
              <w:t> </w:t>
            </w:r>
            <w:r>
              <w:rPr>
                <w:rFonts w:ascii="宋体" w:hAnsi="宋体" w:cs="宋体" w:eastAsia="宋体" w:hint="default"/>
                <w:sz w:val="18"/>
                <w:szCs w:val="18"/>
              </w:rPr>
              <w:t>或</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z w:val="18"/>
                <w:szCs w:val="18"/>
              </w:rPr>
              <w:t>产</w:t>
            </w:r>
            <w:r>
              <w:rPr>
                <w:rFonts w:ascii="宋体" w:hAnsi="宋体" w:cs="宋体" w:eastAsia="宋体" w:hint="default"/>
                <w:spacing w:val="-67"/>
                <w:sz w:val="18"/>
                <w:szCs w:val="18"/>
              </w:rPr>
              <w:t> </w:t>
            </w:r>
            <w:r>
              <w:rPr>
                <w:rFonts w:ascii="宋体" w:hAnsi="宋体" w:cs="宋体" w:eastAsia="宋体" w:hint="default"/>
                <w:sz w:val="18"/>
                <w:szCs w:val="18"/>
              </w:rPr>
              <w:t>组</w:t>
            </w:r>
            <w:r>
              <w:rPr>
                <w:rFonts w:ascii="宋体" w:hAnsi="宋体" w:cs="宋体" w:eastAsia="宋体" w:hint="default"/>
                <w:spacing w:val="-65"/>
                <w:sz w:val="18"/>
                <w:szCs w:val="18"/>
              </w:rPr>
              <w:t> </w:t>
            </w:r>
            <w:r>
              <w:rPr>
                <w:rFonts w:ascii="宋体" w:hAnsi="宋体" w:cs="宋体" w:eastAsia="宋体" w:hint="default"/>
                <w:sz w:val="18"/>
                <w:szCs w:val="18"/>
              </w:rPr>
              <w:t>合</w:t>
            </w:r>
            <w:r>
              <w:rPr>
                <w:rFonts w:ascii="宋体" w:hAnsi="宋体" w:cs="宋体" w:eastAsia="宋体" w:hint="default"/>
                <w:spacing w:val="-67"/>
                <w:sz w:val="18"/>
                <w:szCs w:val="18"/>
              </w:rPr>
              <w:t> </w:t>
            </w:r>
            <w:r>
              <w:rPr>
                <w:rFonts w:ascii="宋体" w:hAnsi="宋体" w:cs="宋体" w:eastAsia="宋体" w:hint="default"/>
                <w:sz w:val="18"/>
                <w:szCs w:val="18"/>
              </w:rPr>
              <w:t>过</w:t>
            </w:r>
            <w:r>
              <w:rPr>
                <w:rFonts w:ascii="宋体" w:hAnsi="宋体" w:cs="宋体" w:eastAsia="宋体" w:hint="default"/>
                <w:sz w:val="18"/>
                <w:szCs w:val="18"/>
              </w:rPr>
              <w:t> 去</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7"/>
                <w:sz w:val="18"/>
                <w:szCs w:val="18"/>
              </w:rPr>
              <w:t> </w:t>
            </w:r>
            <w:r>
              <w:rPr>
                <w:rFonts w:ascii="宋体" w:hAnsi="宋体" w:cs="宋体" w:eastAsia="宋体" w:hint="default"/>
                <w:sz w:val="18"/>
                <w:szCs w:val="18"/>
              </w:rPr>
              <w:t>经</w:t>
            </w:r>
            <w:r>
              <w:rPr>
                <w:rFonts w:ascii="宋体" w:hAnsi="宋体" w:cs="宋体" w:eastAsia="宋体" w:hint="default"/>
                <w:spacing w:val="-67"/>
                <w:sz w:val="18"/>
                <w:szCs w:val="18"/>
              </w:rPr>
              <w:t> </w:t>
            </w:r>
            <w:r>
              <w:rPr>
                <w:rFonts w:ascii="宋体" w:hAnsi="宋体" w:cs="宋体" w:eastAsia="宋体" w:hint="default"/>
                <w:sz w:val="18"/>
                <w:szCs w:val="18"/>
              </w:rPr>
              <w:t>营</w:t>
            </w:r>
            <w:r>
              <w:rPr>
                <w:rFonts w:ascii="宋体" w:hAnsi="宋体" w:cs="宋体" w:eastAsia="宋体" w:hint="default"/>
                <w:spacing w:val="-67"/>
                <w:sz w:val="18"/>
                <w:szCs w:val="18"/>
              </w:rPr>
              <w:t> </w:t>
            </w:r>
            <w:r>
              <w:rPr>
                <w:rFonts w:ascii="宋体" w:hAnsi="宋体" w:cs="宋体" w:eastAsia="宋体" w:hint="default"/>
                <w:sz w:val="18"/>
                <w:szCs w:val="18"/>
              </w:rPr>
              <w:t>状</w:t>
            </w:r>
            <w:r>
              <w:rPr>
                <w:rFonts w:ascii="宋体" w:hAnsi="宋体" w:cs="宋体" w:eastAsia="宋体" w:hint="default"/>
                <w:spacing w:val="-67"/>
                <w:sz w:val="18"/>
                <w:szCs w:val="18"/>
              </w:rPr>
              <w:t> </w:t>
            </w:r>
            <w:r>
              <w:rPr>
                <w:rFonts w:ascii="宋体" w:hAnsi="宋体" w:cs="宋体" w:eastAsia="宋体" w:hint="default"/>
                <w:sz w:val="18"/>
                <w:szCs w:val="18"/>
              </w:rPr>
              <w:t>况</w:t>
            </w:r>
            <w:r>
              <w:rPr>
                <w:rFonts w:ascii="宋体" w:hAnsi="宋体" w:cs="宋体" w:eastAsia="宋体" w:hint="default"/>
                <w:spacing w:val="-65"/>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z w:val="18"/>
                <w:szCs w:val="18"/>
              </w:rPr>
              <w:t>其</w:t>
            </w:r>
            <w:r>
              <w:rPr>
                <w:rFonts w:ascii="宋体" w:hAnsi="宋体" w:cs="宋体" w:eastAsia="宋体" w:hint="default"/>
                <w:sz w:val="18"/>
                <w:szCs w:val="18"/>
              </w:rPr>
              <w:t> 对</w:t>
            </w:r>
            <w:r>
              <w:rPr>
                <w:rFonts w:ascii="宋体" w:hAnsi="宋体" w:cs="宋体" w:eastAsia="宋体" w:hint="default"/>
                <w:spacing w:val="-67"/>
                <w:sz w:val="18"/>
                <w:szCs w:val="18"/>
              </w:rPr>
              <w:t> </w:t>
            </w:r>
            <w:r>
              <w:rPr>
                <w:rFonts w:ascii="宋体" w:hAnsi="宋体" w:cs="宋体" w:eastAsia="宋体" w:hint="default"/>
                <w:sz w:val="18"/>
                <w:szCs w:val="18"/>
              </w:rPr>
              <w:t>未</w:t>
            </w:r>
            <w:r>
              <w:rPr>
                <w:rFonts w:ascii="宋体" w:hAnsi="宋体" w:cs="宋体" w:eastAsia="宋体" w:hint="default"/>
                <w:spacing w:val="-67"/>
                <w:sz w:val="18"/>
                <w:szCs w:val="18"/>
              </w:rPr>
              <w:t> </w:t>
            </w:r>
            <w:r>
              <w:rPr>
                <w:rFonts w:ascii="宋体" w:hAnsi="宋体" w:cs="宋体" w:eastAsia="宋体" w:hint="default"/>
                <w:sz w:val="18"/>
                <w:szCs w:val="18"/>
              </w:rPr>
              <w:t>来</w:t>
            </w:r>
            <w:r>
              <w:rPr>
                <w:rFonts w:ascii="宋体" w:hAnsi="宋体" w:cs="宋体" w:eastAsia="宋体" w:hint="default"/>
                <w:spacing w:val="-67"/>
                <w:sz w:val="18"/>
                <w:szCs w:val="18"/>
              </w:rPr>
              <w:t> </w:t>
            </w:r>
            <w:r>
              <w:rPr>
                <w:rFonts w:ascii="宋体" w:hAnsi="宋体" w:cs="宋体" w:eastAsia="宋体" w:hint="default"/>
                <w:sz w:val="18"/>
                <w:szCs w:val="18"/>
              </w:rPr>
              <w:t>市</w:t>
            </w:r>
            <w:r>
              <w:rPr>
                <w:rFonts w:ascii="宋体" w:hAnsi="宋体" w:cs="宋体" w:eastAsia="宋体" w:hint="default"/>
                <w:spacing w:val="-67"/>
                <w:sz w:val="18"/>
                <w:szCs w:val="18"/>
              </w:rPr>
              <w:t> </w:t>
            </w:r>
            <w:r>
              <w:rPr>
                <w:rFonts w:ascii="宋体" w:hAnsi="宋体" w:cs="宋体" w:eastAsia="宋体" w:hint="default"/>
                <w:sz w:val="18"/>
                <w:szCs w:val="18"/>
              </w:rPr>
              <w:t>场</w:t>
            </w:r>
            <w:r>
              <w:rPr>
                <w:rFonts w:ascii="宋体" w:hAnsi="宋体" w:cs="宋体" w:eastAsia="宋体" w:hint="default"/>
                <w:spacing w:val="-67"/>
                <w:sz w:val="18"/>
                <w:szCs w:val="18"/>
              </w:rPr>
              <w:t> </w:t>
            </w:r>
            <w:r>
              <w:rPr>
                <w:rFonts w:ascii="宋体" w:hAnsi="宋体" w:cs="宋体" w:eastAsia="宋体" w:hint="default"/>
                <w:sz w:val="18"/>
                <w:szCs w:val="18"/>
              </w:rPr>
              <w:t>发</w:t>
            </w:r>
            <w:r>
              <w:rPr>
                <w:rFonts w:ascii="宋体" w:hAnsi="宋体" w:cs="宋体" w:eastAsia="宋体" w:hint="default"/>
                <w:spacing w:val="-65"/>
                <w:sz w:val="18"/>
                <w:szCs w:val="18"/>
              </w:rPr>
              <w:t> </w:t>
            </w:r>
            <w:r>
              <w:rPr>
                <w:rFonts w:ascii="宋体" w:hAnsi="宋体" w:cs="宋体" w:eastAsia="宋体" w:hint="default"/>
                <w:sz w:val="18"/>
                <w:szCs w:val="18"/>
              </w:rPr>
              <w:t>展</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z w:val="18"/>
                <w:szCs w:val="18"/>
              </w:rPr>
              <w:t> 预</w:t>
            </w:r>
            <w:r>
              <w:rPr>
                <w:rFonts w:ascii="宋体" w:hAnsi="宋体" w:cs="宋体" w:eastAsia="宋体" w:hint="default"/>
                <w:spacing w:val="-67"/>
                <w:sz w:val="18"/>
                <w:szCs w:val="18"/>
              </w:rPr>
              <w:t> </w:t>
            </w:r>
            <w:r>
              <w:rPr>
                <w:rFonts w:ascii="宋体" w:hAnsi="宋体" w:cs="宋体" w:eastAsia="宋体" w:hint="default"/>
                <w:sz w:val="18"/>
                <w:szCs w:val="18"/>
              </w:rPr>
              <w:t>期</w:t>
            </w:r>
            <w:r>
              <w:rPr>
                <w:rFonts w:ascii="宋体" w:hAnsi="宋体" w:cs="宋体" w:eastAsia="宋体" w:hint="default"/>
                <w:spacing w:val="-67"/>
                <w:sz w:val="18"/>
                <w:szCs w:val="18"/>
              </w:rPr>
              <w:t> </w:t>
            </w:r>
            <w:r>
              <w:rPr>
                <w:rFonts w:ascii="宋体" w:hAnsi="宋体" w:cs="宋体" w:eastAsia="宋体" w:hint="default"/>
                <w:sz w:val="18"/>
                <w:szCs w:val="18"/>
              </w:rPr>
              <w:t>确</w:t>
            </w:r>
            <w:r>
              <w:rPr>
                <w:rFonts w:ascii="宋体" w:hAnsi="宋体" w:cs="宋体" w:eastAsia="宋体" w:hint="default"/>
                <w:spacing w:val="-67"/>
                <w:sz w:val="18"/>
                <w:szCs w:val="18"/>
              </w:rPr>
              <w:t> </w:t>
            </w:r>
            <w:r>
              <w:rPr>
                <w:rFonts w:ascii="宋体" w:hAnsi="宋体" w:cs="宋体" w:eastAsia="宋体" w:hint="default"/>
                <w:sz w:val="18"/>
                <w:szCs w:val="18"/>
              </w:rPr>
              <w:t>定</w:t>
            </w:r>
            <w:r>
              <w:rPr>
                <w:rFonts w:ascii="宋体" w:hAnsi="宋体" w:cs="宋体" w:eastAsia="宋体" w:hint="default"/>
                <w:spacing w:val="-67"/>
                <w:sz w:val="18"/>
                <w:szCs w:val="18"/>
              </w:rPr>
              <w:t> </w:t>
            </w:r>
            <w:r>
              <w:rPr>
                <w:rFonts w:ascii="宋体" w:hAnsi="宋体" w:cs="宋体" w:eastAsia="宋体" w:hint="default"/>
                <w:sz w:val="18"/>
                <w:szCs w:val="18"/>
              </w:rPr>
              <w:t>相</w:t>
            </w:r>
            <w:r>
              <w:rPr>
                <w:rFonts w:ascii="宋体" w:hAnsi="宋体" w:cs="宋体" w:eastAsia="宋体" w:hint="default"/>
                <w:spacing w:val="-67"/>
                <w:sz w:val="18"/>
                <w:szCs w:val="18"/>
              </w:rPr>
              <w:t> </w:t>
            </w:r>
            <w:r>
              <w:rPr>
                <w:rFonts w:ascii="宋体" w:hAnsi="宋体" w:cs="宋体" w:eastAsia="宋体" w:hint="default"/>
                <w:sz w:val="18"/>
                <w:szCs w:val="18"/>
              </w:rPr>
              <w:t>关</w:t>
            </w:r>
            <w:r>
              <w:rPr>
                <w:rFonts w:ascii="宋体" w:hAnsi="宋体" w:cs="宋体" w:eastAsia="宋体" w:hint="default"/>
                <w:spacing w:val="-65"/>
                <w:sz w:val="18"/>
                <w:szCs w:val="18"/>
              </w:rPr>
              <w:t> </w:t>
            </w:r>
            <w:r>
              <w:rPr>
                <w:rFonts w:ascii="宋体" w:hAnsi="宋体" w:cs="宋体" w:eastAsia="宋体" w:hint="default"/>
                <w:sz w:val="18"/>
                <w:szCs w:val="18"/>
              </w:rPr>
              <w:t>重</w:t>
            </w:r>
            <w:r>
              <w:rPr>
                <w:rFonts w:ascii="宋体" w:hAnsi="宋体" w:cs="宋体" w:eastAsia="宋体" w:hint="default"/>
                <w:spacing w:val="-67"/>
                <w:sz w:val="18"/>
                <w:szCs w:val="18"/>
              </w:rPr>
              <w:t> </w:t>
            </w:r>
            <w:r>
              <w:rPr>
                <w:rFonts w:ascii="宋体" w:hAnsi="宋体" w:cs="宋体" w:eastAsia="宋体" w:hint="default"/>
                <w:sz w:val="18"/>
                <w:szCs w:val="18"/>
              </w:rPr>
              <w:t>要</w:t>
            </w:r>
            <w:r>
              <w:rPr>
                <w:rFonts w:ascii="宋体" w:hAnsi="宋体" w:cs="宋体" w:eastAsia="宋体" w:hint="default"/>
                <w:sz w:val="18"/>
                <w:szCs w:val="18"/>
              </w:rPr>
              <w:t> 假</w:t>
            </w:r>
            <w:r>
              <w:rPr>
                <w:rFonts w:ascii="宋体" w:hAnsi="宋体" w:cs="宋体" w:eastAsia="宋体" w:hint="default"/>
                <w:spacing w:val="-67"/>
                <w:sz w:val="18"/>
                <w:szCs w:val="18"/>
              </w:rPr>
              <w:t> </w:t>
            </w:r>
            <w:r>
              <w:rPr>
                <w:rFonts w:ascii="宋体" w:hAnsi="宋体" w:cs="宋体" w:eastAsia="宋体" w:hint="default"/>
                <w:sz w:val="18"/>
                <w:szCs w:val="18"/>
              </w:rPr>
              <w:t>设</w:t>
            </w:r>
            <w:r>
              <w:rPr>
                <w:rFonts w:ascii="宋体" w:hAnsi="宋体" w:cs="宋体" w:eastAsia="宋体" w:hint="default"/>
                <w:spacing w:val="-67"/>
                <w:sz w:val="18"/>
                <w:szCs w:val="18"/>
              </w:rPr>
              <w:t> </w:t>
            </w:r>
            <w:r>
              <w:rPr>
                <w:rFonts w:ascii="宋体" w:hAnsi="宋体" w:cs="宋体" w:eastAsia="宋体" w:hint="default"/>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包</w:t>
            </w:r>
            <w:r>
              <w:rPr>
                <w:rFonts w:ascii="宋体" w:hAnsi="宋体" w:cs="宋体" w:eastAsia="宋体" w:hint="default"/>
                <w:spacing w:val="-67"/>
                <w:sz w:val="18"/>
                <w:szCs w:val="18"/>
              </w:rPr>
              <w:t> </w:t>
            </w:r>
            <w:r>
              <w:rPr>
                <w:rFonts w:ascii="宋体" w:hAnsi="宋体" w:cs="宋体" w:eastAsia="宋体" w:hint="default"/>
                <w:sz w:val="18"/>
                <w:szCs w:val="18"/>
              </w:rPr>
              <w:t>括</w:t>
            </w:r>
            <w:r>
              <w:rPr>
                <w:rFonts w:ascii="宋体" w:hAnsi="宋体" w:cs="宋体" w:eastAsia="宋体" w:hint="default"/>
                <w:spacing w:val="-67"/>
                <w:sz w:val="18"/>
                <w:szCs w:val="18"/>
              </w:rPr>
              <w:t> </w:t>
            </w:r>
            <w:r>
              <w:rPr>
                <w:rFonts w:ascii="宋体" w:hAnsi="宋体" w:cs="宋体" w:eastAsia="宋体" w:hint="default"/>
                <w:sz w:val="18"/>
                <w:szCs w:val="18"/>
              </w:rPr>
              <w:t>预</w:t>
            </w:r>
            <w:r>
              <w:rPr>
                <w:rFonts w:ascii="宋体" w:hAnsi="宋体" w:cs="宋体" w:eastAsia="宋体" w:hint="default"/>
                <w:spacing w:val="-65"/>
                <w:sz w:val="18"/>
                <w:szCs w:val="18"/>
              </w:rPr>
              <w:t> </w:t>
            </w:r>
            <w:r>
              <w:rPr>
                <w:rFonts w:ascii="宋体" w:hAnsi="宋体" w:cs="宋体" w:eastAsia="宋体" w:hint="default"/>
                <w:sz w:val="18"/>
                <w:szCs w:val="18"/>
              </w:rPr>
              <w:t>计</w:t>
            </w:r>
            <w:r>
              <w:rPr>
                <w:rFonts w:ascii="宋体" w:hAnsi="宋体" w:cs="宋体" w:eastAsia="宋体" w:hint="default"/>
                <w:spacing w:val="-67"/>
                <w:sz w:val="18"/>
                <w:szCs w:val="18"/>
              </w:rPr>
              <w:t> </w:t>
            </w:r>
            <w:r>
              <w:rPr>
                <w:rFonts w:ascii="宋体" w:hAnsi="宋体" w:cs="宋体" w:eastAsia="宋体" w:hint="default"/>
                <w:sz w:val="18"/>
                <w:szCs w:val="18"/>
              </w:rPr>
              <w:t>售</w:t>
            </w:r>
            <w:r>
              <w:rPr>
                <w:rFonts w:ascii="宋体" w:hAnsi="宋体" w:cs="宋体" w:eastAsia="宋体" w:hint="default"/>
                <w:sz w:val="18"/>
                <w:szCs w:val="18"/>
              </w:rPr>
              <w:t> </w:t>
            </w:r>
            <w:r>
              <w:rPr>
                <w:rFonts w:ascii="宋体" w:hAnsi="宋体" w:cs="宋体" w:eastAsia="宋体" w:hint="default"/>
                <w:spacing w:val="-2"/>
                <w:sz w:val="18"/>
                <w:szCs w:val="18"/>
              </w:rPr>
              <w:t>价、销量、相关成本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费用等。</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1"/>
              <w:ind w:left="4" w:right="12"/>
              <w:jc w:val="left"/>
              <w:rPr>
                <w:rFonts w:ascii="宋体" w:hAnsi="宋体" w:cs="宋体" w:eastAsia="宋体" w:hint="default"/>
                <w:sz w:val="18"/>
                <w:szCs w:val="18"/>
              </w:rPr>
            </w:pPr>
            <w:r>
              <w:rPr>
                <w:rFonts w:ascii="宋体" w:hAnsi="宋体" w:cs="宋体" w:eastAsia="宋体" w:hint="default"/>
                <w:sz w:val="18"/>
                <w:szCs w:val="18"/>
              </w:rPr>
              <w:t>管理层根据长期增长战略时运用 的预测期平均增长率为</w:t>
            </w:r>
            <w:r>
              <w:rPr>
                <w:rFonts w:ascii="Times New Roman" w:hAnsi="Times New Roman" w:cs="Times New Roman" w:eastAsia="Times New Roman" w:hint="default"/>
                <w:sz w:val="18"/>
                <w:szCs w:val="18"/>
              </w:rPr>
              <w:t>7.87%</w:t>
            </w:r>
            <w:r>
              <w:rPr>
                <w:rFonts w:ascii="宋体" w:hAnsi="宋体" w:cs="宋体" w:eastAsia="宋体" w:hint="default"/>
                <w:sz w:val="18"/>
                <w:szCs w:val="18"/>
              </w:rPr>
              <w:t>， 平均销售利润率为</w:t>
            </w:r>
            <w:r>
              <w:rPr>
                <w:rFonts w:ascii="Times New Roman" w:hAnsi="Times New Roman" w:cs="Times New Roman" w:eastAsia="Times New Roman" w:hint="default"/>
                <w:sz w:val="18"/>
                <w:szCs w:val="18"/>
              </w:rPr>
              <w:t>7.02%</w:t>
            </w:r>
            <w:r>
              <w:rPr>
                <w:rFonts w:ascii="宋体" w:hAnsi="宋体" w:cs="宋体" w:eastAsia="宋体" w:hint="default"/>
                <w:sz w:val="18"/>
                <w:szCs w:val="18"/>
              </w:rPr>
              <w:t>；稳定 期增长率</w:t>
            </w:r>
            <w:r>
              <w:rPr>
                <w:rFonts w:ascii="Times New Roman" w:hAnsi="Times New Roman" w:cs="Times New Roman" w:eastAsia="Times New Roman" w:hint="default"/>
                <w:sz w:val="18"/>
                <w:szCs w:val="18"/>
              </w:rPr>
              <w:t>0.00%</w:t>
            </w:r>
            <w:r>
              <w:rPr>
                <w:rFonts w:ascii="宋体" w:hAnsi="宋体" w:cs="宋体" w:eastAsia="宋体" w:hint="default"/>
                <w:sz w:val="18"/>
                <w:szCs w:val="18"/>
              </w:rPr>
              <w:t>，销售利润率为 </w:t>
            </w:r>
            <w:r>
              <w:rPr>
                <w:rFonts w:ascii="Times New Roman" w:hAnsi="Times New Roman" w:cs="Times New Roman" w:eastAsia="Times New Roman" w:hint="default"/>
                <w:sz w:val="18"/>
                <w:szCs w:val="18"/>
              </w:rPr>
              <w:t>7.52%</w:t>
            </w:r>
            <w:r>
              <w:rPr>
                <w:rFonts w:ascii="宋体" w:hAnsi="宋体" w:cs="宋体" w:eastAsia="宋体" w:hint="default"/>
                <w:sz w:val="18"/>
                <w:szCs w:val="18"/>
              </w:rPr>
              <w:t>；折现率采用国际上通用 的税前加权平均资本成本定价模 型计算得出</w:t>
            </w:r>
            <w:r>
              <w:rPr>
                <w:rFonts w:ascii="Times New Roman" w:hAnsi="Times New Roman" w:cs="Times New Roman" w:eastAsia="Times New Roman" w:hint="default"/>
                <w:sz w:val="18"/>
                <w:szCs w:val="18"/>
              </w:rPr>
              <w:t>13.84%</w:t>
            </w:r>
            <w:r>
              <w:rPr>
                <w:rFonts w:ascii="宋体" w:hAnsi="宋体" w:cs="宋体" w:eastAsia="宋体" w:hint="default"/>
                <w:sz w:val="18"/>
                <w:szCs w:val="18"/>
              </w:rPr>
              <w:t>。</w:t>
            </w:r>
          </w:p>
        </w:tc>
      </w:tr>
      <w:tr>
        <w:trPr>
          <w:trHeight w:val="1592"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江苏鹏创电力设计有限公司</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142,757,982.21</w:t>
            </w:r>
          </w:p>
        </w:tc>
        <w:tc>
          <w:tcPr>
            <w:tcW w:w="1832"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1"/>
              <w:ind w:left="4" w:right="4"/>
              <w:jc w:val="left"/>
              <w:rPr>
                <w:rFonts w:ascii="宋体" w:hAnsi="宋体" w:cs="宋体" w:eastAsia="宋体" w:hint="default"/>
                <w:sz w:val="18"/>
                <w:szCs w:val="18"/>
              </w:rPr>
            </w:pPr>
            <w:r>
              <w:rPr>
                <w:rFonts w:ascii="宋体" w:hAnsi="宋体" w:cs="宋体" w:eastAsia="宋体" w:hint="default"/>
                <w:sz w:val="18"/>
                <w:szCs w:val="18"/>
              </w:rPr>
              <w:t>管理层根据长期增长战略时运用 的预测期平均增长率为</w:t>
            </w:r>
            <w:r>
              <w:rPr>
                <w:rFonts w:ascii="Times New Roman" w:hAnsi="Times New Roman" w:cs="Times New Roman" w:eastAsia="Times New Roman" w:hint="default"/>
                <w:sz w:val="18"/>
                <w:szCs w:val="18"/>
              </w:rPr>
              <w:t>5.01%</w:t>
            </w:r>
            <w:r>
              <w:rPr>
                <w:rFonts w:ascii="宋体" w:hAnsi="宋体" w:cs="宋体" w:eastAsia="宋体" w:hint="default"/>
                <w:sz w:val="18"/>
                <w:szCs w:val="18"/>
              </w:rPr>
              <w:t>， 平均销售利润率为</w:t>
            </w:r>
            <w:r>
              <w:rPr>
                <w:rFonts w:ascii="Times New Roman" w:hAnsi="Times New Roman" w:cs="Times New Roman" w:eastAsia="Times New Roman" w:hint="default"/>
                <w:sz w:val="18"/>
                <w:szCs w:val="18"/>
              </w:rPr>
              <w:t>45.36%</w:t>
            </w:r>
            <w:r>
              <w:rPr>
                <w:rFonts w:ascii="宋体" w:hAnsi="宋体" w:cs="宋体" w:eastAsia="宋体" w:hint="default"/>
                <w:sz w:val="18"/>
                <w:szCs w:val="18"/>
              </w:rPr>
              <w:t>；稳定 期增长率</w:t>
            </w:r>
            <w:r>
              <w:rPr>
                <w:rFonts w:ascii="Times New Roman" w:hAnsi="Times New Roman" w:cs="Times New Roman" w:eastAsia="Times New Roman" w:hint="default"/>
                <w:sz w:val="18"/>
                <w:szCs w:val="18"/>
              </w:rPr>
              <w:t>0.00%</w:t>
            </w:r>
            <w:r>
              <w:rPr>
                <w:rFonts w:ascii="宋体" w:hAnsi="宋体" w:cs="宋体" w:eastAsia="宋体" w:hint="default"/>
                <w:sz w:val="18"/>
                <w:szCs w:val="18"/>
              </w:rPr>
              <w:t>，销售利润率为 </w:t>
            </w:r>
            <w:r>
              <w:rPr>
                <w:rFonts w:ascii="Times New Roman" w:hAnsi="Times New Roman" w:cs="Times New Roman" w:eastAsia="Times New Roman" w:hint="default"/>
                <w:sz w:val="18"/>
                <w:szCs w:val="18"/>
              </w:rPr>
              <w:t>44.99%</w:t>
            </w:r>
            <w:r>
              <w:rPr>
                <w:rFonts w:ascii="宋体" w:hAnsi="宋体" w:cs="宋体" w:eastAsia="宋体" w:hint="default"/>
                <w:sz w:val="18"/>
                <w:szCs w:val="18"/>
              </w:rPr>
              <w:t>；折现率采用国际上通用</w:t>
            </w:r>
          </w:p>
        </w:tc>
      </w:tr>
    </w:tbl>
    <w:p>
      <w:pPr>
        <w:spacing w:after="0" w:line="30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88"/>
        <w:gridCol w:w="1851"/>
        <w:gridCol w:w="1832"/>
        <w:gridCol w:w="1630"/>
        <w:gridCol w:w="2549"/>
      </w:tblGrid>
      <w:tr>
        <w:trPr>
          <w:trHeight w:val="654" w:hRule="exact"/>
        </w:trPr>
        <w:tc>
          <w:tcPr>
            <w:tcW w:w="2688"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832" w:type="dxa"/>
            <w:vMerge w:val="restart"/>
            <w:tcBorders>
              <w:top w:val="single" w:sz="4" w:space="0" w:color="000000"/>
              <w:left w:val="single" w:sz="4" w:space="0" w:color="000000"/>
              <w:right w:val="single" w:sz="4" w:space="0" w:color="000000"/>
            </w:tcBorders>
          </w:tcPr>
          <w:p>
            <w:pPr/>
          </w:p>
        </w:tc>
        <w:tc>
          <w:tcPr>
            <w:tcW w:w="1630" w:type="dxa"/>
            <w:vMerge w:val="restart"/>
            <w:tcBorders>
              <w:top w:val="single" w:sz="4" w:space="0" w:color="000000"/>
              <w:left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2"/>
              <w:jc w:val="left"/>
              <w:rPr>
                <w:rFonts w:ascii="宋体" w:hAnsi="宋体" w:cs="宋体" w:eastAsia="宋体" w:hint="default"/>
                <w:sz w:val="18"/>
                <w:szCs w:val="18"/>
              </w:rPr>
            </w:pPr>
            <w:r>
              <w:rPr>
                <w:rFonts w:ascii="宋体" w:hAnsi="宋体" w:cs="宋体" w:eastAsia="宋体" w:hint="default"/>
                <w:sz w:val="18"/>
                <w:szCs w:val="18"/>
              </w:rPr>
              <w:t>的税前加权平均资本成本定价模 型计算得出</w:t>
            </w:r>
            <w:r>
              <w:rPr>
                <w:rFonts w:ascii="Times New Roman" w:hAnsi="Times New Roman" w:cs="Times New Roman" w:eastAsia="Times New Roman" w:hint="default"/>
                <w:sz w:val="18"/>
                <w:szCs w:val="18"/>
              </w:rPr>
              <w:t>13.46%</w:t>
            </w:r>
            <w:r>
              <w:rPr>
                <w:rFonts w:ascii="宋体" w:hAnsi="宋体" w:cs="宋体" w:eastAsia="宋体" w:hint="default"/>
                <w:sz w:val="18"/>
                <w:szCs w:val="18"/>
              </w:rPr>
              <w:t>。</w:t>
            </w:r>
          </w:p>
        </w:tc>
      </w:tr>
      <w:tr>
        <w:trPr>
          <w:trHeight w:val="2214"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四川鹏华电力工程设计有限公司</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24" w:right="0"/>
              <w:jc w:val="left"/>
              <w:rPr>
                <w:rFonts w:ascii="Times New Roman" w:hAnsi="Times New Roman" w:cs="Times New Roman" w:eastAsia="Times New Roman" w:hint="default"/>
                <w:sz w:val="18"/>
                <w:szCs w:val="18"/>
              </w:rPr>
            </w:pPr>
            <w:r>
              <w:rPr>
                <w:rFonts w:ascii="Times New Roman"/>
                <w:sz w:val="18"/>
              </w:rPr>
              <w:t>775,000.00</w:t>
            </w:r>
          </w:p>
        </w:tc>
        <w:tc>
          <w:tcPr>
            <w:tcW w:w="1832"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1"/>
              <w:ind w:left="4" w:right="4"/>
              <w:jc w:val="left"/>
              <w:rPr>
                <w:rFonts w:ascii="宋体" w:hAnsi="宋体" w:cs="宋体" w:eastAsia="宋体" w:hint="default"/>
                <w:sz w:val="18"/>
                <w:szCs w:val="18"/>
              </w:rPr>
            </w:pPr>
            <w:r>
              <w:rPr>
                <w:rFonts w:ascii="宋体" w:hAnsi="宋体" w:cs="宋体" w:eastAsia="宋体" w:hint="default"/>
                <w:sz w:val="18"/>
                <w:szCs w:val="18"/>
              </w:rPr>
              <w:t>管理层根据长期增长战略时运用 的预测期平均增长率为</w:t>
            </w:r>
            <w:r>
              <w:rPr>
                <w:rFonts w:ascii="Times New Roman" w:hAnsi="Times New Roman" w:cs="Times New Roman" w:eastAsia="Times New Roman" w:hint="default"/>
                <w:sz w:val="18"/>
                <w:szCs w:val="18"/>
              </w:rPr>
              <w:t>8.00%</w:t>
            </w:r>
            <w:r>
              <w:rPr>
                <w:rFonts w:ascii="宋体" w:hAnsi="宋体" w:cs="宋体" w:eastAsia="宋体" w:hint="default"/>
                <w:sz w:val="18"/>
                <w:szCs w:val="18"/>
              </w:rPr>
              <w:t>， 平均销售利润率为</w:t>
            </w:r>
            <w:r>
              <w:rPr>
                <w:rFonts w:ascii="Times New Roman" w:hAnsi="Times New Roman" w:cs="Times New Roman" w:eastAsia="Times New Roman" w:hint="default"/>
                <w:sz w:val="18"/>
                <w:szCs w:val="18"/>
              </w:rPr>
              <w:t>45.36%</w:t>
            </w:r>
            <w:r>
              <w:rPr>
                <w:rFonts w:ascii="宋体" w:hAnsi="宋体" w:cs="宋体" w:eastAsia="宋体" w:hint="default"/>
                <w:sz w:val="18"/>
                <w:szCs w:val="18"/>
              </w:rPr>
              <w:t>；稳定 期增长率</w:t>
            </w:r>
            <w:r>
              <w:rPr>
                <w:rFonts w:ascii="Times New Roman" w:hAnsi="Times New Roman" w:cs="Times New Roman" w:eastAsia="Times New Roman" w:hint="default"/>
                <w:sz w:val="18"/>
                <w:szCs w:val="18"/>
              </w:rPr>
              <w:t>0.00%</w:t>
            </w:r>
            <w:r>
              <w:rPr>
                <w:rFonts w:ascii="宋体" w:hAnsi="宋体" w:cs="宋体" w:eastAsia="宋体" w:hint="default"/>
                <w:sz w:val="18"/>
                <w:szCs w:val="18"/>
              </w:rPr>
              <w:t>，销售利润率为 </w:t>
            </w:r>
            <w:r>
              <w:rPr>
                <w:rFonts w:ascii="Times New Roman" w:hAnsi="Times New Roman" w:cs="Times New Roman" w:eastAsia="Times New Roman" w:hint="default"/>
                <w:sz w:val="18"/>
                <w:szCs w:val="18"/>
              </w:rPr>
              <w:t>44.53%</w:t>
            </w:r>
            <w:r>
              <w:rPr>
                <w:rFonts w:ascii="宋体" w:hAnsi="宋体" w:cs="宋体" w:eastAsia="宋体" w:hint="default"/>
                <w:sz w:val="18"/>
                <w:szCs w:val="18"/>
              </w:rPr>
              <w:t>；折现率采用国际上通用 的税前加权平均资本成本定价模 型计算得出</w:t>
            </w:r>
            <w:r>
              <w:rPr>
                <w:rFonts w:ascii="Times New Roman" w:hAnsi="Times New Roman" w:cs="Times New Roman" w:eastAsia="Times New Roman" w:hint="default"/>
                <w:sz w:val="18"/>
                <w:szCs w:val="18"/>
              </w:rPr>
              <w:t>13.15%</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23、长期待摊费用" w:id="273"/>
      <w:bookmarkEnd w:id="273"/>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房屋装修改造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8,666,898.35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2,254,980.56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2,002,164.74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8,919,714.17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水电暖线路改造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2,068,353.83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222,686.46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1,845,667.37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地面维修改造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146,210.42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34,270.25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111,940.17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厂房绿化改造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7,916.76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363,987.39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37,697.58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334,206.57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设备安装改造</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689,840.77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355,539.80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334,300.97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10,889,379.36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3,308,808.72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2,652,358.83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11,545,829.25</w:t>
            </w:r>
          </w:p>
        </w:tc>
      </w:tr>
    </w:tbl>
    <w:p>
      <w:pPr>
        <w:spacing w:line="240" w:lineRule="auto" w:before="3"/>
        <w:rPr>
          <w:rFonts w:ascii="宋体" w:hAnsi="宋体" w:cs="宋体" w:eastAsia="宋体" w:hint="default"/>
          <w:sz w:val="19"/>
          <w:szCs w:val="19"/>
        </w:rPr>
      </w:pPr>
    </w:p>
    <w:p>
      <w:pPr>
        <w:pStyle w:val="Heading3"/>
        <w:spacing w:line="240" w:lineRule="auto" w:before="35"/>
        <w:ind w:right="1048"/>
        <w:jc w:val="left"/>
        <w:rPr>
          <w:b w:val="0"/>
          <w:bCs w:val="0"/>
        </w:rPr>
      </w:pPr>
      <w:bookmarkStart w:name="24、递延所得税资产/递延所得税负债" w:id="274"/>
      <w:bookmarkEnd w:id="274"/>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8"/>
        <w:jc w:val="left"/>
        <w:rPr>
          <w:b w:val="0"/>
          <w:bCs w:val="0"/>
        </w:rPr>
      </w:pPr>
      <w:bookmarkStart w:name="（1）未经抵销的递延所得税资产" w:id="275"/>
      <w:bookmarkEnd w:id="27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112,289,102.27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16,843,365.36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98,000,627.40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14,700,094.11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607,516.65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91,127.50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351,307.79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52,696.17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565,057.79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84,758.67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管理层及骨干业绩奖励</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112,640,410.06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16,896,061.53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109,673,201.84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16,450,980.28</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2）未经抵销的递延所得税负债" w:id="276"/>
      <w:bookmarkEnd w:id="27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37,411,606.73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5,611,741.01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40,986,355.61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6,147,953.34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37,411,606.73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5,611,741.01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40,986,355.61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6,147,953.34</w:t>
            </w:r>
          </w:p>
        </w:tc>
      </w:tr>
    </w:tbl>
    <w:p>
      <w:pPr>
        <w:spacing w:line="240" w:lineRule="auto" w:before="3"/>
        <w:rPr>
          <w:rFonts w:ascii="宋体" w:hAnsi="宋体" w:cs="宋体" w:eastAsia="宋体" w:hint="default"/>
          <w:sz w:val="19"/>
          <w:szCs w:val="19"/>
        </w:rPr>
      </w:pPr>
    </w:p>
    <w:p>
      <w:pPr>
        <w:pStyle w:val="Heading3"/>
        <w:spacing w:line="240" w:lineRule="auto" w:before="35"/>
        <w:ind w:right="1048"/>
        <w:jc w:val="left"/>
        <w:rPr>
          <w:b w:val="0"/>
          <w:bCs w:val="0"/>
        </w:rPr>
      </w:pPr>
      <w:bookmarkStart w:name="（3）以抵销后净额列示的递延所得税资产或负债" w:id="277"/>
      <w:bookmarkEnd w:id="27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16,896,061.53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16,450,980.28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5,611,741.01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6,147,953.34</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4）未确认递延所得税资产明细" w:id="278"/>
      <w:bookmarkEnd w:id="278"/>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20,640.00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7,412,376.56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1,795.90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7,433,016.56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22,435.90</w:t>
            </w:r>
          </w:p>
        </w:tc>
      </w:tr>
    </w:tbl>
    <w:p>
      <w:pPr>
        <w:spacing w:line="240" w:lineRule="auto" w:before="3"/>
        <w:rPr>
          <w:rFonts w:ascii="宋体" w:hAnsi="宋体" w:cs="宋体" w:eastAsia="宋体" w:hint="default"/>
          <w:sz w:val="19"/>
          <w:szCs w:val="19"/>
        </w:rPr>
      </w:pPr>
    </w:p>
    <w:p>
      <w:pPr>
        <w:pStyle w:val="Heading3"/>
        <w:spacing w:line="240" w:lineRule="auto" w:before="35"/>
        <w:ind w:right="1048"/>
        <w:jc w:val="left"/>
        <w:rPr>
          <w:b w:val="0"/>
          <w:bCs w:val="0"/>
        </w:rPr>
      </w:pPr>
      <w:bookmarkStart w:name="（5）未确认递延所得税资产的可抵扣亏损将于以下年度到期" w:id="279"/>
      <w:bookmarkEnd w:id="279"/>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1,795.90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1,795.90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7,410,580.66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7,412,376.56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1,795.90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25、其他非流动资产" w:id="280"/>
      <w:bookmarkEnd w:id="280"/>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未实现售后租回损益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1,846,619.96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2,082,709.44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9,768,839.00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2,595,967.12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852,967.42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34,140,876.60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3,395,033.25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5,717,000.58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45,586,964.26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16,099,549.11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48"/>
        <w:jc w:val="left"/>
        <w:rPr>
          <w:b w:val="0"/>
          <w:bCs w:val="0"/>
        </w:rPr>
      </w:pPr>
      <w:bookmarkStart w:name="26、短期借款" w:id="281"/>
      <w:bookmarkEnd w:id="281"/>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8"/>
        <w:jc w:val="left"/>
        <w:rPr>
          <w:b w:val="0"/>
          <w:bCs w:val="0"/>
        </w:rPr>
      </w:pPr>
      <w:bookmarkStart w:name="（1）短期借款分类" w:id="282"/>
      <w:bookmarkEnd w:id="28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83,316,184.00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189,814,915.00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80,100,000.00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673,284,800.00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262,478,800.00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1,063,499,715.00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475,894,984.00</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2）已逾期未偿还的短期借款情况" w:id="283"/>
      <w:bookmarkEnd w:id="283"/>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48"/>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27、以公允价值计量且其变动计入当期损益的金融负债" w:id="284"/>
      <w:bookmarkEnd w:id="284"/>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28、衍生金融负债" w:id="285"/>
      <w:bookmarkEnd w:id="285"/>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48"/>
        <w:jc w:val="left"/>
        <w:rPr>
          <w:b w:val="0"/>
          <w:bCs w:val="0"/>
        </w:rPr>
      </w:pPr>
      <w:bookmarkStart w:name="29、应付票据及应付账款" w:id="286"/>
      <w:bookmarkEnd w:id="286"/>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271,824,841.66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445,303,417.80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1,128,079,925.75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872,759,088.49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1,399,904,767.41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1,318,062,506.29</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1）应付票据分类列示" w:id="287"/>
      <w:bookmarkEnd w:id="287"/>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201,712,463.21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333,081,611.83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70,112,378.45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112,221,805.97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271,824,841.66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445,303,417.80</w:t>
            </w:r>
          </w:p>
        </w:tc>
      </w:tr>
    </w:tbl>
    <w:p>
      <w:pPr>
        <w:pStyle w:val="BodyText"/>
        <w:spacing w:line="240" w:lineRule="auto" w:before="51"/>
        <w:ind w:right="1048"/>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1048"/>
        <w:jc w:val="left"/>
        <w:rPr>
          <w:b w:val="0"/>
          <w:bCs w:val="0"/>
        </w:rPr>
      </w:pPr>
      <w:bookmarkStart w:name="（2）应付账款列示" w:id="288"/>
      <w:bookmarkEnd w:id="288"/>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1,010,872,614.63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843,157,043.98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117,207,311.12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29,602,044.51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1,128,079,925.75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872,759,088.49</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3）账龄超过1年的重要应付账款" w:id="289"/>
      <w:bookmarkEnd w:id="289"/>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安泰南瑞非晶科技有限责任公司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13,072,438.78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中铁十九局集团第二工程有限公司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10,471,734.75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莱芜鲁能开源集团电器有限公司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4,656,773.29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北京双杰电气股份有限公司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3,081,120.69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无锡恒隆电力自动化设备有限公司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2,443,223.29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朝瑞电气有限公司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2,172,608.53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珠海思创电气有限公司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2,022,105.78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37,920,005.11</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30、预收款项" w:id="290"/>
      <w:bookmarkEnd w:id="290"/>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8"/>
        <w:jc w:val="left"/>
        <w:rPr>
          <w:b w:val="0"/>
          <w:bCs w:val="0"/>
        </w:rPr>
      </w:pPr>
      <w:bookmarkStart w:name="（1）预收款项列示" w:id="291"/>
      <w:bookmarkEnd w:id="29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40,150,568.17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17,994,657.11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31,660.00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40,182,228.17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17,994,657.11</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2）账龄超过1年的重要预收款项" w:id="292"/>
      <w:bookmarkEnd w:id="29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48"/>
        <w:jc w:val="left"/>
        <w:rPr>
          <w:b w:val="0"/>
          <w:bCs w:val="0"/>
        </w:rPr>
      </w:pPr>
      <w:bookmarkStart w:name="（3）期末建造合同形成的已结算未完工项目情况" w:id="293"/>
      <w:bookmarkEnd w:id="293"/>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31、应付职工薪酬" w:id="294"/>
      <w:bookmarkEnd w:id="294"/>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48"/>
        <w:jc w:val="left"/>
        <w:rPr>
          <w:b w:val="0"/>
          <w:bCs w:val="0"/>
        </w:rPr>
      </w:pPr>
      <w:bookmarkStart w:name="（1）应付职工薪酬列示" w:id="295"/>
      <w:bookmarkEnd w:id="29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30,672,012.86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197,093,413.60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199,249,113.82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28,516,312.64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290,168.30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14,315,678.74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14,495,135.25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110,711.79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457,815.00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457,815.00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30,962,181.16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211,866,907.34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214,202,064.07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28,627,024.43</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2）短期薪酬列示" w:id="296"/>
      <w:bookmarkEnd w:id="29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16,676,952.88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165,144,071.89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168,365,711.04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13,455,313.73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10,375,184.90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10,375,184.90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21,451.10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9,594,418.90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9,500,589.56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115,280.44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5,963.60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8,184,238.15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8,097,098.57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93,103.18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13,898.52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839,965.05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836,465.82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17,397.75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570,215.70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567,025.17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4,779.51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-78,500.00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6,801,462.17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6,442,062.17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280,900.00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14,052,108.88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5,178,275.74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4,565,566.15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14,664,818.47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30,672,012.86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197,093,413.60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199,249,113.82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28,516,312.64</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3）设定提存计划列示" w:id="297"/>
      <w:bookmarkEnd w:id="29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277,181.83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13,814,306.33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13,990,762.05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100,726.11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12,986.47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501,372.41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504,373.20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9,985.68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290,168.30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14,315,678.74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14,495,135.25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110,711.79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48"/>
        <w:jc w:val="left"/>
        <w:rPr>
          <w:b w:val="0"/>
          <w:bCs w:val="0"/>
        </w:rPr>
      </w:pPr>
      <w:bookmarkStart w:name="32、应交税费" w:id="298"/>
      <w:bookmarkEnd w:id="298"/>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21,908,669.71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36,564,216.05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5,730,709.94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23,435,491.17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329,064.61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764,094.44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2,404,669.76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3,041,193.64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45,950.00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369,255.87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957,249.15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378,997.63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440,810.06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1,401,208.70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1,999,582.24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131,341.24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645,115.30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32,653,917.46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67,893,702.05</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33、其他应付款" w:id="299"/>
      <w:bookmarkEnd w:id="299"/>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1,743,648.04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874,494.56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10,308,280.07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11,030,457.85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12,051,928.11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11,904,952.41</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1）应付利息" w:id="300"/>
      <w:bookmarkEnd w:id="300"/>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4"/>
        <w:gridCol w:w="3189"/>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28,562.06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1,715,085.98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874,494.56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1,743,648.04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874,494.56</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2）应付股利" w:id="301"/>
      <w:bookmarkEnd w:id="301"/>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048"/>
        <w:jc w:val="left"/>
        <w:rPr>
          <w:b w:val="0"/>
          <w:bCs w:val="0"/>
        </w:rPr>
      </w:pPr>
      <w:bookmarkStart w:name="（3）其他应付款" w:id="302"/>
      <w:bookmarkEnd w:id="302"/>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48"/>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应付员工备用金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730,115.90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1,084,103.84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安装服务费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2,661,426.24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1,424,629.71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在途</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3,751,992.25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245,305.26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261,941.00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830,873.50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249,605.71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印尼公司开办费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2,278,053.92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3,562,505.25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4,258,185.34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10,308,280.07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11,030,457.85</w:t>
            </w:r>
          </w:p>
        </w:tc>
      </w:tr>
    </w:tbl>
    <w:p>
      <w:pPr>
        <w:spacing w:line="240" w:lineRule="auto" w:before="6"/>
        <w:rPr>
          <w:rFonts w:ascii="宋体" w:hAnsi="宋体" w:cs="宋体" w:eastAsia="宋体" w:hint="default"/>
          <w:sz w:val="27"/>
          <w:szCs w:val="27"/>
        </w:rPr>
      </w:pPr>
    </w:p>
    <w:p>
      <w:pPr>
        <w:pStyle w:val="BodyText"/>
        <w:spacing w:line="240" w:lineRule="auto" w:before="44"/>
        <w:ind w:right="1048"/>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南通柳江贸易有限公司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34、持有待售负债" w:id="303"/>
      <w:bookmarkEnd w:id="303"/>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35、一年内到期的非流动负债" w:id="304"/>
      <w:bookmarkEnd w:id="304"/>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38,316,974.10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14,750,563.17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17,851,711.22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53,067,537.27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17,851,711.22</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36、其他流动负债" w:id="305"/>
      <w:bookmarkEnd w:id="305"/>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37、长期借款" w:id="306"/>
      <w:bookmarkEnd w:id="306"/>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8"/>
        <w:jc w:val="left"/>
        <w:rPr>
          <w:b w:val="0"/>
          <w:bCs w:val="0"/>
        </w:rPr>
      </w:pPr>
      <w:bookmarkStart w:name="（1）长期借款分类" w:id="307"/>
      <w:bookmarkEnd w:id="307"/>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35,258,732.49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5,417,500.00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40,676,232.49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1048"/>
        <w:jc w:val="left"/>
        <w:rPr>
          <w:b w:val="0"/>
          <w:bCs w:val="0"/>
        </w:rPr>
      </w:pPr>
      <w:bookmarkStart w:name="38、应付债券" w:id="308"/>
      <w:bookmarkEnd w:id="308"/>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39、长期应付款" w:id="309"/>
      <w:bookmarkEnd w:id="309"/>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3,618,950.71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17,634,162.73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3,618,950.71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17,634,162.73</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1）按款项性质列示长期应付款" w:id="310"/>
      <w:bookmarkEnd w:id="310"/>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4,160,423.53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21,114,391.58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未确认融资费用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-541,472.82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-3,480,228.85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3,618,950.71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17,634,162.73</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2）专项应付款" w:id="311"/>
      <w:bookmarkEnd w:id="311"/>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40、长期应付职工薪酬" w:id="312"/>
      <w:bookmarkEnd w:id="312"/>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41、预计负债" w:id="313"/>
      <w:bookmarkEnd w:id="313"/>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42、递延收益" w:id="314"/>
      <w:bookmarkEnd w:id="314"/>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34" w:right="0"/>
              <w:jc w:val="left"/>
              <w:rPr>
                <w:rFonts w:ascii="Times New Roman" w:hAnsi="Times New Roman" w:cs="Times New Roman" w:eastAsia="Times New Roman" w:hint="default"/>
                <w:sz w:val="18"/>
                <w:szCs w:val="18"/>
              </w:rPr>
            </w:pPr>
            <w:r>
              <w:rPr>
                <w:rFonts w:ascii="Times New Roman"/>
                <w:sz w:val="18"/>
              </w:rPr>
              <w:t>61,488,820.90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1,586,800.00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3,131,919.33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59,943,701.57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34" w:right="0"/>
              <w:jc w:val="left"/>
              <w:rPr>
                <w:rFonts w:ascii="Times New Roman" w:hAnsi="Times New Roman" w:cs="Times New Roman" w:eastAsia="Times New Roman" w:hint="default"/>
                <w:sz w:val="18"/>
                <w:szCs w:val="18"/>
              </w:rPr>
            </w:pPr>
            <w:r>
              <w:rPr>
                <w:rFonts w:ascii="Times New Roman"/>
                <w:sz w:val="18"/>
              </w:rPr>
              <w:t>61,488,820.90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1,586,800.00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3,131,919.33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59,943,701.57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48"/>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天津生产基 地建设项目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46,454,202.3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1,055,777.28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45,398,425.0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2500T </w:t>
            </w:r>
            <w:r>
              <w:rPr>
                <w:rFonts w:ascii="宋体" w:hAnsi="宋体" w:cs="宋体" w:eastAsia="宋体" w:hint="default"/>
                <w:sz w:val="18"/>
                <w:szCs w:val="18"/>
              </w:rPr>
              <w:t>磷酸</w:t>
            </w:r>
          </w:p>
          <w:p>
            <w:pPr>
              <w:pStyle w:val="TableParagraph"/>
              <w:spacing w:line="319" w:lineRule="auto" w:before="61"/>
              <w:ind w:left="22" w:right="129"/>
              <w:jc w:val="left"/>
              <w:rPr>
                <w:rFonts w:ascii="宋体" w:hAnsi="宋体" w:cs="宋体" w:eastAsia="宋体" w:hint="default"/>
                <w:sz w:val="18"/>
                <w:szCs w:val="18"/>
              </w:rPr>
            </w:pPr>
            <w:r>
              <w:rPr>
                <w:rFonts w:ascii="宋体" w:hAnsi="宋体" w:cs="宋体" w:eastAsia="宋体" w:hint="default"/>
                <w:sz w:val="18"/>
                <w:szCs w:val="18"/>
              </w:rPr>
              <w:t>铁复合材料 建设项目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10,570,381.0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1,196,649.96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9,373,731.11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配网智能柱 上开关研制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1,868,350.31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306,715.36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1,561,634.95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制造强省专 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1,312,500.00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1,162,500.00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3"/>
                <w:sz w:val="18"/>
                <w:szCs w:val="18"/>
              </w:rPr>
              <w:t>智能化、小型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化城市电网 生产基地建 设专项资金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565,057.79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213,750.00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351,307.79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 季度装备补 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307,284.06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13,369.96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293,914.10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 季度装备补 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325,307.78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35,279.97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290,027.81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知识产权管 理数据库建 设项目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85,737.53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37,049.88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48,687.65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购买先进装 备政府扶持 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50,925.00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240,075.00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季度装备补 贴</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160,700.00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 季度装备补 贴</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84,800.00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4,239.31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80,560.69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 季度装备补 贴</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333,300.00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7,950.00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325,350.00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智能制造补 贴资金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717,000.00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60,212.61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656,787.39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43、其他非流动负债" w:id="315"/>
      <w:bookmarkEnd w:id="315"/>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44、股本" w:id="316"/>
      <w:bookmarkEnd w:id="316"/>
      <w:r>
        <w:rPr>
          <w:b w:val="0"/>
          <w:bCs w:val="0"/>
        </w:rPr>
      </w:r>
      <w:r>
        <w:rPr>
          <w:rFonts w:ascii="Times New Roman" w:hAnsi="Times New Roman" w:cs="Times New Roman" w:eastAsia="Times New Roman" w:hint="default"/>
        </w:rPr>
        <w:t>44</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323,441,468.00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258,753,174.00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258,753,174.00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582,194,642.00</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45、其他权益工具" w:id="317"/>
      <w:bookmarkEnd w:id="317"/>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46、资本公积" w:id="318"/>
      <w:bookmarkEnd w:id="318"/>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1,078,327,777.72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258,753,174.00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819,574,603.72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357,302.60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357,302.60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1,078,685,080.32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258,753,174.00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819,931,906.32</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47、库存股" w:id="319"/>
      <w:bookmarkEnd w:id="319"/>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48、其他综合收益" w:id="320"/>
      <w:bookmarkEnd w:id="320"/>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-1,587,736.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-1,546,918.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-40,817.40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-1,546,91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8.82</w:t>
            </w:r>
          </w:p>
        </w:tc>
      </w:tr>
      <w:tr>
        <w:trPr>
          <w:trHeight w:val="715"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其中：权益法下可转损益的其他综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-1,504,435.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-1,504,435.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-1,504,43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5.41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0"/>
        <w:gridCol w:w="1070"/>
        <w:gridCol w:w="935"/>
        <w:gridCol w:w="1152"/>
        <w:gridCol w:w="935"/>
        <w:gridCol w:w="936"/>
        <w:gridCol w:w="935"/>
        <w:gridCol w:w="796"/>
      </w:tblGrid>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-83,300.81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-42,483.41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-40,817.40</w:t>
            </w:r>
            <w:r>
              <w:rPr>
                <w:rFonts w:ascii="Times New Roman"/>
                <w:sz w:val="18"/>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-42,483.4</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-1,587,736.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-1,546,918.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-40,817.40</w:t>
            </w:r>
            <w:r>
              <w:rPr>
                <w:rFonts w:ascii="Times New Roman"/>
                <w:sz w:val="18"/>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-1,546,91</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8.82</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49、专项储备" w:id="321"/>
      <w:bookmarkEnd w:id="321"/>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50、盈余公积" w:id="322"/>
      <w:bookmarkEnd w:id="322"/>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37,020,745.42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2,510,777.06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39,531,522.48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37,020,745.42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2,510,777.06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39,531,522.48</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51、未分配利润" w:id="323"/>
      <w:bookmarkEnd w:id="323"/>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483,690,805.90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396,565,430.14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483,690,805.90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396,565,430.14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51,043,523.98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131,255,188.67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2,510,777.06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2,164,543.01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32,344,146.80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41,965,269.90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499,879,406.02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483,690,805.90</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52、营业收入和营业成本" w:id="324"/>
      <w:bookmarkEnd w:id="324"/>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2,006,954,046.12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1,580,862,134.47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2,107,097,561.92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1,638,090,319.74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560,821.08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102,144.68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2,248,312.30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205,295.30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2,007,514,867.20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1,580,964,279.15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2,109,345,874.22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1,638,295,615.04</w:t>
            </w:r>
          </w:p>
        </w:tc>
      </w:tr>
    </w:tbl>
    <w:p>
      <w:pPr>
        <w:spacing w:line="240" w:lineRule="auto" w:before="3"/>
        <w:rPr>
          <w:rFonts w:ascii="宋体" w:hAnsi="宋体" w:cs="宋体" w:eastAsia="宋体" w:hint="default"/>
          <w:sz w:val="19"/>
          <w:szCs w:val="19"/>
        </w:rPr>
      </w:pPr>
    </w:p>
    <w:p>
      <w:pPr>
        <w:pStyle w:val="Heading3"/>
        <w:spacing w:line="240" w:lineRule="auto" w:before="35"/>
        <w:ind w:right="1048"/>
        <w:jc w:val="left"/>
        <w:rPr>
          <w:b w:val="0"/>
          <w:bCs w:val="0"/>
        </w:rPr>
      </w:pPr>
      <w:bookmarkStart w:name="53、税金及附加" w:id="325"/>
      <w:bookmarkEnd w:id="325"/>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2,645,311.07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4,362,669.51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2,060,341.56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3,645,622.63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3,975,567.78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2,780,094.63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627,000.24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407,506.48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1,448,344.73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1,390,557.95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残疾人就业保障金</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1,598,822.38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1,488,192.73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730,705.88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394,288.01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13,086,093.64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14,468,931.94</w:t>
            </w:r>
          </w:p>
        </w:tc>
      </w:tr>
    </w:tbl>
    <w:p>
      <w:pPr>
        <w:pStyle w:val="BodyText"/>
        <w:spacing w:line="240" w:lineRule="auto" w:before="51"/>
        <w:ind w:right="104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48"/>
        <w:jc w:val="left"/>
        <w:rPr>
          <w:b w:val="0"/>
          <w:bCs w:val="0"/>
        </w:rPr>
      </w:pPr>
      <w:bookmarkStart w:name="54、销售费用" w:id="326"/>
      <w:bookmarkEnd w:id="326"/>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45,749,954.81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40,623,677.64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29,474,894.03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35,716,334.29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标书、中标服务费、会员费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11,502,456.95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9,380,297.08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25,826,339.94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19,477,959.78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安装调试费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7,241,785.35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12,838,226.76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9,068,379.86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9,411,549.54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814,382.30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1,928,549.72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21,874,492.70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15,802,141.36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9,066,679.34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5,749,827.81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1,580,805.03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1,741,409.70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745,786.34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1,574,977.82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1,100,708.67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108,322.79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4,547,490.99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3,998,486.26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168,594,156.31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158,351,760.55</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55、管理费用" w:id="327"/>
      <w:bookmarkEnd w:id="327"/>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43,129,729.33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54,698,488.34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21,295,551.75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14,439,579.90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2,490,550.27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1,601,528.48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1,277,342.49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705,686.15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2,534,667.32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4,175,649.99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2,138,770.85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1,648,337.12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4,441,015.55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1,236,141.89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2,776,253.26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2,898,529.99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2,374,588.75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891,289.62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1,078,176.87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1,091,778.00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技术检测费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7,200,269.82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2,359,680.09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7,241,657.39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7,011,184.35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97,978,573.65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92,757,873.92</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56、研发费用" w:id="328"/>
      <w:bookmarkEnd w:id="328"/>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一、人员人工费用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18,433,640.47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18,718,987.26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二、直接投入费用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3,781,998.47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10,295,672.98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三、折旧费用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1,595,134.78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347,612.17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2,507,681.40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1,044,867.25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五、其他相关费用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3,533,940.98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412,171.57</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六、委托外部机构或个人进行研发活动 所发生的费用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480,854.53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78,064.41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30,355,098.04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30,921,752.05</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57、财务费用" w:id="329"/>
      <w:bookmarkEnd w:id="329"/>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50,505,671.39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9,186,610.65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2,763,900.09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4,129,051.25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汇兑损失</w:t>
            </w:r>
            <w:r>
              <w:rPr>
                <w:rFonts w:ascii="Times New Roman" w:hAnsi="Times New Roman" w:cs="Times New Roman" w:eastAsia="Times New Roman" w:hint="default"/>
                <w:sz w:val="18"/>
                <w:szCs w:val="18"/>
              </w:rPr>
              <w:t>(</w:t>
            </w:r>
            <w:r>
              <w:rPr>
                <w:rFonts w:ascii="宋体" w:hAnsi="宋体" w:cs="宋体" w:eastAsia="宋体" w:hint="default"/>
                <w:sz w:val="18"/>
                <w:szCs w:val="18"/>
              </w:rPr>
              <w:t>减：汇兑收益</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3,266,220.35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299,969.02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1,551,026.10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1,440,974.42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未确认融资费用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778,517.27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301,593.49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现金折扣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1,104,878.31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52,937,786.18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8,204,974.64</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58、资产减值损失" w:id="330"/>
      <w:bookmarkEnd w:id="330"/>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14,279,685.97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30,494,009.06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168,988.90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17,337,109.49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31,785,784.36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30,494,009.06</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59、其他收益" w:id="331"/>
      <w:bookmarkEnd w:id="331"/>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17,187,878.40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8,768,312.87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5,216,448.94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1,913,427.58</w:t>
            </w:r>
          </w:p>
        </w:tc>
      </w:tr>
    </w:tbl>
    <w:p>
      <w:pPr>
        <w:spacing w:line="240" w:lineRule="auto" w:before="3"/>
        <w:rPr>
          <w:rFonts w:ascii="宋体" w:hAnsi="宋体" w:cs="宋体" w:eastAsia="宋体" w:hint="default"/>
          <w:sz w:val="19"/>
          <w:szCs w:val="19"/>
        </w:rPr>
      </w:pPr>
    </w:p>
    <w:p>
      <w:pPr>
        <w:pStyle w:val="Heading3"/>
        <w:spacing w:line="240" w:lineRule="auto" w:before="35"/>
        <w:ind w:right="1048"/>
        <w:jc w:val="left"/>
        <w:rPr>
          <w:b w:val="0"/>
          <w:bCs w:val="0"/>
        </w:rPr>
      </w:pPr>
      <w:bookmarkStart w:name="60、投资收益" w:id="332"/>
      <w:bookmarkEnd w:id="332"/>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354,035.15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-934,812.91</w:t>
            </w:r>
            <w:r>
              <w:rPr>
                <w:rFonts w:ascii="Times New Roman"/>
                <w:sz w:val="18"/>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-2,103.82</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-599.15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1,981,592.81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1,134,246.58</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2,333,524.14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198,834.52</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61、公允价值变动收益" w:id="333"/>
      <w:bookmarkEnd w:id="333"/>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62、资产处置收益" w:id="334"/>
      <w:bookmarkEnd w:id="334"/>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-156,162.55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48"/>
        <w:jc w:val="left"/>
        <w:rPr>
          <w:b w:val="0"/>
          <w:bCs w:val="0"/>
        </w:rPr>
      </w:pPr>
      <w:bookmarkStart w:name="63、营业外收入" w:id="335"/>
      <w:bookmarkEnd w:id="335"/>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9,448,199.00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8,018,499.16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9,448,199.00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237,478.43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84,412.08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237,478.43</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9,685,677.43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8,102,911.24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9,685,677.43</w:t>
            </w:r>
          </w:p>
        </w:tc>
      </w:tr>
    </w:tbl>
    <w:p>
      <w:pPr>
        <w:pStyle w:val="BodyText"/>
        <w:spacing w:line="240" w:lineRule="auto" w:before="51"/>
        <w:ind w:right="1048"/>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天津滨海高 新技术产业 开发区财政 局补助款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2,486,161.00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1,082,251.00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宁乡市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年度湖南省 工业企业技 术改造税收 增量奖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企业引进并 购重组政府 扶持资金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创新平台资 金补贴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 技服务业后 补贴专项</w:t>
            </w:r>
            <w:r>
              <w:rPr>
                <w:rFonts w:ascii="Times New Roman" w:hAnsi="Times New Roman" w:cs="Times New Roman" w:eastAsia="Times New Roman" w:hint="default"/>
                <w:sz w:val="18"/>
                <w:szCs w:val="18"/>
              </w:rPr>
              <w:t>-</w:t>
            </w:r>
            <w:r>
              <w:rPr>
                <w:rFonts w:ascii="宋体" w:hAnsi="宋体" w:cs="宋体" w:eastAsia="宋体" w:hint="default"/>
                <w:sz w:val="18"/>
                <w:szCs w:val="18"/>
              </w:rPr>
              <w:t>工 程技术服务 子专项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密云县财政 局高薪技术 企业发展资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1,896,100.00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密云区经济 开发区财政</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因从事国家 鼓励和扶持</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1,165,000.00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 业发展资金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其他政府补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2,432,038.00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3,875,148.16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64、营业外支出" w:id="336"/>
      <w:bookmarkEnd w:id="336"/>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10,265.18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49,289.85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10,265.18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166,011.69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144,646.03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166,011.69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226,276.87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193,935.88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226,276.87</w:t>
            </w:r>
          </w:p>
        </w:tc>
      </w:tr>
    </w:tbl>
    <w:p>
      <w:pPr>
        <w:spacing w:line="240" w:lineRule="auto" w:before="3"/>
        <w:rPr>
          <w:rFonts w:ascii="宋体" w:hAnsi="宋体" w:cs="宋体" w:eastAsia="宋体" w:hint="default"/>
          <w:sz w:val="19"/>
          <w:szCs w:val="19"/>
        </w:rPr>
      </w:pPr>
    </w:p>
    <w:p>
      <w:pPr>
        <w:pStyle w:val="Heading3"/>
        <w:spacing w:line="240" w:lineRule="auto" w:before="35"/>
        <w:ind w:right="1048"/>
        <w:jc w:val="left"/>
        <w:rPr>
          <w:b w:val="0"/>
          <w:bCs w:val="0"/>
        </w:rPr>
      </w:pPr>
      <w:bookmarkStart w:name="65、所得税费用" w:id="337"/>
      <w:bookmarkEnd w:id="337"/>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8"/>
        <w:jc w:val="left"/>
        <w:rPr>
          <w:b w:val="0"/>
          <w:bCs w:val="0"/>
        </w:rPr>
      </w:pPr>
      <w:bookmarkStart w:name="（1）所得税费用表" w:id="338"/>
      <w:bookmarkEnd w:id="33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16,585,852.25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28,960,556.75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-981,293.58</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-5,576,192.07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15,604,558.67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23,384,364.68</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2）会计利润与所得税费用调整过程" w:id="339"/>
      <w:bookmarkEnd w:id="33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65,854,185.36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9,878,127.80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330,332.79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2,209.78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7,947,785.97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1,226,664.41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加计扣除的影响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-3,727,456.81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15,604,558.67</w:t>
            </w:r>
          </w:p>
        </w:tc>
      </w:tr>
    </w:tbl>
    <w:p>
      <w:pPr>
        <w:spacing w:line="240" w:lineRule="auto" w:before="2"/>
        <w:rPr>
          <w:rFonts w:ascii="宋体" w:hAnsi="宋体" w:cs="宋体" w:eastAsia="宋体" w:hint="default"/>
          <w:sz w:val="19"/>
          <w:szCs w:val="19"/>
        </w:rPr>
      </w:pPr>
    </w:p>
    <w:p>
      <w:pPr>
        <w:spacing w:line="547" w:lineRule="auto" w:before="35"/>
        <w:ind w:left="154" w:right="5192" w:firstLine="0"/>
        <w:jc w:val="left"/>
        <w:rPr>
          <w:rFonts w:ascii="宋体" w:hAnsi="宋体" w:cs="宋体" w:eastAsia="宋体" w:hint="default"/>
          <w:sz w:val="21"/>
          <w:szCs w:val="21"/>
        </w:rPr>
      </w:pPr>
      <w:bookmarkStart w:name="66、其他综合收益" w:id="340"/>
      <w:bookmarkEnd w:id="340"/>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六、合并财务报表主要项目注释（二十八）其他综合收益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67、现金流量表项目" w:id="341"/>
      <w:bookmarkEnd w:id="341"/>
      <w:r>
        <w:rPr>
          <w:rFonts w:ascii="宋体" w:hAnsi="宋体" w:cs="宋体" w:eastAsia="宋体" w:hint="default"/>
          <w:sz w:val="18"/>
          <w:szCs w:val="18"/>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5"/>
        <w:ind w:right="1048"/>
        <w:jc w:val="left"/>
        <w:rPr>
          <w:b w:val="0"/>
          <w:bCs w:val="0"/>
        </w:rPr>
      </w:pPr>
      <w:bookmarkStart w:name="（1）收到的其他与经营活动有关的现金" w:id="342"/>
      <w:bookmarkEnd w:id="34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2,763,900.09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4,129,051.25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13,119,528.61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9,828,599.16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投标及履约保证金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79,451,253.37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7,557,079.22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3,501,156.00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6,078,275.14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98,835,838.07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27,593,004.77</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2）支付的其他与经营活动有关的现金" w:id="343"/>
      <w:bookmarkEnd w:id="34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销售、管理、研发费用等支出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162,803,799.69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162,446,592.17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10,110,472.06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4,717,476.31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银行汇票承兑、保函保证金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5,178,169.55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3,888,145.85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9,348,727.20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181,980,587.15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176,732,795.68</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3）收到的其他与投资活动有关的现金" w:id="344"/>
      <w:bookmarkEnd w:id="344"/>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4）支付的其他与投资活动有关的现金" w:id="345"/>
      <w:bookmarkEnd w:id="345"/>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223.339996pt;margin-top:644.349976pt;width:151.25pt;height:40.8pt;mso-position-horizontal-relative:page;mso-position-vertical-relative:page;z-index:-968440" coordorigin="4467,12887" coordsize="3025,816">
            <v:group style="position:absolute;left:4478;top:12898;width:2;height:392" coordorigin="4478,12898" coordsize="2,392">
              <v:shape style="position:absolute;left:4478;top:12898;width:2;height:392" coordorigin="4478,12898" coordsize="0,392" path="m4478,12898l4478,13290e" filled="false" stroked="true" strokeweight="1.140pt" strokecolor="#ffffff">
                <v:path arrowok="t"/>
              </v:shape>
            </v:group>
            <v:group style="position:absolute;left:4490;top:12898;width:3002;height:392" coordorigin="4490,12898" coordsize="3002,392">
              <v:shape style="position:absolute;left:4490;top:12898;width:3002;height:392" coordorigin="4490,12898" coordsize="3002,392" path="m4490,13290l7491,13290,7491,12898,4490,12898,4490,13290xe" filled="true" fillcolor="#ffffff" stroked="false">
                <v:path arrowok="t"/>
                <v:fill type="solid"/>
              </v:shape>
            </v:group>
            <v:group style="position:absolute;left:4478;top:13300;width:2;height:392" coordorigin="4478,13300" coordsize="2,392">
              <v:shape style="position:absolute;left:4478;top:13300;width:2;height:392" coordorigin="4478,13300" coordsize="0,392" path="m4478,13300l4478,13692e" filled="false" stroked="true" strokeweight="1.140pt" strokecolor="#ffffff">
                <v:path arrowok="t"/>
              </v:shape>
            </v:group>
            <v:group style="position:absolute;left:4490;top:13300;width:3002;height:392" coordorigin="4490,13300" coordsize="3002,392">
              <v:shape style="position:absolute;left:4490;top:13300;width:3002;height:392" coordorigin="4490,13300" coordsize="3002,392" path="m4490,13692l7491,13692,7491,13300,4490,13300,4490,13692xe" filled="true" fillcolor="#ffffff" stroked="false">
                <v:path arrowok="t"/>
                <v:fill type="solid"/>
              </v:shape>
            </v:group>
            <w10:wrap type="none"/>
          </v:group>
        </w:pict>
      </w:r>
    </w:p>
    <w:p>
      <w:pPr>
        <w:pStyle w:val="Heading3"/>
        <w:spacing w:line="240" w:lineRule="auto" w:before="35"/>
        <w:ind w:right="1048"/>
        <w:jc w:val="left"/>
        <w:rPr>
          <w:b w:val="0"/>
          <w:bCs w:val="0"/>
        </w:rPr>
      </w:pPr>
      <w:bookmarkStart w:name="（5）收到的其他与筹资活动有关的现金" w:id="346"/>
      <w:bookmarkEnd w:id="346"/>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6）支付的其他与筹资活动有关的现金" w:id="347"/>
      <w:bookmarkEnd w:id="347"/>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发行股份筹集资金支付的审计、咨询等 中介费用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1,179,245.29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融资租赁支付租金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17,267,411.02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6,702,621.00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融资相关的咨询费手续费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5,717,000.58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22,984,411.60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7,881,866.29</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68、现金流量表补充资料" w:id="348"/>
      <w:bookmarkEnd w:id="348"/>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8"/>
        <w:jc w:val="left"/>
        <w:rPr>
          <w:b w:val="0"/>
          <w:bCs w:val="0"/>
        </w:rPr>
      </w:pPr>
      <w:bookmarkStart w:name="（1）现金流量表补充资料" w:id="349"/>
      <w:bookmarkEnd w:id="34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122"/>
        <w:gridCol w:w="1947"/>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50,249,626.69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131,256,142.67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31,785,784.36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30,494,009.06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36,864,339.35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26,262,998.10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12,648,269.51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8,460,551.68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2,652,358.83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665,369.23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156,162.55</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10,265.18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49,289.87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57,088,803.83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9,788,173.16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-2,333,524.14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-198,834.52</w:t>
            </w:r>
            <w:r>
              <w:rPr>
                <w:rFonts w:ascii="Times New Roman"/>
                <w:sz w:val="18"/>
              </w:rPr>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-445,081.25</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-5,095,243.28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-536,212.33</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-480,948.79</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-339,269,663.20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32,526,830.87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-77,534,647.09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-384,708,577.11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46,780,279.27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240,120,963.17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-181,883,238.44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89,140,724.11</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236,606,133.72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225,871,345.27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225,871,345.27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172,482,816.04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10,734,788.45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53,388,529.23</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2）本期支付的取得子公司的现金净额" w:id="350"/>
      <w:bookmarkEnd w:id="350"/>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3）本期收到的处置子公司的现金净额" w:id="351"/>
      <w:bookmarkEnd w:id="351"/>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327.28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湖南雅城新能源有限公司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327.28</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-327.28</w:t>
            </w:r>
            <w:r>
              <w:rPr>
                <w:rFonts w:ascii="Times New Roman"/>
                <w:sz w:val="18"/>
              </w:rPr>
            </w:r>
          </w:p>
        </w:tc>
      </w:tr>
    </w:tbl>
    <w:p>
      <w:pPr>
        <w:pStyle w:val="BodyText"/>
        <w:spacing w:line="240" w:lineRule="auto" w:before="10"/>
        <w:ind w:left="574" w:right="1048"/>
        <w:jc w:val="left"/>
      </w:pPr>
      <w:r>
        <w:rPr/>
        <w:t>注：处置子公司收到的现金净额负数列报到“支付的其他与投资活动有关的现金”科目。</w:t>
      </w:r>
    </w:p>
    <w:p>
      <w:pPr>
        <w:spacing w:line="240" w:lineRule="auto" w:before="12"/>
        <w:rPr>
          <w:rFonts w:ascii="宋体" w:hAnsi="宋体" w:cs="宋体" w:eastAsia="宋体" w:hint="default"/>
          <w:sz w:val="26"/>
          <w:szCs w:val="26"/>
        </w:rPr>
      </w:pPr>
    </w:p>
    <w:p>
      <w:pPr>
        <w:pStyle w:val="Heading3"/>
        <w:spacing w:line="240" w:lineRule="auto"/>
        <w:ind w:right="1048"/>
        <w:jc w:val="left"/>
        <w:rPr>
          <w:b w:val="0"/>
          <w:bCs w:val="0"/>
        </w:rPr>
      </w:pPr>
      <w:bookmarkStart w:name="（4）现金和现金等价物的构成" w:id="352"/>
      <w:bookmarkEnd w:id="352"/>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236,606,133.72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225,871,345.27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290,327.54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101,257.30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236,315,806.18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225,770,087.97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236,606,133.72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225,871,345.27</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69、所有者权益变动表项目注释" w:id="353"/>
      <w:bookmarkEnd w:id="353"/>
      <w:r>
        <w:rPr>
          <w:b w:val="0"/>
          <w:bCs w:val="0"/>
        </w:rPr>
      </w:r>
      <w:r>
        <w:rPr>
          <w:rFonts w:ascii="Times New Roman" w:hAnsi="Times New Roman" w:cs="Times New Roman" w:eastAsia="Times New Roman" w:hint="default"/>
        </w:rPr>
        <w:t>69</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48"/>
        <w:jc w:val="left"/>
        <w:rPr>
          <w:b w:val="0"/>
          <w:bCs w:val="0"/>
        </w:rPr>
      </w:pPr>
      <w:bookmarkStart w:name="70、所有权或使用权受到限制的资产" w:id="354"/>
      <w:bookmarkEnd w:id="354"/>
      <w:r>
        <w:rPr>
          <w:b w:val="0"/>
          <w:bCs w:val="0"/>
        </w:rPr>
      </w:r>
      <w:r>
        <w:rPr>
          <w:rFonts w:ascii="Times New Roman" w:hAnsi="Times New Roman" w:cs="Times New Roman" w:eastAsia="Times New Roman" w:hint="default"/>
        </w:rPr>
        <w:t>70</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65,615,684.51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银行承兑票据保证金及保函保证金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347,435,227.86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24,528,079.78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质押贷款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19,197,605.78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应收账款押汇</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银行承兑票据保证金</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511,776,597.93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71、外币货币性项目" w:id="355"/>
      <w:bookmarkEnd w:id="355"/>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8"/>
        <w:jc w:val="left"/>
        <w:rPr>
          <w:b w:val="0"/>
          <w:bCs w:val="0"/>
        </w:rPr>
      </w:pPr>
      <w:bookmarkStart w:name="（1）外币货币性项目" w:id="356"/>
      <w:bookmarkEnd w:id="356"/>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294,381.03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2,020,395.87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印度尼西亚卢比</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3,284,334.04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0.000473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1,553.49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114,272,280.00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59" w:lineRule="auto" w:before="35"/>
        <w:ind w:right="1048"/>
        <w:jc w:val="left"/>
        <w:rPr>
          <w:b w:val="0"/>
          <w:bCs w:val="0"/>
        </w:rPr>
      </w:pPr>
      <w:bookmarkStart w:name="（2）境外经营实体说明，包括对于重要的境外经营实体，应披露其境外主要经营地、记账" w:id="357"/>
      <w:bookmarkEnd w:id="357"/>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48"/>
        <w:jc w:val="left"/>
        <w:rPr>
          <w:b w:val="0"/>
          <w:bCs w:val="0"/>
        </w:rPr>
      </w:pPr>
      <w:bookmarkStart w:name="72、套期" w:id="358"/>
      <w:bookmarkEnd w:id="358"/>
      <w:r>
        <w:rPr>
          <w:b w:val="0"/>
          <w:bCs w:val="0"/>
        </w:rPr>
      </w:r>
      <w:r>
        <w:rPr>
          <w:rFonts w:ascii="Times New Roman" w:hAnsi="Times New Roman" w:cs="Times New Roman" w:eastAsia="Times New Roman" w:hint="default"/>
        </w:rPr>
        <w:t>72</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按照套期类别披露套期项目及相关套期工具、被套期风险的定性和定量信息：无</w:t>
      </w:r>
    </w:p>
    <w:p>
      <w:pPr>
        <w:spacing w:line="240" w:lineRule="auto" w:before="11"/>
        <w:rPr>
          <w:rFonts w:ascii="宋体" w:hAnsi="宋体" w:cs="宋体" w:eastAsia="宋体" w:hint="default"/>
          <w:sz w:val="26"/>
          <w:szCs w:val="26"/>
        </w:rPr>
      </w:pPr>
    </w:p>
    <w:p>
      <w:pPr>
        <w:pStyle w:val="Heading3"/>
        <w:spacing w:line="240" w:lineRule="auto"/>
        <w:ind w:right="1048"/>
        <w:jc w:val="left"/>
        <w:rPr>
          <w:b w:val="0"/>
          <w:bCs w:val="0"/>
        </w:rPr>
      </w:pPr>
      <w:bookmarkStart w:name="73、政府补助" w:id="359"/>
      <w:bookmarkEnd w:id="359"/>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8"/>
        <w:jc w:val="left"/>
        <w:rPr>
          <w:b w:val="0"/>
          <w:bCs w:val="0"/>
        </w:rPr>
      </w:pPr>
      <w:bookmarkStart w:name="（1）政府补助基本情况" w:id="360"/>
      <w:bookmarkEnd w:id="360"/>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天津滨海高新技术产业开发 区财政局补助款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2,486,161.00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2,486,161.00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宁乡市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年度湖南省工业 企业技术改造税收增量奖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企业引进并购重组政府扶持 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创新平台资金补贴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年度科技服务业后补贴 专项</w:t>
            </w:r>
            <w:r>
              <w:rPr>
                <w:rFonts w:ascii="Times New Roman" w:hAnsi="Times New Roman" w:cs="Times New Roman" w:eastAsia="Times New Roman" w:hint="default"/>
                <w:sz w:val="18"/>
                <w:szCs w:val="18"/>
              </w:rPr>
              <w:t>-</w:t>
            </w:r>
            <w:r>
              <w:rPr>
                <w:rFonts w:ascii="宋体" w:hAnsi="宋体" w:cs="宋体" w:eastAsia="宋体" w:hint="default"/>
                <w:sz w:val="18"/>
                <w:szCs w:val="18"/>
              </w:rPr>
              <w:t>工程技术服务子专项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天津滨海高新技术产业开发 区管理委员会（融资租赁政策 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615,100.00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615,100.00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中关村企业改制挂牌上市和 并购支持资金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天津滨海高新技术产业开发 区管理委员会（高新技术企业 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中关村技术创新能力建设专 项资金著名商标、商标高端项 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年海淀区重点培育企业 资金奖励项目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税收台阶奖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第一批认定的高新技术企业 政府扶持资金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年度海淀园企业人才公 租房租金补贴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42,988.00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42,988.00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企业认定高新技术政府扶持 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海淀区促进重点产业发展支 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中关村企业信用促进会中介 服务补助款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年购买信用报告费用补 贴项目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国家知识产权局专利资助资 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17,187,878.40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17,187,878.40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821,600.00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生产基地建设项目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1,055,777.28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1,055,777.28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其他递延收益结转</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2,076,142.05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2,076,142.05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年度中关村技术创新能 力建设专项资金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年度授权专利资助金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北京市专利资助金管理办法 实施细则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科技计划奖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企业降低用电成本政府扶持 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出口信保扶持资金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退个税手续费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274,126.37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274,126.37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15,203.24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15,203.24</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2）政府补助退回情况" w:id="361"/>
      <w:bookmarkEnd w:id="361"/>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4" w:right="8328" w:firstLine="0"/>
        <w:jc w:val="left"/>
        <w:rPr>
          <w:rFonts w:ascii="宋体" w:hAnsi="宋体" w:cs="宋体" w:eastAsia="宋体" w:hint="default"/>
          <w:sz w:val="21"/>
          <w:szCs w:val="21"/>
        </w:rPr>
      </w:pPr>
      <w:bookmarkStart w:name="74、其他：无" w:id="362"/>
      <w:bookmarkEnd w:id="362"/>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sz w:val="18"/>
          <w:szCs w:val="18"/>
        </w:rPr>
        <w:t>无 </w:t>
      </w:r>
      <w:bookmarkStart w:name="八、合并范围的变更" w:id="363"/>
      <w:bookmarkEnd w:id="363"/>
      <w:r>
        <w:rPr>
          <w:rFonts w:ascii="宋体" w:hAnsi="宋体" w:cs="宋体" w:eastAsia="宋体" w:hint="default"/>
          <w:sz w:val="18"/>
          <w:szCs w:val="18"/>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64"/>
      <w:bookmarkEnd w:id="36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1048"/>
        <w:jc w:val="left"/>
        <w:rPr>
          <w:b w:val="0"/>
          <w:bCs w:val="0"/>
        </w:rPr>
      </w:pPr>
      <w:bookmarkStart w:name="（1）本期发生的非同一控制下企业合并" w:id="365"/>
      <w:bookmarkEnd w:id="36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048"/>
        <w:jc w:val="left"/>
        <w:rPr>
          <w:b w:val="0"/>
          <w:bCs w:val="0"/>
        </w:rPr>
      </w:pPr>
      <w:bookmarkStart w:name="（2）合并成本及商誉" w:id="366"/>
      <w:bookmarkEnd w:id="36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048"/>
        <w:jc w:val="left"/>
        <w:rPr>
          <w:b w:val="0"/>
          <w:bCs w:val="0"/>
        </w:rPr>
      </w:pPr>
      <w:bookmarkStart w:name="（3）被购买方于购买日可辨认资产、负债" w:id="367"/>
      <w:bookmarkEnd w:id="36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048"/>
        <w:jc w:val="left"/>
        <w:rPr>
          <w:b w:val="0"/>
          <w:bCs w:val="0"/>
        </w:rPr>
      </w:pPr>
      <w:bookmarkStart w:name="（4）购买日之前持有的股权按照公允价值重新计量产生的利得或损失" w:id="368"/>
      <w:bookmarkEnd w:id="36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是否存在通过多次交易分步实现企业合并且在报告期内取得控制权的交易</w:t>
      </w:r>
    </w:p>
    <w:p>
      <w:pPr>
        <w:pStyle w:val="BodyText"/>
        <w:spacing w:line="240" w:lineRule="auto" w:before="116"/>
        <w:ind w:right="104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048"/>
        <w:jc w:val="left"/>
        <w:rPr>
          <w:b w:val="0"/>
          <w:bCs w:val="0"/>
        </w:rPr>
      </w:pPr>
      <w:bookmarkStart w:name="（5）购买日或合并当期期末无法合理确定合并对价或被购买方可辨认资产、负债公允价值" w:id="369"/>
      <w:bookmarkEnd w:id="369"/>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6）其他说明" w:id="370"/>
      <w:bookmarkEnd w:id="370"/>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2、同一控制下企业合并" w:id="371"/>
      <w:bookmarkEnd w:id="371"/>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3、反向购买" w:id="372"/>
      <w:bookmarkEnd w:id="372"/>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048"/>
        <w:jc w:val="left"/>
        <w:rPr>
          <w:b w:val="0"/>
          <w:bCs w:val="0"/>
        </w:rPr>
      </w:pPr>
      <w:bookmarkStart w:name="4、处置子公司" w:id="373"/>
      <w:bookmarkEnd w:id="373"/>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北京合 纵科沃 尔电力 科技有 限公司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工商注 销</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48"/>
        <w:jc w:val="left"/>
      </w:pPr>
      <w:r>
        <w:rPr/>
        <w:t>是否存在通过多次交易分步处置对子公司投资且在本期丧失控制权的情形</w:t>
      </w:r>
    </w:p>
    <w:p>
      <w:pPr>
        <w:spacing w:line="547" w:lineRule="auto" w:before="117"/>
        <w:ind w:left="154" w:right="8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bookmarkStart w:name="5、其他原因的合并范围变动" w:id="374"/>
      <w:bookmarkEnd w:id="374"/>
      <w:r>
        <w:rPr>
          <w:rFonts w:ascii="宋体" w:hAnsi="宋体" w:cs="宋体" w:eastAsia="宋体" w:hint="default"/>
          <w:sz w:val="18"/>
          <w:szCs w:val="18"/>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19"/>
        <w:ind w:right="1048"/>
        <w:jc w:val="left"/>
        <w:rPr>
          <w:b w:val="0"/>
          <w:bCs w:val="0"/>
        </w:rPr>
      </w:pPr>
      <w:bookmarkStart w:name="6、其他" w:id="375"/>
      <w:bookmarkEnd w:id="375"/>
      <w:r>
        <w:rPr>
          <w:b w:val="0"/>
          <w:bCs w:val="0"/>
        </w:rPr>
      </w: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3"/>
        <w:rPr>
          <w:rFonts w:ascii="宋体" w:hAnsi="宋体" w:cs="宋体" w:eastAsia="宋体" w:hint="default"/>
          <w:sz w:val="24"/>
          <w:szCs w:val="24"/>
        </w:rPr>
      </w:pPr>
    </w:p>
    <w:p>
      <w:pPr>
        <w:pStyle w:val="Heading2"/>
        <w:spacing w:line="240" w:lineRule="auto"/>
        <w:ind w:right="1048"/>
        <w:jc w:val="left"/>
        <w:rPr>
          <w:b w:val="0"/>
          <w:bCs w:val="0"/>
        </w:rPr>
      </w:pPr>
      <w:bookmarkStart w:name="九、在其他主体中的权益" w:id="376"/>
      <w:bookmarkEnd w:id="376"/>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8"/>
        <w:jc w:val="left"/>
        <w:rPr>
          <w:b w:val="0"/>
          <w:bCs w:val="0"/>
        </w:rPr>
      </w:pPr>
      <w:bookmarkStart w:name="1、在子公司中的权益" w:id="377"/>
      <w:bookmarkEnd w:id="377"/>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8"/>
        <w:jc w:val="left"/>
        <w:rPr>
          <w:b w:val="0"/>
          <w:bCs w:val="0"/>
        </w:rPr>
      </w:pPr>
      <w:bookmarkStart w:name="（1）企业集团的构成" w:id="378"/>
      <w:bookmarkEnd w:id="37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北京合纵实科电 力科技有限公司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北京密云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北京密云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电力设备生产销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天津合纵电力设 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天津滨海新区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天津滨海新区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2"/>
              <w:jc w:val="left"/>
              <w:rPr>
                <w:rFonts w:ascii="宋体" w:hAnsi="宋体" w:cs="宋体" w:eastAsia="宋体" w:hint="default"/>
                <w:sz w:val="18"/>
                <w:szCs w:val="18"/>
              </w:rPr>
            </w:pPr>
            <w:r>
              <w:rPr>
                <w:rFonts w:ascii="宋体" w:hAnsi="宋体" w:cs="宋体" w:eastAsia="宋体" w:hint="default"/>
                <w:sz w:val="18"/>
                <w:szCs w:val="18"/>
              </w:rPr>
              <w:t>输配电设备生产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湖南雅城新材料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电子新材料的研 发、制造、销售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江苏鹏创电力设 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pacing w:val="-6"/>
                <w:sz w:val="18"/>
                <w:szCs w:val="18"/>
              </w:rPr>
              <w:t>电力设计、勘察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测量及咨询服务</w:t>
            </w:r>
          </w:p>
        </w:tc>
        <w:tc>
          <w:tcPr>
            <w:tcW w:w="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印尼合纵电气有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电力设备生产销 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2"/>
        <w:rPr>
          <w:rFonts w:ascii="宋体" w:hAnsi="宋体" w:cs="宋体" w:eastAsia="宋体" w:hint="default"/>
          <w:b/>
          <w:bCs/>
          <w:sz w:val="19"/>
          <w:szCs w:val="19"/>
        </w:rPr>
      </w:pPr>
    </w:p>
    <w:p>
      <w:pPr>
        <w:pStyle w:val="Heading3"/>
        <w:spacing w:line="240" w:lineRule="auto" w:before="35"/>
        <w:ind w:right="1048"/>
        <w:jc w:val="left"/>
        <w:rPr>
          <w:b w:val="0"/>
          <w:bCs w:val="0"/>
        </w:rPr>
      </w:pPr>
      <w:r>
        <w:rPr/>
        <w:pict>
          <v:group style="position:absolute;margin-left:330.579987pt;margin-top:-83.986328pt;width:67.9pt;height:28pt;mso-position-horizontal-relative:page;mso-position-vertical-relative:paragraph;z-index:-968416" coordorigin="6612,-1680" coordsize="1358,560">
            <v:group style="position:absolute;left:6612;top:-1680;width:1358;height:156" coordorigin="6612,-1680" coordsize="1358,156">
              <v:shape style="position:absolute;left:6612;top:-1680;width:1358;height:156" coordorigin="6612,-1680" coordsize="1358,156" path="m6612,-1524l7969,-1524,7969,-1680,6612,-1680,6612,-1524xe" filled="true" fillcolor="#ffffff" stroked="false">
                <v:path arrowok="t"/>
                <v:fill type="solid"/>
              </v:shape>
            </v:group>
            <v:group style="position:absolute;left:6623;top:-1524;width:2;height:393" coordorigin="6623,-1524" coordsize="2,393">
              <v:shape style="position:absolute;left:6623;top:-1524;width:2;height:393" coordorigin="6623,-1524" coordsize="0,393" path="m6623,-1524l6623,-1131e" filled="false" stroked="true" strokeweight="1.140pt" strokecolor="#ffffff">
                <v:path arrowok="t"/>
              </v:shape>
            </v:group>
            <v:group style="position:absolute;left:6634;top:-1524;width:1312;height:393" coordorigin="6634,-1524" coordsize="1312,393">
              <v:shape style="position:absolute;left:6634;top:-1524;width:1312;height:393" coordorigin="6634,-1524" coordsize="1312,393" path="m6634,-1131l7946,-1131,7946,-1524,6634,-1524,6634,-1131xe" filled="true" fillcolor="#ffffff" stroked="false">
                <v:path arrowok="t"/>
                <v:fill type="solid"/>
              </v:shape>
            </v:group>
            <w10:wrap type="none"/>
          </v:group>
        </w:pict>
      </w:r>
      <w:bookmarkStart w:name="（2）重要的非全资子公司" w:id="379"/>
      <w:bookmarkEnd w:id="37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center"/>
              <w:rPr>
                <w:rFonts w:ascii="宋体" w:hAnsi="宋体" w:cs="宋体" w:eastAsia="宋体" w:hint="default"/>
                <w:sz w:val="18"/>
                <w:szCs w:val="18"/>
              </w:rPr>
            </w:pPr>
            <w:r>
              <w:rPr>
                <w:rFonts w:ascii="宋体" w:hAnsi="宋体" w:cs="宋体" w:eastAsia="宋体" w:hint="default"/>
                <w:sz w:val="18"/>
                <w:szCs w:val="18"/>
              </w:rPr>
              <w:t>印尼合纵电气有限公司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0" w:right="0"/>
              <w:jc w:val="left"/>
              <w:rPr>
                <w:rFonts w:ascii="Times New Roman" w:hAnsi="Times New Roman" w:cs="Times New Roman" w:eastAsia="Times New Roman" w:hint="default"/>
                <w:sz w:val="18"/>
                <w:szCs w:val="18"/>
              </w:rPr>
            </w:pPr>
            <w:r>
              <w:rPr>
                <w:rFonts w:ascii="Times New Roman"/>
                <w:sz w:val="18"/>
              </w:rPr>
              <w:t>-919,120.08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589,418.02</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3）重要非全资子公司的主要财务信息" w:id="380"/>
      <w:bookmarkEnd w:id="38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印尼合 纵电气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3,210,44</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8.86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271,197.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3,481,64</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2,278,75</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2.56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2,278,75</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2.56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印尼合纵电 气有限公司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-1,875,755.27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-1,959,056.08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-1,406,880.63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4）使用企业集团资产和清偿企业集团债务的重大限制" w:id="381"/>
      <w:bookmarkEnd w:id="381"/>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5）向纳入合并财务报表范围的结构化主体提供的财务支持或其他支持" w:id="382"/>
      <w:bookmarkEnd w:id="382"/>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2、在子公司的所有者权益份额发生变化且仍控制子公司的交易" w:id="383"/>
      <w:bookmarkEnd w:id="383"/>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48"/>
        <w:jc w:val="left"/>
        <w:rPr>
          <w:b w:val="0"/>
          <w:bCs w:val="0"/>
        </w:rPr>
      </w:pPr>
      <w:bookmarkStart w:name="3、在合营安排或联营企业中的权益" w:id="384"/>
      <w:bookmarkEnd w:id="384"/>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48"/>
        <w:jc w:val="left"/>
        <w:rPr>
          <w:b w:val="0"/>
          <w:bCs w:val="0"/>
        </w:rPr>
      </w:pPr>
      <w:bookmarkStart w:name="（1）重要的合营企业或联营企业" w:id="385"/>
      <w:bookmarkEnd w:id="385"/>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北京中能互联创 业投资中心（有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投资与资产管理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北京中能互联电 力投资中心（有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项目投资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贵州中能互联投 资合伙企业（有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贵州省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投资与资产管理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宁波源纵股权投 资合伙企业（有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天津市茂联科技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钴、铜及锂等系 列产品的研发、 制造、销售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line="240" w:lineRule="auto" w:before="2"/>
        <w:rPr>
          <w:rFonts w:ascii="宋体" w:hAnsi="宋体" w:cs="宋体" w:eastAsia="宋体" w:hint="default"/>
          <w:b/>
          <w:bCs/>
          <w:sz w:val="19"/>
          <w:szCs w:val="19"/>
        </w:rPr>
      </w:pPr>
    </w:p>
    <w:p>
      <w:pPr>
        <w:pStyle w:val="Heading3"/>
        <w:spacing w:line="240" w:lineRule="auto" w:before="35"/>
        <w:ind w:right="1048"/>
        <w:jc w:val="left"/>
        <w:rPr>
          <w:b w:val="0"/>
          <w:bCs w:val="0"/>
        </w:rPr>
      </w:pPr>
      <w:bookmarkStart w:name="（2）重要合营企业的主要财务信息" w:id="386"/>
      <w:bookmarkEnd w:id="386"/>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31"/>
          <w:szCs w:val="31"/>
        </w:rPr>
      </w:pPr>
    </w:p>
    <w:p>
      <w:pPr>
        <w:pStyle w:val="BodyText"/>
        <w:spacing w:line="240" w:lineRule="auto"/>
        <w:ind w:right="104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3）重要联营企业的主要财务信息" w:id="387"/>
      <w:bookmarkEnd w:id="387"/>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47"/>
        <w:gridCol w:w="956"/>
        <w:gridCol w:w="958"/>
        <w:gridCol w:w="957"/>
        <w:gridCol w:w="958"/>
        <w:gridCol w:w="956"/>
        <w:gridCol w:w="958"/>
        <w:gridCol w:w="957"/>
        <w:gridCol w:w="958"/>
        <w:gridCol w:w="956"/>
      </w:tblGrid>
      <w:tr>
        <w:trPr>
          <w:trHeight w:val="403" w:hRule="exact"/>
        </w:trPr>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5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73" w:hRule="exact"/>
        </w:trPr>
        <w:tc>
          <w:tcPr>
            <w:tcW w:w="947" w:type="dxa"/>
            <w:tcBorders>
              <w:top w:val="single" w:sz="4" w:space="0" w:color="000000"/>
              <w:left w:val="single" w:sz="4" w:space="0" w:color="000000"/>
              <w:bottom w:val="nil" w:sz="6" w:space="0" w:color="auto"/>
              <w:right w:val="single" w:sz="13" w:space="0" w:color="E0FFFF"/>
            </w:tcBorders>
            <w:shd w:val="clear" w:color="auto" w:fill="D2D2D2"/>
          </w:tcPr>
          <w:p>
            <w:pPr/>
          </w:p>
        </w:tc>
        <w:tc>
          <w:tcPr>
            <w:tcW w:w="956" w:type="dxa"/>
            <w:vMerge w:val="restart"/>
            <w:tcBorders>
              <w:top w:val="single" w:sz="4" w:space="0" w:color="000000"/>
              <w:left w:val="single" w:sz="9" w:space="0" w:color="D2D2D2"/>
              <w:right w:val="single" w:sz="4" w:space="0" w:color="000000"/>
            </w:tcBorders>
            <w:shd w:val="clear" w:color="auto" w:fill="E0FFFF"/>
          </w:tcPr>
          <w:p>
            <w:pPr>
              <w:pStyle w:val="TableParagraph"/>
              <w:spacing w:line="316" w:lineRule="auto" w:before="52"/>
              <w:ind w:left="16" w:right="23"/>
              <w:jc w:val="center"/>
              <w:rPr>
                <w:rFonts w:ascii="宋体" w:hAnsi="宋体" w:cs="宋体" w:eastAsia="宋体" w:hint="default"/>
                <w:sz w:val="18"/>
                <w:szCs w:val="18"/>
              </w:rPr>
            </w:pPr>
            <w:r>
              <w:rPr>
                <w:rFonts w:ascii="宋体" w:hAnsi="宋体" w:cs="宋体" w:eastAsia="宋体" w:hint="default"/>
                <w:sz w:val="18"/>
                <w:szCs w:val="18"/>
              </w:rPr>
              <w:t>北京中能互 联创业投资 中心（有限 合伙）</w:t>
            </w:r>
          </w:p>
        </w:tc>
        <w:tc>
          <w:tcPr>
            <w:tcW w:w="958"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北京中能互 联电力投资 中心（有限 合伙）</w:t>
            </w:r>
          </w:p>
        </w:tc>
        <w:tc>
          <w:tcPr>
            <w:tcW w:w="957"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22" w:right="22"/>
              <w:jc w:val="center"/>
              <w:rPr>
                <w:rFonts w:ascii="宋体" w:hAnsi="宋体" w:cs="宋体" w:eastAsia="宋体" w:hint="default"/>
                <w:sz w:val="18"/>
                <w:szCs w:val="18"/>
              </w:rPr>
            </w:pPr>
            <w:r>
              <w:rPr>
                <w:rFonts w:ascii="宋体" w:hAnsi="宋体" w:cs="宋体" w:eastAsia="宋体" w:hint="default"/>
                <w:sz w:val="18"/>
                <w:szCs w:val="18"/>
              </w:rPr>
              <w:t>贵州中能互 联投资合伙 企业（有限 合伙）</w:t>
            </w:r>
          </w:p>
        </w:tc>
        <w:tc>
          <w:tcPr>
            <w:tcW w:w="958"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宁波源纵股 权投资合伙 企业（有限 合伙）</w:t>
            </w:r>
          </w:p>
        </w:tc>
        <w:tc>
          <w:tcPr>
            <w:tcW w:w="956"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天津市茂联 科技有限公 司</w:t>
            </w:r>
          </w:p>
        </w:tc>
        <w:tc>
          <w:tcPr>
            <w:tcW w:w="958"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北京中能互 联创业投资 中心（有限 合伙）</w:t>
            </w:r>
          </w:p>
        </w:tc>
        <w:tc>
          <w:tcPr>
            <w:tcW w:w="957"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22" w:right="22"/>
              <w:jc w:val="center"/>
              <w:rPr>
                <w:rFonts w:ascii="宋体" w:hAnsi="宋体" w:cs="宋体" w:eastAsia="宋体" w:hint="default"/>
                <w:sz w:val="18"/>
                <w:szCs w:val="18"/>
              </w:rPr>
            </w:pPr>
            <w:r>
              <w:rPr>
                <w:rFonts w:ascii="宋体" w:hAnsi="宋体" w:cs="宋体" w:eastAsia="宋体" w:hint="default"/>
                <w:sz w:val="18"/>
                <w:szCs w:val="18"/>
              </w:rPr>
              <w:t>北京中能互 联电力投资 中心（有限 合伙）</w:t>
            </w:r>
          </w:p>
        </w:tc>
        <w:tc>
          <w:tcPr>
            <w:tcW w:w="958"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贵州中能互 联投资合伙 企业（有限 合伙）</w:t>
            </w:r>
          </w:p>
        </w:tc>
        <w:tc>
          <w:tcPr>
            <w:tcW w:w="956"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宁波源纵股 权投资合伙 企业（有限 合伙）</w:t>
            </w:r>
          </w:p>
        </w:tc>
      </w:tr>
      <w:tr>
        <w:trPr>
          <w:trHeight w:val="391" w:hRule="exact"/>
        </w:trPr>
        <w:tc>
          <w:tcPr>
            <w:tcW w:w="947" w:type="dxa"/>
            <w:tcBorders>
              <w:top w:val="nil" w:sz="6" w:space="0" w:color="auto"/>
              <w:left w:val="single" w:sz="4" w:space="0" w:color="000000"/>
              <w:bottom w:val="nil" w:sz="6" w:space="0" w:color="auto"/>
              <w:right w:val="single" w:sz="13" w:space="0" w:color="E0FFFF"/>
            </w:tcBorders>
            <w:shd w:val="clear" w:color="auto" w:fill="D2D2D2"/>
          </w:tcPr>
          <w:p>
            <w:pPr/>
          </w:p>
        </w:tc>
        <w:tc>
          <w:tcPr>
            <w:tcW w:w="956" w:type="dxa"/>
            <w:vMerge/>
            <w:tcBorders>
              <w:left w:val="single" w:sz="9" w:space="0" w:color="D2D2D2"/>
              <w:right w:val="single" w:sz="4" w:space="0" w:color="000000"/>
            </w:tcBorders>
            <w:shd w:val="clear" w:color="auto" w:fill="E0FFFF"/>
          </w:tcPr>
          <w:p>
            <w:pPr/>
          </w:p>
        </w:tc>
        <w:tc>
          <w:tcPr>
            <w:tcW w:w="958" w:type="dxa"/>
            <w:vMerge/>
            <w:tcBorders>
              <w:left w:val="single" w:sz="4" w:space="0" w:color="000000"/>
              <w:right w:val="single" w:sz="4" w:space="0" w:color="000000"/>
            </w:tcBorders>
            <w:shd w:val="clear" w:color="auto" w:fill="E0FFFF"/>
          </w:tcPr>
          <w:p>
            <w:pPr/>
          </w:p>
        </w:tc>
        <w:tc>
          <w:tcPr>
            <w:tcW w:w="957" w:type="dxa"/>
            <w:vMerge/>
            <w:tcBorders>
              <w:left w:val="single" w:sz="4" w:space="0" w:color="000000"/>
              <w:right w:val="single" w:sz="4" w:space="0" w:color="000000"/>
            </w:tcBorders>
            <w:shd w:val="clear" w:color="auto" w:fill="E0FFFF"/>
          </w:tcPr>
          <w:p>
            <w:pPr/>
          </w:p>
        </w:tc>
        <w:tc>
          <w:tcPr>
            <w:tcW w:w="958" w:type="dxa"/>
            <w:vMerge/>
            <w:tcBorders>
              <w:left w:val="single" w:sz="4" w:space="0" w:color="000000"/>
              <w:right w:val="single" w:sz="4" w:space="0" w:color="000000"/>
            </w:tcBorders>
            <w:shd w:val="clear" w:color="auto" w:fill="E0FFFF"/>
          </w:tcPr>
          <w:p>
            <w:pPr/>
          </w:p>
        </w:tc>
        <w:tc>
          <w:tcPr>
            <w:tcW w:w="956" w:type="dxa"/>
            <w:vMerge/>
            <w:tcBorders>
              <w:left w:val="single" w:sz="4" w:space="0" w:color="000000"/>
              <w:right w:val="single" w:sz="4" w:space="0" w:color="000000"/>
            </w:tcBorders>
            <w:shd w:val="clear" w:color="auto" w:fill="E0FFFF"/>
          </w:tcPr>
          <w:p>
            <w:pPr/>
          </w:p>
        </w:tc>
        <w:tc>
          <w:tcPr>
            <w:tcW w:w="958" w:type="dxa"/>
            <w:vMerge/>
            <w:tcBorders>
              <w:left w:val="single" w:sz="4" w:space="0" w:color="000000"/>
              <w:right w:val="single" w:sz="4" w:space="0" w:color="000000"/>
            </w:tcBorders>
            <w:shd w:val="clear" w:color="auto" w:fill="E0FFFF"/>
          </w:tcPr>
          <w:p>
            <w:pPr/>
          </w:p>
        </w:tc>
        <w:tc>
          <w:tcPr>
            <w:tcW w:w="957" w:type="dxa"/>
            <w:vMerge/>
            <w:tcBorders>
              <w:left w:val="single" w:sz="4" w:space="0" w:color="000000"/>
              <w:right w:val="single" w:sz="4" w:space="0" w:color="000000"/>
            </w:tcBorders>
            <w:shd w:val="clear" w:color="auto" w:fill="E0FFFF"/>
          </w:tcPr>
          <w:p>
            <w:pPr/>
          </w:p>
        </w:tc>
        <w:tc>
          <w:tcPr>
            <w:tcW w:w="958" w:type="dxa"/>
            <w:vMerge/>
            <w:tcBorders>
              <w:left w:val="single" w:sz="4" w:space="0" w:color="000000"/>
              <w:right w:val="single" w:sz="4" w:space="0" w:color="000000"/>
            </w:tcBorders>
            <w:shd w:val="clear" w:color="auto" w:fill="E0FFFF"/>
          </w:tcPr>
          <w:p>
            <w:pPr/>
          </w:p>
        </w:tc>
        <w:tc>
          <w:tcPr>
            <w:tcW w:w="956" w:type="dxa"/>
            <w:vMerge/>
            <w:tcBorders>
              <w:left w:val="single" w:sz="4" w:space="0" w:color="000000"/>
              <w:right w:val="single" w:sz="4" w:space="0" w:color="000000"/>
            </w:tcBorders>
            <w:shd w:val="clear" w:color="auto" w:fill="E0FFFF"/>
          </w:tcPr>
          <w:p>
            <w:pPr/>
          </w:p>
        </w:tc>
      </w:tr>
      <w:tr>
        <w:trPr>
          <w:trHeight w:val="473" w:hRule="exact"/>
        </w:trPr>
        <w:tc>
          <w:tcPr>
            <w:tcW w:w="947" w:type="dxa"/>
            <w:tcBorders>
              <w:top w:val="nil" w:sz="6" w:space="0" w:color="auto"/>
              <w:left w:val="single" w:sz="4" w:space="0" w:color="000000"/>
              <w:bottom w:val="single" w:sz="4" w:space="0" w:color="000000"/>
              <w:right w:val="single" w:sz="13" w:space="0" w:color="E0FFFF"/>
            </w:tcBorders>
            <w:shd w:val="clear" w:color="auto" w:fill="D2D2D2"/>
          </w:tcPr>
          <w:p>
            <w:pPr/>
          </w:p>
        </w:tc>
        <w:tc>
          <w:tcPr>
            <w:tcW w:w="956" w:type="dxa"/>
            <w:vMerge/>
            <w:tcBorders>
              <w:left w:val="single" w:sz="9" w:space="0" w:color="D2D2D2"/>
              <w:bottom w:val="single" w:sz="4" w:space="0" w:color="000000"/>
              <w:right w:val="single" w:sz="4" w:space="0" w:color="000000"/>
            </w:tcBorders>
            <w:shd w:val="clear" w:color="auto" w:fill="E0FFFF"/>
          </w:tcPr>
          <w:p>
            <w:pPr/>
          </w:p>
        </w:tc>
        <w:tc>
          <w:tcPr>
            <w:tcW w:w="958" w:type="dxa"/>
            <w:vMerge/>
            <w:tcBorders>
              <w:left w:val="single" w:sz="4" w:space="0" w:color="000000"/>
              <w:bottom w:val="single" w:sz="4" w:space="0" w:color="000000"/>
              <w:right w:val="single" w:sz="4" w:space="0" w:color="000000"/>
            </w:tcBorders>
            <w:shd w:val="clear" w:color="auto" w:fill="E0FFFF"/>
          </w:tcPr>
          <w:p>
            <w:pPr/>
          </w:p>
        </w:tc>
        <w:tc>
          <w:tcPr>
            <w:tcW w:w="957" w:type="dxa"/>
            <w:vMerge/>
            <w:tcBorders>
              <w:left w:val="single" w:sz="4" w:space="0" w:color="000000"/>
              <w:bottom w:val="single" w:sz="4" w:space="0" w:color="000000"/>
              <w:right w:val="single" w:sz="4" w:space="0" w:color="000000"/>
            </w:tcBorders>
            <w:shd w:val="clear" w:color="auto" w:fill="E0FFFF"/>
          </w:tcPr>
          <w:p>
            <w:pPr/>
          </w:p>
        </w:tc>
        <w:tc>
          <w:tcPr>
            <w:tcW w:w="958" w:type="dxa"/>
            <w:vMerge/>
            <w:tcBorders>
              <w:left w:val="single" w:sz="4" w:space="0" w:color="000000"/>
              <w:bottom w:val="single" w:sz="4" w:space="0" w:color="000000"/>
              <w:right w:val="single" w:sz="4" w:space="0" w:color="000000"/>
            </w:tcBorders>
            <w:shd w:val="clear" w:color="auto" w:fill="E0FFFF"/>
          </w:tcPr>
          <w:p>
            <w:pPr/>
          </w:p>
        </w:tc>
        <w:tc>
          <w:tcPr>
            <w:tcW w:w="956" w:type="dxa"/>
            <w:vMerge/>
            <w:tcBorders>
              <w:left w:val="single" w:sz="4" w:space="0" w:color="000000"/>
              <w:bottom w:val="single" w:sz="4" w:space="0" w:color="000000"/>
              <w:right w:val="single" w:sz="4" w:space="0" w:color="000000"/>
            </w:tcBorders>
            <w:shd w:val="clear" w:color="auto" w:fill="E0FFFF"/>
          </w:tcPr>
          <w:p>
            <w:pPr/>
          </w:p>
        </w:tc>
        <w:tc>
          <w:tcPr>
            <w:tcW w:w="958" w:type="dxa"/>
            <w:vMerge/>
            <w:tcBorders>
              <w:left w:val="single" w:sz="4" w:space="0" w:color="000000"/>
              <w:bottom w:val="single" w:sz="4" w:space="0" w:color="000000"/>
              <w:right w:val="single" w:sz="4" w:space="0" w:color="000000"/>
            </w:tcBorders>
            <w:shd w:val="clear" w:color="auto" w:fill="E0FFFF"/>
          </w:tcPr>
          <w:p>
            <w:pPr/>
          </w:p>
        </w:tc>
        <w:tc>
          <w:tcPr>
            <w:tcW w:w="957" w:type="dxa"/>
            <w:vMerge/>
            <w:tcBorders>
              <w:left w:val="single" w:sz="4" w:space="0" w:color="000000"/>
              <w:bottom w:val="single" w:sz="4" w:space="0" w:color="000000"/>
              <w:right w:val="single" w:sz="4" w:space="0" w:color="000000"/>
            </w:tcBorders>
            <w:shd w:val="clear" w:color="auto" w:fill="E0FFFF"/>
          </w:tcPr>
          <w:p>
            <w:pPr/>
          </w:p>
        </w:tc>
        <w:tc>
          <w:tcPr>
            <w:tcW w:w="958" w:type="dxa"/>
            <w:vMerge/>
            <w:tcBorders>
              <w:left w:val="single" w:sz="4" w:space="0" w:color="000000"/>
              <w:bottom w:val="single" w:sz="4" w:space="0" w:color="000000"/>
              <w:right w:val="single" w:sz="4" w:space="0" w:color="000000"/>
            </w:tcBorders>
            <w:shd w:val="clear" w:color="auto" w:fill="E0FFFF"/>
          </w:tcPr>
          <w:p>
            <w:pPr/>
          </w:p>
        </w:tc>
        <w:tc>
          <w:tcPr>
            <w:tcW w:w="956" w:type="dxa"/>
            <w:vMerge/>
            <w:tcBorders>
              <w:left w:val="single" w:sz="4" w:space="0" w:color="000000"/>
              <w:bottom w:val="single" w:sz="4" w:space="0" w:color="000000"/>
              <w:right w:val="single" w:sz="4" w:space="0" w:color="000000"/>
            </w:tcBorders>
            <w:shd w:val="clear" w:color="auto" w:fill="E0FFFF"/>
          </w:tcPr>
          <w:p>
            <w:pPr/>
          </w:p>
        </w:tc>
      </w:tr>
      <w:tr>
        <w:trPr>
          <w:trHeight w:val="162" w:hRule="exact"/>
        </w:trPr>
        <w:tc>
          <w:tcPr>
            <w:tcW w:w="947"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vMerge w:val="restart"/>
            <w:tcBorders>
              <w:top w:val="single" w:sz="4" w:space="0" w:color="000000"/>
              <w:left w:val="single" w:sz="9" w:space="0" w:color="D2D2D2"/>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39,373,745.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38,096,571.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1,221,943.6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3,146,619.0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92"/>
              <w:ind w:left="69" w:right="0"/>
              <w:jc w:val="left"/>
              <w:rPr>
                <w:rFonts w:ascii="Times New Roman" w:hAnsi="Times New Roman" w:cs="Times New Roman" w:eastAsia="Times New Roman" w:hint="default"/>
                <w:sz w:val="18"/>
                <w:szCs w:val="18"/>
              </w:rPr>
            </w:pPr>
            <w:r>
              <w:rPr>
                <w:rFonts w:ascii="Times New Roman"/>
                <w:sz w:val="18"/>
              </w:rPr>
              <w:t>1,542,855,5</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57.25</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29,362,570.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88</w:t>
            </w:r>
          </w:p>
        </w:tc>
        <w:tc>
          <w:tcPr>
            <w:tcW w:w="957"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37,677,338.</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922,112.41</w:t>
            </w: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962,903.29</w:t>
            </w:r>
          </w:p>
        </w:tc>
      </w:tr>
      <w:tr>
        <w:trPr>
          <w:trHeight w:val="391" w:hRule="exact"/>
        </w:trPr>
        <w:tc>
          <w:tcPr>
            <w:tcW w:w="9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56" w:type="dxa"/>
            <w:vMerge/>
            <w:tcBorders>
              <w:left w:val="single" w:sz="9" w:space="0" w:color="D2D2D2"/>
              <w:right w:val="single" w:sz="4" w:space="0" w:color="000000"/>
            </w:tcBorders>
          </w:tcPr>
          <w:p>
            <w:pPr/>
          </w:p>
        </w:tc>
        <w:tc>
          <w:tcPr>
            <w:tcW w:w="958"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161" w:hRule="exact"/>
        </w:trPr>
        <w:tc>
          <w:tcPr>
            <w:tcW w:w="947"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vMerge/>
            <w:tcBorders>
              <w:left w:val="single" w:sz="9" w:space="0" w:color="D2D2D2"/>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r>
      <w:tr>
        <w:trPr>
          <w:trHeight w:val="162" w:hRule="exact"/>
        </w:trPr>
        <w:tc>
          <w:tcPr>
            <w:tcW w:w="947"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vMerge w:val="restart"/>
            <w:tcBorders>
              <w:top w:val="single" w:sz="4" w:space="0" w:color="000000"/>
              <w:left w:val="single" w:sz="9" w:space="0" w:color="D2D2D2"/>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46,054,000.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7"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80,200,000.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922,384,485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.08</w:t>
            </w: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92"/>
              <w:ind w:left="69" w:right="0"/>
              <w:jc w:val="left"/>
              <w:rPr>
                <w:rFonts w:ascii="Times New Roman" w:hAnsi="Times New Roman" w:cs="Times New Roman" w:eastAsia="Times New Roman" w:hint="default"/>
                <w:sz w:val="18"/>
                <w:szCs w:val="18"/>
              </w:rPr>
            </w:pPr>
            <w:r>
              <w:rPr>
                <w:rFonts w:ascii="Times New Roman"/>
                <w:sz w:val="18"/>
              </w:rPr>
              <w:t>1,896,754,1</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25.41</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160,800,000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7"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46,054,000.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533,330,000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9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56" w:type="dxa"/>
            <w:vMerge/>
            <w:tcBorders>
              <w:left w:val="single" w:sz="9" w:space="0" w:color="D2D2D2"/>
              <w:right w:val="single" w:sz="4" w:space="0" w:color="000000"/>
            </w:tcBorders>
          </w:tcPr>
          <w:p>
            <w:pPr/>
          </w:p>
        </w:tc>
        <w:tc>
          <w:tcPr>
            <w:tcW w:w="958"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161" w:hRule="exact"/>
        </w:trPr>
        <w:tc>
          <w:tcPr>
            <w:tcW w:w="947"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vMerge/>
            <w:tcBorders>
              <w:left w:val="single" w:sz="9" w:space="0" w:color="D2D2D2"/>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r>
      <w:tr>
        <w:trPr>
          <w:trHeight w:val="403" w:hRule="exact"/>
        </w:trPr>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9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19" w:right="0"/>
              <w:jc w:val="left"/>
              <w:rPr>
                <w:rFonts w:ascii="Times New Roman" w:hAnsi="Times New Roman" w:cs="Times New Roman" w:eastAsia="Times New Roman" w:hint="default"/>
                <w:sz w:val="18"/>
                <w:szCs w:val="18"/>
              </w:rPr>
            </w:pPr>
            <w:r>
              <w:rPr>
                <w:rFonts w:ascii="Times New Roman"/>
                <w:sz w:val="18"/>
              </w:rPr>
              <w:t>119,773,745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 w:right="0"/>
              <w:jc w:val="left"/>
              <w:rPr>
                <w:rFonts w:ascii="Times New Roman" w:hAnsi="Times New Roman" w:cs="Times New Roman" w:eastAsia="Times New Roman" w:hint="default"/>
                <w:sz w:val="18"/>
                <w:szCs w:val="18"/>
              </w:rPr>
            </w:pPr>
            <w:r>
              <w:rPr>
                <w:rFonts w:ascii="Times New Roman"/>
                <w:sz w:val="18"/>
              </w:rPr>
              <w:t>84,150,571.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 w:right="0"/>
              <w:jc w:val="left"/>
              <w:rPr>
                <w:rFonts w:ascii="Times New Roman" w:hAnsi="Times New Roman" w:cs="Times New Roman" w:eastAsia="Times New Roman" w:hint="default"/>
                <w:sz w:val="18"/>
                <w:szCs w:val="18"/>
              </w:rPr>
            </w:pPr>
            <w:r>
              <w:rPr>
                <w:rFonts w:ascii="Times New Roman"/>
                <w:sz w:val="18"/>
              </w:rPr>
              <w:t>81,421,943.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Times New Roman" w:hAnsi="Times New Roman" w:cs="Times New Roman" w:eastAsia="Times New Roman" w:hint="default"/>
                <w:sz w:val="18"/>
                <w:szCs w:val="18"/>
              </w:rPr>
            </w:pPr>
            <w:r>
              <w:rPr>
                <w:rFonts w:ascii="Times New Roman"/>
                <w:sz w:val="18"/>
              </w:rPr>
              <w:t>925,531,104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 w:right="0"/>
              <w:jc w:val="left"/>
              <w:rPr>
                <w:rFonts w:ascii="Times New Roman" w:hAnsi="Times New Roman" w:cs="Times New Roman" w:eastAsia="Times New Roman" w:hint="default"/>
                <w:sz w:val="18"/>
                <w:szCs w:val="18"/>
              </w:rPr>
            </w:pPr>
            <w:r>
              <w:rPr>
                <w:rFonts w:ascii="Times New Roman"/>
                <w:sz w:val="18"/>
              </w:rPr>
              <w:t>3,439,609,6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Times New Roman" w:hAnsi="Times New Roman" w:cs="Times New Roman" w:eastAsia="Times New Roman" w:hint="default"/>
                <w:sz w:val="18"/>
                <w:szCs w:val="18"/>
              </w:rPr>
            </w:pPr>
            <w:r>
              <w:rPr>
                <w:rFonts w:ascii="Times New Roman"/>
                <w:sz w:val="18"/>
              </w:rPr>
              <w:t>109,762,570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 w:right="0"/>
              <w:jc w:val="left"/>
              <w:rPr>
                <w:rFonts w:ascii="Times New Roman" w:hAnsi="Times New Roman" w:cs="Times New Roman" w:eastAsia="Times New Roman" w:hint="default"/>
                <w:sz w:val="18"/>
                <w:szCs w:val="18"/>
              </w:rPr>
            </w:pPr>
            <w:r>
              <w:rPr>
                <w:rFonts w:ascii="Times New Roman"/>
                <w:sz w:val="18"/>
              </w:rPr>
              <w:t>83,731,338.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5" w:right="0"/>
              <w:jc w:val="left"/>
              <w:rPr>
                <w:rFonts w:ascii="Times New Roman" w:hAnsi="Times New Roman" w:cs="Times New Roman" w:eastAsia="Times New Roman" w:hint="default"/>
                <w:sz w:val="18"/>
                <w:szCs w:val="18"/>
              </w:rPr>
            </w:pPr>
            <w:r>
              <w:rPr>
                <w:rFonts w:ascii="Times New Roman"/>
                <w:sz w:val="18"/>
              </w:rPr>
              <w:t>81,122,112.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3" w:right="0"/>
              <w:jc w:val="left"/>
              <w:rPr>
                <w:rFonts w:ascii="Times New Roman" w:hAnsi="Times New Roman" w:cs="Times New Roman" w:eastAsia="Times New Roman" w:hint="default"/>
                <w:sz w:val="18"/>
                <w:szCs w:val="18"/>
              </w:rPr>
            </w:pPr>
            <w:r>
              <w:rPr>
                <w:rFonts w:ascii="Times New Roman"/>
                <w:sz w:val="18"/>
              </w:rPr>
              <w:t>534,292,903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7"/>
        <w:gridCol w:w="957"/>
        <w:gridCol w:w="958"/>
        <w:gridCol w:w="957"/>
        <w:gridCol w:w="958"/>
        <w:gridCol w:w="956"/>
        <w:gridCol w:w="958"/>
        <w:gridCol w:w="957"/>
        <w:gridCol w:w="958"/>
        <w:gridCol w:w="956"/>
      </w:tblGrid>
      <w:tr>
        <w:trPr>
          <w:trHeight w:val="362"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9" w:right="0"/>
              <w:jc w:val="left"/>
              <w:rPr>
                <w:rFonts w:ascii="Times New Roman" w:hAnsi="Times New Roman" w:cs="Times New Roman" w:eastAsia="Times New Roman" w:hint="default"/>
                <w:sz w:val="18"/>
                <w:szCs w:val="18"/>
              </w:rPr>
            </w:pPr>
            <w:r>
              <w:rPr>
                <w:rFonts w:ascii="Times New Roman"/>
                <w:sz w:val="18"/>
              </w:rPr>
              <w:t>82.66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.88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.29</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19,234.08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48,321,129.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329,067.50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1,608,683,2</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48.15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37,763,300.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73,910.37</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396,376,110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19,234.08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48,321,129.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229,829,067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2,005,059,3</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58.27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37,763,300.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73,910.37</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26,328,191.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归属于母公 司股东权益</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119,752,145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84,131,336.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33,100,813.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695,702,036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1,408,222,1</w:t>
            </w:r>
          </w:p>
          <w:p>
            <w:pPr>
              <w:pStyle w:val="TableParagraph"/>
              <w:spacing w:line="240" w:lineRule="auto" w:before="105"/>
              <w:ind w:left="525" w:right="0"/>
              <w:jc w:val="left"/>
              <w:rPr>
                <w:rFonts w:ascii="Times New Roman" w:hAnsi="Times New Roman" w:cs="Times New Roman" w:eastAsia="Times New Roman" w:hint="default"/>
                <w:sz w:val="18"/>
                <w:szCs w:val="18"/>
              </w:rPr>
            </w:pPr>
            <w:r>
              <w:rPr>
                <w:rFonts w:ascii="Times New Roman"/>
                <w:sz w:val="18"/>
              </w:rPr>
              <w:t>33.11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109,753,770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83,729,538.</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43,358,812.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534,218,992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4"/>
              <w:jc w:val="both"/>
              <w:rPr>
                <w:rFonts w:ascii="宋体" w:hAnsi="宋体" w:cs="宋体" w:eastAsia="宋体" w:hint="default"/>
                <w:sz w:val="18"/>
                <w:szCs w:val="18"/>
              </w:rPr>
            </w:pPr>
            <w:r>
              <w:rPr>
                <w:rFonts w:ascii="宋体" w:hAnsi="宋体" w:cs="宋体" w:eastAsia="宋体" w:hint="default"/>
                <w:sz w:val="18"/>
                <w:szCs w:val="18"/>
              </w:rPr>
              <w:t>按持股比例 计算的净资 产份额</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23,459,445.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19,341,794.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3,852,934.7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92,737,081.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233,624,051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24,189,731.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19,701,560.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20,066,458.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100,005,795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-3,587,558.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4,956,510.6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9,231,381.9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6,733,082.0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98,514,550.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-2,253.00</w:t>
            </w:r>
            <w:r>
              <w:rPr>
                <w:rFonts w:ascii="Times New Roman"/>
                <w:sz w:val="18"/>
              </w:rPr>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-16,778.49</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-6,806,862.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-5,795.47</w:t>
            </w:r>
            <w:r>
              <w:rPr>
                <w:rFonts w:ascii="Times New Roman"/>
                <w:sz w:val="18"/>
              </w:rPr>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98,514,550.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-3,587,558.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4,956,510.6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9,231,381.9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6,733,082.0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-2,253.00</w:t>
            </w:r>
            <w:r>
              <w:rPr>
                <w:rFonts w:ascii="Times New Roman"/>
                <w:sz w:val="18"/>
              </w:rPr>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-16,778.49</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-6,806,862.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-5,795.47</w:t>
            </w:r>
            <w:r>
              <w:rPr>
                <w:rFonts w:ascii="Times New Roman"/>
                <w:sz w:val="18"/>
              </w:rPr>
            </w: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4"/>
              <w:jc w:val="both"/>
              <w:rPr>
                <w:rFonts w:ascii="宋体" w:hAnsi="宋体" w:cs="宋体" w:eastAsia="宋体" w:hint="default"/>
                <w:sz w:val="18"/>
                <w:szCs w:val="18"/>
              </w:rPr>
            </w:pPr>
            <w:r>
              <w:rPr>
                <w:rFonts w:ascii="宋体" w:hAnsi="宋体" w:cs="宋体" w:eastAsia="宋体" w:hint="default"/>
                <w:sz w:val="18"/>
                <w:szCs w:val="18"/>
              </w:rPr>
              <w:t>对联营企业 权益投资的 账面价值</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19,871,886.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24,298,304.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13,084,316.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99,470,163.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332,138,602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24,187,478.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19,684,781.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13,259,596.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-1,625.37</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419,232.89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-1,950.87</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-2,701,638.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6,454,403.4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-2,174,187.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-1,339,643.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-303,379.08</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-111,007.08</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-31,741,665</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-1,625.37</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419,232.89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-1,950.87</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-2,701,638.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-25,287,262</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4）不重要的合营企业和联营企业的汇总财务信息" w:id="388"/>
      <w:bookmarkEnd w:id="388"/>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48"/>
        <w:jc w:val="left"/>
        <w:rPr>
          <w:b w:val="0"/>
          <w:bCs w:val="0"/>
        </w:rPr>
      </w:pPr>
      <w:bookmarkStart w:name="（5）合营企业或联营企业向本公司转移资金的能力存在重大限制的说明" w:id="389"/>
      <w:bookmarkEnd w:id="389"/>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6）合营企业或联营企业发生的超额亏损" w:id="390"/>
      <w:bookmarkEnd w:id="390"/>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7）与合营企业投资相关的未确认承诺" w:id="391"/>
      <w:bookmarkEnd w:id="391"/>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048"/>
        <w:jc w:val="left"/>
        <w:rPr>
          <w:b w:val="0"/>
          <w:bCs w:val="0"/>
        </w:rPr>
      </w:pPr>
      <w:bookmarkStart w:name="（8）与合营企业或联营企业投资相关的或有负债" w:id="392"/>
      <w:bookmarkEnd w:id="392"/>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048"/>
        <w:jc w:val="left"/>
        <w:rPr>
          <w:b w:val="0"/>
          <w:bCs w:val="0"/>
        </w:rPr>
      </w:pPr>
      <w:bookmarkStart w:name="4、重要的共同经营" w:id="393"/>
      <w:bookmarkEnd w:id="393"/>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048"/>
        <w:jc w:val="left"/>
        <w:rPr>
          <w:b w:val="0"/>
          <w:bCs w:val="0"/>
        </w:rPr>
      </w:pPr>
      <w:bookmarkStart w:name="5、在未纳入合并财务报表范围的结构化主体中的权益" w:id="394"/>
      <w:bookmarkEnd w:id="394"/>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048"/>
        <w:jc w:val="left"/>
        <w:rPr>
          <w:b w:val="0"/>
          <w:bCs w:val="0"/>
        </w:rPr>
      </w:pPr>
      <w:bookmarkStart w:name="6、其他" w:id="395"/>
      <w:bookmarkEnd w:id="395"/>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1048"/>
        <w:jc w:val="left"/>
        <w:rPr>
          <w:b w:val="0"/>
          <w:bCs w:val="0"/>
        </w:rPr>
      </w:pPr>
      <w:bookmarkStart w:name="十、与金融工具相关的风险" w:id="396"/>
      <w:bookmarkEnd w:id="396"/>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48" w:firstLine="420"/>
        <w:jc w:val="left"/>
      </w:pPr>
      <w:r>
        <w:rPr/>
        <w:t>本公司的主要金融工具包括应收账款、应付账款等。这些金融工具的主要目的在于为本公司的运营融资。本公司具有 多种因经营而直接产生的其他金融资产和负债，如应收账款和应付账款等。</w:t>
      </w:r>
    </w:p>
    <w:p>
      <w:pPr>
        <w:pStyle w:val="BodyText"/>
        <w:spacing w:line="240" w:lineRule="auto" w:before="139"/>
        <w:ind w:left="574" w:right="1048"/>
        <w:jc w:val="left"/>
      </w:pPr>
      <w:r>
        <w:rPr/>
        <w:t>本公司的金融工具导致的主要风险是信用风险、流动风险及市场风险。</w:t>
      </w:r>
    </w:p>
    <w:p>
      <w:pPr>
        <w:pStyle w:val="BodyText"/>
        <w:spacing w:line="430" w:lineRule="atLeast" w:before="2"/>
        <w:ind w:left="574" w:right="1048"/>
        <w:jc w:val="left"/>
      </w:pPr>
      <w:r>
        <w:rPr/>
        <w:t>（一）信用风险 信用风险指金融工具的一方不履行义务，造成另一方发生财务损失的风险，截至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日，可能引起本公司财</w:t>
      </w:r>
    </w:p>
    <w:p>
      <w:pPr>
        <w:pStyle w:val="BodyText"/>
        <w:spacing w:line="240" w:lineRule="auto" w:before="76"/>
        <w:ind w:right="1048"/>
        <w:jc w:val="left"/>
      </w:pPr>
      <w:r>
        <w:rPr/>
        <w:t>务损失的最大信用风险敞口主要来自于合同另一方未能履行义务而导致本公司金融资产产生的损失。</w:t>
      </w:r>
    </w:p>
    <w:p>
      <w:pPr>
        <w:spacing w:line="240" w:lineRule="auto" w:before="0"/>
        <w:rPr>
          <w:rFonts w:ascii="宋体" w:hAnsi="宋体" w:cs="宋体" w:eastAsia="宋体" w:hint="default"/>
          <w:sz w:val="15"/>
          <w:szCs w:val="15"/>
        </w:rPr>
      </w:pPr>
    </w:p>
    <w:p>
      <w:pPr>
        <w:pStyle w:val="BodyText"/>
        <w:spacing w:line="316" w:lineRule="auto"/>
        <w:ind w:right="1048" w:firstLine="420"/>
        <w:jc w:val="left"/>
      </w:pPr>
      <w:r>
        <w:rPr/>
        <w:t>本公司的交易对象，多为信誉良好的大型公司，同时为降低信用风险，本公司建立了信用审批机制，对所有客户进行 </w:t>
      </w:r>
      <w:r>
        <w:rPr>
          <w:spacing w:val="-4"/>
        </w:rPr>
        <w:t>信用评级。此外，本公司于每个资产负债表日对应收款的回收情况进行审核，以确保就无法回收的款项计提充分的坏账准备。</w:t>
      </w:r>
      <w:r>
        <w:rPr>
          <w:spacing w:val="-43"/>
        </w:rPr>
        <w:t> </w:t>
      </w:r>
      <w:r>
        <w:rPr>
          <w:spacing w:val="-43"/>
        </w:rPr>
      </w:r>
      <w:r>
        <w:rPr/>
        <w:t>因此，本公司管理层认为本公司所承担的信用风险已经大为降低。</w:t>
      </w:r>
    </w:p>
    <w:p>
      <w:pPr>
        <w:pStyle w:val="BodyText"/>
        <w:spacing w:line="240" w:lineRule="auto" w:before="139"/>
        <w:ind w:left="574" w:right="1048"/>
        <w:jc w:val="left"/>
      </w:pPr>
      <w:r>
        <w:rPr/>
        <w:t>本公司的流动资金存放在信用评级较高的银行，故流动资金的信用风险较低。</w:t>
      </w:r>
    </w:p>
    <w:p>
      <w:pPr>
        <w:pStyle w:val="BodyText"/>
        <w:spacing w:line="430" w:lineRule="atLeast" w:before="2"/>
        <w:ind w:left="574" w:right="1048"/>
        <w:jc w:val="left"/>
      </w:pPr>
      <w:r>
        <w:rPr/>
        <w:t>（二）流动风险 流动风险是指企业在履行以交付现金或其他金融资产的方式结算的义务时发生资金短缺的风险。管理流动风险时，本</w:t>
      </w:r>
    </w:p>
    <w:p>
      <w:pPr>
        <w:pStyle w:val="BodyText"/>
        <w:spacing w:line="240" w:lineRule="auto" w:before="76"/>
        <w:ind w:right="1048"/>
        <w:jc w:val="left"/>
      </w:pPr>
      <w:r>
        <w:rPr/>
        <w:t>公司保持管理层认为充分的现金及现金等价物并对其进行监控，以满足本公司经营需要，并降低现金流量波动的影响。</w:t>
      </w:r>
    </w:p>
    <w:p>
      <w:pPr>
        <w:spacing w:line="240" w:lineRule="auto" w:before="0"/>
        <w:rPr>
          <w:rFonts w:ascii="宋体" w:hAnsi="宋体" w:cs="宋体" w:eastAsia="宋体" w:hint="default"/>
          <w:sz w:val="15"/>
          <w:szCs w:val="15"/>
        </w:rPr>
      </w:pPr>
    </w:p>
    <w:p>
      <w:pPr>
        <w:pStyle w:val="BodyText"/>
        <w:spacing w:line="240" w:lineRule="auto"/>
        <w:ind w:left="574" w:right="1048"/>
        <w:jc w:val="left"/>
      </w:pPr>
      <w:r>
        <w:rPr/>
        <w:t>（三）市场风险</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48" w:firstLine="420"/>
        <w:jc w:val="left"/>
      </w:pPr>
      <w:r>
        <w:rPr>
          <w:spacing w:val="-2"/>
        </w:rPr>
        <w:t>市场风险，是指金融工具的公允价值或未来现金流量因市场价格变动而发生波动的风险。市场风险主要包括利率风险、</w:t>
      </w:r>
      <w:r>
        <w:rPr/>
        <w:t> 外汇风险。</w:t>
      </w:r>
    </w:p>
    <w:p>
      <w:pPr>
        <w:pStyle w:val="BodyText"/>
        <w:spacing w:line="441" w:lineRule="auto" w:before="139"/>
        <w:ind w:left="574" w:right="2142"/>
        <w:jc w:val="left"/>
      </w:pPr>
      <w:r>
        <w:rPr/>
        <w:t>（</w:t>
      </w:r>
      <w:r>
        <w:rPr>
          <w:rFonts w:ascii="宋体" w:hAnsi="宋体" w:cs="宋体" w:eastAsia="宋体" w:hint="default"/>
        </w:rPr>
        <w:t>1</w:t>
      </w:r>
      <w:r>
        <w:rPr/>
        <w:t>）利率风险 截至报告期末，本公司结存短期借款</w:t>
      </w:r>
      <w:r>
        <w:rPr>
          <w:rFonts w:ascii="宋体" w:hAnsi="宋体" w:cs="宋体" w:eastAsia="宋体" w:hint="default"/>
        </w:rPr>
        <w:t>1,063,499,715.00</w:t>
      </w:r>
      <w:r>
        <w:rPr/>
        <w:t>元，长期借款</w:t>
      </w:r>
      <w:r>
        <w:rPr>
          <w:rFonts w:ascii="宋体" w:hAnsi="宋体" w:cs="宋体" w:eastAsia="宋体" w:hint="default"/>
        </w:rPr>
        <w:t>40,676,232.49</w:t>
      </w:r>
      <w:r>
        <w:rPr/>
        <w:t>元，存在利率风险。</w:t>
      </w:r>
    </w:p>
    <w:p>
      <w:pPr>
        <w:pStyle w:val="BodyText"/>
        <w:spacing w:line="439" w:lineRule="auto" w:before="45"/>
        <w:ind w:left="574" w:right="3672"/>
        <w:jc w:val="left"/>
      </w:pPr>
      <w:r>
        <w:rPr/>
        <w:t>（</w:t>
      </w:r>
      <w:r>
        <w:rPr>
          <w:rFonts w:ascii="宋体" w:hAnsi="宋体" w:cs="宋体" w:eastAsia="宋体" w:hint="default"/>
        </w:rPr>
        <w:t>2</w:t>
      </w:r>
      <w:r>
        <w:rPr/>
        <w:t>）外汇风险 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日，本公司结存外币存款及短期借款，存在一定的汇率波动风险。</w:t>
      </w:r>
    </w:p>
    <w:p>
      <w:pPr>
        <w:spacing w:line="240" w:lineRule="auto" w:before="10"/>
        <w:rPr>
          <w:rFonts w:ascii="宋体" w:hAnsi="宋体" w:cs="宋体" w:eastAsia="宋体" w:hint="default"/>
          <w:sz w:val="13"/>
          <w:szCs w:val="13"/>
        </w:rPr>
      </w:pPr>
    </w:p>
    <w:p>
      <w:pPr>
        <w:spacing w:line="506" w:lineRule="auto" w:before="0"/>
        <w:ind w:left="154" w:right="6286" w:firstLine="0"/>
        <w:jc w:val="left"/>
        <w:rPr>
          <w:rFonts w:ascii="宋体" w:hAnsi="宋体" w:cs="宋体" w:eastAsia="宋体" w:hint="default"/>
          <w:sz w:val="18"/>
          <w:szCs w:val="18"/>
        </w:rPr>
      </w:pPr>
      <w:bookmarkStart w:name="十一、公允价值的披露" w:id="397"/>
      <w:bookmarkEnd w:id="397"/>
      <w:r>
        <w:rPr/>
      </w:r>
      <w:r>
        <w:rPr>
          <w:rFonts w:ascii="宋体" w:hAnsi="宋体" w:cs="宋体" w:eastAsia="宋体" w:hint="default"/>
          <w:b/>
          <w:bCs/>
          <w:sz w:val="24"/>
          <w:szCs w:val="24"/>
        </w:rPr>
        <w:t>十一、公允价值的披露</w:t>
      </w:r>
      <w:r>
        <w:rPr>
          <w:rFonts w:ascii="宋体" w:hAnsi="宋体" w:cs="宋体" w:eastAsia="宋体" w:hint="default"/>
          <w:b/>
          <w:bCs/>
          <w:w w:val="99"/>
          <w:sz w:val="24"/>
          <w:szCs w:val="24"/>
        </w:rPr>
        <w:t> </w:t>
      </w:r>
      <w:bookmarkStart w:name="1、以公允价值计量的资产和负债的期末公允价值" w:id="398"/>
      <w:bookmarkEnd w:id="398"/>
      <w:r>
        <w:rPr>
          <w:rFonts w:ascii="宋体" w:hAnsi="宋体" w:cs="宋体" w:eastAsia="宋体" w:hint="default"/>
          <w:b/>
          <w:bCs/>
          <w:w w:val="99"/>
          <w:sz w:val="24"/>
          <w:szCs w:val="24"/>
        </w:rPr>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、以公允价值计量的资产和负债的期末公允价值 </w:t>
      </w:r>
      <w:r>
        <w:rPr>
          <w:rFonts w:ascii="宋体" w:hAnsi="宋体" w:cs="宋体" w:eastAsia="宋体" w:hint="default"/>
          <w:b/>
          <w:bCs/>
          <w:spacing w:val="20"/>
          <w:w w:val="95"/>
          <w:sz w:val="21"/>
          <w:szCs w:val="21"/>
        </w:rPr>
        <w:t> </w:t>
      </w:r>
      <w:r>
        <w:rPr>
          <w:rFonts w:ascii="宋体" w:hAnsi="宋体" w:cs="宋体" w:eastAsia="宋体" w:hint="default"/>
          <w:b/>
          <w:bCs/>
          <w:spacing w:val="20"/>
          <w:w w:val="95"/>
          <w:sz w:val="21"/>
          <w:szCs w:val="21"/>
        </w:rPr>
      </w:r>
      <w:r>
        <w:rPr>
          <w:rFonts w:ascii="宋体" w:hAnsi="宋体" w:cs="宋体" w:eastAsia="宋体" w:hint="default"/>
          <w:sz w:val="18"/>
          <w:szCs w:val="18"/>
        </w:rPr>
        <w:t>无</w:t>
      </w:r>
    </w:p>
    <w:p>
      <w:pPr>
        <w:pStyle w:val="Heading2"/>
        <w:spacing w:line="240" w:lineRule="auto" w:before="127"/>
        <w:ind w:right="1048"/>
        <w:jc w:val="left"/>
        <w:rPr>
          <w:b w:val="0"/>
          <w:bCs w:val="0"/>
        </w:rPr>
      </w:pPr>
      <w:bookmarkStart w:name="十二、关联方及关联交易" w:id="399"/>
      <w:bookmarkEnd w:id="399"/>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8"/>
        <w:jc w:val="left"/>
        <w:rPr>
          <w:b w:val="0"/>
          <w:bCs w:val="0"/>
        </w:rPr>
      </w:pPr>
      <w:bookmarkStart w:name="1、本企业的母公司情况" w:id="400"/>
      <w:bookmarkEnd w:id="400"/>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048"/>
        <w:jc w:val="left"/>
        <w:rPr>
          <w:b w:val="0"/>
          <w:bCs w:val="0"/>
        </w:rPr>
      </w:pPr>
      <w:bookmarkStart w:name="2、本企业的子公司情况" w:id="401"/>
      <w:bookmarkEnd w:id="401"/>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本企业子公司的情况详见附注八</w:t>
      </w:r>
      <w:r>
        <w:rPr>
          <w:spacing w:val="-90"/>
        </w:rPr>
        <w:t>、</w:t>
      </w:r>
      <w:r>
        <w:rPr/>
        <w:t>（一）在子公司中的权益。</w:t>
      </w:r>
    </w:p>
    <w:p>
      <w:pPr>
        <w:spacing w:line="240" w:lineRule="auto" w:before="11"/>
        <w:rPr>
          <w:rFonts w:ascii="宋体" w:hAnsi="宋体" w:cs="宋体" w:eastAsia="宋体" w:hint="default"/>
          <w:sz w:val="26"/>
          <w:szCs w:val="26"/>
        </w:rPr>
      </w:pPr>
    </w:p>
    <w:p>
      <w:pPr>
        <w:pStyle w:val="Heading3"/>
        <w:spacing w:line="240" w:lineRule="auto"/>
        <w:ind w:right="1048"/>
        <w:jc w:val="left"/>
        <w:rPr>
          <w:b w:val="0"/>
          <w:bCs w:val="0"/>
        </w:rPr>
      </w:pPr>
      <w:bookmarkStart w:name="3、本企业合营和联营企业情况" w:id="402"/>
      <w:bookmarkEnd w:id="402"/>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本企业重要的合营或联营企业详见附注八</w:t>
      </w:r>
      <w:r>
        <w:rPr>
          <w:spacing w:val="-90"/>
        </w:rPr>
        <w:t>、</w:t>
      </w:r>
      <w:r>
        <w:rPr/>
        <w:t>（二）在联营企业中的权益。</w:t>
      </w:r>
    </w:p>
    <w:p>
      <w:pPr>
        <w:spacing w:line="240" w:lineRule="auto" w:before="11"/>
        <w:rPr>
          <w:rFonts w:ascii="宋体" w:hAnsi="宋体" w:cs="宋体" w:eastAsia="宋体" w:hint="default"/>
          <w:sz w:val="26"/>
          <w:szCs w:val="26"/>
        </w:rPr>
      </w:pPr>
    </w:p>
    <w:p>
      <w:pPr>
        <w:pStyle w:val="Heading3"/>
        <w:spacing w:line="240" w:lineRule="auto"/>
        <w:ind w:right="1048"/>
        <w:jc w:val="left"/>
        <w:rPr>
          <w:b w:val="0"/>
          <w:bCs w:val="0"/>
        </w:rPr>
      </w:pPr>
      <w:bookmarkStart w:name="4、其他关联方情况" w:id="403"/>
      <w:bookmarkEnd w:id="40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韩国良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90"/>
                <w:sz w:val="18"/>
                <w:szCs w:val="18"/>
              </w:rPr>
              <w:t>、</w:t>
            </w: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刘卫东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王小鑫</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张全中</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冯峥</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张晓屹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r>
    </w:tbl>
    <w:p>
      <w:pPr>
        <w:pStyle w:val="BodyText"/>
        <w:spacing w:line="240" w:lineRule="auto" w:before="51"/>
        <w:ind w:right="104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48"/>
        <w:jc w:val="left"/>
        <w:rPr>
          <w:b w:val="0"/>
          <w:bCs w:val="0"/>
        </w:rPr>
      </w:pPr>
      <w:bookmarkStart w:name="5、关联交易情况" w:id="404"/>
      <w:bookmarkEnd w:id="40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48"/>
        <w:jc w:val="left"/>
        <w:rPr>
          <w:b w:val="0"/>
          <w:bCs w:val="0"/>
        </w:rPr>
      </w:pPr>
      <w:bookmarkStart w:name="（1）购销商品、提供和接受劳务的关联交易" w:id="405"/>
      <w:bookmarkEnd w:id="40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48"/>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天津市茂联科技有 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4,672,000.00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2）关联受托管理/承包及委托管理/出包情况" w:id="406"/>
      <w:bookmarkEnd w:id="406"/>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3）关联租赁情况" w:id="407"/>
      <w:bookmarkEnd w:id="407"/>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4）关联担保情况" w:id="408"/>
      <w:bookmarkEnd w:id="408"/>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48"/>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天津市茂联科技有限公 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48"/>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刘泽刚、周敏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048"/>
        <w:jc w:val="left"/>
      </w:pPr>
      <w:r>
        <w:rPr/>
        <w:t>关联担保情况说明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48"/>
        <w:jc w:val="left"/>
        <w:rPr>
          <w:b w:val="0"/>
          <w:bCs w:val="0"/>
        </w:rPr>
      </w:pPr>
      <w:bookmarkStart w:name="（5）关联方资金拆借" w:id="409"/>
      <w:bookmarkEnd w:id="409"/>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6）关联方资产转让、债务重组情况" w:id="410"/>
      <w:bookmarkEnd w:id="410"/>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7）关键管理人员报酬" w:id="411"/>
      <w:bookmarkEnd w:id="411"/>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5,401,600.00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5,192,000.00</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8）其他关联交易" w:id="412"/>
      <w:bookmarkEnd w:id="412"/>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48"/>
        <w:jc w:val="left"/>
        <w:rPr>
          <w:b w:val="0"/>
          <w:bCs w:val="0"/>
        </w:rPr>
      </w:pPr>
      <w:bookmarkStart w:name="6、关联方应收应付款项" w:id="413"/>
      <w:bookmarkEnd w:id="413"/>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48"/>
        <w:jc w:val="left"/>
        <w:rPr>
          <w:b w:val="0"/>
          <w:bCs w:val="0"/>
        </w:rPr>
      </w:pPr>
      <w:bookmarkStart w:name="（1）应收项目" w:id="414"/>
      <w:bookmarkEnd w:id="41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天津市茂联科技有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7" w:right="0"/>
              <w:jc w:val="left"/>
              <w:rPr>
                <w:rFonts w:ascii="Times New Roman" w:hAnsi="Times New Roman" w:cs="Times New Roman" w:eastAsia="Times New Roman" w:hint="default"/>
                <w:sz w:val="18"/>
                <w:szCs w:val="18"/>
              </w:rPr>
            </w:pPr>
            <w:r>
              <w:rPr>
                <w:rFonts w:ascii="Times New Roman"/>
                <w:sz w:val="18"/>
              </w:rPr>
              <w:t>135,174,059.31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2）应付项目" w:id="415"/>
      <w:bookmarkEnd w:id="41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48"/>
        <w:jc w:val="left"/>
        <w:rPr>
          <w:rFonts w:ascii="宋体" w:hAnsi="宋体" w:cs="宋体" w:eastAsia="宋体" w:hint="default"/>
          <w:b w:val="0"/>
          <w:bCs w:val="0"/>
          <w:sz w:val="18"/>
          <w:szCs w:val="18"/>
        </w:rPr>
      </w:pPr>
      <w:bookmarkStart w:name="7、关联方承诺：无" w:id="416"/>
      <w:bookmarkEnd w:id="416"/>
      <w:r>
        <w:rPr>
          <w:b w:val="0"/>
          <w:bCs w:val="0"/>
        </w:rPr>
      </w:r>
      <w:r>
        <w:rPr>
          <w:rFonts w:ascii="Times New Roman" w:hAnsi="Times New Roman" w:cs="Times New Roman" w:eastAsia="Times New Roman" w:hint="default"/>
        </w:rPr>
        <w:t>7</w:t>
      </w:r>
      <w:r>
        <w:rPr/>
        <w:t>、关联方承诺：</w:t>
      </w:r>
      <w:r>
        <w:rPr>
          <w:rFonts w:ascii="宋体" w:hAnsi="宋体" w:cs="宋体" w:eastAsia="宋体" w:hint="default"/>
          <w:b w:val="0"/>
          <w:bCs w:val="0"/>
          <w:sz w:val="18"/>
          <w:szCs w:val="18"/>
        </w:rPr>
        <w:t>无</w:t>
      </w:r>
    </w:p>
    <w:p>
      <w:pPr>
        <w:spacing w:line="240" w:lineRule="auto" w:before="10"/>
        <w:rPr>
          <w:rFonts w:ascii="宋体" w:hAnsi="宋体" w:cs="宋体" w:eastAsia="宋体" w:hint="default"/>
          <w:sz w:val="24"/>
          <w:szCs w:val="24"/>
        </w:rPr>
      </w:pPr>
    </w:p>
    <w:p>
      <w:pPr>
        <w:spacing w:line="487" w:lineRule="auto" w:before="0"/>
        <w:ind w:left="154" w:right="8750" w:firstLine="0"/>
        <w:jc w:val="left"/>
        <w:rPr>
          <w:rFonts w:ascii="宋体" w:hAnsi="宋体" w:cs="宋体" w:eastAsia="宋体" w:hint="default"/>
          <w:sz w:val="21"/>
          <w:szCs w:val="21"/>
        </w:rPr>
      </w:pPr>
      <w:bookmarkStart w:name="8、其他：无" w:id="417"/>
      <w:bookmarkEnd w:id="41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sz w:val="18"/>
          <w:szCs w:val="18"/>
        </w:rPr>
        <w:t>无 </w:t>
      </w:r>
      <w:bookmarkStart w:name="十三、股份支付" w:id="418"/>
      <w:bookmarkEnd w:id="418"/>
      <w:r>
        <w:rPr>
          <w:rFonts w:ascii="宋体" w:hAnsi="宋体" w:cs="宋体" w:eastAsia="宋体" w:hint="default"/>
          <w:sz w:val="18"/>
          <w:szCs w:val="18"/>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19"/>
      <w:bookmarkEnd w:id="41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9"/>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48"/>
        <w:jc w:val="left"/>
        <w:rPr>
          <w:b w:val="0"/>
          <w:bCs w:val="0"/>
        </w:rPr>
      </w:pPr>
      <w:bookmarkStart w:name="2、以权益结算的股份支付情况" w:id="420"/>
      <w:bookmarkEnd w:id="42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48"/>
        <w:jc w:val="left"/>
        <w:rPr>
          <w:b w:val="0"/>
          <w:bCs w:val="0"/>
        </w:rPr>
      </w:pPr>
      <w:bookmarkStart w:name="3、以现金结算的股份支付情况" w:id="421"/>
      <w:bookmarkEnd w:id="42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line="544" w:lineRule="auto" w:before="0"/>
        <w:ind w:left="154" w:right="79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22"/>
      <w:bookmarkEnd w:id="422"/>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23"/>
        <w:ind w:right="1048"/>
        <w:jc w:val="left"/>
        <w:rPr>
          <w:b w:val="0"/>
          <w:bCs w:val="0"/>
        </w:rPr>
      </w:pPr>
      <w:bookmarkStart w:name="5、其他" w:id="423"/>
      <w:bookmarkEnd w:id="423"/>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574" w:right="1048"/>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日，本公司无需要披露的承诺及或有事项。</w:t>
      </w:r>
    </w:p>
    <w:p>
      <w:pPr>
        <w:spacing w:line="240" w:lineRule="auto" w:before="12"/>
        <w:rPr>
          <w:rFonts w:ascii="宋体" w:hAnsi="宋体" w:cs="宋体" w:eastAsia="宋体" w:hint="default"/>
          <w:sz w:val="22"/>
          <w:szCs w:val="22"/>
        </w:rPr>
      </w:pPr>
    </w:p>
    <w:p>
      <w:pPr>
        <w:spacing w:line="506" w:lineRule="auto" w:before="0"/>
        <w:ind w:left="154" w:right="8052" w:firstLine="0"/>
        <w:jc w:val="left"/>
        <w:rPr>
          <w:rFonts w:ascii="宋体" w:hAnsi="宋体" w:cs="宋体" w:eastAsia="宋体" w:hint="default"/>
          <w:sz w:val="18"/>
          <w:szCs w:val="18"/>
        </w:rPr>
      </w:pPr>
      <w:bookmarkStart w:name="十四、承诺及或有事项" w:id="424"/>
      <w:bookmarkEnd w:id="424"/>
      <w:r>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25"/>
      <w:bookmarkEnd w:id="42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资产负债表日存在的重要承诺：无</w:t>
      </w:r>
    </w:p>
    <w:p>
      <w:pPr>
        <w:pStyle w:val="Heading3"/>
        <w:spacing w:line="240" w:lineRule="auto" w:before="151"/>
        <w:ind w:right="1048"/>
        <w:jc w:val="left"/>
        <w:rPr>
          <w:b w:val="0"/>
          <w:bCs w:val="0"/>
        </w:rPr>
      </w:pPr>
      <w:bookmarkStart w:name="2、或有事项" w:id="426"/>
      <w:bookmarkEnd w:id="42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3、其他：无" w:id="427"/>
      <w:bookmarkEnd w:id="42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18"/>
          <w:szCs w:val="18"/>
        </w:rPr>
        <w:t>：无 </w:t>
      </w:r>
      <w:bookmarkStart w:name="十五、资产负债表日后事项" w:id="428"/>
      <w:bookmarkEnd w:id="428"/>
      <w:r>
        <w:rPr>
          <w:rFonts w:ascii="宋体" w:hAnsi="宋体" w:cs="宋体" w:eastAsia="宋体" w:hint="default"/>
          <w:sz w:val="18"/>
          <w:szCs w:val="18"/>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bookmarkStart w:name="1、重要的非调整事项" w:id="429"/>
      <w:bookmarkEnd w:id="429"/>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319" w:lineRule="auto" w:before="107"/>
        <w:ind w:right="1040" w:firstLine="360"/>
        <w:jc w:val="both"/>
      </w:pPr>
      <w:r>
        <w:rPr>
          <w:rFonts w:ascii="Times New Roman" w:hAnsi="Times New Roman" w:cs="Times New Roman" w:eastAsia="Times New Roman" w:hint="default"/>
        </w:rPr>
        <w:t>1.</w:t>
      </w:r>
      <w:r>
        <w:rPr/>
        <w:t>本公司之子公司湖南雅城业绩承诺期结束，根据业绩承诺条款，当湖南雅城在业绩承诺期内实现的净利润总额高于业 绩承诺净利润的</w:t>
      </w:r>
      <w:r>
        <w:rPr>
          <w:spacing w:val="-46"/>
        </w:rPr>
        <w:t> </w:t>
      </w:r>
      <w:r>
        <w:rPr>
          <w:rFonts w:ascii="Times New Roman" w:hAnsi="Times New Roman" w:cs="Times New Roman" w:eastAsia="Times New Roman" w:hint="default"/>
        </w:rPr>
        <w:t>105%</w:t>
      </w:r>
      <w:r>
        <w:rPr/>
        <w:t>时，将超出承诺净利润部分的</w:t>
      </w:r>
      <w:r>
        <w:rPr>
          <w:spacing w:val="-46"/>
        </w:rPr>
        <w:t> </w:t>
      </w:r>
      <w:r>
        <w:rPr>
          <w:rFonts w:ascii="Times New Roman" w:hAnsi="Times New Roman" w:cs="Times New Roman" w:eastAsia="Times New Roman" w:hint="default"/>
        </w:rPr>
        <w:t>35%</w:t>
      </w:r>
      <w:r>
        <w:rPr/>
        <w:t>以现金方式对业绩承诺方、湖南雅城管理层及骨干进行业绩奖励。 截至</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spacing w:val="-7"/>
        </w:rPr>
        <w:t>日，湖南雅城累计实现扣非净利润</w:t>
      </w:r>
      <w:r>
        <w:rPr>
          <w:spacing w:val="-55"/>
        </w:rPr>
        <w:t> </w:t>
      </w:r>
      <w:r>
        <w:rPr>
          <w:rFonts w:ascii="Times New Roman" w:hAnsi="Times New Roman" w:cs="Times New Roman" w:eastAsia="Times New Roman" w:hint="default"/>
          <w:spacing w:val="-1"/>
        </w:rPr>
        <w:t>16,852.83</w:t>
      </w:r>
      <w:r>
        <w:rPr>
          <w:rFonts w:ascii="Times New Roman" w:hAnsi="Times New Roman" w:cs="Times New Roman" w:eastAsia="Times New Roman" w:hint="default"/>
          <w:spacing w:val="-10"/>
        </w:rPr>
        <w:t> </w:t>
      </w:r>
      <w:r>
        <w:rPr>
          <w:spacing w:val="-8"/>
        </w:rPr>
        <w:t>万元，超过承诺扣非净利润</w:t>
      </w:r>
      <w:r>
        <w:rPr>
          <w:spacing w:val="-55"/>
        </w:rPr>
        <w:t> </w:t>
      </w:r>
      <w:r>
        <w:rPr>
          <w:rFonts w:ascii="Times New Roman" w:hAnsi="Times New Roman" w:cs="Times New Roman" w:eastAsia="Times New Roman" w:hint="default"/>
          <w:spacing w:val="-1"/>
        </w:rPr>
        <w:t>15,595.00</w:t>
      </w:r>
      <w:r>
        <w:rPr>
          <w:rFonts w:ascii="Times New Roman" w:hAnsi="Times New Roman" w:cs="Times New Roman" w:eastAsia="Times New Roman" w:hint="default"/>
          <w:spacing w:val="-12"/>
        </w:rPr>
        <w:t> </w:t>
      </w:r>
      <w:r>
        <w:rPr>
          <w:spacing w:val="-15"/>
        </w:rPr>
        <w:t>万元，完成率</w:t>
      </w:r>
      <w:r>
        <w:rPr>
          <w:spacing w:val="-55"/>
        </w:rPr>
        <w:t> </w:t>
      </w:r>
      <w:r>
        <w:rPr>
          <w:rFonts w:ascii="Times New Roman" w:hAnsi="Times New Roman" w:cs="Times New Roman" w:eastAsia="Times New Roman" w:hint="default"/>
        </w:rPr>
        <w:t>108.07%</w:t>
      </w:r>
      <w:r>
        <w:rPr/>
        <w:t>。</w:t>
      </w:r>
    </w:p>
    <w:p>
      <w:pPr>
        <w:pStyle w:val="BodyText"/>
        <w:spacing w:line="302" w:lineRule="auto"/>
        <w:ind w:right="1115"/>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17</w:t>
      </w:r>
      <w:r>
        <w:rPr>
          <w:rFonts w:ascii="Times New Roman" w:hAnsi="Times New Roman" w:cs="Times New Roman" w:eastAsia="Times New Roman" w:hint="default"/>
          <w:spacing w:val="-7"/>
        </w:rPr>
        <w:t> </w:t>
      </w:r>
      <w:r>
        <w:rPr/>
        <w:t>日，公司高管李智军、谢红根、孙资光及公司骨干丁建华、廖扬青、贺雪红作为业绩承诺方出具《放弃奖励 </w:t>
      </w:r>
      <w:r>
        <w:rPr>
          <w:spacing w:val="-3"/>
        </w:rPr>
        <w:t>对价的承诺函》，承诺放弃上述业绩奖励，以支持湖南雅城未来的发展。</w:t>
      </w:r>
    </w:p>
    <w:p>
      <w:pPr>
        <w:pStyle w:val="BodyText"/>
        <w:spacing w:line="300" w:lineRule="auto" w:before="68"/>
        <w:ind w:right="1131" w:firstLine="360"/>
        <w:jc w:val="both"/>
      </w:pPr>
      <w:r>
        <w:rPr>
          <w:rFonts w:ascii="Times New Roman" w:hAnsi="Times New Roman" w:cs="Times New Roman" w:eastAsia="Times New Roman" w:hint="default"/>
        </w:rPr>
        <w:t>2.</w:t>
      </w:r>
      <w:r>
        <w:rPr/>
        <w:t>公司</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年业务形成应收账款山东太奇新能源科技有限公司和淄博君灿新能源有限公司合计</w:t>
      </w:r>
      <w:r>
        <w:rPr>
          <w:spacing w:val="-46"/>
        </w:rPr>
        <w:t> </w:t>
      </w:r>
      <w:r>
        <w:rPr>
          <w:rFonts w:ascii="Times New Roman" w:hAnsi="Times New Roman" w:cs="Times New Roman" w:eastAsia="Times New Roman" w:hint="default"/>
        </w:rPr>
        <w:t>73,052,414.87</w:t>
      </w:r>
      <w:r>
        <w:rPr>
          <w:rFonts w:ascii="Times New Roman" w:hAnsi="Times New Roman" w:cs="Times New Roman" w:eastAsia="Times New Roman" w:hint="default"/>
          <w:spacing w:val="-1"/>
        </w:rPr>
        <w:t> </w:t>
      </w:r>
      <w:r>
        <w:rPr/>
        <w:t>元，公司 拟于</w:t>
      </w:r>
      <w:r>
        <w:rPr>
          <w:spacing w:val="-4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年通过将上述债权债务重组方式转为持有淄博太奇农业有限公司</w:t>
      </w:r>
      <w:r>
        <w:rPr>
          <w:spacing w:val="-40"/>
        </w:rPr>
        <w:t> </w:t>
      </w:r>
      <w:r>
        <w:rPr>
          <w:rFonts w:ascii="Times New Roman" w:hAnsi="Times New Roman" w:cs="Times New Roman" w:eastAsia="Times New Roman" w:hint="default"/>
          <w:spacing w:val="-3"/>
        </w:rPr>
        <w:t>75.27%</w:t>
      </w:r>
      <w:r>
        <w:rPr>
          <w:spacing w:val="-3"/>
        </w:rPr>
        <w:t>的股权，根据北京卓信大华资产评估有限</w:t>
      </w:r>
      <w:r>
        <w:rPr/>
        <w:t> 公司出具的评估基准日为</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日的《北京合纵科技股份有限公司拟债务重组所涉及淄博太奇农业有限公司股东全</w:t>
      </w:r>
    </w:p>
    <w:p>
      <w:pPr>
        <w:pStyle w:val="BodyText"/>
        <w:spacing w:line="240" w:lineRule="auto" w:before="13"/>
        <w:ind w:right="1048"/>
        <w:jc w:val="left"/>
      </w:pPr>
      <w:r>
        <w:rPr/>
        <w:t>部权益价值评估项目资产评估报告</w:t>
      </w:r>
      <w:r>
        <w:rPr>
          <w:spacing w:val="-90"/>
        </w:rPr>
        <w:t>》</w:t>
      </w:r>
      <w:r>
        <w:rPr/>
        <w:t>（卓信大华评报字</w:t>
      </w:r>
      <w:r>
        <w:rPr>
          <w:rFonts w:ascii="Times New Roman" w:hAnsi="Times New Roman" w:cs="Times New Roman" w:eastAsia="Times New Roman" w:hint="default"/>
        </w:rPr>
        <w:t>[2019</w:t>
      </w:r>
      <w:r>
        <w:rPr>
          <w:rFonts w:ascii="Times New Roman" w:hAnsi="Times New Roman" w:cs="Times New Roman" w:eastAsia="Times New Roman" w:hint="default"/>
          <w:spacing w:val="-2"/>
        </w:rPr>
        <w:t>]</w:t>
      </w:r>
      <w:r>
        <w:rPr/>
        <w:t>第</w:t>
      </w:r>
      <w:r>
        <w:rPr>
          <w:spacing w:val="-46"/>
        </w:rPr>
        <w:t> </w:t>
      </w:r>
      <w:r>
        <w:rPr>
          <w:rFonts w:ascii="Times New Roman" w:hAnsi="Times New Roman" w:cs="Times New Roman" w:eastAsia="Times New Roman" w:hint="default"/>
        </w:rPr>
        <w:t>84</w:t>
      </w:r>
      <w:r>
        <w:rPr>
          <w:rFonts w:ascii="Times New Roman" w:hAnsi="Times New Roman" w:cs="Times New Roman" w:eastAsia="Times New Roman" w:hint="default"/>
          <w:spacing w:val="1"/>
        </w:rPr>
        <w:t>2</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spacing w:val="-89"/>
        </w:rPr>
        <w:t>）</w:t>
      </w:r>
      <w:r>
        <w:rPr/>
        <w:t>，评估报告所载截至评估基准日淄博太奇农业有限</w:t>
      </w:r>
    </w:p>
    <w:p>
      <w:pPr>
        <w:pStyle w:val="BodyText"/>
        <w:spacing w:line="240" w:lineRule="auto" w:before="64"/>
        <w:ind w:right="1048"/>
        <w:jc w:val="left"/>
      </w:pPr>
      <w:r>
        <w:rPr/>
        <w:t>公司股东全部权益评估价值为</w:t>
      </w:r>
      <w:r>
        <w:rPr>
          <w:spacing w:val="-46"/>
        </w:rPr>
        <w:t> </w:t>
      </w:r>
      <w:r>
        <w:rPr>
          <w:rFonts w:ascii="Times New Roman" w:hAnsi="Times New Roman" w:cs="Times New Roman" w:eastAsia="Times New Roman" w:hint="default"/>
        </w:rPr>
        <w:t>2,380.00</w:t>
      </w:r>
      <w:r>
        <w:rPr>
          <w:rFonts w:ascii="Times New Roman" w:hAnsi="Times New Roman" w:cs="Times New Roman" w:eastAsia="Times New Roman" w:hint="default"/>
          <w:spacing w:val="-1"/>
        </w:rPr>
        <w:t> </w:t>
      </w:r>
      <w:r>
        <w:rPr/>
        <w:t>万元。</w:t>
      </w:r>
    </w:p>
    <w:p>
      <w:pPr>
        <w:pStyle w:val="BodyText"/>
        <w:spacing w:line="316" w:lineRule="auto" w:before="102"/>
        <w:ind w:right="1130" w:firstLine="360"/>
        <w:jc w:val="both"/>
      </w:pP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2"/>
        </w:rPr>
        <w:t> </w:t>
      </w:r>
      <w:r>
        <w:rPr/>
        <w:t>月</w:t>
      </w:r>
      <w:r>
        <w:rPr>
          <w:spacing w:val="-53"/>
        </w:rPr>
        <w:t> </w:t>
      </w:r>
      <w:r>
        <w:rPr>
          <w:rFonts w:ascii="宋体" w:hAnsi="宋体" w:cs="宋体" w:eastAsia="宋体" w:hint="default"/>
        </w:rPr>
        <w:t>22</w:t>
      </w:r>
      <w:r>
        <w:rPr>
          <w:rFonts w:ascii="宋体" w:hAnsi="宋体" w:cs="宋体" w:eastAsia="宋体" w:hint="default"/>
          <w:spacing w:val="-53"/>
        </w:rPr>
        <w:t> </w:t>
      </w:r>
      <w:r>
        <w:rPr/>
        <w:t>日，公司与淄博太奇农业有限公司、山东太奇新能源科技有限公司、淄博君灿新能源有限公司以及厦门 </w:t>
      </w:r>
      <w:r>
        <w:rPr>
          <w:spacing w:val="-2"/>
        </w:rPr>
        <w:t>乾照照明有限公司达成债务转移协议，债权转股权协议以及股权转让协议，按照协议签署条款重组后公司将通过增资取得淄</w:t>
      </w:r>
      <w:r>
        <w:rPr>
          <w:spacing w:val="-64"/>
        </w:rPr>
        <w:t> </w:t>
      </w:r>
      <w:r>
        <w:rPr>
          <w:spacing w:val="-64"/>
        </w:rPr>
      </w:r>
      <w:r>
        <w:rPr/>
        <w:t>博太奇农业有限公司</w:t>
      </w:r>
      <w:r>
        <w:rPr>
          <w:spacing w:val="-46"/>
        </w:rPr>
        <w:t> </w:t>
      </w:r>
      <w:r>
        <w:rPr>
          <w:rFonts w:ascii="宋体" w:hAnsi="宋体" w:cs="宋体" w:eastAsia="宋体" w:hint="default"/>
        </w:rPr>
        <w:t>49.72%</w:t>
      </w:r>
      <w:r>
        <w:rPr/>
        <w:t>股权，通过股权转让得方式取得淄博太奇农业有限公司</w:t>
      </w:r>
      <w:r>
        <w:rPr>
          <w:spacing w:val="-46"/>
        </w:rPr>
        <w:t> </w:t>
      </w:r>
      <w:r>
        <w:rPr>
          <w:rFonts w:ascii="宋体" w:hAnsi="宋体" w:cs="宋体" w:eastAsia="宋体" w:hint="default"/>
        </w:rPr>
        <w:t>25.55%</w:t>
      </w:r>
      <w:r>
        <w:rPr/>
        <w:t>股权，假设增资部分的公允价值</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16"/>
        <w:jc w:val="left"/>
      </w:pPr>
      <w:r>
        <w:rPr/>
        <w:t>与增资金额一致，重组后淄博太奇农业有限公司累计</w:t>
      </w:r>
      <w:r>
        <w:rPr>
          <w:spacing w:val="-58"/>
        </w:rPr>
        <w:t> </w:t>
      </w:r>
      <w:r>
        <w:rPr>
          <w:rFonts w:ascii="宋体" w:hAnsi="宋体" w:cs="宋体" w:eastAsia="宋体" w:hint="default"/>
        </w:rPr>
        <w:t>75.27%</w:t>
      </w:r>
      <w:r>
        <w:rPr/>
        <w:t>的股权公允价值约为</w:t>
      </w:r>
      <w:r>
        <w:rPr>
          <w:spacing w:val="-58"/>
        </w:rPr>
        <w:t> </w:t>
      </w:r>
      <w:r>
        <w:rPr>
          <w:rFonts w:ascii="宋体" w:hAnsi="宋体" w:cs="宋体" w:eastAsia="宋体" w:hint="default"/>
        </w:rPr>
        <w:t>5,423.78</w:t>
      </w:r>
      <w:r>
        <w:rPr>
          <w:rFonts w:ascii="宋体" w:hAnsi="宋体" w:cs="宋体" w:eastAsia="宋体" w:hint="default"/>
          <w:spacing w:val="-58"/>
        </w:rPr>
        <w:t> </w:t>
      </w:r>
      <w:r>
        <w:rPr/>
        <w:t>万元，截至本财务报表批准签发 日，尚未执行工商变更等程序。</w:t>
      </w:r>
    </w:p>
    <w:p>
      <w:pPr>
        <w:pStyle w:val="BodyText"/>
        <w:spacing w:line="240" w:lineRule="auto" w:before="122"/>
        <w:ind w:left="514" w:right="1048"/>
        <w:jc w:val="left"/>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日，本公司针对上述应收账款计提坏账准备</w:t>
      </w:r>
      <w:r>
        <w:rPr>
          <w:rFonts w:ascii="宋体" w:hAnsi="宋体" w:cs="宋体" w:eastAsia="宋体" w:hint="default"/>
        </w:rPr>
        <w:t>18,814,571.84</w:t>
      </w:r>
      <w:r>
        <w:rPr/>
        <w:t>元，账面价值为</w:t>
      </w:r>
      <w:r>
        <w:rPr>
          <w:rFonts w:ascii="宋体" w:hAnsi="宋体" w:cs="宋体" w:eastAsia="宋体" w:hint="default"/>
        </w:rPr>
        <w:t>54,237,843.03</w:t>
      </w:r>
      <w:r>
        <w:rPr/>
        <w:t>元。</w:t>
      </w:r>
    </w:p>
    <w:p>
      <w:pPr>
        <w:spacing w:line="240" w:lineRule="auto" w:before="6"/>
        <w:rPr>
          <w:rFonts w:ascii="宋体" w:hAnsi="宋体" w:cs="宋体" w:eastAsia="宋体" w:hint="default"/>
          <w:sz w:val="25"/>
          <w:szCs w:val="25"/>
        </w:rPr>
      </w:pPr>
    </w:p>
    <w:p>
      <w:pPr>
        <w:pStyle w:val="Heading3"/>
        <w:spacing w:line="240" w:lineRule="auto"/>
        <w:ind w:right="1048"/>
        <w:jc w:val="left"/>
        <w:rPr>
          <w:b w:val="0"/>
          <w:bCs w:val="0"/>
        </w:rPr>
      </w:pPr>
      <w:bookmarkStart w:name="2、利润分配情况" w:id="430"/>
      <w:bookmarkEnd w:id="430"/>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11,643,892.84</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11,643,892.84</w:t>
            </w:r>
          </w:p>
        </w:tc>
      </w:tr>
    </w:tbl>
    <w:p>
      <w:pPr>
        <w:spacing w:line="240" w:lineRule="auto" w:before="2"/>
        <w:rPr>
          <w:rFonts w:ascii="宋体" w:hAnsi="宋体" w:cs="宋体" w:eastAsia="宋体" w:hint="default"/>
          <w:sz w:val="19"/>
          <w:szCs w:val="19"/>
        </w:rPr>
      </w:pPr>
    </w:p>
    <w:p>
      <w:pPr>
        <w:spacing w:before="35"/>
        <w:ind w:left="154" w:right="1048" w:firstLine="0"/>
        <w:jc w:val="left"/>
        <w:rPr>
          <w:rFonts w:ascii="宋体" w:hAnsi="宋体" w:cs="宋体" w:eastAsia="宋体" w:hint="default"/>
          <w:sz w:val="18"/>
          <w:szCs w:val="18"/>
        </w:rPr>
      </w:pPr>
      <w:bookmarkStart w:name="3、销售退回：无" w:id="431"/>
      <w:bookmarkEnd w:id="43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sz w:val="18"/>
          <w:szCs w:val="18"/>
        </w:rPr>
        <w:t>：无</w:t>
      </w:r>
    </w:p>
    <w:p>
      <w:pPr>
        <w:spacing w:line="240" w:lineRule="auto" w:before="8"/>
        <w:rPr>
          <w:rFonts w:ascii="宋体" w:hAnsi="宋体" w:cs="宋体" w:eastAsia="宋体" w:hint="default"/>
          <w:sz w:val="24"/>
          <w:szCs w:val="24"/>
        </w:rPr>
      </w:pPr>
    </w:p>
    <w:p>
      <w:pPr>
        <w:pStyle w:val="Heading3"/>
        <w:spacing w:line="240" w:lineRule="auto"/>
        <w:ind w:right="1048"/>
        <w:jc w:val="left"/>
        <w:rPr>
          <w:rFonts w:ascii="宋体" w:hAnsi="宋体" w:cs="宋体" w:eastAsia="宋体" w:hint="default"/>
          <w:b w:val="0"/>
          <w:bCs w:val="0"/>
          <w:sz w:val="18"/>
          <w:szCs w:val="18"/>
        </w:rPr>
      </w:pPr>
      <w:bookmarkStart w:name="4、其他资产负债表日后事项说明：无" w:id="432"/>
      <w:bookmarkEnd w:id="432"/>
      <w:r>
        <w:rPr>
          <w:b w:val="0"/>
          <w:bCs w:val="0"/>
        </w:rPr>
      </w:r>
      <w:r>
        <w:rPr>
          <w:rFonts w:ascii="Times New Roman" w:hAnsi="Times New Roman" w:cs="Times New Roman" w:eastAsia="Times New Roman" w:hint="default"/>
        </w:rPr>
        <w:t>4</w:t>
      </w:r>
      <w:r>
        <w:rPr/>
        <w:t>、其他资产负债表日后事项说明</w:t>
      </w:r>
      <w:r>
        <w:rPr>
          <w:rFonts w:ascii="宋体" w:hAnsi="宋体" w:cs="宋体" w:eastAsia="宋体" w:hint="default"/>
          <w:b w:val="0"/>
          <w:bCs w:val="0"/>
          <w:sz w:val="18"/>
          <w:szCs w:val="18"/>
        </w:rPr>
        <w:t>：无</w:t>
      </w:r>
    </w:p>
    <w:p>
      <w:pPr>
        <w:spacing w:line="240" w:lineRule="auto" w:before="12"/>
        <w:rPr>
          <w:rFonts w:ascii="宋体" w:hAnsi="宋体" w:cs="宋体" w:eastAsia="宋体" w:hint="default"/>
          <w:sz w:val="22"/>
          <w:szCs w:val="22"/>
        </w:rPr>
      </w:pPr>
    </w:p>
    <w:p>
      <w:pPr>
        <w:pStyle w:val="Heading2"/>
        <w:spacing w:line="240" w:lineRule="auto"/>
        <w:ind w:right="1048"/>
        <w:jc w:val="left"/>
        <w:rPr>
          <w:b w:val="0"/>
          <w:bCs w:val="0"/>
        </w:rPr>
      </w:pPr>
      <w:bookmarkStart w:name="十六、其他重要事项" w:id="433"/>
      <w:bookmarkEnd w:id="433"/>
      <w:r>
        <w:rPr>
          <w:b w:val="0"/>
          <w:bCs w:val="0"/>
        </w:rPr>
      </w:r>
      <w:r>
        <w:rPr/>
        <w:t>十六、其他重要事项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t>无</w:t>
      </w:r>
    </w:p>
    <w:p>
      <w:pPr>
        <w:spacing w:line="240" w:lineRule="auto" w:before="1"/>
        <w:rPr>
          <w:rFonts w:ascii="宋体" w:hAnsi="宋体" w:cs="宋体" w:eastAsia="宋体" w:hint="default"/>
          <w:sz w:val="25"/>
          <w:szCs w:val="25"/>
        </w:rPr>
      </w:pPr>
    </w:p>
    <w:p>
      <w:pPr>
        <w:pStyle w:val="Heading2"/>
        <w:spacing w:line="240" w:lineRule="auto"/>
        <w:ind w:right="1048"/>
        <w:jc w:val="left"/>
        <w:rPr>
          <w:b w:val="0"/>
          <w:bCs w:val="0"/>
        </w:rPr>
      </w:pPr>
      <w:bookmarkStart w:name="十七、母公司财务报表主要项目注释" w:id="434"/>
      <w:bookmarkEnd w:id="434"/>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8"/>
        <w:jc w:val="left"/>
        <w:rPr>
          <w:b w:val="0"/>
          <w:bCs w:val="0"/>
        </w:rPr>
      </w:pPr>
      <w:bookmarkStart w:name="1、应收票据及应收账款" w:id="435"/>
      <w:bookmarkEnd w:id="435"/>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12,104,220.30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34,432,149.28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1,043,329,370.88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1,161,613,223.96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1,055,433,591.18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1,196,045,373.24</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1）应收票据" w:id="436"/>
      <w:bookmarkEnd w:id="436"/>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48"/>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2,590,273.30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21,068,923.18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9,513,947.00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13,363,226.10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12,104,220.30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34,432,149.28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rFonts w:ascii="Times New Roman" w:hAnsi="Times New Roman" w:cs="Times New Roman" w:eastAsia="Times New Roman" w:hint="default"/>
        </w:rPr>
        <w:t>2)</w:t>
      </w:r>
      <w:r>
        <w:rPr/>
        <w:t>期末公司已质押的应收票据：无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BodyText"/>
        <w:spacing w:line="240" w:lineRule="auto"/>
        <w:ind w:right="-20"/>
        <w:jc w:val="left"/>
      </w:pP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pStyle w:val="BodyText"/>
        <w:spacing w:line="717" w:lineRule="auto"/>
        <w:ind w:left="153" w:right="1113"/>
        <w:jc w:val="left"/>
      </w:pPr>
      <w:r>
        <w:rPr/>
        <w:t>单位： 元 单位： 元</w:t>
      </w:r>
    </w:p>
    <w:p>
      <w:pPr>
        <w:spacing w:after="0" w:line="717" w:lineRule="auto"/>
        <w:jc w:val="left"/>
        <w:sectPr>
          <w:type w:val="continuous"/>
          <w:pgSz w:w="11910" w:h="16840"/>
          <w:pgMar w:top="1060" w:bottom="1160" w:left="980" w:right="0"/>
          <w:cols w:num="2" w:equalWidth="0">
            <w:col w:w="5165" w:space="3665"/>
            <w:col w:w="2100"/>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42,707,783.59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13,689,216.17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9,263,947.00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56,396,999.76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9,263,947.00</w:t>
            </w:r>
          </w:p>
        </w:tc>
      </w:tr>
    </w:tbl>
    <w:p>
      <w:pPr>
        <w:pStyle w:val="BodyText"/>
        <w:spacing w:line="240" w:lineRule="auto" w:before="51"/>
        <w:ind w:right="1048"/>
        <w:jc w:val="left"/>
      </w:pPr>
      <w:r>
        <w:rPr>
          <w:rFonts w:ascii="Times New Roman" w:hAnsi="Times New Roman" w:cs="Times New Roman" w:eastAsia="Times New Roman" w:hint="default"/>
        </w:rPr>
        <w:t>4)</w:t>
      </w:r>
      <w:r>
        <w:rPr/>
        <w:t>期末公司因出票人未履约而将其转应收账款的票据：无</w:t>
      </w:r>
    </w:p>
    <w:p>
      <w:pPr>
        <w:spacing w:line="240" w:lineRule="auto" w:before="10"/>
        <w:rPr>
          <w:rFonts w:ascii="宋体" w:hAnsi="宋体" w:cs="宋体" w:eastAsia="宋体" w:hint="default"/>
          <w:sz w:val="25"/>
          <w:szCs w:val="25"/>
        </w:rPr>
      </w:pPr>
    </w:p>
    <w:p>
      <w:pPr>
        <w:pStyle w:val="Heading3"/>
        <w:spacing w:line="240" w:lineRule="auto"/>
        <w:ind w:right="1048"/>
        <w:jc w:val="left"/>
        <w:rPr>
          <w:b w:val="0"/>
          <w:bCs w:val="0"/>
        </w:rPr>
      </w:pPr>
      <w:bookmarkStart w:name="（2）应收账款" w:id="437"/>
      <w:bookmarkEnd w:id="437"/>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48"/>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73,052,4</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14.87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18,814,5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71.84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25.75%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54,237,84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3.03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73,052,</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414.87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14,610,48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2.98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58,441,931.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1,067,69</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0,637.37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78,599,1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09.52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989,091,5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27.85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1,174,5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2"/>
                <w:sz w:val="18"/>
              </w:rPr>
              <w:t>13,112.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94.14%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71,341,82</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1,103,171,2</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92.07</w:t>
            </w:r>
          </w:p>
        </w:tc>
      </w:tr>
      <w:tr>
        <w:trPr>
          <w:trHeight w:val="318"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1,140,74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3,052.24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97,413,6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81.36</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1,043,329</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,370.88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1,247,5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65,527.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85,952,30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3.71</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1,161,613,2</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23.96</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淄博君灿新能源有限公 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34,465,587.38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8,842,848.76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未按合同约定回款</w:t>
            </w:r>
            <w:r>
              <w:rPr>
                <w:rFonts w:ascii="Times New Roman" w:hAnsi="Times New Roman" w:cs="Times New Roman" w:eastAsia="Times New Roman" w:hint="default"/>
                <w:sz w:val="18"/>
                <w:szCs w:val="18"/>
              </w:rPr>
              <w:t>,</w:t>
            </w:r>
            <w:r>
              <w:rPr>
                <w:rFonts w:ascii="宋体" w:hAnsi="宋体" w:cs="宋体" w:eastAsia="宋体" w:hint="default"/>
                <w:sz w:val="18"/>
                <w:szCs w:val="18"/>
              </w:rPr>
              <w:t>存在 收回风险</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山东太奇新能源科技有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38,586,827.49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9,971,723.08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未按合同约定回款</w:t>
            </w:r>
            <w:r>
              <w:rPr>
                <w:rFonts w:ascii="Times New Roman" w:hAnsi="Times New Roman" w:cs="Times New Roman" w:eastAsia="Times New Roman" w:hint="default"/>
                <w:sz w:val="18"/>
                <w:szCs w:val="18"/>
              </w:rPr>
              <w:t>,</w:t>
            </w:r>
            <w:r>
              <w:rPr>
                <w:rFonts w:ascii="宋体" w:hAnsi="宋体" w:cs="宋体" w:eastAsia="宋体" w:hint="default"/>
                <w:sz w:val="18"/>
                <w:szCs w:val="18"/>
              </w:rPr>
              <w:t>存在 收回风险</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73,052,414.87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18,814,571.84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78"/>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70"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78"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4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31" w:right="0"/>
              <w:jc w:val="left"/>
              <w:rPr>
                <w:rFonts w:ascii="Times New Roman" w:hAnsi="Times New Roman" w:cs="Times New Roman" w:eastAsia="Times New Roman" w:hint="default"/>
                <w:sz w:val="18"/>
                <w:szCs w:val="18"/>
              </w:rPr>
            </w:pPr>
            <w:r>
              <w:rPr>
                <w:rFonts w:ascii="Times New Roman"/>
                <w:sz w:val="18"/>
              </w:rPr>
              <w:t>858,388,233.51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8" w:right="0"/>
              <w:jc w:val="left"/>
              <w:rPr>
                <w:rFonts w:ascii="Times New Roman" w:hAnsi="Times New Roman" w:cs="Times New Roman" w:eastAsia="Times New Roman" w:hint="default"/>
                <w:sz w:val="18"/>
                <w:szCs w:val="18"/>
              </w:rPr>
            </w:pPr>
            <w:r>
              <w:rPr>
                <w:rFonts w:ascii="Times New Roman"/>
                <w:sz w:val="18"/>
              </w:rPr>
              <w:t>42,919,411.68</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136,152,177.97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13,615,217.80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50,911,632.26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10,182,326.44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19,181,627.90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9,590,813.97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1,495,630.50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1,196,504.40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1,094,835.23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1,094,835.23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1,067,224,137.37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78,599,109.52</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48" w:lineRule="auto" w:before="2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240" w:lineRule="auto" w:before="12"/>
        <w:ind w:right="1048"/>
        <w:jc w:val="left"/>
      </w:pPr>
      <w:r>
        <w:rPr/>
        <w:t>本期计提坏账准备金额</w:t>
      </w:r>
      <w:r>
        <w:rPr>
          <w:spacing w:val="-49"/>
        </w:rPr>
        <w:t> </w:t>
      </w:r>
      <w:r>
        <w:rPr>
          <w:rFonts w:ascii="Times New Roman" w:hAnsi="Times New Roman" w:cs="Times New Roman" w:eastAsia="Times New Roman" w:hint="default"/>
        </w:rPr>
        <w:t>11,461,377.65</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p>
    <w:p>
      <w:pPr>
        <w:spacing w:line="240" w:lineRule="auto" w:before="10"/>
        <w:rPr>
          <w:rFonts w:ascii="宋体" w:hAnsi="宋体" w:cs="宋体" w:eastAsia="宋体" w:hint="default"/>
          <w:sz w:val="25"/>
          <w:szCs w:val="25"/>
        </w:rPr>
      </w:pPr>
    </w:p>
    <w:p>
      <w:pPr>
        <w:pStyle w:val="Heading3"/>
        <w:spacing w:line="240" w:lineRule="auto"/>
        <w:ind w:right="1048"/>
        <w:jc w:val="left"/>
        <w:rPr>
          <w:b w:val="0"/>
          <w:bCs w:val="0"/>
        </w:rPr>
      </w:pPr>
      <w:bookmarkStart w:name="2、其他应收款" w:id="438"/>
      <w:bookmarkEnd w:id="43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327,703,970.06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75,549,553.24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367,703,970.06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75,549,553.24</w:t>
            </w:r>
          </w:p>
        </w:tc>
      </w:tr>
    </w:tbl>
    <w:p>
      <w:pPr>
        <w:spacing w:line="240" w:lineRule="auto" w:before="2"/>
        <w:rPr>
          <w:rFonts w:ascii="宋体" w:hAnsi="宋体" w:cs="宋体" w:eastAsia="宋体" w:hint="default"/>
          <w:sz w:val="19"/>
          <w:szCs w:val="19"/>
        </w:rPr>
      </w:pPr>
    </w:p>
    <w:p>
      <w:pPr>
        <w:spacing w:before="35"/>
        <w:ind w:left="154" w:right="1048" w:firstLine="0"/>
        <w:jc w:val="left"/>
        <w:rPr>
          <w:rFonts w:ascii="宋体" w:hAnsi="宋体" w:cs="宋体" w:eastAsia="宋体" w:hint="default"/>
          <w:sz w:val="18"/>
          <w:szCs w:val="18"/>
        </w:rPr>
      </w:pPr>
      <w:bookmarkStart w:name="（1）应收利息：无" w:id="439"/>
      <w:bookmarkEnd w:id="4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18"/>
          <w:szCs w:val="18"/>
        </w:rPr>
        <w:t>：无</w:t>
      </w:r>
    </w:p>
    <w:p>
      <w:pPr>
        <w:spacing w:line="240" w:lineRule="auto" w:before="8"/>
        <w:rPr>
          <w:rFonts w:ascii="宋体" w:hAnsi="宋体" w:cs="宋体" w:eastAsia="宋体" w:hint="default"/>
          <w:sz w:val="24"/>
          <w:szCs w:val="24"/>
        </w:rPr>
      </w:pPr>
    </w:p>
    <w:p>
      <w:pPr>
        <w:pStyle w:val="Heading3"/>
        <w:spacing w:line="240" w:lineRule="auto"/>
        <w:ind w:right="1048"/>
        <w:jc w:val="left"/>
        <w:rPr>
          <w:b w:val="0"/>
          <w:bCs w:val="0"/>
        </w:rPr>
      </w:pPr>
      <w:bookmarkStart w:name="（2）应收股利" w:id="440"/>
      <w:bookmarkEnd w:id="440"/>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48"/>
        <w:jc w:val="left"/>
      </w:pPr>
      <w:r>
        <w:rPr>
          <w:rFonts w:ascii="Times New Roman" w:hAnsi="Times New Roman" w:cs="Times New Roman" w:eastAsia="Times New Roman" w:hint="default"/>
        </w:rPr>
        <w:t>1)</w:t>
      </w:r>
      <w:r>
        <w:rPr/>
        <w:t>应收股利</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北京合纵实科电力科技有限公司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048"/>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年的应收股利：无</w:t>
      </w:r>
    </w:p>
    <w:p>
      <w:pPr>
        <w:spacing w:line="240" w:lineRule="auto" w:before="10"/>
        <w:rPr>
          <w:rFonts w:ascii="宋体" w:hAnsi="宋体" w:cs="宋体" w:eastAsia="宋体" w:hint="default"/>
          <w:sz w:val="25"/>
          <w:szCs w:val="25"/>
        </w:rPr>
      </w:pPr>
    </w:p>
    <w:p>
      <w:pPr>
        <w:pStyle w:val="Heading3"/>
        <w:spacing w:line="240" w:lineRule="auto"/>
        <w:ind w:right="1048"/>
        <w:jc w:val="left"/>
        <w:rPr>
          <w:b w:val="0"/>
          <w:bCs w:val="0"/>
        </w:rPr>
      </w:pPr>
      <w:bookmarkStart w:name="（3）其他应收款" w:id="441"/>
      <w:bookmarkEnd w:id="441"/>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48"/>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161"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23" w:type="dxa"/>
            <w:vMerge/>
            <w:tcBorders>
              <w:left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329,014,</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966.52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1,310,99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327,703,9</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70.06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77,878,</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796.34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2,329,243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75,549,553.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24</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329,014,</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966.52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1,310,99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6.46</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327,703,9</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70.06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77,878,</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796.34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2,329,243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.10</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75,549,553.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24</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17,634,213.06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881,710.66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1,823,169.93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182,316.99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1,062,770.00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212,554.00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68,829.62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34,414.81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20,588,982.61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1,310,996.46</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57" w:lineRule="auto" w:before="51"/>
        <w:ind w:right="1794"/>
        <w:jc w:val="left"/>
      </w:pPr>
      <w:r>
        <w:rPr/>
        <w:t>确定该组合依据的说明： 组合中，采用余额百分比法计提坏账准备的其他应收款：</w:t>
      </w:r>
    </w:p>
    <w:p>
      <w:pPr>
        <w:pStyle w:val="BodyText"/>
        <w:spacing w:line="338" w:lineRule="auto" w:before="29"/>
        <w:ind w:right="2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3"/>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13"/>
        <w:jc w:val="left"/>
      </w:pPr>
      <w:r>
        <w:rPr/>
        <w:t>本期计提坏账准备金额</w:t>
      </w:r>
      <w:r>
        <w:rPr>
          <w:rFonts w:ascii="Times New Roman" w:hAnsi="Times New Roman" w:cs="Times New Roman" w:eastAsia="Times New Roman" w:hint="default"/>
        </w:rPr>
        <w:t>-1,018,246.64</w:t>
      </w:r>
      <w:r>
        <w:rPr>
          <w:rFonts w:ascii="Times New Roman" w:hAnsi="Times New Roman" w:cs="Times New Roman" w:eastAsia="Times New Roman" w:hint="default"/>
          <w:spacing w:val="-2"/>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pStyle w:val="BodyText"/>
        <w:spacing w:line="240" w:lineRule="auto" w:before="102"/>
        <w:ind w:right="-13"/>
        <w:jc w:val="left"/>
      </w:pPr>
      <w:r>
        <w:rPr>
          <w:rFonts w:ascii="Times New Roman" w:hAnsi="Times New Roman" w:cs="Times New Roman" w:eastAsia="Times New Roman" w:hint="default"/>
        </w:rPr>
        <w:t>3)</w:t>
      </w:r>
      <w:r>
        <w:rPr/>
        <w:t>本期实际核销的其他应收款情况：无</w:t>
      </w:r>
    </w:p>
    <w:p>
      <w:pPr>
        <w:pStyle w:val="BodyText"/>
        <w:spacing w:line="240" w:lineRule="auto" w:before="103"/>
        <w:ind w:right="-13"/>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7"/>
        <w:ind w:left="153" w:right="0"/>
        <w:jc w:val="left"/>
      </w:pPr>
      <w:r>
        <w:rPr/>
        <w:t>单位： 元</w:t>
      </w:r>
    </w:p>
    <w:p>
      <w:pPr>
        <w:spacing w:after="0" w:line="240" w:lineRule="auto"/>
        <w:jc w:val="left"/>
        <w:sectPr>
          <w:type w:val="continuous"/>
          <w:pgSz w:w="11910" w:h="16840"/>
          <w:pgMar w:top="1060" w:bottom="1160" w:left="980" w:right="0"/>
          <w:cols w:num="2" w:equalWidth="0">
            <w:col w:w="6469" w:space="2361"/>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308,425,983.91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36,700,637.13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13,381,304.85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21,757,860.55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在途</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2,728,107.79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7,891,487.44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2,679,563.77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5,132,853.28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272,136.66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252,669.16</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1,527,869.54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6,143,288.78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8"/>
        <w:gridCol w:w="3101"/>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3" w:right="0"/>
              <w:jc w:val="left"/>
              <w:rPr>
                <w:rFonts w:ascii="Times New Roman" w:hAnsi="Times New Roman" w:cs="Times New Roman" w:eastAsia="Times New Roman" w:hint="default"/>
                <w:sz w:val="18"/>
                <w:szCs w:val="18"/>
              </w:rPr>
            </w:pPr>
            <w:r>
              <w:rPr>
                <w:rFonts w:ascii="Times New Roman"/>
                <w:sz w:val="18"/>
              </w:rPr>
              <w:t>329,014,966.52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77,878,796.34</w:t>
            </w:r>
          </w:p>
        </w:tc>
      </w:tr>
    </w:tbl>
    <w:p>
      <w:pPr>
        <w:pStyle w:val="BodyText"/>
        <w:spacing w:line="240" w:lineRule="auto" w:before="51"/>
        <w:ind w:right="1048"/>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77"/>
              <w:jc w:val="left"/>
              <w:rPr>
                <w:rFonts w:ascii="宋体" w:hAnsi="宋体" w:cs="宋体" w:eastAsia="宋体" w:hint="default"/>
                <w:sz w:val="18"/>
                <w:szCs w:val="18"/>
              </w:rPr>
            </w:pPr>
            <w:r>
              <w:rPr>
                <w:rFonts w:ascii="宋体" w:hAnsi="宋体" w:cs="宋体" w:eastAsia="宋体" w:hint="default"/>
                <w:sz w:val="18"/>
                <w:szCs w:val="18"/>
              </w:rPr>
              <w:t>合并范围内关联方 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308,400,000.00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93.73%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998,200.00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54,801.85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312,318,200.00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94.91%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200,801.85</w:t>
            </w:r>
          </w:p>
        </w:tc>
      </w:tr>
    </w:tbl>
    <w:p>
      <w:pPr>
        <w:pStyle w:val="BodyText"/>
        <w:spacing w:line="240" w:lineRule="auto" w:before="51"/>
        <w:ind w:right="1048"/>
        <w:jc w:val="left"/>
      </w:pPr>
      <w:r>
        <w:rPr>
          <w:rFonts w:ascii="Times New Roman" w:hAnsi="Times New Roman" w:cs="Times New Roman" w:eastAsia="Times New Roman" w:hint="default"/>
        </w:rPr>
        <w:t>6)</w:t>
      </w:r>
      <w:r>
        <w:rPr/>
        <w:t>涉及政府补助的应收款项：无</w:t>
      </w:r>
    </w:p>
    <w:p>
      <w:pPr>
        <w:pStyle w:val="BodyText"/>
        <w:spacing w:line="240" w:lineRule="auto" w:before="102"/>
        <w:ind w:right="1048"/>
        <w:jc w:val="left"/>
      </w:pPr>
      <w:r>
        <w:rPr>
          <w:rFonts w:ascii="Times New Roman" w:hAnsi="Times New Roman" w:cs="Times New Roman" w:eastAsia="Times New Roman" w:hint="default"/>
        </w:rPr>
        <w:t>7)</w:t>
      </w:r>
      <w:r>
        <w:rPr/>
        <w:t>因金融资产转移而终止确认的其他应收款：无</w:t>
      </w:r>
    </w:p>
    <w:p>
      <w:pPr>
        <w:pStyle w:val="BodyText"/>
        <w:spacing w:line="240" w:lineRule="auto" w:before="103"/>
        <w:ind w:right="1048"/>
        <w:jc w:val="left"/>
      </w:pPr>
      <w:r>
        <w:rPr>
          <w:rFonts w:ascii="Times New Roman" w:hAnsi="Times New Roman" w:cs="Times New Roman" w:eastAsia="Times New Roman" w:hint="default"/>
        </w:rPr>
        <w:t>8)</w:t>
      </w:r>
      <w:r>
        <w:rPr/>
        <w:t>转移其他应收款且继续涉入形成的资产、负债金额：无</w:t>
      </w:r>
    </w:p>
    <w:p>
      <w:pPr>
        <w:spacing w:line="240" w:lineRule="auto" w:before="9"/>
        <w:rPr>
          <w:rFonts w:ascii="宋体" w:hAnsi="宋体" w:cs="宋体" w:eastAsia="宋体" w:hint="default"/>
          <w:sz w:val="25"/>
          <w:szCs w:val="25"/>
        </w:rPr>
      </w:pPr>
    </w:p>
    <w:p>
      <w:pPr>
        <w:pStyle w:val="Heading3"/>
        <w:spacing w:line="240" w:lineRule="auto"/>
        <w:ind w:right="1048"/>
        <w:jc w:val="left"/>
        <w:rPr>
          <w:b w:val="0"/>
          <w:bCs w:val="0"/>
        </w:rPr>
      </w:pPr>
      <w:bookmarkStart w:name="3、长期股权投资" w:id="442"/>
      <w:bookmarkEnd w:id="44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1,118,286,431.78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1,118,286,431.78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1,075,298,595.20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1,075,298,595.20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488,863,273.83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488,863,273.83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157,131,856.09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157,131,856.09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1,607,149,705.61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1,607,149,705.61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1,232,430,451.29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1,232,430,451.29</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1）对子公司投资" w:id="443"/>
      <w:bookmarkEnd w:id="44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北京合纵实科电 力科技有限公司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270,173,837.28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270,173,837.28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天津合纵电力设 备有限公司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湖南雅城新材料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46,500,000.00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江苏鹏创电力设</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北京合纵科沃尔 电力科技有限公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5,124,757.92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5,124,757.92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印尼合纵电气股 份公司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1,612,594.50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1,612,594.50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1,075,298,595.20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48,112,594.50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5,124,757.92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1,118,286,431.78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2）对联营、合营企业投资" w:id="444"/>
      <w:bookmarkEnd w:id="44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北京中能 互联创业 投资中心</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24,187,47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110,826.8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24,298,30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4.96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北京中能 互联电力 投资中心</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19,684,78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187,104.7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19,871,88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6.57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贵州中能 互联投资 合伙企业</w:t>
            </w:r>
          </w:p>
          <w:p>
            <w:pPr>
              <w:pStyle w:val="TableParagraph"/>
              <w:spacing w:line="319" w:lineRule="auto" w:before="19"/>
              <w:ind w:left="22"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13,259,59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-175,279.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13,084,31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6.67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宁波源纵 股权投资 合伙企业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-529,836.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99,470,16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天津市茂 联科技有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332,881,8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761,219.5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-1,504,43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332,138,6</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02.11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157,131,8</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56.09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332,881,8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354,035.1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-1,504,43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488,863,2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73.83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157,131,8</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56.09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332,881,8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354,035.1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-1,504,43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488,863,2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73.83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3）其他说明" w:id="445"/>
      <w:bookmarkEnd w:id="445"/>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8"/>
        <w:jc w:val="left"/>
        <w:rPr>
          <w:b w:val="0"/>
          <w:bCs w:val="0"/>
        </w:rPr>
      </w:pPr>
      <w:bookmarkStart w:name="4、营业收入和营业成本" w:id="446"/>
      <w:bookmarkEnd w:id="44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1,490,896,253.72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1,332,347,351.52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1,564,718,231.04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1,404,690,398.30</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32,657,116.42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1,244,476.36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53,628,608.57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2,522,607.95</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1,523,553,370.14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1,333,591,827.88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1,618,346,839.61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1,407,213,006.25</w:t>
            </w:r>
          </w:p>
        </w:tc>
      </w:tr>
    </w:tbl>
    <w:p>
      <w:pPr>
        <w:spacing w:line="240" w:lineRule="auto" w:before="2"/>
        <w:rPr>
          <w:rFonts w:ascii="宋体" w:hAnsi="宋体" w:cs="宋体" w:eastAsia="宋体" w:hint="default"/>
          <w:sz w:val="19"/>
          <w:szCs w:val="19"/>
        </w:rPr>
      </w:pPr>
    </w:p>
    <w:p>
      <w:pPr>
        <w:pStyle w:val="Heading3"/>
        <w:spacing w:line="240" w:lineRule="auto" w:before="35"/>
        <w:ind w:right="1048"/>
        <w:jc w:val="left"/>
        <w:rPr>
          <w:b w:val="0"/>
          <w:bCs w:val="0"/>
        </w:rPr>
      </w:pPr>
      <w:bookmarkStart w:name="5、投资收益" w:id="447"/>
      <w:bookmarkEnd w:id="44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354,035.15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-934,812.91</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1,509,046.16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理财产品赎回收益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1,962,630.14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1,134,246.58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43,825,711.45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199,433.67</w:t>
            </w:r>
          </w:p>
        </w:tc>
      </w:tr>
    </w:tbl>
    <w:p>
      <w:pPr>
        <w:spacing w:line="240" w:lineRule="auto" w:before="2"/>
        <w:rPr>
          <w:rFonts w:ascii="宋体" w:hAnsi="宋体" w:cs="宋体" w:eastAsia="宋体" w:hint="default"/>
          <w:sz w:val="19"/>
          <w:szCs w:val="19"/>
        </w:rPr>
      </w:pPr>
    </w:p>
    <w:p>
      <w:pPr>
        <w:spacing w:line="487" w:lineRule="auto" w:before="35"/>
        <w:ind w:left="154" w:right="8117" w:firstLine="0"/>
        <w:jc w:val="left"/>
        <w:rPr>
          <w:rFonts w:ascii="宋体" w:hAnsi="宋体" w:cs="宋体" w:eastAsia="宋体" w:hint="default"/>
          <w:sz w:val="21"/>
          <w:szCs w:val="21"/>
        </w:rPr>
      </w:pPr>
      <w:bookmarkStart w:name="6、其他：无" w:id="448"/>
      <w:bookmarkEnd w:id="44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18"/>
          <w:szCs w:val="18"/>
        </w:rPr>
        <w:t>：无 </w:t>
      </w:r>
      <w:bookmarkStart w:name="十八、补充资料" w:id="449"/>
      <w:bookmarkEnd w:id="449"/>
      <w:r>
        <w:rPr>
          <w:rFonts w:ascii="宋体" w:hAnsi="宋体" w:cs="宋体" w:eastAsia="宋体" w:hint="default"/>
          <w:sz w:val="18"/>
          <w:szCs w:val="18"/>
        </w:rPr>
      </w:r>
      <w:r>
        <w:rPr>
          <w:rFonts w:ascii="宋体" w:hAnsi="宋体" w:cs="宋体" w:eastAsia="宋体" w:hint="default"/>
          <w:b/>
          <w:bCs/>
          <w:sz w:val="24"/>
          <w:szCs w:val="24"/>
        </w:rPr>
        <w:t>十八、补充资料</w:t>
      </w:r>
      <w:r>
        <w:rPr>
          <w:rFonts w:ascii="宋体" w:hAnsi="宋体" w:cs="宋体" w:eastAsia="宋体" w:hint="default"/>
          <w:b/>
          <w:bCs/>
          <w:w w:val="99"/>
          <w:sz w:val="24"/>
          <w:szCs w:val="24"/>
        </w:rPr>
        <w:t> </w:t>
      </w:r>
      <w:bookmarkStart w:name="1、当期非经常性损益明细表" w:id="450"/>
      <w:bookmarkEnd w:id="45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pStyle w:val="BodyText"/>
        <w:spacing w:line="240" w:lineRule="auto" w:before="108"/>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-158,266.37</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14,664,647.94</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1,981,592.81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11,201.56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2,474,876.39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14,024,299.55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48"/>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tabs>
          <w:tab w:pos="893" w:val="left" w:leader="none"/>
        </w:tabs>
        <w:spacing w:line="240" w:lineRule="auto" w:before="69"/>
        <w:ind w:right="1048"/>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5"/>
          <w:szCs w:val="25"/>
        </w:rPr>
      </w:pPr>
    </w:p>
    <w:p>
      <w:pPr>
        <w:pStyle w:val="Heading3"/>
        <w:spacing w:line="240" w:lineRule="auto"/>
        <w:ind w:right="1048"/>
        <w:jc w:val="left"/>
        <w:rPr>
          <w:b w:val="0"/>
          <w:bCs w:val="0"/>
        </w:rPr>
      </w:pPr>
      <w:bookmarkStart w:name="2、净资产收益率及每股收益" w:id="451"/>
      <w:bookmarkEnd w:id="45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r>
    </w:tbl>
    <w:p>
      <w:pPr>
        <w:spacing w:line="240" w:lineRule="auto" w:before="2"/>
        <w:rPr>
          <w:rFonts w:ascii="宋体" w:hAnsi="宋体" w:cs="宋体" w:eastAsia="宋体" w:hint="default"/>
          <w:b/>
          <w:bCs/>
          <w:sz w:val="19"/>
          <w:szCs w:val="19"/>
        </w:rPr>
      </w:pPr>
    </w:p>
    <w:p>
      <w:pPr>
        <w:pStyle w:val="Heading3"/>
        <w:spacing w:line="240" w:lineRule="auto" w:before="35"/>
        <w:ind w:right="1048"/>
        <w:jc w:val="left"/>
        <w:rPr>
          <w:b w:val="0"/>
          <w:bCs w:val="0"/>
        </w:rPr>
      </w:pPr>
      <w:bookmarkStart w:name="3、境内外会计准则下会计数据差异" w:id="452"/>
      <w:bookmarkEnd w:id="452"/>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8"/>
        <w:jc w:val="left"/>
        <w:rPr>
          <w:b w:val="0"/>
          <w:bCs w:val="0"/>
        </w:rPr>
      </w:pPr>
      <w:bookmarkStart w:name="（1）同时按照国际会计准则与按中国会计准则披露的财务报告中净利润和净资产差异情况" w:id="453"/>
      <w:bookmarkEnd w:id="453"/>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48"/>
        <w:jc w:val="left"/>
        <w:rPr>
          <w:b w:val="0"/>
          <w:bCs w:val="0"/>
        </w:rPr>
      </w:pPr>
      <w:bookmarkStart w:name="（2）同时按照境外会计准则与按中国会计准则披露的财务报告中净利润和净资产差异情况" w:id="454"/>
      <w:bookmarkEnd w:id="454"/>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1048"/>
        <w:jc w:val="left"/>
        <w:rPr>
          <w:b w:val="0"/>
          <w:bCs w:val="0"/>
        </w:rPr>
      </w:pPr>
      <w:bookmarkStart w:name="（3）境内外会计准则下会计数据差异原因说明，对已经境外审计机构审计的数据进行差异" w:id="455"/>
      <w:bookmarkEnd w:id="455"/>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before="0"/>
        <w:ind w:left="154" w:right="1048" w:firstLine="0"/>
        <w:jc w:val="left"/>
        <w:rPr>
          <w:rFonts w:ascii="宋体" w:hAnsi="宋体" w:cs="宋体" w:eastAsia="宋体" w:hint="default"/>
          <w:sz w:val="18"/>
          <w:szCs w:val="18"/>
        </w:rPr>
      </w:pPr>
      <w:bookmarkStart w:name="4、其他：无" w:id="456"/>
      <w:bookmarkEnd w:id="45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1"/>
        <w:spacing w:line="240" w:lineRule="auto"/>
        <w:ind w:left="3286" w:right="1048"/>
        <w:jc w:val="left"/>
        <w:rPr>
          <w:b w:val="0"/>
          <w:bCs w:val="0"/>
        </w:rPr>
      </w:pPr>
      <w:bookmarkStart w:name="_TOC_250000" w:id="457"/>
      <w:bookmarkStart w:name="第十二节 备查文件目录" w:id="458"/>
      <w:r>
        <w:rPr>
          <w:b w:val="0"/>
          <w:bCs w:val="0"/>
        </w:rPr>
      </w:r>
      <w:r>
        <w:rPr/>
        <w:t>第十二节</w:t>
      </w:r>
      <w:r>
        <w:rPr>
          <w:spacing w:val="-8"/>
        </w:rPr>
        <w:t> </w:t>
      </w:r>
      <w:r>
        <w:rPr/>
        <w:t>备查文件目录</w:t>
      </w:r>
      <w:bookmarkEnd w:id="457"/>
      <w:r>
        <w:rPr>
          <w:b w:val="0"/>
          <w:bCs w:val="0"/>
        </w:rPr>
      </w:r>
    </w:p>
    <w:p>
      <w:pPr>
        <w:spacing w:line="240" w:lineRule="auto" w:before="8"/>
        <w:rPr>
          <w:rFonts w:ascii="宋体" w:hAnsi="宋体" w:cs="宋体" w:eastAsia="宋体" w:hint="default"/>
          <w:b/>
          <w:bCs/>
          <w:sz w:val="42"/>
          <w:szCs w:val="42"/>
        </w:rPr>
      </w:pPr>
    </w:p>
    <w:p>
      <w:pPr>
        <w:pStyle w:val="BodyText"/>
        <w:spacing w:line="240" w:lineRule="auto"/>
        <w:ind w:right="1048"/>
        <w:jc w:val="left"/>
      </w:pPr>
      <w:r>
        <w:rPr/>
        <w:t>（一）载有法定代表人签名的</w:t>
      </w:r>
      <w:r>
        <w:rPr>
          <w:rFonts w:ascii="Times New Roman" w:hAnsi="Times New Roman" w:cs="Times New Roman" w:eastAsia="Times New Roman" w:hint="default"/>
        </w:rPr>
        <w:t>2018</w:t>
      </w:r>
      <w:r>
        <w:rPr/>
        <w:t>年年度报告文本；</w:t>
      </w:r>
    </w:p>
    <w:p>
      <w:pPr>
        <w:pStyle w:val="BodyText"/>
        <w:spacing w:line="240" w:lineRule="auto" w:before="104"/>
        <w:ind w:right="1048"/>
        <w:jc w:val="left"/>
      </w:pPr>
      <w:r>
        <w:rPr/>
        <w:t>（二）载有公司负责人、主管会计工作负责人、会计机构负责人（会计主管人员）签名并盖章的财务报表；</w:t>
      </w:r>
    </w:p>
    <w:p>
      <w:pPr>
        <w:pStyle w:val="BodyText"/>
        <w:spacing w:line="240" w:lineRule="auto" w:before="116"/>
        <w:ind w:right="1048"/>
        <w:jc w:val="left"/>
      </w:pPr>
      <w:r>
        <w:rPr/>
        <w:t>（三）载有会计师事务所盖章、注册会计师签名并盖章的审计报告原件；</w:t>
      </w:r>
    </w:p>
    <w:p>
      <w:pPr>
        <w:pStyle w:val="BodyText"/>
        <w:spacing w:line="240" w:lineRule="auto" w:before="116"/>
        <w:ind w:right="1048"/>
        <w:jc w:val="left"/>
      </w:pPr>
      <w:r>
        <w:rPr/>
        <w:t>（四）报告期内在中国证监会指定网站上公开披露过的所有公司文件的正本及公告的原稿；</w:t>
      </w:r>
    </w:p>
    <w:p>
      <w:pPr>
        <w:pStyle w:val="BodyText"/>
        <w:spacing w:line="357" w:lineRule="auto" w:before="117"/>
        <w:ind w:right="6972"/>
        <w:jc w:val="left"/>
      </w:pPr>
      <w:r>
        <w:rPr/>
        <w:t>（五）其他有关资料。 以上备查文件的备置地点：公司董事会办公室。 注：公司应当披露备查文件的目录，包括：</w:t>
      </w:r>
    </w:p>
    <w:p>
      <w:pPr>
        <w:pStyle w:val="BodyText"/>
        <w:spacing w:line="240" w:lineRule="auto" w:before="29"/>
        <w:ind w:right="1048"/>
        <w:jc w:val="left"/>
      </w:pPr>
      <w:r>
        <w:rPr/>
        <w:t>（一）载有公司负责人、主管会计工作负责人、会计机构负责人（会计主管人员）签名并盖章的财务报表。</w:t>
      </w:r>
    </w:p>
    <w:p>
      <w:pPr>
        <w:pStyle w:val="BodyText"/>
        <w:spacing w:line="240" w:lineRule="auto" w:before="116"/>
        <w:ind w:right="1048"/>
        <w:jc w:val="left"/>
      </w:pPr>
      <w:r>
        <w:rPr/>
        <w:t>（二）载有会计师事务所盖章、注册会计师签名并盖章的审计报告原件。</w:t>
      </w:r>
    </w:p>
    <w:p>
      <w:pPr>
        <w:pStyle w:val="BodyText"/>
        <w:spacing w:line="240" w:lineRule="auto" w:before="116"/>
        <w:ind w:right="1048"/>
        <w:jc w:val="left"/>
      </w:pPr>
      <w:r>
        <w:rPr/>
        <w:t>（三）报告期内在中国证监会指定网站上公开披露过的所有公司文件的正本及公告的原稿。</w:t>
      </w:r>
    </w:p>
    <w:p>
      <w:pPr>
        <w:pStyle w:val="BodyText"/>
        <w:spacing w:line="240" w:lineRule="auto" w:before="117"/>
        <w:ind w:right="1048"/>
        <w:jc w:val="left"/>
      </w:pPr>
      <w:r>
        <w:rPr/>
        <w:t>（四）在其他证券市场公布的年度报告。</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9592" type="#_x0000_t75" stroked="false">
          <v:imagedata r:id="rId1" o:title=""/>
        </v:shape>
      </w:pict>
    </w:r>
    <w:r>
      <w:rPr/>
      <w:pict>
        <v:shape style="position:absolute;margin-left:533.179993pt;margin-top:795.517944pt;width:6.5pt;height:11pt;mso-position-horizontal-relative:page;mso-position-vertical-relative:page;z-index:-9695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9544" type="#_x0000_t75" stroked="false">
          <v:imagedata r:id="rId1" o:title=""/>
        </v:shape>
      </w:pict>
    </w:r>
    <w:r>
      <w:rPr/>
      <w:pict>
        <v:shape style="position:absolute;margin-left:527.679993pt;margin-top:781.957947pt;width:13pt;height:11pt;mso-position-horizontal-relative:page;mso-position-vertical-relative:page;z-index:-9695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9496" type="#_x0000_t75" stroked="false">
          <v:imagedata r:id="rId1" o:title=""/>
        </v:shape>
      </w:pict>
    </w:r>
    <w:r>
      <w:rPr/>
      <w:pict>
        <v:shape style="position:absolute;margin-left:524.179993pt;margin-top:781.957947pt;width:15.5pt;height:11pt;mso-position-horizontal-relative:page;mso-position-vertical-relative:page;z-index:-9694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9448" type="#_x0000_t75" stroked="false">
          <v:imagedata r:id="rId1" o:title=""/>
        </v:shape>
      </w:pict>
    </w:r>
    <w:r>
      <w:rPr/>
      <w:pict>
        <v:shape style="position:absolute;margin-left:523.179993pt;margin-top:781.957947pt;width:17.5pt;height:11pt;mso-position-horizontal-relative:page;mso-position-vertical-relative:page;z-index:-9694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969616" type="#_x0000_t202" filled="false" stroked="false">
          <v:textbox inset="0,0,0,0">
            <w:txbxContent>
              <w:p>
                <w:pPr>
                  <w:pStyle w:val="BodyText"/>
                  <w:spacing w:line="214" w:lineRule="exact"/>
                  <w:ind w:left="20" w:right="0"/>
                  <w:jc w:val="left"/>
                </w:pPr>
                <w:r>
                  <w:rPr/>
                  <w:t>北京合纵科技股份有限公司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78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154"/>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ezong-tech.com/" TargetMode="External"/><Relationship Id="rId10" Type="http://schemas.openxmlformats.org/officeDocument/2006/relationships/hyperlink" Target="mailto:fengzheng@chinahezong.com" TargetMode="External"/><Relationship Id="rId11" Type="http://schemas.openxmlformats.org/officeDocument/2006/relationships/hyperlink" Target="mailto:chendexiang@chinahezong.com"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png"/><Relationship Id="rId20" Type="http://schemas.openxmlformats.org/officeDocument/2006/relationships/hyperlink" Target="http://www.cninfo.com/" TargetMode="External"/><Relationship Id="rId21" Type="http://schemas.openxmlformats.org/officeDocument/2006/relationships/footer" Target="footer3.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北京合纵科技股份有限公司</dc:creator>
  <dc:title>北京合纵科技股份有限公司2018年年度报告全文</dc:title>
  <dcterms:created xsi:type="dcterms:W3CDTF">2020-05-05T06:03:21Z</dcterms:created>
  <dcterms:modified xsi:type="dcterms:W3CDTF">2020-05-05T06:03:21Z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2019-06-12T00:00:00Z</vt:filetime>
  </property>
  <property fmtid="{D5CDD505-2E9C-101B-9397-08002B2CF9AE}" pid="3" name="Creator">
    <vt:lpwstr>Microsoft® Office Word 2007</vt:lpwstr>
  </property>
  <property fmtid="{D5CDD505-2E9C-101B-9397-08002B2CF9AE}" pid="4" name="LastSaved">
    <vt:filetime>2020-05-04T00:00:00Z</vt:filetime>
  </property>
</Properties>
</file>