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23999pt;margin-top:49.09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845" w:lineRule="exact"/>
        <w:ind w:left="385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6"/>
          <w:sz w:val="20"/>
          <w:szCs w:val="20"/>
        </w:rPr>
        <w:drawing>
          <wp:inline distT="0" distB="0" distL="0" distR="0">
            <wp:extent cx="1409313" cy="117157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313" cy="1171575"/>
                    </a:xfrm>
                    <a:prstGeom prst="rect">
                      <a:avLst/>
                    </a:prstGeom>
                  </pic:spPr>
                </pic:pic>
              </a:graphicData>
            </a:graphic>
          </wp:inline>
        </w:drawing>
      </w:r>
      <w:r>
        <w:rPr>
          <w:rFonts w:ascii="Times New Roman" w:hAnsi="Times New Roman" w:cs="Times New Roman" w:eastAsia="Times New Roman" w:hint="default"/>
          <w:position w:val="-36"/>
          <w:sz w:val="20"/>
          <w:szCs w:val="20"/>
        </w:rPr>
      </w:r>
    </w:p>
    <w:p>
      <w:pPr>
        <w:spacing w:line="240" w:lineRule="auto" w:before="7"/>
        <w:rPr>
          <w:rFonts w:ascii="Times New Roman" w:hAnsi="Times New Roman" w:cs="Times New Roman" w:eastAsia="Times New Roman" w:hint="default"/>
          <w:sz w:val="13"/>
          <w:szCs w:val="13"/>
        </w:rPr>
      </w:pPr>
    </w:p>
    <w:p>
      <w:pPr>
        <w:spacing w:line="460" w:lineRule="exact" w:before="0"/>
        <w:ind w:left="2783" w:right="3764" w:firstLine="0"/>
        <w:jc w:val="center"/>
        <w:rPr>
          <w:rFonts w:ascii="宋体" w:hAnsi="宋体" w:cs="宋体" w:eastAsia="宋体" w:hint="default"/>
          <w:sz w:val="36"/>
          <w:szCs w:val="36"/>
        </w:rPr>
      </w:pPr>
      <w:r>
        <w:rPr>
          <w:rFonts w:ascii="宋体" w:hAnsi="宋体" w:cs="宋体" w:eastAsia="宋体" w:hint="default"/>
          <w:b/>
          <w:bCs/>
          <w:sz w:val="36"/>
          <w:szCs w:val="36"/>
        </w:rPr>
        <w:t>北京合纵科技股份有限公司</w:t>
      </w:r>
      <w:r>
        <w:rPr>
          <w:rFonts w:ascii="宋体" w:hAnsi="宋体" w:cs="宋体" w:eastAsia="宋体" w:hint="default"/>
          <w:sz w:val="36"/>
          <w:szCs w:val="36"/>
        </w:rPr>
      </w:r>
    </w:p>
    <w:p>
      <w:pPr>
        <w:spacing w:line="240" w:lineRule="auto" w:before="0"/>
        <w:rPr>
          <w:rFonts w:ascii="宋体" w:hAnsi="宋体" w:cs="宋体" w:eastAsia="宋体" w:hint="default"/>
          <w:b/>
          <w:bCs/>
          <w:sz w:val="31"/>
          <w:szCs w:val="31"/>
        </w:rPr>
      </w:pPr>
    </w:p>
    <w:p>
      <w:pPr>
        <w:spacing w:before="0"/>
        <w:ind w:left="2783" w:right="37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2783" w:right="375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1" w:footer="979" w:top="1060" w:bottom="1160" w:left="980" w:right="0"/>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Heading1"/>
        <w:spacing w:line="240" w:lineRule="auto"/>
        <w:ind w:left="2885" w:right="0"/>
        <w:jc w:val="left"/>
        <w:rPr>
          <w:b w:val="0"/>
          <w:bCs w:val="0"/>
        </w:rPr>
      </w:pPr>
      <w:bookmarkStart w:name="_TOC_250012" w:id="1"/>
      <w:bookmarkStart w:name="第一节重要提示、目录和释义" w:id="2"/>
      <w:r>
        <w:rPr>
          <w:b w:val="0"/>
          <w:bCs w:val="0"/>
        </w:rPr>
      </w:r>
      <w:r>
        <w:rPr/>
        <w:t>第一节重要提示、目录和释义</w:t>
      </w:r>
      <w:bookmarkEnd w:id="1"/>
      <w:r>
        <w:rPr>
          <w:b w:val="0"/>
          <w:bCs w:val="0"/>
        </w:rPr>
      </w:r>
    </w:p>
    <w:p>
      <w:pPr>
        <w:spacing w:line="240" w:lineRule="auto" w:before="12"/>
        <w:rPr>
          <w:rFonts w:ascii="宋体" w:hAnsi="宋体" w:cs="宋体" w:eastAsia="宋体" w:hint="default"/>
          <w:b/>
          <w:bCs/>
          <w:sz w:val="47"/>
          <w:szCs w:val="47"/>
        </w:rPr>
      </w:pPr>
    </w:p>
    <w:p>
      <w:pPr>
        <w:spacing w:line="408" w:lineRule="auto" w:before="0"/>
        <w:ind w:left="153" w:right="1141"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实、准确、完整，不存在虚假记载、误导性陈述或重大遗漏，并承担个别和连</w:t>
      </w:r>
      <w:r>
        <w:rPr>
          <w:rFonts w:ascii="宋体" w:hAnsi="宋体" w:cs="宋体" w:eastAsia="宋体" w:hint="default"/>
          <w:b/>
          <w:bCs/>
          <w:spacing w:val="124"/>
          <w:w w:val="95"/>
          <w:sz w:val="28"/>
          <w:szCs w:val="28"/>
        </w:rPr>
        <w:t> </w:t>
      </w:r>
      <w:r>
        <w:rPr>
          <w:rFonts w:ascii="宋体" w:hAnsi="宋体" w:cs="宋体" w:eastAsia="宋体" w:hint="default"/>
          <w:b/>
          <w:bCs/>
          <w:spacing w:val="124"/>
          <w:w w:val="95"/>
          <w:sz w:val="28"/>
          <w:szCs w:val="28"/>
        </w:rPr>
      </w:r>
      <w:r>
        <w:rPr>
          <w:rFonts w:ascii="宋体" w:hAnsi="宋体" w:cs="宋体" w:eastAsia="宋体" w:hint="default"/>
          <w:b/>
          <w:bCs/>
          <w:spacing w:val="2"/>
          <w:sz w:val="28"/>
          <w:szCs w:val="28"/>
        </w:rPr>
        <w:t>带的法律责任。</w:t>
      </w:r>
      <w:r>
        <w:rPr>
          <w:rFonts w:ascii="宋体" w:hAnsi="宋体" w:cs="宋体" w:eastAsia="宋体" w:hint="default"/>
          <w:spacing w:val="2"/>
          <w:sz w:val="28"/>
          <w:szCs w:val="28"/>
        </w:rPr>
      </w:r>
    </w:p>
    <w:p>
      <w:pPr>
        <w:spacing w:line="386" w:lineRule="auto" w:before="162"/>
        <w:ind w:left="153" w:right="1127"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公司负责人刘泽刚、主管会计工作负责人韦强及会计机构负责人</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张晓屹声明：保证年度报告中财务报告的真实、准确、完整。</w:t>
      </w:r>
      <w:r>
        <w:rPr>
          <w:rFonts w:ascii="宋体" w:hAnsi="宋体" w:cs="宋体" w:eastAsia="宋体" w:hint="default"/>
          <w:spacing w:val="2"/>
          <w:sz w:val="28"/>
          <w:szCs w:val="28"/>
        </w:rPr>
      </w:r>
    </w:p>
    <w:p>
      <w:pPr>
        <w:spacing w:line="475" w:lineRule="auto" w:before="148"/>
        <w:ind w:left="714"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4"/>
          <w:w w:val="95"/>
          <w:sz w:val="28"/>
          <w:szCs w:val="28"/>
        </w:rPr>
        <w:t>年报中涉及的未来经营计划是公司基于目前的行业、市场环境制定的公司</w:t>
      </w:r>
      <w:r>
        <w:rPr>
          <w:rFonts w:ascii="宋体" w:hAnsi="宋体" w:cs="宋体" w:eastAsia="宋体" w:hint="default"/>
          <w:spacing w:val="4"/>
          <w:sz w:val="28"/>
          <w:szCs w:val="28"/>
        </w:rPr>
      </w:r>
    </w:p>
    <w:p>
      <w:pPr>
        <w:spacing w:line="350" w:lineRule="exact" w:before="0"/>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战略发展规划及业绩预测，并不构成业绩承诺，敬请投资者保持足够的风险意</w:t>
      </w:r>
      <w:r>
        <w:rPr>
          <w:rFonts w:ascii="宋体" w:hAnsi="宋体" w:cs="宋体" w:eastAsia="宋体" w:hint="default"/>
          <w:spacing w:val="4"/>
          <w:sz w:val="28"/>
          <w:szCs w:val="28"/>
        </w:rPr>
      </w:r>
    </w:p>
    <w:p>
      <w:pPr>
        <w:spacing w:line="240" w:lineRule="auto" w:before="9"/>
        <w:rPr>
          <w:rFonts w:ascii="宋体" w:hAnsi="宋体" w:cs="宋体" w:eastAsia="宋体" w:hint="default"/>
          <w:b/>
          <w:bCs/>
          <w:sz w:val="19"/>
          <w:szCs w:val="19"/>
        </w:rPr>
      </w:pPr>
    </w:p>
    <w:p>
      <w:pPr>
        <w:spacing w:before="0"/>
        <w:ind w:left="153"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识。</w:t>
      </w:r>
      <w:r>
        <w:rPr>
          <w:rFonts w:ascii="宋体" w:hAnsi="宋体" w:cs="宋体" w:eastAsia="宋体" w:hint="default"/>
          <w:sz w:val="28"/>
          <w:szCs w:val="28"/>
        </w:rPr>
      </w:r>
    </w:p>
    <w:p>
      <w:pPr>
        <w:spacing w:line="240" w:lineRule="auto" w:before="1"/>
        <w:rPr>
          <w:rFonts w:ascii="宋体" w:hAnsi="宋体" w:cs="宋体" w:eastAsia="宋体" w:hint="default"/>
          <w:b/>
          <w:bCs/>
          <w:sz w:val="27"/>
          <w:szCs w:val="27"/>
        </w:rPr>
      </w:pPr>
    </w:p>
    <w:p>
      <w:pPr>
        <w:spacing w:line="386" w:lineRule="auto" w:before="0"/>
        <w:ind w:left="153" w:right="1134" w:firstLine="561"/>
        <w:jc w:val="both"/>
        <w:rPr>
          <w:rFonts w:ascii="宋体" w:hAnsi="宋体" w:cs="宋体" w:eastAsia="宋体" w:hint="default"/>
          <w:sz w:val="28"/>
          <w:szCs w:val="28"/>
        </w:rPr>
      </w:pPr>
      <w:r>
        <w:rPr>
          <w:rFonts w:ascii="宋体" w:hAnsi="宋体" w:cs="宋体" w:eastAsia="宋体" w:hint="default"/>
          <w:b/>
          <w:bCs/>
          <w:spacing w:val="2"/>
          <w:w w:val="95"/>
          <w:sz w:val="28"/>
          <w:szCs w:val="28"/>
        </w:rPr>
        <w:t>公司在本报告</w:t>
      </w:r>
      <w:r>
        <w:rPr>
          <w:rFonts w:ascii="Times New Roman" w:hAnsi="Times New Roman" w:cs="Times New Roman" w:eastAsia="Times New Roman" w:hint="default"/>
          <w:b/>
          <w:bCs/>
          <w:spacing w:val="2"/>
          <w:w w:val="95"/>
          <w:sz w:val="28"/>
          <w:szCs w:val="28"/>
        </w:rPr>
        <w:t>"</w:t>
      </w:r>
      <w:r>
        <w:rPr>
          <w:rFonts w:ascii="宋体" w:hAnsi="宋体" w:cs="宋体" w:eastAsia="宋体" w:hint="default"/>
          <w:b/>
          <w:bCs/>
          <w:spacing w:val="2"/>
          <w:w w:val="95"/>
          <w:sz w:val="28"/>
          <w:szCs w:val="28"/>
        </w:rPr>
        <w:t>第四节</w:t>
      </w:r>
      <w:r>
        <w:rPr>
          <w:rFonts w:ascii="宋体" w:hAnsi="宋体" w:cs="宋体" w:eastAsia="宋体" w:hint="default"/>
          <w:b/>
          <w:bCs/>
          <w:spacing w:val="28"/>
          <w:w w:val="95"/>
          <w:sz w:val="28"/>
          <w:szCs w:val="28"/>
        </w:rPr>
        <w:t> </w:t>
      </w:r>
      <w:r>
        <w:rPr>
          <w:rFonts w:ascii="宋体" w:hAnsi="宋体" w:cs="宋体" w:eastAsia="宋体" w:hint="default"/>
          <w:b/>
          <w:bCs/>
          <w:w w:val="95"/>
          <w:sz w:val="28"/>
          <w:szCs w:val="28"/>
        </w:rPr>
        <w:t>经营情况讨论与分析、九</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中，详细描述了公司经营</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中可能存在的风险及应对措施，敬请投资者关注相关内容。</w:t>
      </w:r>
      <w:r>
        <w:rPr>
          <w:rFonts w:ascii="宋体" w:hAnsi="宋体" w:cs="宋体" w:eastAsia="宋体" w:hint="default"/>
          <w:spacing w:val="2"/>
          <w:sz w:val="28"/>
          <w:szCs w:val="28"/>
        </w:rPr>
      </w:r>
    </w:p>
    <w:p>
      <w:pPr>
        <w:spacing w:before="187"/>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公司经本次董事会审议通过的利润分配预案为：以总股本</w:t>
      </w:r>
      <w:r>
        <w:rPr>
          <w:rFonts w:ascii="宋体" w:hAnsi="宋体" w:cs="宋体" w:eastAsia="宋体" w:hint="default"/>
          <w:b/>
          <w:bCs/>
          <w:spacing w:val="-99"/>
          <w:sz w:val="28"/>
          <w:szCs w:val="28"/>
        </w:rPr>
        <w:t> </w:t>
      </w:r>
      <w:r>
        <w:rPr>
          <w:rFonts w:ascii="Times New Roman" w:hAnsi="Times New Roman" w:cs="Times New Roman" w:eastAsia="Times New Roman" w:hint="default"/>
          <w:b/>
          <w:bCs/>
          <w:sz w:val="28"/>
          <w:szCs w:val="28"/>
        </w:rPr>
        <w:t>832,975,698</w:t>
      </w:r>
      <w:r>
        <w:rPr>
          <w:rFonts w:ascii="Times New Roman" w:hAnsi="Times New Roman" w:cs="Times New Roman" w:eastAsia="Times New Roman" w:hint="default"/>
          <w:b/>
          <w:bCs/>
          <w:spacing w:val="-34"/>
          <w:sz w:val="28"/>
          <w:szCs w:val="28"/>
        </w:rPr>
        <w:t> </w:t>
      </w:r>
      <w:r>
        <w:rPr>
          <w:rFonts w:ascii="宋体" w:hAnsi="宋体" w:cs="宋体" w:eastAsia="宋体" w:hint="default"/>
          <w:b/>
          <w:bCs/>
          <w:sz w:val="28"/>
          <w:szCs w:val="28"/>
        </w:rPr>
        <w:t>股为</w:t>
      </w:r>
      <w:r>
        <w:rPr>
          <w:rFonts w:ascii="宋体" w:hAnsi="宋体" w:cs="宋体" w:eastAsia="宋体" w:hint="default"/>
          <w:sz w:val="28"/>
          <w:szCs w:val="28"/>
        </w:rPr>
      </w:r>
    </w:p>
    <w:p>
      <w:pPr>
        <w:spacing w:before="237"/>
        <w:ind w:left="153" w:right="0" w:firstLine="0"/>
        <w:jc w:val="left"/>
        <w:rPr>
          <w:rFonts w:ascii="宋体" w:hAnsi="宋体" w:cs="宋体" w:eastAsia="宋体" w:hint="default"/>
          <w:sz w:val="28"/>
          <w:szCs w:val="28"/>
        </w:rPr>
      </w:pPr>
      <w:r>
        <w:rPr>
          <w:rFonts w:ascii="宋体" w:hAnsi="宋体" w:cs="宋体" w:eastAsia="宋体" w:hint="default"/>
          <w:b/>
          <w:bCs/>
          <w:spacing w:val="4"/>
          <w:w w:val="99"/>
          <w:sz w:val="28"/>
          <w:szCs w:val="28"/>
        </w:rPr>
        <w:t>基数</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向</w:t>
      </w:r>
      <w:r>
        <w:rPr>
          <w:rFonts w:ascii="宋体" w:hAnsi="宋体" w:cs="宋体" w:eastAsia="宋体" w:hint="default"/>
          <w:b/>
          <w:bCs/>
          <w:w w:val="99"/>
          <w:sz w:val="28"/>
          <w:szCs w:val="28"/>
        </w:rPr>
        <w:t>全</w:t>
      </w:r>
      <w:r>
        <w:rPr>
          <w:rFonts w:ascii="宋体" w:hAnsi="宋体" w:cs="宋体" w:eastAsia="宋体" w:hint="default"/>
          <w:b/>
          <w:bCs/>
          <w:spacing w:val="4"/>
          <w:w w:val="99"/>
          <w:sz w:val="28"/>
          <w:szCs w:val="28"/>
        </w:rPr>
        <w:t>体</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2"/>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股</w:t>
      </w:r>
      <w:r>
        <w:rPr>
          <w:rFonts w:ascii="宋体" w:hAnsi="宋体" w:cs="宋体" w:eastAsia="宋体" w:hint="default"/>
          <w:b/>
          <w:bCs/>
          <w:w w:val="99"/>
          <w:sz w:val="28"/>
          <w:szCs w:val="28"/>
        </w:rPr>
        <w:t>派</w:t>
      </w:r>
      <w:r>
        <w:rPr>
          <w:rFonts w:ascii="宋体" w:hAnsi="宋体" w:cs="宋体" w:eastAsia="宋体" w:hint="default"/>
          <w:b/>
          <w:bCs/>
          <w:spacing w:val="4"/>
          <w:w w:val="99"/>
          <w:sz w:val="28"/>
          <w:szCs w:val="28"/>
        </w:rPr>
        <w:t>发</w:t>
      </w:r>
      <w:r>
        <w:rPr>
          <w:rFonts w:ascii="宋体" w:hAnsi="宋体" w:cs="宋体" w:eastAsia="宋体" w:hint="default"/>
          <w:b/>
          <w:bCs/>
          <w:w w:val="99"/>
          <w:sz w:val="28"/>
          <w:szCs w:val="28"/>
        </w:rPr>
        <w:t>现</w:t>
      </w:r>
      <w:r>
        <w:rPr>
          <w:rFonts w:ascii="宋体" w:hAnsi="宋体" w:cs="宋体" w:eastAsia="宋体" w:hint="default"/>
          <w:b/>
          <w:bCs/>
          <w:spacing w:val="4"/>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w:t>
      </w:r>
      <w:r>
        <w:rPr>
          <w:rFonts w:ascii="Times New Roman" w:hAnsi="Times New Roman" w:cs="Times New Roman" w:eastAsia="Times New Roman" w:hint="default"/>
          <w:b/>
          <w:bCs/>
          <w:w w:val="99"/>
          <w:sz w:val="28"/>
          <w:szCs w:val="28"/>
        </w:rPr>
        <w:t>16</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w w:val="99"/>
          <w:sz w:val="28"/>
          <w:szCs w:val="28"/>
        </w:rPr>
        <w:t>元（</w:t>
      </w:r>
      <w:r>
        <w:rPr>
          <w:rFonts w:ascii="宋体" w:hAnsi="宋体" w:cs="宋体" w:eastAsia="宋体" w:hint="default"/>
          <w:b/>
          <w:bCs/>
          <w:w w:val="99"/>
          <w:sz w:val="28"/>
          <w:szCs w:val="28"/>
        </w:rPr>
        <w:t>含税</w:t>
      </w:r>
      <w:r>
        <w:rPr>
          <w:rFonts w:ascii="宋体" w:hAnsi="宋体" w:cs="宋体" w:eastAsia="宋体" w:hint="default"/>
          <w:b/>
          <w:bCs/>
          <w:spacing w:val="-135"/>
          <w:w w:val="99"/>
          <w:sz w:val="28"/>
          <w:szCs w:val="28"/>
        </w:rPr>
        <w:t>）</w:t>
      </w:r>
      <w:r>
        <w:rPr>
          <w:rFonts w:ascii="宋体" w:hAnsi="宋体" w:cs="宋体" w:eastAsia="宋体" w:hint="default"/>
          <w:b/>
          <w:bCs/>
          <w:w w:val="99"/>
          <w:sz w:val="28"/>
          <w:szCs w:val="28"/>
        </w:rPr>
        <w:t>，</w:t>
      </w:r>
      <w:r>
        <w:rPr>
          <w:rFonts w:ascii="宋体" w:hAnsi="宋体" w:cs="宋体" w:eastAsia="宋体" w:hint="default"/>
          <w:b/>
          <w:bCs/>
          <w:spacing w:val="4"/>
          <w:w w:val="99"/>
          <w:sz w:val="28"/>
          <w:szCs w:val="28"/>
        </w:rPr>
        <w:t>送</w:t>
      </w:r>
      <w:r>
        <w:rPr>
          <w:rFonts w:ascii="宋体" w:hAnsi="宋体" w:cs="宋体" w:eastAsia="宋体" w:hint="default"/>
          <w:b/>
          <w:bCs/>
          <w:w w:val="99"/>
          <w:sz w:val="28"/>
          <w:szCs w:val="28"/>
        </w:rPr>
        <w:t>红股</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4"/>
          <w:w w:val="99"/>
          <w:sz w:val="28"/>
          <w:szCs w:val="28"/>
        </w:rPr>
        <w:t>（</w:t>
      </w:r>
      <w:r>
        <w:rPr>
          <w:rFonts w:ascii="宋体" w:hAnsi="宋体" w:cs="宋体" w:eastAsia="宋体" w:hint="default"/>
          <w:b/>
          <w:bCs/>
          <w:w w:val="99"/>
          <w:sz w:val="28"/>
          <w:szCs w:val="28"/>
        </w:rPr>
        <w:t>含</w:t>
      </w:r>
      <w:r>
        <w:rPr>
          <w:rFonts w:ascii="宋体" w:hAnsi="宋体" w:cs="宋体" w:eastAsia="宋体" w:hint="default"/>
          <w:b/>
          <w:bCs/>
          <w:spacing w:val="4"/>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before="236"/>
        <w:ind w:left="153" w:right="0" w:firstLine="0"/>
        <w:jc w:val="left"/>
        <w:rPr>
          <w:rFonts w:ascii="宋体" w:hAnsi="宋体" w:cs="宋体" w:eastAsia="宋体" w:hint="default"/>
          <w:sz w:val="28"/>
          <w:szCs w:val="28"/>
        </w:rPr>
      </w:pPr>
      <w:r>
        <w:rPr>
          <w:rFonts w:ascii="宋体" w:hAnsi="宋体" w:cs="宋体" w:eastAsia="宋体" w:hint="default"/>
          <w:b/>
          <w:bCs/>
          <w:spacing w:val="2"/>
          <w:sz w:val="28"/>
          <w:szCs w:val="28"/>
        </w:rPr>
        <w:t>以资本公积金向全体股东每</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9"/>
          <w:sz w:val="28"/>
          <w:szCs w:val="28"/>
        </w:rPr>
        <w:t> </w:t>
      </w:r>
      <w:r>
        <w:rPr>
          <w:rFonts w:ascii="宋体" w:hAnsi="宋体" w:cs="宋体" w:eastAsia="宋体" w:hint="default"/>
          <w:b/>
          <w:bCs/>
          <w:sz w:val="28"/>
          <w:szCs w:val="28"/>
        </w:rPr>
        <w:t>股转增</w:t>
      </w:r>
      <w:r>
        <w:rPr>
          <w:rFonts w:ascii="宋体" w:hAnsi="宋体" w:cs="宋体" w:eastAsia="宋体" w:hint="default"/>
          <w:b/>
          <w:bCs/>
          <w:spacing w:val="-80"/>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9"/>
          <w:sz w:val="28"/>
          <w:szCs w:val="28"/>
        </w:rPr>
        <w:t> </w:t>
      </w:r>
      <w:r>
        <w:rPr>
          <w:rFonts w:ascii="宋体" w:hAnsi="宋体" w:cs="宋体" w:eastAsia="宋体" w:hint="default"/>
          <w:b/>
          <w:bCs/>
          <w:spacing w:val="4"/>
          <w:sz w:val="28"/>
          <w:szCs w:val="28"/>
        </w:rPr>
        <w:t>股。</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1" w:top="1060" w:bottom="1160" w:left="980" w:right="0"/>
          <w:pgNumType w:start="2"/>
        </w:sectPr>
      </w:pPr>
    </w:p>
    <w:p>
      <w:pPr>
        <w:spacing w:line="240" w:lineRule="auto" w:before="2"/>
        <w:rPr>
          <w:rFonts w:ascii="宋体" w:hAnsi="宋体" w:cs="宋体" w:eastAsia="宋体" w:hint="default"/>
          <w:b/>
          <w:bCs/>
          <w:sz w:val="3"/>
          <w:szCs w:val="3"/>
        </w:rPr>
      </w:pPr>
    </w:p>
    <w:p>
      <w:pPr>
        <w:spacing w:line="20" w:lineRule="exact"/>
        <w:ind w:left="117" w:right="0" w:firstLine="0"/>
        <w:rPr>
          <w:rFonts w:ascii="宋体" w:hAnsi="宋体" w:cs="宋体" w:eastAsia="宋体" w:hint="default"/>
          <w:sz w:val="2"/>
          <w:szCs w:val="2"/>
        </w:rPr>
      </w:pPr>
      <w:r>
        <w:rPr>
          <w:rFonts w:ascii="宋体" w:hAnsi="宋体" w:cs="宋体" w:eastAsia="宋体" w:hint="default"/>
          <w:sz w:val="2"/>
          <w:szCs w:val="2"/>
        </w:rPr>
        <w:pict>
          <v:group style="width:485.75pt;height:.75pt;mso-position-horizontal-relative:char;mso-position-vertical-relative:line" coordorigin="0,0" coordsize="9715,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5"/>
          <w:szCs w:val="25"/>
        </w:rPr>
      </w:pPr>
    </w:p>
    <w:p>
      <w:pPr>
        <w:spacing w:line="460" w:lineRule="exact" w:before="0"/>
        <w:ind w:left="2783" w:right="3757" w:firstLine="0"/>
        <w:jc w:val="center"/>
        <w:rPr>
          <w:rFonts w:ascii="宋体" w:hAnsi="宋体" w:cs="宋体" w:eastAsia="宋体" w:hint="default"/>
          <w:sz w:val="36"/>
          <w:szCs w:val="36"/>
        </w:rPr>
      </w:pPr>
      <w:r>
        <w:rPr>
          <w:rFonts w:ascii="宋体" w:hAnsi="宋体" w:cs="宋体" w:eastAsia="宋体" w:hint="default"/>
          <w:b/>
          <w:bCs/>
          <w:spacing w:val="4"/>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5"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TOC_250012">
            <w:r>
              <w:rPr/>
              <w:t>第一节</w:t>
            </w:r>
            <w:r>
              <w:rPr>
                <w:spacing w:val="-20"/>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第二节</w:t>
            </w:r>
            <w:r>
              <w:rPr>
                <w:spacing w:val="-20"/>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9785" w:val="right" w:leader="dot"/>
            </w:tabs>
            <w:spacing w:line="240" w:lineRule="auto" w:before="158"/>
            <w:ind w:right="0"/>
            <w:jc w:val="left"/>
            <w:rPr>
              <w:rFonts w:ascii="Times New Roman" w:hAnsi="Times New Roman" w:cs="Times New Roman" w:eastAsia="Times New Roman" w:hint="default"/>
              <w:b w:val="0"/>
              <w:bCs w:val="0"/>
            </w:rPr>
          </w:pPr>
          <w:hyperlink w:history="true" w:anchor="_TOC_250010">
            <w:r>
              <w:rPr/>
              <w:t>第三节</w:t>
            </w:r>
            <w:r>
              <w:rPr>
                <w:spacing w:val="-20"/>
              </w:rPr>
              <w:t> </w:t>
            </w:r>
            <w:r>
              <w:rPr/>
              <w:t>公司业务概要</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第四节</w:t>
            </w:r>
            <w:r>
              <w:rPr>
                <w:spacing w:val="-20"/>
              </w:rPr>
              <w:t> </w:t>
            </w:r>
            <w:r>
              <w:rPr/>
              <w:t>经营情况讨论与分析</w:t>
            </w:r>
            <w:r>
              <w:rPr>
                <w:rFonts w:ascii="Times New Roman" w:hAnsi="Times New Roman" w:cs="Times New Roman" w:eastAsia="Times New Roman" w:hint="default"/>
              </w:rPr>
              <w:tab/>
              <w:t>27</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8">
            <w:r>
              <w:rPr/>
              <w:t>第五节</w:t>
            </w:r>
            <w:r>
              <w:rPr>
                <w:spacing w:val="-20"/>
              </w:rPr>
              <w:t> </w:t>
            </w:r>
            <w:r>
              <w:rPr/>
              <w:t>重要事项</w:t>
            </w:r>
            <w:r>
              <w:rPr>
                <w:rFonts w:ascii="Times New Roman" w:hAnsi="Times New Roman" w:cs="Times New Roman" w:eastAsia="Times New Roman" w:hint="default"/>
              </w:rPr>
              <w:tab/>
              <w:t>42</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第六节</w:t>
            </w:r>
            <w:r>
              <w:rPr>
                <w:spacing w:val="-20"/>
              </w:rPr>
              <w:t> </w:t>
            </w:r>
            <w:r>
              <w:rPr/>
              <w:t>股份变动及股东情况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6">
            <w:r>
              <w:rPr/>
              <w:t>第七节</w:t>
            </w:r>
            <w:r>
              <w:rPr>
                <w:spacing w:val="-21"/>
              </w:rPr>
              <w:t> </w:t>
            </w:r>
            <w:r>
              <w:rPr/>
              <w:t>优先股相关情况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第八节</w:t>
            </w:r>
            <w:r>
              <w:rPr>
                <w:spacing w:val="-20"/>
              </w:rPr>
              <w:t> </w:t>
            </w:r>
            <w:r>
              <w:rPr/>
              <w:t>可转换公司债券相关情况</w:t>
            </w:r>
            <w:r>
              <w:rPr>
                <w:rFonts w:ascii="Times New Roman" w:hAnsi="Times New Roman" w:cs="Times New Roman" w:eastAsia="Times New Roman" w:hint="default"/>
              </w:rPr>
              <w:tab/>
              <w:t>49</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4">
            <w:r>
              <w:rPr/>
              <w:t>第九节</w:t>
            </w:r>
            <w:r>
              <w:rPr>
                <w:spacing w:val="-21"/>
              </w:rPr>
              <w:t> </w:t>
            </w:r>
            <w:r>
              <w:rPr/>
              <w:t>董事、监事、高级管理人员和员工情况</w:t>
            </w:r>
            <w:r>
              <w:rPr>
                <w:rFonts w:ascii="Times New Roman" w:hAnsi="Times New Roman" w:cs="Times New Roman" w:eastAsia="Times New Roman" w:hint="default"/>
              </w:rPr>
              <w:tab/>
              <w:t>50</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第十节</w:t>
            </w:r>
            <w:r>
              <w:rPr>
                <w:spacing w:val="-20"/>
              </w:rPr>
              <w:t> </w:t>
            </w:r>
            <w:r>
              <w:rPr/>
              <w:t>公司治理</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2">
            <w:r>
              <w:rPr/>
              <w:t>第十一节</w:t>
            </w:r>
            <w:r>
              <w:rPr>
                <w:spacing w:val="-20"/>
              </w:rPr>
              <w:t> </w:t>
            </w:r>
            <w:r>
              <w:rPr/>
              <w:t>公司债券相关情况</w:t>
            </w:r>
            <w:r>
              <w:rPr>
                <w:rFonts w:ascii="Times New Roman" w:hAnsi="Times New Roman" w:cs="Times New Roman" w:eastAsia="Times New Roman" w:hint="default"/>
              </w:rPr>
              <w:tab/>
              <w:t>58</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第十二节</w:t>
            </w:r>
            <w:r>
              <w:rPr>
                <w:spacing w:val="-20"/>
              </w:rPr>
              <w:t> </w:t>
            </w:r>
            <w:r>
              <w:rPr/>
              <w:t>财务报告</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5" w:val="right" w:leader="dot"/>
            </w:tabs>
            <w:spacing w:line="240" w:lineRule="auto" w:before="157"/>
            <w:ind w:right="0"/>
            <w:jc w:val="left"/>
            <w:rPr>
              <w:rFonts w:ascii="Times New Roman" w:hAnsi="Times New Roman" w:cs="Times New Roman" w:eastAsia="Times New Roman" w:hint="default"/>
              <w:b w:val="0"/>
              <w:bCs w:val="0"/>
            </w:rPr>
          </w:pPr>
          <w:hyperlink w:history="true" w:anchor="_TOC_250000">
            <w:r>
              <w:rPr/>
              <w:t>第十三节</w:t>
            </w:r>
            <w:r>
              <w:rPr>
                <w:spacing w:val="-21"/>
              </w:rPr>
              <w:t> </w:t>
            </w:r>
            <w:r>
              <w:rPr/>
              <w:t>备查文件目录</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1" w:footer="979" w:top="1060" w:bottom="1160" w:left="980" w:right="0"/>
        </w:sectPr>
      </w:pPr>
    </w:p>
    <w:p>
      <w:pPr>
        <w:spacing w:before="954"/>
        <w:ind w:left="2783" w:right="375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3537"/>
        <w:gridCol w:w="600"/>
        <w:gridCol w:w="5438"/>
      </w:tblGrid>
      <w:tr>
        <w:trPr>
          <w:trHeight w:val="403" w:hRule="exact"/>
        </w:trPr>
        <w:tc>
          <w:tcPr>
            <w:tcW w:w="3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公司、合纵科技</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三会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股东大会、董事会、监事会</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公司总经理、副总经理、财务总监、董事会秘书</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《中华人民共和国公司法》</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《中华人民共和国证券法》</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合纵实科</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北京合纵实科电力科技有限公司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天津合纵</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天津合纵电力设备有限公司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合纵科沃尔</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北京合纵科沃尔电力科技有限公司</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江苏鹏创</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江苏鹏创电力设计有限公司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天津茂联</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r>
      <w:tr>
        <w:trPr>
          <w:trHeight w:val="403"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中国证券监督管理委员会</w:t>
            </w:r>
          </w:p>
        </w:tc>
      </w:tr>
      <w:tr>
        <w:trPr>
          <w:trHeight w:val="399" w:hRule="exact"/>
        </w:trPr>
        <w:tc>
          <w:tcPr>
            <w:tcW w:w="353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w w:val="101"/>
                <w:sz w:val="18"/>
                <w:szCs w:val="18"/>
              </w:rPr>
              <w:t>指</w:t>
            </w:r>
            <w:r>
              <w:rPr>
                <w:rFonts w:ascii="宋体" w:hAnsi="宋体" w:cs="宋体" w:eastAsia="宋体" w:hint="default"/>
                <w:sz w:val="18"/>
                <w:szCs w:val="18"/>
              </w:rPr>
            </w:r>
          </w:p>
        </w:tc>
        <w:tc>
          <w:tcPr>
            <w:tcW w:w="54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0"/>
          <w:szCs w:val="20"/>
        </w:rPr>
      </w:pPr>
    </w:p>
    <w:p>
      <w:pPr>
        <w:pStyle w:val="Heading1"/>
        <w:spacing w:line="240" w:lineRule="auto"/>
        <w:ind w:left="2722" w:right="0"/>
        <w:jc w:val="left"/>
        <w:rPr>
          <w:b w:val="0"/>
          <w:bCs w:val="0"/>
        </w:rPr>
      </w:pPr>
      <w:bookmarkStart w:name="_TOC_250011" w:id="3"/>
      <w:bookmarkStart w:name="第二节公司简介和主要财务指标" w:id="4"/>
      <w:r>
        <w:rPr>
          <w:b w:val="0"/>
          <w:bCs w:val="0"/>
        </w:rPr>
      </w:r>
      <w:r>
        <w:rPr/>
        <w:t>第二节公司简介和主要财务指标</w:t>
      </w:r>
      <w:bookmarkEnd w:id="3"/>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1.190002pt;margin-top:114.575615pt;width:362.8pt;height:20.65pt;mso-position-horizontal-relative:page;mso-position-vertical-relative:paragraph;z-index:-1058056" coordorigin="3424,2292" coordsize="7256,413">
            <v:group style="position:absolute;left:3436;top:2304;width:2;height:389" coordorigin="3436,2304" coordsize="2,389">
              <v:shape style="position:absolute;left:3436;top:2304;width:2;height:389" coordorigin="3436,2304" coordsize="0,389" path="m3436,2304l3436,2692e" filled="false" stroked="true" strokeweight="1.2pt" strokecolor="#ffffff">
                <v:path arrowok="t"/>
              </v:shape>
            </v:group>
            <v:group style="position:absolute;left:3448;top:2304;width:7232;height:389" coordorigin="3448,2304" coordsize="7232,389">
              <v:shape style="position:absolute;left:3448;top:2304;width:7232;height:389" coordorigin="3448,2304" coordsize="7232,389" path="m3448,2692l10679,2692,10679,2304,3448,2304,3448,2692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6"/>
        <w:gridCol w:w="2965"/>
        <w:gridCol w:w="2144"/>
        <w:gridCol w:w="2180"/>
      </w:tblGrid>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合纵科技</w:t>
            </w:r>
          </w:p>
        </w:tc>
        <w:tc>
          <w:tcPr>
            <w:tcW w:w="2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300477</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公司的中文名称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公司的中文简称</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合纵科技</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公司的外文名称（如有）</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Beijing    Hezong </w:t>
            </w:r>
            <w:r>
              <w:rPr>
                <w:rFonts w:ascii="Times New Roman" w:hAnsi="Times New Roman" w:cs="Times New Roman" w:eastAsia="Times New Roman" w:hint="default"/>
                <w:spacing w:val="-3"/>
                <w:sz w:val="18"/>
                <w:szCs w:val="18"/>
              </w:rPr>
              <w:t>Science&amp;Technology   </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34"/>
              <w:jc w:val="left"/>
              <w:rPr>
                <w:rFonts w:ascii="宋体" w:hAnsi="宋体" w:cs="宋体" w:eastAsia="宋体" w:hint="default"/>
                <w:sz w:val="18"/>
                <w:szCs w:val="18"/>
              </w:rPr>
            </w:pPr>
            <w:r>
              <w:rPr>
                <w:rFonts w:ascii="宋体" w:hAnsi="宋体" w:cs="宋体" w:eastAsia="宋体" w:hint="default"/>
                <w:spacing w:val="-7"/>
                <w:sz w:val="18"/>
                <w:szCs w:val="18"/>
              </w:rPr>
              <w:t>公司的外文名称缩写（如有）</w:t>
            </w:r>
            <w:r>
              <w:rPr>
                <w:rFonts w:ascii="宋体" w:hAnsi="宋体" w:cs="宋体" w:eastAsia="宋体" w:hint="default"/>
                <w:sz w:val="18"/>
                <w:szCs w:val="18"/>
              </w:rPr>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Hezong Science &amp;</w:t>
            </w:r>
            <w:r>
              <w:rPr>
                <w:rFonts w:ascii="Times New Roman"/>
                <w:spacing w:val="6"/>
                <w:sz w:val="18"/>
              </w:rPr>
              <w:t> </w:t>
            </w:r>
            <w:r>
              <w:rPr>
                <w:rFonts w:ascii="Times New Roman"/>
                <w:spacing w:val="-3"/>
                <w:sz w:val="18"/>
              </w:rPr>
              <w:t>Technology</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刘泽刚</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北京市海淀区上地三街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号（嘉华大厦）</w:t>
            </w:r>
            <w:r>
              <w:rPr>
                <w:rFonts w:ascii="Times New Roman" w:hAnsi="Times New Roman" w:cs="Times New Roman" w:eastAsia="Times New Roman" w:hint="default"/>
                <w:spacing w:val="-3"/>
                <w:sz w:val="18"/>
                <w:szCs w:val="18"/>
              </w:rPr>
              <w:t>D1211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1212</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398"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北京市海淀区上地三街 </w:t>
            </w:r>
            <w:r>
              <w:rPr>
                <w:rFonts w:ascii="Times New Roman" w:hAnsi="Times New Roman" w:cs="Times New Roman" w:eastAsia="Times New Roman" w:hint="default"/>
                <w:sz w:val="18"/>
                <w:szCs w:val="18"/>
              </w:rPr>
              <w:t>9 </w:t>
            </w:r>
            <w:r>
              <w:rPr>
                <w:rFonts w:ascii="宋体" w:hAnsi="宋体" w:cs="宋体" w:eastAsia="宋体" w:hint="default"/>
                <w:spacing w:val="-3"/>
                <w:sz w:val="18"/>
                <w:szCs w:val="18"/>
              </w:rPr>
              <w:t>号（嘉华大厦）</w:t>
            </w:r>
            <w:r>
              <w:rPr>
                <w:rFonts w:ascii="Times New Roman" w:hAnsi="Times New Roman" w:cs="Times New Roman" w:eastAsia="Times New Roman" w:hint="default"/>
                <w:spacing w:val="-3"/>
                <w:sz w:val="18"/>
                <w:szCs w:val="18"/>
              </w:rPr>
              <w:t>D1211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1212</w:t>
            </w:r>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办公地址的邮政编码</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100085</w:t>
            </w:r>
          </w:p>
        </w:tc>
      </w:tr>
      <w:tr>
        <w:trPr>
          <w:trHeight w:val="404"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公司国际互联网网址</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9">
              <w:r>
                <w:rPr>
                  <w:rFonts w:ascii="Times New Roman"/>
                  <w:spacing w:val="-3"/>
                  <w:sz w:val="18"/>
                </w:rPr>
                <w:t>http://www.hezong-tech.com</w:t>
              </w:r>
            </w:hyperlink>
          </w:p>
        </w:tc>
      </w:tr>
      <w:tr>
        <w:trPr>
          <w:trHeight w:val="403" w:hRule="exact"/>
        </w:trPr>
        <w:tc>
          <w:tcPr>
            <w:tcW w:w="2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0">
              <w:r>
                <w:rPr>
                  <w:rFonts w:ascii="Times New Roman"/>
                  <w:sz w:val="18"/>
                </w:rPr>
                <w:t>zhangshu@chinahezong.com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r>
        <w:rPr/>
        <w:pict>
          <v:group style="position:absolute;margin-left:377.179993pt;margin-top:74.615616pt;width:161.6pt;height:17.8pt;mso-position-horizontal-relative:page;mso-position-vertical-relative:paragraph;z-index:-1058008" coordorigin="7544,1492" coordsize="3232,356">
            <v:group style="position:absolute;left:7544;top:1492;width:3136;height:356" coordorigin="7544,1492" coordsize="3136,356">
              <v:shape style="position:absolute;left:7544;top:1492;width:3136;height:356" coordorigin="7544,1492" coordsize="3136,356" path="m7544,1848l10679,1848,10679,1492,7544,1492,7544,1848xe" filled="true" fillcolor="#ffffff" stroked="false">
                <v:path arrowok="t"/>
                <v:fill type="solid"/>
              </v:shape>
              <v:shape style="position:absolute;left:10593;top:1600;width:183;height:183" type="#_x0000_t202" filled="false" stroked="false">
                <v:textbox inset="0,0,0,0">
                  <w:txbxContent>
                    <w:p>
                      <w:pPr>
                        <w:spacing w:line="182" w:lineRule="exact" w:before="0"/>
                        <w:ind w:left="0" w:right="0" w:firstLine="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xbxContent>
                </v:textbox>
                <w10:wrap type="none"/>
              </v:shape>
            </v:group>
            <w10:wrap type="none"/>
          </v:group>
        </w:pict>
      </w:r>
      <w:bookmarkStart w:name="二、联系人和联系方式" w:id="6"/>
      <w:bookmarkEnd w:id="6"/>
      <w:r>
        <w:rPr>
          <w:b w:val="0"/>
          <w:bCs w:val="0"/>
        </w:rPr>
      </w:r>
      <w:r>
        <w:rPr/>
        <w:t>二、联系人和联系方式</w:t>
      </w:r>
      <w:r>
        <w:rPr>
          <w:b w:val="0"/>
          <w:bCs w:val="0"/>
        </w:rPr>
      </w:r>
    </w:p>
    <w:p>
      <w:pPr>
        <w:spacing w:line="240" w:lineRule="auto" w:before="0"/>
        <w:rPr>
          <w:rFonts w:ascii="宋体" w:hAnsi="宋体" w:cs="宋体" w:eastAsia="宋体" w:hint="default"/>
          <w:b/>
          <w:bCs/>
          <w:sz w:val="26"/>
          <w:szCs w:val="26"/>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张舒</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王萍</w:t>
            </w:r>
          </w:p>
        </w:tc>
      </w:tr>
      <w:tr>
        <w:trPr>
          <w:trHeight w:val="163" w:hRule="exact"/>
        </w:trPr>
        <w:tc>
          <w:tcPr>
            <w:tcW w:w="31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10" w:space="0" w:color="FFFFFF"/>
            </w:tcBorders>
          </w:tcPr>
          <w:p>
            <w:pPr>
              <w:pStyle w:val="TableParagraph"/>
              <w:spacing w:line="240" w:lineRule="auto" w:before="53"/>
              <w:ind w:left="16" w:right="-41"/>
              <w:jc w:val="left"/>
              <w:rPr>
                <w:rFonts w:ascii="宋体" w:hAnsi="宋体" w:cs="宋体" w:eastAsia="宋体" w:hint="default"/>
                <w:sz w:val="18"/>
                <w:szCs w:val="18"/>
              </w:rPr>
            </w:pPr>
            <w:r>
              <w:rPr>
                <w:rFonts w:ascii="宋体" w:hAnsi="宋体" w:cs="宋体" w:eastAsia="宋体" w:hint="default"/>
                <w:sz w:val="18"/>
                <w:szCs w:val="18"/>
              </w:rPr>
              <w:t>北京市海淀区上地三街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6"/>
                <w:sz w:val="18"/>
                <w:szCs w:val="18"/>
              </w:rPr>
              <w:t> </w:t>
            </w:r>
            <w:r>
              <w:rPr>
                <w:rFonts w:ascii="宋体" w:hAnsi="宋体" w:cs="宋体" w:eastAsia="宋体" w:hint="default"/>
                <w:spacing w:val="-10"/>
                <w:sz w:val="18"/>
                <w:szCs w:val="18"/>
              </w:rPr>
              <w:t>号（嘉华大厦）</w:t>
            </w:r>
            <w:r>
              <w:rPr>
                <w:rFonts w:ascii="宋体" w:hAnsi="宋体" w:cs="宋体" w:eastAsia="宋体" w:hint="default"/>
                <w:sz w:val="18"/>
                <w:szCs w:val="18"/>
              </w:rPr>
            </w:r>
          </w:p>
          <w:p>
            <w:pPr>
              <w:pStyle w:val="TableParagraph"/>
              <w:spacing w:line="240" w:lineRule="auto" w:before="67"/>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c>
          <w:tcPr>
            <w:tcW w:w="3193" w:type="dxa"/>
            <w:vMerge w:val="restart"/>
            <w:tcBorders>
              <w:top w:val="single" w:sz="4" w:space="0" w:color="000000"/>
              <w:left w:val="single" w:sz="10" w:space="0" w:color="FFFFFF"/>
              <w:right w:val="nil" w:sz="6" w:space="0" w:color="auto"/>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北京市海淀区上地三街</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号（嘉华大厦</w:t>
            </w:r>
          </w:p>
          <w:p>
            <w:pPr>
              <w:pStyle w:val="TableParagraph"/>
              <w:spacing w:line="240" w:lineRule="auto" w:before="67"/>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D1211</w:t>
            </w:r>
            <w:r>
              <w:rPr>
                <w:rFonts w:ascii="宋体" w:hAnsi="宋体" w:cs="宋体" w:eastAsia="宋体" w:hint="default"/>
                <w:sz w:val="18"/>
                <w:szCs w:val="18"/>
              </w:rPr>
              <w:t>、</w:t>
            </w:r>
            <w:r>
              <w:rPr>
                <w:rFonts w:ascii="Times New Roman" w:hAnsi="Times New Roman" w:cs="Times New Roman" w:eastAsia="Times New Roman" w:hint="default"/>
                <w:sz w:val="18"/>
                <w:szCs w:val="18"/>
              </w:rPr>
              <w:t>1212</w:t>
            </w:r>
          </w:p>
        </w:tc>
      </w:tr>
      <w:tr>
        <w:trPr>
          <w:trHeight w:val="394" w:hRule="exact"/>
        </w:trPr>
        <w:tc>
          <w:tcPr>
            <w:tcW w:w="31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3" w:type="dxa"/>
            <w:vMerge/>
            <w:tcBorders>
              <w:left w:val="single" w:sz="10" w:space="0" w:color="D2D2D2"/>
              <w:right w:val="single" w:sz="10" w:space="0" w:color="FFFFFF"/>
            </w:tcBorders>
          </w:tcPr>
          <w:p>
            <w:pPr/>
          </w:p>
        </w:tc>
        <w:tc>
          <w:tcPr>
            <w:tcW w:w="3193" w:type="dxa"/>
            <w:vMerge/>
            <w:tcBorders>
              <w:left w:val="single" w:sz="10" w:space="0" w:color="FFFFFF"/>
              <w:right w:val="nil" w:sz="6" w:space="0" w:color="auto"/>
            </w:tcBorders>
          </w:tcPr>
          <w:p>
            <w:pPr/>
          </w:p>
        </w:tc>
      </w:tr>
      <w:tr>
        <w:trPr>
          <w:trHeight w:val="158" w:hRule="exact"/>
        </w:trPr>
        <w:tc>
          <w:tcPr>
            <w:tcW w:w="3176"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10" w:space="0" w:color="FFFFFF"/>
            </w:tcBorders>
          </w:tcPr>
          <w:p>
            <w:pPr/>
          </w:p>
        </w:tc>
        <w:tc>
          <w:tcPr>
            <w:tcW w:w="3193" w:type="dxa"/>
            <w:vMerge/>
            <w:tcBorders>
              <w:left w:val="single" w:sz="10" w:space="0" w:color="FFFFFF"/>
              <w:bottom w:val="single" w:sz="4" w:space="0" w:color="000000"/>
              <w:right w:val="nil" w:sz="6" w:space="0" w:color="auto"/>
            </w:tcBorders>
          </w:tcPr>
          <w:p>
            <w:pP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010-62973188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010-62973188</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r>
              <w:rPr>
                <w:rFonts w:ascii="Times New Roman"/>
                <w:sz w:val="18"/>
              </w:rPr>
              <w:t>010-62975911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010-62975911</w:t>
            </w: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16" w:right="0"/>
              <w:jc w:val="left"/>
              <w:rPr>
                <w:rFonts w:ascii="Times New Roman" w:hAnsi="Times New Roman" w:cs="Times New Roman" w:eastAsia="Times New Roman" w:hint="default"/>
                <w:sz w:val="18"/>
                <w:szCs w:val="18"/>
              </w:rPr>
            </w:pPr>
            <w:hyperlink r:id="rId10">
              <w:r>
                <w:rPr>
                  <w:rFonts w:ascii="Times New Roman"/>
                  <w:sz w:val="18"/>
                </w:rPr>
                <w:t>zhangshu@chinahezong.com</w:t>
              </w:r>
            </w:hyperlink>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hyperlink r:id="rId11">
              <w:r>
                <w:rPr>
                  <w:rFonts w:ascii="Times New Roman"/>
                  <w:sz w:val="18"/>
                </w:rPr>
                <w:t>wangping@chinahezong.com</w:t>
              </w:r>
            </w:hyperlink>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6"/>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83"/>
        <w:gridCol w:w="5587"/>
      </w:tblGrid>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公司选定的信息披露媒体的名称</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398"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登载年度报告的中国证监会指定网站的网址</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（巨潮资讯网）</w:t>
            </w:r>
          </w:p>
        </w:tc>
      </w:tr>
      <w:tr>
        <w:trPr>
          <w:trHeight w:val="403" w:hRule="exact"/>
        </w:trPr>
        <w:tc>
          <w:tcPr>
            <w:tcW w:w="3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董事会办公室</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公司聘请的会计师事务所</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中兴财光华会计师事务所（特殊普通合伙）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北京市西城区阜成门外大街</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A24</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签字会计师姓名</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陈跃华</w:t>
            </w:r>
            <w:r>
              <w:rPr>
                <w:rFonts w:ascii="宋体" w:hAnsi="宋体" w:cs="宋体" w:eastAsia="宋体" w:hint="default"/>
                <w:spacing w:val="5"/>
                <w:sz w:val="18"/>
                <w:szCs w:val="18"/>
              </w:rPr>
              <w:t> </w:t>
            </w:r>
            <w:r>
              <w:rPr>
                <w:rFonts w:ascii="宋体" w:hAnsi="宋体" w:cs="宋体" w:eastAsia="宋体" w:hint="default"/>
                <w:sz w:val="18"/>
                <w:szCs w:val="18"/>
              </w:rPr>
              <w:t>丁西国</w:t>
            </w:r>
          </w:p>
        </w:tc>
      </w:tr>
    </w:tbl>
    <w:p>
      <w:pPr>
        <w:pStyle w:val="BodyText"/>
        <w:spacing w:line="240" w:lineRule="auto" w:before="53"/>
        <w:ind w:right="0"/>
        <w:jc w:val="left"/>
      </w:pPr>
      <w:r>
        <w:rPr>
          <w:spacing w:val="-3"/>
        </w:rPr>
        <w:t>公司聘请的报告期内履行持续督导职责的保荐机构</w:t>
      </w:r>
    </w:p>
    <w:p>
      <w:pPr>
        <w:pStyle w:val="BodyText"/>
        <w:spacing w:line="338" w:lineRule="auto" w:before="119"/>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公司聘请的报告期内履行持续督导职责的财务顾问</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公司是否需追溯调整或重述以前年度会计数据</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0"/>
        <w:gridCol w:w="1738"/>
        <w:gridCol w:w="1738"/>
        <w:gridCol w:w="1738"/>
      </w:tblGrid>
      <w:tr>
        <w:trPr>
          <w:trHeight w:val="399"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5" w:right="0"/>
              <w:jc w:val="left"/>
              <w:rPr>
                <w:rFonts w:ascii="宋体" w:hAnsi="宋体" w:cs="宋体" w:eastAsia="宋体" w:hint="default"/>
                <w:sz w:val="18"/>
                <w:szCs w:val="18"/>
              </w:rPr>
            </w:pPr>
            <w:r>
              <w:rPr>
                <w:rFonts w:ascii="宋体" w:hAnsi="宋体" w:cs="宋体" w:eastAsia="宋体" w:hint="default"/>
                <w:spacing w:val="-3"/>
                <w:sz w:val="18"/>
                <w:szCs w:val="18"/>
              </w:rPr>
              <w:t>本年比上年增减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营业收入（元）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1,894,304,152.76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2,007,514,867.20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2,109,345,874.22</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p>
            <w:pPr>
              <w:pStyle w:val="TableParagraph"/>
              <w:spacing w:line="240" w:lineRule="auto" w:before="81"/>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62,644,830.42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51,043,523.98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131,255,188.67</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常性损益的净利润（元）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50,720,511.99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37,019,224.43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121,950,661.58</w:t>
            </w:r>
          </w:p>
        </w:tc>
      </w:tr>
      <w:tr>
        <w:trPr>
          <w:trHeight w:val="710"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208,889,731.52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-181,883,238.44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214.85%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89,140,724.11</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4"/>
                <w:sz w:val="18"/>
              </w:rPr>
              <w:t>-11.11%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0.24</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4"/>
                <w:sz w:val="18"/>
              </w:rPr>
              <w:t>-11.11%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0.24</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10.90%</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1"/>
              <w:jc w:val="right"/>
              <w:rPr>
                <w:rFonts w:ascii="宋体" w:hAnsi="宋体" w:cs="宋体" w:eastAsia="宋体" w:hint="default"/>
                <w:sz w:val="18"/>
                <w:szCs w:val="18"/>
              </w:rPr>
            </w:pPr>
            <w:r>
              <w:rPr>
                <w:rFonts w:ascii="宋体" w:hAnsi="宋体" w:cs="宋体" w:eastAsia="宋体" w:hint="default"/>
                <w:spacing w:val="-3"/>
                <w:sz w:val="18"/>
                <w:szCs w:val="18"/>
              </w:rPr>
              <w:t>本年末比上年末增减</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资产总额（元）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4,621,646,178.41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4,680,417,719.65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3,950,761,472.44</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归属于上市公司股东的净资产</w:t>
            </w:r>
          </w:p>
          <w:p>
            <w:pPr>
              <w:pStyle w:val="TableParagraph"/>
              <w:spacing w:line="240" w:lineRule="auto" w:before="82"/>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2,003,383,218.87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1,939,990,558.00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1,922,838,099.64</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9"/>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5"/>
        <w:gridCol w:w="1738"/>
        <w:gridCol w:w="1738"/>
        <w:gridCol w:w="1733"/>
      </w:tblGrid>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4"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333,343,108.91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550,963,210.58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434,006,451.85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575,991,381.42</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-11,942,281.54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46,528,052.45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12,901,179.84</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15,157,879.67</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48"/>
              <w:jc w:val="left"/>
              <w:rPr>
                <w:rFonts w:ascii="宋体" w:hAnsi="宋体" w:cs="宋体" w:eastAsia="宋体" w:hint="default"/>
                <w:sz w:val="18"/>
                <w:szCs w:val="18"/>
              </w:rPr>
            </w:pPr>
            <w:r>
              <w:rPr>
                <w:rFonts w:ascii="宋体" w:hAnsi="宋体" w:cs="宋体" w:eastAsia="宋体" w:hint="default"/>
                <w:spacing w:val="-3"/>
                <w:sz w:val="18"/>
                <w:szCs w:val="18"/>
              </w:rPr>
              <w:t>归属于上市公司股东的扣除非经</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常性损益的净利润</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-13,690,812.30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41,003,791.52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8,555,096.21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14,852,436.56</w:t>
            </w:r>
          </w:p>
        </w:tc>
      </w:tr>
      <w:tr>
        <w:trPr>
          <w:trHeight w:val="398"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175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-114,281,082.87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231,550,926.78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-80,697,373.05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172,317,260.66</w:t>
            </w:r>
          </w:p>
        </w:tc>
      </w:tr>
    </w:tbl>
    <w:p>
      <w:pPr>
        <w:pStyle w:val="BodyText"/>
        <w:spacing w:line="240" w:lineRule="auto" w:before="53"/>
        <w:ind w:right="0"/>
        <w:jc w:val="left"/>
      </w:pPr>
      <w:r>
        <w:rPr>
          <w:spacing w:val="-3"/>
        </w:rPr>
        <w:t>上述财务指标或其加总数是否与公司已披露季度报告、半年度报告相关财务指标存在重大差异</w:t>
      </w:r>
    </w:p>
    <w:p>
      <w:pPr>
        <w:spacing w:after="0" w:line="240"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6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公司报告期不存在按照国际会计准则与按照中国会计准则披露的财务报告中净利润和净资产差异情况。</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264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公司报告期不存在按照境外会计准则与按照中国会计准则披露的财务报告中净利润和净资产差异情况。</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0"/>
        <w:rPr>
          <w:rFonts w:ascii="宋体" w:hAnsi="宋体" w:cs="宋体" w:eastAsia="宋体" w:hint="default"/>
          <w:b/>
          <w:bCs/>
          <w:sz w:val="24"/>
          <w:szCs w:val="24"/>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359" w:type="dxa"/>
        <w:tblLayout w:type="fixed"/>
        <w:tblCellMar>
          <w:top w:w="0" w:type="dxa"/>
          <w:left w:w="0" w:type="dxa"/>
          <w:bottom w:w="0" w:type="dxa"/>
          <w:right w:w="0" w:type="dxa"/>
        </w:tblCellMar>
        <w:tblLook w:val="01E0"/>
      </w:tblPr>
      <w:tblGrid>
        <w:gridCol w:w="4656"/>
        <w:gridCol w:w="1534"/>
        <w:gridCol w:w="1517"/>
        <w:gridCol w:w="1522"/>
      </w:tblGrid>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r>
      <w:tr>
        <w:trPr>
          <w:trHeight w:val="711"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4" w:right="126"/>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非流动资产处置损益（包括已计提资产减值准备的冲销部</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z w:val="18"/>
                <w:szCs w:val="18"/>
              </w:rPr>
              <w:t>分）</w:t>
            </w:r>
          </w:p>
        </w:tc>
        <w:tc>
          <w:tcPr>
            <w:tcW w:w="1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154,600.95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-158,266.37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-49,289.87</w:t>
            </w:r>
          </w:p>
        </w:tc>
      </w:tr>
      <w:tr>
        <w:trPr>
          <w:trHeight w:val="715"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4" w:right="1"/>
              <w:jc w:val="left"/>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计入当期损益的政府补助（与企业业务密切相关，按照国家</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pacing w:val="-3"/>
                <w:sz w:val="18"/>
                <w:szCs w:val="18"/>
              </w:rPr>
              <w:t>统一标准定额或定量享受的政府补助除外）</w:t>
            </w:r>
          </w:p>
        </w:tc>
        <w:tc>
          <w:tcPr>
            <w:tcW w:w="1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11,032,667.16</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14,664,647.94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9,931,926.74</w:t>
            </w:r>
          </w:p>
        </w:tc>
      </w:tr>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1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2,644,004.17</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1,981,592.81</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1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119,279.05</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11,201.56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1,074,012.65</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2,126,252.30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2,474,876.39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1,646,497.43</w:t>
            </w:r>
          </w:p>
        </w:tc>
      </w:tr>
      <w:tr>
        <w:trPr>
          <w:trHeight w:val="404"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4"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少数股东权益影响额（税后）</w:t>
            </w:r>
          </w:p>
        </w:tc>
        <w:tc>
          <w:tcPr>
            <w:tcW w:w="1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-19.40</w:t>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5,625.00</w:t>
            </w:r>
          </w:p>
        </w:tc>
      </w:tr>
      <w:tr>
        <w:trPr>
          <w:trHeight w:val="403" w:hRule="exact"/>
        </w:trPr>
        <w:tc>
          <w:tcPr>
            <w:tcW w:w="4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11,924,318.43</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14,024,299.55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9,304,527.09</w:t>
            </w:r>
          </w:p>
        </w:tc>
      </w:tr>
    </w:tbl>
    <w:p>
      <w:pPr>
        <w:pStyle w:val="BodyText"/>
        <w:spacing w:line="240" w:lineRule="auto" w:before="53"/>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37"/>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4" w:lineRule="auto" w:before="101"/>
        <w:ind w:right="0"/>
        <w:jc w:val="left"/>
      </w:pPr>
      <w:r>
        <w:rPr>
          <w:spacing w:val="-4"/>
        </w:rPr>
        <w:t>公司报告期不存在将根据《公开发行证券的公司信息披露解释性公告第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非经常性损益》定义、列举的非经常性损益</w:t>
      </w:r>
      <w:r>
        <w:rPr>
          <w:spacing w:val="-24"/>
        </w:rPr>
        <w:t> </w:t>
      </w:r>
      <w:r>
        <w:rPr>
          <w:spacing w:val="-24"/>
        </w:rPr>
      </w:r>
      <w:r>
        <w:rPr>
          <w:spacing w:val="-3"/>
        </w:rPr>
        <w:t>项目界定为经常性损益的项目的情形。</w:t>
      </w:r>
    </w:p>
    <w:p>
      <w:pPr>
        <w:spacing w:after="0" w:line="304"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751"/>
        <w:jc w:val="center"/>
        <w:rPr>
          <w:b w:val="0"/>
          <w:bCs w:val="0"/>
        </w:rPr>
      </w:pPr>
      <w:bookmarkStart w:name="_TOC_250010" w:id="15"/>
      <w:bookmarkStart w:name="第三节公司业务概要" w:id="16"/>
      <w:r>
        <w:rPr>
          <w:b w:val="0"/>
          <w:bCs w:val="0"/>
        </w:rPr>
      </w:r>
      <w:r>
        <w:rPr/>
        <w:t>第三节公司业务概要</w:t>
      </w:r>
      <w:bookmarkEnd w:id="15"/>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spacing w:val="-3"/>
        </w:rPr>
        <w:t>公司需遵守《深圳证券交易所创业板行业信息披露指引第 </w:t>
      </w:r>
      <w:r>
        <w:rPr>
          <w:rFonts w:ascii="Times New Roman" w:hAnsi="Times New Roman" w:cs="Times New Roman" w:eastAsia="Times New Roman" w:hint="default"/>
        </w:rPr>
        <w:t>13  </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上市公司从事锂离子电池产业链相关业务》的披露要求</w:t>
      </w:r>
    </w:p>
    <w:p>
      <w:pPr>
        <w:pStyle w:val="Heading4"/>
        <w:spacing w:line="240" w:lineRule="auto" w:before="96"/>
        <w:ind w:right="0"/>
        <w:jc w:val="left"/>
        <w:rPr>
          <w:b w:val="0"/>
          <w:bCs w:val="0"/>
        </w:rPr>
      </w:pPr>
      <w:r>
        <w:rPr/>
        <w:t>（一）公司的经营范围和主营业务</w:t>
      </w:r>
      <w:r>
        <w:rPr>
          <w:b w:val="0"/>
          <w:bCs w:val="0"/>
        </w:rPr>
      </w:r>
    </w:p>
    <w:p>
      <w:pPr>
        <w:pStyle w:val="BodyText"/>
        <w:spacing w:line="300" w:lineRule="auto" w:before="77"/>
        <w:ind w:left="513" w:right="1037"/>
        <w:jc w:val="left"/>
      </w:pPr>
      <w:r>
        <w:rPr>
          <w:rFonts w:ascii="Times New Roman" w:hAnsi="Times New Roman" w:cs="Times New Roman" w:eastAsia="Times New Roman" w:hint="default"/>
          <w:b/>
          <w:bCs/>
        </w:rPr>
        <w:t>1</w:t>
      </w:r>
      <w:r>
        <w:rPr>
          <w:rFonts w:ascii="宋体" w:hAnsi="宋体" w:cs="宋体" w:eastAsia="宋体" w:hint="default"/>
          <w:b/>
          <w:bCs/>
        </w:rPr>
        <w:t>、电力业务</w:t>
      </w:r>
      <w:r>
        <w:rPr>
          <w:rFonts w:ascii="宋体" w:hAnsi="宋体" w:cs="宋体" w:eastAsia="宋体" w:hint="default"/>
          <w:b/>
          <w:bCs/>
          <w:spacing w:val="-87"/>
        </w:rPr>
        <w:t> </w:t>
      </w:r>
      <w:r>
        <w:rPr>
          <w:spacing w:val="-5"/>
        </w:rPr>
        <w:t>本公司是从事配电及控制设备制造及相关技术服务的高科技企业。公司的主营业务涉及智能配电、商业楼宇、智慧交通</w:t>
      </w:r>
    </w:p>
    <w:p>
      <w:pPr>
        <w:pStyle w:val="BodyText"/>
        <w:spacing w:line="316" w:lineRule="auto" w:before="31"/>
        <w:ind w:right="1123"/>
        <w:jc w:val="both"/>
      </w:pPr>
      <w:r>
        <w:rPr>
          <w:spacing w:val="-5"/>
        </w:rPr>
        <w:t>（高速公路、铁路、码头、机场）、工矿企业、医疗卫生、节能环保、互联网（数据中心）、矿山冶炼等诸多领域。生产和</w:t>
      </w:r>
      <w:r>
        <w:rPr>
          <w:spacing w:val="4"/>
        </w:rPr>
        <w:t> </w:t>
      </w:r>
      <w:r>
        <w:rPr>
          <w:spacing w:val="4"/>
        </w:rPr>
      </w:r>
      <w:r>
        <w:rPr>
          <w:spacing w:val="-4"/>
        </w:rPr>
        <w:t>销售户外中高压（</w:t>
      </w:r>
      <w:r>
        <w:rPr>
          <w:rFonts w:ascii="宋体" w:hAnsi="宋体" w:cs="宋体" w:eastAsia="宋体" w:hint="default"/>
          <w:spacing w:val="-4"/>
        </w:rPr>
        <w:t>12</w:t>
      </w:r>
      <w:r>
        <w:rPr>
          <w:spacing w:val="-4"/>
        </w:rPr>
        <w:t>～</w:t>
      </w:r>
      <w:r>
        <w:rPr>
          <w:rFonts w:ascii="宋体" w:hAnsi="宋体" w:cs="宋体" w:eastAsia="宋体" w:hint="default"/>
          <w:spacing w:val="-4"/>
        </w:rPr>
        <w:t>40.5kV</w:t>
      </w:r>
      <w:r>
        <w:rPr>
          <w:spacing w:val="-4"/>
        </w:rPr>
        <w:t>）配电和控制设备，主要产品包括环网柜、柱上开关（户外开关）、箱式变电站、变压器、其</w:t>
      </w:r>
      <w:r>
        <w:rPr>
          <w:spacing w:val="57"/>
        </w:rPr>
        <w:t> </w:t>
      </w:r>
      <w:r>
        <w:rPr>
          <w:spacing w:val="57"/>
        </w:rPr>
      </w:r>
      <w:r>
        <w:rPr>
          <w:spacing w:val="-3"/>
        </w:rPr>
        <w:t>他开关类、电缆附件等，共计六大类二十个系列产品。</w:t>
      </w:r>
    </w:p>
    <w:p>
      <w:pPr>
        <w:pStyle w:val="BodyText"/>
        <w:spacing w:line="300" w:lineRule="auto" w:before="19"/>
        <w:ind w:left="513" w:right="0"/>
        <w:jc w:val="left"/>
      </w:pPr>
      <w:r>
        <w:rPr>
          <w:rFonts w:ascii="Times New Roman" w:hAnsi="Times New Roman" w:cs="Times New Roman" w:eastAsia="Times New Roman" w:hint="default"/>
          <w:b/>
          <w:bCs/>
        </w:rPr>
        <w:t>2</w:t>
      </w:r>
      <w:r>
        <w:rPr>
          <w:rFonts w:ascii="宋体" w:hAnsi="宋体" w:cs="宋体" w:eastAsia="宋体" w:hint="default"/>
          <w:b/>
          <w:bCs/>
        </w:rPr>
        <w:t>、锂电材料业务</w:t>
      </w:r>
      <w:r>
        <w:rPr>
          <w:rFonts w:ascii="宋体" w:hAnsi="宋体" w:cs="宋体" w:eastAsia="宋体" w:hint="default"/>
          <w:b/>
          <w:bCs/>
          <w:spacing w:val="-88"/>
        </w:rPr>
        <w:t> </w:t>
      </w:r>
      <w:r>
        <w:rPr>
          <w:rFonts w:ascii="宋体" w:hAnsi="宋体" w:cs="宋体" w:eastAsia="宋体" w:hint="default"/>
          <w:b/>
          <w:bCs/>
          <w:spacing w:val="-88"/>
        </w:rPr>
      </w:r>
      <w:r>
        <w:rPr>
          <w:color w:val="0D0D0D"/>
          <w:spacing w:val="-5"/>
        </w:rPr>
        <w:t>公司全资子公司湖南雅城新材料有限公司</w:t>
      </w:r>
      <w:r>
        <w:rPr>
          <w:spacing w:val="-5"/>
        </w:rPr>
        <w:t>的主营业务为锂电池正极材料前驱体的研发、制造和销售，主要产品包括四氧</w:t>
      </w:r>
    </w:p>
    <w:p>
      <w:pPr>
        <w:pStyle w:val="BodyText"/>
        <w:spacing w:line="316" w:lineRule="auto" w:before="31"/>
        <w:ind w:right="0"/>
        <w:jc w:val="left"/>
      </w:pPr>
      <w:r>
        <w:rPr>
          <w:spacing w:val="-4"/>
        </w:rPr>
        <w:t>化三钴、氢氧化亚钴、磷酸铁等。湖南雅城把电池材料的生产和研发作为产品的主要发展方向，拥有钴酸锂前驱体全系列产</w:t>
      </w:r>
      <w:r>
        <w:rPr>
          <w:spacing w:val="40"/>
        </w:rPr>
        <w:t> </w:t>
      </w:r>
      <w:r>
        <w:rPr>
          <w:spacing w:val="40"/>
        </w:rPr>
      </w:r>
      <w:r>
        <w:rPr>
          <w:spacing w:val="-3"/>
        </w:rPr>
        <w:t>品、磷酸铁锂前驱体全系列产品，磷酸铁锰锂前驱体以及三元前驱体全系列产品的技术储备，产品品质与管理水平在国际、</w:t>
      </w:r>
      <w:r>
        <w:rPr>
          <w:spacing w:val="66"/>
        </w:rPr>
        <w:t> </w:t>
      </w:r>
      <w:r>
        <w:rPr>
          <w:spacing w:val="66"/>
        </w:rPr>
      </w:r>
      <w:r>
        <w:rPr>
          <w:spacing w:val="-4"/>
        </w:rPr>
        <w:t>国内市场受到客户一致认可。随着动力电池、储能锂电池的飞速发展，湖南雅城致力于成为全国电池材料行业具有标杆地位</w:t>
      </w:r>
      <w:r>
        <w:rPr>
          <w:spacing w:val="45"/>
        </w:rPr>
        <w:t> </w:t>
      </w:r>
      <w:r>
        <w:rPr>
          <w:spacing w:val="45"/>
        </w:rPr>
      </w:r>
      <w:r>
        <w:rPr>
          <w:spacing w:val="-3"/>
        </w:rPr>
        <w:t>的企业，成为全球重要的电池材料供应商。</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t>（二）公司主要经营模式</w:t>
      </w:r>
      <w:r>
        <w:rPr>
          <w:b w:val="0"/>
          <w:bCs w:val="0"/>
        </w:rPr>
      </w:r>
    </w:p>
    <w:p>
      <w:pPr>
        <w:pStyle w:val="Heading4"/>
        <w:spacing w:line="240" w:lineRule="auto" w:before="76"/>
        <w:ind w:right="0"/>
        <w:jc w:val="left"/>
        <w:rPr>
          <w:b w:val="0"/>
          <w:bCs w:val="0"/>
        </w:rPr>
      </w:pPr>
      <w:r>
        <w:rPr>
          <w:rFonts w:ascii="Times New Roman" w:hAnsi="Times New Roman" w:cs="Times New Roman" w:eastAsia="Times New Roman" w:hint="default"/>
        </w:rPr>
        <w:t>1</w:t>
      </w:r>
      <w:r>
        <w:rPr/>
        <w:t>、电力板块：</w:t>
      </w:r>
      <w:r>
        <w:rPr>
          <w:b w:val="0"/>
          <w:bCs w:val="0"/>
        </w:rPr>
      </w:r>
    </w:p>
    <w:p>
      <w:pPr>
        <w:pStyle w:val="BodyText"/>
        <w:spacing w:line="300" w:lineRule="auto" w:before="63"/>
        <w:ind w:left="513" w:right="1037"/>
        <w:jc w:val="left"/>
      </w:pPr>
      <w:r>
        <w:rPr/>
        <w:t>（</w:t>
      </w:r>
      <w:r>
        <w:rPr>
          <w:rFonts w:ascii="Times New Roman" w:hAnsi="Times New Roman" w:cs="Times New Roman" w:eastAsia="Times New Roman" w:hint="default"/>
        </w:rPr>
        <w:t>1</w:t>
      </w:r>
      <w:r>
        <w:rPr/>
        <w:t>）盈利模式</w:t>
      </w:r>
      <w:r>
        <w:rPr>
          <w:spacing w:val="-85"/>
        </w:rPr>
        <w:t> </w:t>
      </w:r>
      <w:r>
        <w:rPr>
          <w:spacing w:val="-85"/>
        </w:rPr>
      </w:r>
      <w:r>
        <w:rPr>
          <w:spacing w:val="-6"/>
        </w:rPr>
        <w:t>公司通过设计、制造并销售自主知识产权的电力配电设备及相关系统，满足电力用户的生产需要，从而获得收入和利润；</w:t>
      </w:r>
    </w:p>
    <w:p>
      <w:pPr>
        <w:pStyle w:val="BodyText"/>
        <w:spacing w:line="240" w:lineRule="auto" w:before="32"/>
        <w:ind w:right="0"/>
        <w:jc w:val="both"/>
      </w:pPr>
      <w:r>
        <w:rPr>
          <w:spacing w:val="-3"/>
        </w:rPr>
        <w:t>公司还通过承接电力设计项目和总包工程获得收入和利润。</w:t>
      </w:r>
    </w:p>
    <w:p>
      <w:pPr>
        <w:pStyle w:val="BodyText"/>
        <w:spacing w:line="300" w:lineRule="auto" w:before="76"/>
        <w:ind w:left="513" w:right="1037"/>
        <w:jc w:val="left"/>
      </w:pPr>
      <w:r>
        <w:rPr/>
        <w:t>（</w:t>
      </w:r>
      <w:r>
        <w:rPr>
          <w:rFonts w:ascii="Times New Roman" w:hAnsi="Times New Roman" w:cs="Times New Roman" w:eastAsia="Times New Roman" w:hint="default"/>
        </w:rPr>
        <w:t>2</w:t>
      </w:r>
      <w:r>
        <w:rPr/>
        <w:t>）采购模式</w:t>
      </w:r>
      <w:r>
        <w:rPr>
          <w:spacing w:val="-85"/>
        </w:rPr>
        <w:t> </w:t>
      </w:r>
      <w:r>
        <w:rPr>
          <w:spacing w:val="-85"/>
        </w:rPr>
      </w:r>
      <w:r>
        <w:rPr>
          <w:spacing w:val="-5"/>
          <w:w w:val="101"/>
        </w:rPr>
        <w:t>公司在产品生产过程中所需要的主要原材料和零部件由公司采购部遵循供应商目录管理及质量标准规定，按订单要求进</w:t>
      </w:r>
      <w:r>
        <w:rPr>
          <w:spacing w:val="-5"/>
        </w:rPr>
      </w:r>
    </w:p>
    <w:p>
      <w:pPr>
        <w:pStyle w:val="BodyText"/>
        <w:spacing w:line="316" w:lineRule="auto" w:before="31"/>
        <w:ind w:right="0"/>
        <w:jc w:val="left"/>
      </w:pPr>
      <w:r>
        <w:rPr>
          <w:spacing w:val="-4"/>
        </w:rPr>
        <w:t>行采购，其他少量可备货的通用件如螺栓螺母、电气元件的采购由采购部库房依据安全库存的情况直接进行采购。公司对主</w:t>
      </w:r>
      <w:r>
        <w:rPr>
          <w:spacing w:val="43"/>
        </w:rPr>
        <w:t> </w:t>
      </w:r>
      <w:r>
        <w:rPr>
          <w:spacing w:val="43"/>
        </w:rPr>
      </w:r>
      <w:r>
        <w:rPr>
          <w:spacing w:val="-3"/>
        </w:rPr>
        <w:t>要原、辅材料的供应商采用目录管理，每种物料一般固定两家供应商，供应商需要经过资质评审、样品试用、小批量试用、</w:t>
      </w:r>
      <w:r>
        <w:rPr>
          <w:spacing w:val="66"/>
        </w:rPr>
        <w:t> </w:t>
      </w:r>
      <w:r>
        <w:rPr>
          <w:spacing w:val="66"/>
        </w:rPr>
      </w:r>
      <w:r>
        <w:rPr>
          <w:spacing w:val="-3"/>
        </w:rPr>
        <w:t>内部评审、商务谈判等环节，符合公司要求才能够进入供应商目录。</w:t>
      </w:r>
    </w:p>
    <w:p>
      <w:pPr>
        <w:pStyle w:val="BodyText"/>
        <w:spacing w:line="240" w:lineRule="auto" w:before="19"/>
        <w:ind w:left="513" w:right="0"/>
        <w:jc w:val="left"/>
      </w:pPr>
      <w:r>
        <w:rPr>
          <w:spacing w:val="-3"/>
        </w:rPr>
        <w:t>目前，公司已经形成了较为稳定的原材料供货渠道，与主要供应商建立了长期良好的合作关系。</w:t>
      </w:r>
    </w:p>
    <w:p>
      <w:pPr>
        <w:pStyle w:val="BodyText"/>
        <w:spacing w:line="300" w:lineRule="auto" w:before="76"/>
        <w:ind w:left="513" w:right="1037"/>
        <w:jc w:val="left"/>
      </w:pPr>
      <w:r>
        <w:rPr/>
        <w:t>（</w:t>
      </w:r>
      <w:r>
        <w:rPr>
          <w:rFonts w:ascii="Times New Roman" w:hAnsi="Times New Roman" w:cs="Times New Roman" w:eastAsia="Times New Roman" w:hint="default"/>
        </w:rPr>
        <w:t>3</w:t>
      </w:r>
      <w:r>
        <w:rPr/>
        <w:t>）生产模式</w:t>
      </w:r>
      <w:r>
        <w:rPr>
          <w:spacing w:val="-85"/>
        </w:rPr>
        <w:t> </w:t>
      </w:r>
      <w:r>
        <w:rPr>
          <w:spacing w:val="-85"/>
        </w:rPr>
      </w:r>
      <w:r>
        <w:rPr>
          <w:spacing w:val="-5"/>
        </w:rPr>
        <w:t>公司通过招投标的方式获得业务订单，在接到客户订单，签订购货合同后，安排生产。但是为了满足市场日益紧迫的交</w:t>
      </w:r>
    </w:p>
    <w:p>
      <w:pPr>
        <w:pStyle w:val="BodyText"/>
        <w:spacing w:line="316" w:lineRule="auto" w:before="31"/>
        <w:ind w:left="513" w:right="0" w:hanging="360"/>
        <w:jc w:val="left"/>
      </w:pPr>
      <w:r>
        <w:rPr>
          <w:spacing w:val="-3"/>
        </w:rPr>
        <w:t>货期限，对部分半成品（例如负荷开关本体）采用备货方式，按计划生产。</w:t>
      </w:r>
      <w:r>
        <w:rPr>
          <w:spacing w:val="8"/>
        </w:rPr>
        <w:t> </w:t>
      </w:r>
      <w:r>
        <w:rPr>
          <w:spacing w:val="8"/>
        </w:rPr>
      </w:r>
      <w:r>
        <w:rPr>
          <w:spacing w:val="-4"/>
        </w:rPr>
        <w:t>由于客户区域差别及建设水平差异较大，对产品的需求存在差异性，公司的产品在一定程度上需要按照客户的要求进行</w:t>
      </w:r>
    </w:p>
    <w:p>
      <w:pPr>
        <w:pStyle w:val="BodyText"/>
        <w:spacing w:line="316" w:lineRule="auto" w:before="19"/>
        <w:ind w:right="1124"/>
        <w:jc w:val="both"/>
      </w:pPr>
      <w:r>
        <w:rPr>
          <w:spacing w:val="-4"/>
        </w:rPr>
        <w:t>制造，因此生产环节主要包括产品设计、原材料（包括零部件）采购加工、装配调试、质量检验、包装运输，其中产品设计</w:t>
      </w:r>
      <w:r>
        <w:rPr>
          <w:spacing w:val="40"/>
        </w:rPr>
        <w:t> </w:t>
      </w:r>
      <w:r>
        <w:rPr>
          <w:spacing w:val="40"/>
        </w:rPr>
      </w:r>
      <w:r>
        <w:rPr>
          <w:spacing w:val="-4"/>
        </w:rPr>
        <w:t>环节是最为核心的环节。公司掌握了中高压开关、复合绝缘、压力容器以及户外箱体设计方面的核心技术，因此能够充分按</w:t>
      </w:r>
      <w:r>
        <w:rPr>
          <w:spacing w:val="40"/>
        </w:rPr>
        <w:t> </w:t>
      </w:r>
      <w:r>
        <w:rPr>
          <w:spacing w:val="40"/>
        </w:rPr>
      </w:r>
      <w:r>
        <w:rPr>
          <w:spacing w:val="-3"/>
        </w:rPr>
        <w:t>照客户的需求，提供较为完善的整体解决方案。</w:t>
      </w:r>
    </w:p>
    <w:p>
      <w:pPr>
        <w:pStyle w:val="BodyText"/>
        <w:spacing w:line="300" w:lineRule="auto" w:before="19"/>
        <w:ind w:left="513" w:right="1037"/>
        <w:jc w:val="left"/>
      </w:pPr>
      <w:r>
        <w:rPr/>
        <w:t>（</w:t>
      </w:r>
      <w:r>
        <w:rPr>
          <w:rFonts w:ascii="Times New Roman" w:hAnsi="Times New Roman" w:cs="Times New Roman" w:eastAsia="Times New Roman" w:hint="default"/>
        </w:rPr>
        <w:t>4</w:t>
      </w:r>
      <w:r>
        <w:rPr/>
        <w:t>）销售模式</w:t>
      </w:r>
      <w:r>
        <w:rPr>
          <w:spacing w:val="-85"/>
        </w:rPr>
        <w:t> </w:t>
      </w:r>
      <w:r>
        <w:rPr>
          <w:spacing w:val="-85"/>
        </w:rPr>
      </w:r>
      <w:r>
        <w:rPr>
          <w:spacing w:val="-4"/>
        </w:rPr>
        <w:t>公司主要通过参加行业或用户组织的招投标的方式获得合同，销售采取直销方式。电力配电设备产品在生产完工并接到</w:t>
      </w:r>
    </w:p>
    <w:p>
      <w:pPr>
        <w:pStyle w:val="BodyText"/>
        <w:spacing w:line="319" w:lineRule="auto" w:before="31"/>
        <w:ind w:right="1122"/>
        <w:jc w:val="both"/>
      </w:pPr>
      <w:r>
        <w:rPr>
          <w:spacing w:val="-4"/>
        </w:rPr>
        <w:t>客户发货通知后发货，在客户指定场所由客户组织验收。对于环网柜、箱式变电站、高低压成套开关等产品，需要安装调试</w:t>
      </w:r>
      <w:r>
        <w:rPr>
          <w:spacing w:val="42"/>
        </w:rPr>
        <w:t> </w:t>
      </w:r>
      <w:r>
        <w:rPr>
          <w:spacing w:val="42"/>
        </w:rPr>
      </w:r>
      <w:r>
        <w:rPr>
          <w:spacing w:val="-4"/>
        </w:rPr>
        <w:t>的，安装调试完成并经客户验收合格后确认收入；不需要安装调试的，经客户开箱验收合格后确认收入。对于电缆附件、故</w:t>
      </w:r>
      <w:r>
        <w:rPr>
          <w:spacing w:val="40"/>
        </w:rPr>
        <w:t> </w:t>
      </w:r>
      <w:r>
        <w:rPr>
          <w:spacing w:val="40"/>
        </w:rPr>
      </w:r>
      <w:r>
        <w:rPr>
          <w:spacing w:val="-4"/>
        </w:rPr>
        <w:t>障指示器等小件产品，公司在向购货方发出该类产品并收取价款或者取得收取价款的凭证后确认收入。公司设计咨询业务主</w:t>
      </w:r>
      <w:r>
        <w:rPr>
          <w:spacing w:val="42"/>
        </w:rPr>
        <w:t> </w:t>
      </w:r>
      <w:r>
        <w:rPr>
          <w:spacing w:val="42"/>
        </w:rPr>
      </w:r>
      <w:r>
        <w:rPr>
          <w:spacing w:val="-4"/>
        </w:rPr>
        <w:t>要为电力工程设计服务，提交符合委托方要求的电力设计施工图。结合电力工程设计行业的行业特性，本公司的收入确认原</w:t>
      </w:r>
    </w:p>
    <w:p>
      <w:pPr>
        <w:spacing w:after="0" w:line="319" w:lineRule="auto"/>
        <w:jc w:val="both"/>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6" w:lineRule="auto" w:before="46"/>
        <w:ind w:right="1037"/>
        <w:jc w:val="left"/>
      </w:pPr>
      <w:r>
        <w:rPr>
          <w:spacing w:val="-4"/>
        </w:rPr>
        <w:t>则具体如下：设计工作完成提交委托方电力设计施工图，经委托方验收并出具签收单后，确认该项目完工，本公司财务据此</w:t>
      </w:r>
      <w:r>
        <w:rPr>
          <w:spacing w:val="40"/>
        </w:rPr>
        <w:t> </w:t>
      </w:r>
      <w:r>
        <w:rPr>
          <w:spacing w:val="40"/>
        </w:rPr>
      </w:r>
      <w:r>
        <w:rPr/>
        <w:t>确认收入。</w:t>
      </w:r>
    </w:p>
    <w:p>
      <w:pPr>
        <w:pStyle w:val="BodyText"/>
        <w:spacing w:line="312" w:lineRule="auto" w:before="19"/>
        <w:ind w:right="1046" w:firstLine="360"/>
        <w:jc w:val="both"/>
      </w:pPr>
      <w:r>
        <w:rPr>
          <w:spacing w:val="-3"/>
        </w:rPr>
        <w:t>公司的营销系统分为营销总部</w:t>
      </w:r>
      <w:r>
        <w:rPr>
          <w:rFonts w:ascii="Times New Roman" w:hAnsi="Times New Roman" w:cs="Times New Roman" w:eastAsia="Times New Roman" w:hint="default"/>
          <w:spacing w:val="-3"/>
        </w:rPr>
        <w:t>/</w:t>
      </w:r>
      <w:r>
        <w:rPr>
          <w:spacing w:val="-3"/>
        </w:rPr>
        <w:t>国际贸易部</w:t>
      </w:r>
      <w:r>
        <w:rPr>
          <w:rFonts w:ascii="Times New Roman" w:hAnsi="Times New Roman" w:cs="Times New Roman" w:eastAsia="Times New Roman" w:hint="default"/>
          <w:spacing w:val="-3"/>
        </w:rPr>
        <w:t>/EPC</w:t>
      </w:r>
      <w:r>
        <w:rPr>
          <w:spacing w:val="-3"/>
        </w:rPr>
        <w:t>事业部</w:t>
      </w:r>
      <w:r>
        <w:rPr>
          <w:rFonts w:ascii="Times New Roman" w:hAnsi="Times New Roman" w:cs="Times New Roman" w:eastAsia="Times New Roman" w:hint="default"/>
          <w:spacing w:val="-3"/>
        </w:rPr>
        <w:t>/</w:t>
      </w:r>
      <w:r>
        <w:rPr>
          <w:spacing w:val="-3"/>
        </w:rPr>
        <w:t>营销服务中心等四个主要部分。营销总部主要负责电力市场销售</w:t>
      </w:r>
      <w:r>
        <w:rPr>
          <w:w w:val="101"/>
        </w:rPr>
        <w:t> </w:t>
      </w:r>
      <w:r>
        <w:rPr>
          <w:spacing w:val="-4"/>
        </w:rPr>
        <w:t>合同的签订和货款回笼。营销总部包括销售一部、销售二部、销售三部，分为七个销售大区，分别是华北区、华中区、华南</w:t>
      </w:r>
      <w:r>
        <w:rPr>
          <w:spacing w:val="40"/>
        </w:rPr>
        <w:t> </w:t>
      </w:r>
      <w:r>
        <w:rPr>
          <w:spacing w:val="40"/>
        </w:rPr>
      </w:r>
      <w:r>
        <w:rPr>
          <w:spacing w:val="-5"/>
        </w:rPr>
        <w:t>区、华东区、东北区、西南区和西北区。公司采用大区经理、省区经理、销售工程师三级业务管理模式，由公司营销总部统</w:t>
      </w:r>
      <w:r>
        <w:rPr>
          <w:spacing w:val="4"/>
        </w:rPr>
        <w:t> </w:t>
      </w:r>
      <w:r>
        <w:rPr>
          <w:spacing w:val="4"/>
        </w:rPr>
      </w:r>
      <w:r>
        <w:rPr>
          <w:spacing w:val="-4"/>
        </w:rPr>
        <w:t>一部署业务开拓和市场营销工作，在各大区、省区，强调团队之间的协同合作，避免个别业务人员各自为战；国际部负责公</w:t>
      </w:r>
      <w:r>
        <w:rPr>
          <w:spacing w:val="40"/>
        </w:rPr>
        <w:t> </w:t>
      </w:r>
      <w:r>
        <w:rPr>
          <w:spacing w:val="40"/>
        </w:rPr>
      </w:r>
      <w:r>
        <w:rPr/>
        <w:t>司国际业务；</w:t>
      </w:r>
      <w:r>
        <w:rPr>
          <w:rFonts w:ascii="Times New Roman" w:hAnsi="Times New Roman" w:cs="Times New Roman" w:eastAsia="Times New Roman" w:hint="default"/>
        </w:rPr>
        <w:t>EPC</w:t>
      </w:r>
      <w:r>
        <w:rPr/>
        <w:t>事业部主要负责国省网</w:t>
      </w:r>
      <w:r>
        <w:rPr>
          <w:rFonts w:ascii="Times New Roman" w:hAnsi="Times New Roman" w:cs="Times New Roman" w:eastAsia="Times New Roman" w:hint="default"/>
        </w:rPr>
        <w:t>/</w:t>
      </w:r>
      <w:r>
        <w:rPr/>
        <w:t>用户电力工程、配售电项目、综合能源项目等业务；营销服务中心部主要负责市</w:t>
      </w:r>
      <w:r>
        <w:rPr>
          <w:spacing w:val="-16"/>
        </w:rPr>
        <w:t> </w:t>
      </w:r>
      <w:r>
        <w:rPr>
          <w:spacing w:val="-16"/>
        </w:rPr>
      </w:r>
      <w:r>
        <w:rPr>
          <w:spacing w:val="-3"/>
        </w:rPr>
        <w:t>场营销、售前商务支持（包括投标文件的制作、报价等）和技术支持（包括了解客户技术要求以及初步技术方案的确定）。</w:t>
      </w:r>
    </w:p>
    <w:p>
      <w:pPr>
        <w:pStyle w:val="Heading4"/>
        <w:spacing w:line="240" w:lineRule="auto" w:before="22"/>
        <w:ind w:right="0"/>
        <w:jc w:val="left"/>
        <w:rPr>
          <w:b w:val="0"/>
          <w:bCs w:val="0"/>
        </w:rPr>
      </w:pPr>
      <w:r>
        <w:rPr>
          <w:rFonts w:ascii="Times New Roman" w:hAnsi="Times New Roman" w:cs="Times New Roman" w:eastAsia="Times New Roman" w:hint="default"/>
        </w:rPr>
        <w:t>2</w:t>
      </w:r>
      <w:r>
        <w:rPr/>
        <w:t>、锂电材料板块：</w:t>
      </w:r>
      <w:r>
        <w:rPr>
          <w:b w:val="0"/>
          <w:bCs w:val="0"/>
        </w:rPr>
      </w:r>
    </w:p>
    <w:p>
      <w:pPr>
        <w:pStyle w:val="BodyText"/>
        <w:spacing w:line="300" w:lineRule="auto" w:before="63"/>
        <w:ind w:left="513" w:right="1037"/>
        <w:jc w:val="left"/>
      </w:pPr>
      <w:r>
        <w:rPr/>
        <w:t>（</w:t>
      </w:r>
      <w:r>
        <w:rPr>
          <w:rFonts w:ascii="Times New Roman" w:hAnsi="Times New Roman" w:cs="Times New Roman" w:eastAsia="Times New Roman" w:hint="default"/>
        </w:rPr>
        <w:t>1</w:t>
      </w:r>
      <w:r>
        <w:rPr/>
        <w:t>）盈利模式</w:t>
      </w:r>
      <w:r>
        <w:rPr>
          <w:spacing w:val="-85"/>
        </w:rPr>
        <w:t> </w:t>
      </w:r>
      <w:r>
        <w:rPr>
          <w:spacing w:val="-85"/>
        </w:rPr>
      </w:r>
      <w:r>
        <w:rPr>
          <w:spacing w:val="-4"/>
        </w:rPr>
        <w:t>湖南雅城主要通过研发、生产和销售具有稳定性能的四氧化三钴、氢氧化亚钴、磷酸铁等锂电池正极材料前驱体系列产</w:t>
      </w:r>
    </w:p>
    <w:p>
      <w:pPr>
        <w:pStyle w:val="BodyText"/>
        <w:spacing w:line="240" w:lineRule="auto" w:before="31"/>
        <w:ind w:right="0"/>
        <w:jc w:val="left"/>
      </w:pPr>
      <w:r>
        <w:rPr/>
        <w:t>品实现盈利。</w:t>
      </w:r>
    </w:p>
    <w:p>
      <w:pPr>
        <w:pStyle w:val="BodyText"/>
        <w:spacing w:line="300" w:lineRule="auto" w:before="76"/>
        <w:ind w:left="513" w:right="1037"/>
        <w:jc w:val="left"/>
      </w:pPr>
      <w:r>
        <w:rPr/>
        <w:t>（</w:t>
      </w:r>
      <w:r>
        <w:rPr>
          <w:rFonts w:ascii="Times New Roman" w:hAnsi="Times New Roman" w:cs="Times New Roman" w:eastAsia="Times New Roman" w:hint="default"/>
        </w:rPr>
        <w:t>2</w:t>
      </w:r>
      <w:r>
        <w:rPr/>
        <w:t>）采购模式</w:t>
      </w:r>
      <w:r>
        <w:rPr>
          <w:spacing w:val="-85"/>
        </w:rPr>
        <w:t> </w:t>
      </w:r>
      <w:r>
        <w:rPr>
          <w:spacing w:val="-85"/>
        </w:rPr>
      </w:r>
      <w:r>
        <w:rPr>
          <w:spacing w:val="-5"/>
        </w:rPr>
        <w:t>根据采购物资分类不同，主要分为氯化钴采购、原料采购、设备采购、辅助材料（五金劳保）采购等，所有采购物资由</w:t>
      </w:r>
    </w:p>
    <w:p>
      <w:pPr>
        <w:pStyle w:val="BodyText"/>
        <w:spacing w:line="316" w:lineRule="auto" w:before="32"/>
        <w:ind w:right="0"/>
        <w:jc w:val="left"/>
      </w:pPr>
      <w:r>
        <w:rPr>
          <w:spacing w:val="-4"/>
        </w:rPr>
        <w:t>商务部执行，根据不同类型物资的具体验收标准管控物资品质。原料主要采取以生产厂家为主、贸易商为辅的合作模式，约</w:t>
      </w:r>
      <w:r>
        <w:rPr>
          <w:spacing w:val="40"/>
        </w:rPr>
        <w:t> </w:t>
      </w:r>
      <w:r>
        <w:rPr>
          <w:spacing w:val="40"/>
        </w:rPr>
      </w:r>
      <w:r>
        <w:rPr>
          <w:spacing w:val="-6"/>
        </w:rPr>
        <w:t>定授信额度及账期；辅料类产品主要通过物资标准化进行统一采购，采取年度招标及年度合同的模式，约定授信合度及账期；</w:t>
      </w:r>
      <w:r>
        <w:rPr>
          <w:spacing w:val="64"/>
        </w:rPr>
        <w:t> </w:t>
      </w:r>
      <w:r>
        <w:rPr>
          <w:spacing w:val="64"/>
        </w:rPr>
      </w:r>
      <w:r>
        <w:rPr>
          <w:spacing w:val="-3"/>
        </w:rPr>
        <w:t>公司收到相关物资后，按照物资具体验收流程进行取样及检测，对各类物资质量进行严格把控。</w:t>
      </w:r>
    </w:p>
    <w:p>
      <w:pPr>
        <w:pStyle w:val="BodyText"/>
        <w:spacing w:line="300" w:lineRule="auto" w:before="19"/>
        <w:ind w:left="513" w:right="2648"/>
        <w:jc w:val="left"/>
      </w:pPr>
      <w:r>
        <w:rPr/>
        <w:t>（</w:t>
      </w:r>
      <w:r>
        <w:rPr>
          <w:rFonts w:ascii="Times New Roman" w:hAnsi="Times New Roman" w:cs="Times New Roman" w:eastAsia="Times New Roman" w:hint="default"/>
        </w:rPr>
        <w:t>3</w:t>
      </w:r>
      <w:r>
        <w:rPr/>
        <w:t>）生产模式</w:t>
      </w:r>
      <w:r>
        <w:rPr>
          <w:spacing w:val="-85"/>
        </w:rPr>
        <w:t> </w:t>
      </w:r>
      <w:r>
        <w:rPr>
          <w:spacing w:val="-85"/>
        </w:rPr>
      </w:r>
      <w:r>
        <w:rPr>
          <w:spacing w:val="-3"/>
        </w:rPr>
        <w:t>湖南雅城主要根据客户订单及市场需求预测来安排生产，经品质部检验合格后根据合同约定交货。</w:t>
      </w:r>
    </w:p>
    <w:p>
      <w:pPr>
        <w:pStyle w:val="BodyText"/>
        <w:spacing w:line="300" w:lineRule="auto" w:before="32"/>
        <w:ind w:left="513" w:right="7684"/>
        <w:jc w:val="left"/>
      </w:pPr>
      <w:r>
        <w:rPr/>
        <w:t>（</w:t>
      </w:r>
      <w:r>
        <w:rPr>
          <w:rFonts w:ascii="Times New Roman" w:hAnsi="Times New Roman" w:cs="Times New Roman" w:eastAsia="Times New Roman" w:hint="default"/>
        </w:rPr>
        <w:t>4</w:t>
      </w:r>
      <w:r>
        <w:rPr/>
        <w:t>）销售模式</w:t>
      </w:r>
      <w:r>
        <w:rPr>
          <w:spacing w:val="-85"/>
        </w:rPr>
        <w:t> </w:t>
      </w:r>
      <w:r>
        <w:rPr>
          <w:spacing w:val="-85"/>
        </w:rPr>
      </w:r>
      <w:r>
        <w:rPr>
          <w:spacing w:val="-2"/>
        </w:rPr>
        <w:t>基本模式：战略客户</w:t>
      </w:r>
      <w:r>
        <w:rPr>
          <w:rFonts w:ascii="Times New Roman" w:hAnsi="Times New Roman" w:cs="Times New Roman" w:eastAsia="Times New Roman" w:hint="default"/>
          <w:spacing w:val="-2"/>
        </w:rPr>
        <w:t>+</w:t>
      </w:r>
      <w:r>
        <w:rPr>
          <w:spacing w:val="-2"/>
        </w:rPr>
        <w:t>优质客户</w:t>
      </w:r>
    </w:p>
    <w:p>
      <w:pPr>
        <w:pStyle w:val="BodyText"/>
        <w:spacing w:line="316" w:lineRule="auto" w:before="13"/>
        <w:ind w:right="1122" w:firstLine="360"/>
        <w:jc w:val="both"/>
      </w:pPr>
      <w:r>
        <w:rPr>
          <w:spacing w:val="-5"/>
          <w:w w:val="101"/>
        </w:rPr>
        <w:t>湖南雅城是中国有色金属工业协会钴业分会的理事单位，通过建立战略合作与业内领军客户建立长期稳定的合作关系以</w:t>
      </w:r>
      <w:r>
        <w:rPr>
          <w:w w:val="101"/>
        </w:rPr>
        <w:t> </w:t>
      </w:r>
      <w:r>
        <w:rPr>
          <w:spacing w:val="-4"/>
        </w:rPr>
        <w:t>稳定公司销售的基本面，如与厦钨、北大先行、贝特瑞、国轩等签订战略协议。同时，与业内优质客户建立长期稳定的供需</w:t>
      </w:r>
      <w:r>
        <w:rPr>
          <w:spacing w:val="41"/>
        </w:rPr>
        <w:t> </w:t>
      </w:r>
      <w:r>
        <w:rPr>
          <w:spacing w:val="41"/>
        </w:rPr>
      </w:r>
      <w:r>
        <w:rPr>
          <w:spacing w:val="-4"/>
        </w:rPr>
        <w:t>关系作为补充，经过小试、中试、批量试验等品质认证过程，并与目标客户进行商务谈判，签订正式销售协议后安排生产供</w:t>
      </w:r>
      <w:r>
        <w:rPr>
          <w:spacing w:val="40"/>
        </w:rPr>
        <w:t> </w:t>
      </w:r>
      <w:r>
        <w:rPr>
          <w:spacing w:val="40"/>
        </w:rPr>
      </w:r>
      <w:r>
        <w:rPr/>
        <w:t>货。</w:t>
      </w: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r>
        <w:rPr/>
        <w:t>（三）报告期内主要的业绩驱动因素</w:t>
      </w:r>
      <w:r>
        <w:rPr>
          <w:b w:val="0"/>
          <w:bCs w:val="0"/>
        </w:rPr>
      </w:r>
    </w:p>
    <w:p>
      <w:pPr>
        <w:pStyle w:val="Heading4"/>
        <w:spacing w:line="240" w:lineRule="auto" w:before="76"/>
        <w:ind w:right="0"/>
        <w:jc w:val="left"/>
        <w:rPr>
          <w:b w:val="0"/>
          <w:bCs w:val="0"/>
        </w:rPr>
      </w:pPr>
      <w:r>
        <w:rPr>
          <w:rFonts w:ascii="Times New Roman" w:hAnsi="Times New Roman" w:cs="Times New Roman" w:eastAsia="Times New Roman" w:hint="default"/>
        </w:rPr>
        <w:t>1</w:t>
      </w:r>
      <w:r>
        <w:rPr/>
        <w:t>、电力板块：</w:t>
      </w:r>
      <w:r>
        <w:rPr>
          <w:b w:val="0"/>
          <w:bCs w:val="0"/>
        </w:rPr>
      </w:r>
    </w:p>
    <w:p>
      <w:pPr>
        <w:pStyle w:val="BodyText"/>
        <w:spacing w:line="240" w:lineRule="auto" w:before="63"/>
        <w:ind w:left="513" w:right="0"/>
        <w:jc w:val="left"/>
      </w:pPr>
      <w:r>
        <w:rPr/>
        <w:t>（</w:t>
      </w:r>
      <w:r>
        <w:rPr>
          <w:rFonts w:ascii="Times New Roman" w:hAnsi="Times New Roman" w:cs="Times New Roman" w:eastAsia="Times New Roman" w:hint="default"/>
        </w:rPr>
        <w:t>1</w:t>
      </w:r>
      <w:r>
        <w:rPr/>
        <w:t>）行业宏观投资规划</w:t>
      </w:r>
    </w:p>
    <w:p>
      <w:pPr>
        <w:pStyle w:val="BodyText"/>
        <w:spacing w:line="300" w:lineRule="auto" w:before="63"/>
        <w:ind w:right="0" w:firstLine="36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9</w:t>
      </w:r>
      <w:r>
        <w:rPr>
          <w:spacing w:val="-3"/>
        </w:rPr>
        <w:t>月，国家能源局发布了《配电网建设改造行动计划（</w:t>
      </w:r>
      <w:r>
        <w:rPr>
          <w:rFonts w:ascii="Times New Roman" w:hAnsi="Times New Roman" w:cs="Times New Roman" w:eastAsia="Times New Roman" w:hint="default"/>
          <w:spacing w:val="-3"/>
        </w:rPr>
        <w:t>2015~2020</w:t>
      </w:r>
      <w:r>
        <w:rPr>
          <w:spacing w:val="-3"/>
        </w:rPr>
        <w:t>年）》，明确了未来</w:t>
      </w:r>
      <w:r>
        <w:rPr>
          <w:rFonts w:ascii="Times New Roman" w:hAnsi="Times New Roman" w:cs="Times New Roman" w:eastAsia="Times New Roman" w:hint="default"/>
          <w:spacing w:val="-3"/>
        </w:rPr>
        <w:t>5</w:t>
      </w:r>
      <w:r>
        <w:rPr>
          <w:spacing w:val="-3"/>
        </w:rPr>
        <w:t>年内我国配电网的建设投</w:t>
      </w:r>
      <w:r>
        <w:rPr>
          <w:w w:val="101"/>
        </w:rPr>
        <w:t> </w:t>
      </w:r>
      <w:r>
        <w:rPr>
          <w:spacing w:val="-3"/>
        </w:rPr>
        <w:t>资不低于</w:t>
      </w:r>
      <w:r>
        <w:rPr>
          <w:rFonts w:ascii="Times New Roman" w:hAnsi="Times New Roman" w:cs="Times New Roman" w:eastAsia="Times New Roman" w:hint="default"/>
          <w:spacing w:val="-3"/>
        </w:rPr>
        <w:t>2</w:t>
      </w:r>
      <w:r>
        <w:rPr>
          <w:spacing w:val="-3"/>
        </w:rPr>
        <w:t>万亿元，这一规划的出台，比较有力地推动了本行业的业务增长；从细分市场看，农村电网的相关设备增长明显</w:t>
      </w:r>
      <w:r>
        <w:rPr>
          <w:spacing w:val="74"/>
        </w:rPr>
        <w:t> </w:t>
      </w:r>
      <w:r>
        <w:rPr>
          <w:spacing w:val="74"/>
        </w:rPr>
      </w:r>
      <w:r>
        <w:rPr>
          <w:spacing w:val="-4"/>
        </w:rPr>
        <w:t>高于其他市场，这与国家发改委《关于</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期间实施新一轮农村电网改造升级工程的意见》提出的十三五期间，农村电</w:t>
      </w:r>
      <w:r>
        <w:rPr>
          <w:spacing w:val="64"/>
        </w:rPr>
        <w:t> </w:t>
      </w:r>
      <w:r>
        <w:rPr>
          <w:spacing w:val="64"/>
        </w:rPr>
      </w:r>
      <w:r>
        <w:rPr>
          <w:spacing w:val="-4"/>
        </w:rPr>
        <w:t>网投资将达到</w:t>
      </w:r>
      <w:r>
        <w:rPr>
          <w:rFonts w:ascii="Times New Roman" w:hAnsi="Times New Roman" w:cs="Times New Roman" w:eastAsia="Times New Roman" w:hint="default"/>
          <w:spacing w:val="-4"/>
        </w:rPr>
        <w:t>7000</w:t>
      </w:r>
      <w:r>
        <w:rPr>
          <w:spacing w:val="-4"/>
        </w:rPr>
        <w:t>亿元相印证。国家电网</w:t>
      </w:r>
      <w:r>
        <w:rPr>
          <w:rFonts w:ascii="Times New Roman" w:hAnsi="Times New Roman" w:cs="Times New Roman" w:eastAsia="Times New Roman" w:hint="default"/>
          <w:spacing w:val="-4"/>
        </w:rPr>
        <w:t>2019</w:t>
      </w:r>
      <w:r>
        <w:rPr>
          <w:spacing w:val="-4"/>
        </w:rPr>
        <w:t>年电网投资</w:t>
      </w:r>
      <w:r>
        <w:rPr>
          <w:rFonts w:ascii="Times New Roman" w:hAnsi="Times New Roman" w:cs="Times New Roman" w:eastAsia="Times New Roman" w:hint="default"/>
          <w:spacing w:val="-4"/>
        </w:rPr>
        <w:t>4473</w:t>
      </w:r>
      <w:r>
        <w:rPr>
          <w:spacing w:val="-4"/>
        </w:rPr>
        <w:t>亿元，同比下降</w:t>
      </w:r>
      <w:r>
        <w:rPr>
          <w:rFonts w:ascii="Times New Roman" w:hAnsi="Times New Roman" w:cs="Times New Roman" w:eastAsia="Times New Roman" w:hint="default"/>
          <w:spacing w:val="-4"/>
        </w:rPr>
        <w:t>8.52%</w:t>
      </w:r>
      <w:r>
        <w:rPr>
          <w:spacing w:val="-4"/>
        </w:rPr>
        <w:t>，近三年电网整体投资稳中有降；但是，</w:t>
      </w:r>
      <w:r>
        <w:rPr>
          <w:spacing w:val="58"/>
        </w:rPr>
        <w:t> </w:t>
      </w:r>
      <w:r>
        <w:rPr>
          <w:spacing w:val="58"/>
        </w:rPr>
      </w:r>
      <w:r>
        <w:rPr>
          <w:rFonts w:ascii="Times New Roman" w:hAnsi="Times New Roman" w:cs="Times New Roman" w:eastAsia="Times New Roman" w:hint="default"/>
          <w:spacing w:val="-3"/>
        </w:rPr>
        <w:t>2019</w:t>
      </w:r>
      <w:r>
        <w:rPr>
          <w:spacing w:val="-3"/>
        </w:rPr>
        <w:t>年国家电网完成农网投资</w:t>
      </w:r>
      <w:r>
        <w:rPr>
          <w:rFonts w:ascii="Times New Roman" w:hAnsi="Times New Roman" w:cs="Times New Roman" w:eastAsia="Times New Roman" w:hint="default"/>
          <w:spacing w:val="-3"/>
        </w:rPr>
        <w:t>1590</w:t>
      </w:r>
      <w:r>
        <w:rPr>
          <w:spacing w:val="-3"/>
        </w:rPr>
        <w:t>亿元，同比增加</w:t>
      </w:r>
      <w:r>
        <w:rPr>
          <w:rFonts w:ascii="Times New Roman" w:hAnsi="Times New Roman" w:cs="Times New Roman" w:eastAsia="Times New Roman" w:hint="default"/>
          <w:spacing w:val="-3"/>
        </w:rPr>
        <w:t>6.35%</w:t>
      </w:r>
      <w:r>
        <w:rPr>
          <w:spacing w:val="-3"/>
        </w:rPr>
        <w:t>，近三年农网投资保持稳定增长。配电网投资仍将是未来几年的重</w:t>
      </w:r>
      <w:r>
        <w:rPr>
          <w:spacing w:val="80"/>
        </w:rPr>
        <w:t> </w:t>
      </w:r>
      <w:r>
        <w:rPr>
          <w:spacing w:val="80"/>
        </w:rPr>
      </w:r>
      <w:r>
        <w:rPr>
          <w:spacing w:val="-3"/>
        </w:rPr>
        <w:t>点发展方向，变压器、柱上开关、低压配电柜等产品将是公司业务保持增长的一个主要动力来源。</w:t>
      </w:r>
    </w:p>
    <w:p>
      <w:pPr>
        <w:pStyle w:val="BodyText"/>
        <w:spacing w:line="240" w:lineRule="auto" w:before="31"/>
        <w:ind w:left="513" w:right="0"/>
        <w:jc w:val="left"/>
      </w:pPr>
      <w:r>
        <w:rPr/>
        <w:t>（</w:t>
      </w:r>
      <w:r>
        <w:rPr>
          <w:rFonts w:ascii="Times New Roman" w:hAnsi="Times New Roman" w:cs="Times New Roman" w:eastAsia="Times New Roman" w:hint="default"/>
        </w:rPr>
        <w:t>2</w:t>
      </w:r>
      <w:r>
        <w:rPr/>
        <w:t>）电力体制的进一步改革</w:t>
      </w:r>
    </w:p>
    <w:p>
      <w:pPr>
        <w:pStyle w:val="BodyText"/>
        <w:spacing w:line="312" w:lineRule="auto" w:before="63"/>
        <w:ind w:right="0" w:firstLine="360"/>
        <w:jc w:val="left"/>
      </w:pP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3</w:t>
      </w:r>
      <w:r>
        <w:rPr>
          <w:spacing w:val="-3"/>
        </w:rPr>
        <w:t>月，中共中央、国务院发布《关于进一步深化电力体制改革的若干意见》（中发</w:t>
      </w:r>
      <w:r>
        <w:rPr>
          <w:rFonts w:ascii="Times New Roman" w:hAnsi="Times New Roman" w:cs="Times New Roman" w:eastAsia="Times New Roman" w:hint="default"/>
          <w:spacing w:val="-3"/>
        </w:rPr>
        <w:t>[2015]9</w:t>
      </w:r>
      <w:r>
        <w:rPr>
          <w:spacing w:val="-3"/>
        </w:rPr>
        <w:t>号），新电改方案的出</w:t>
      </w:r>
      <w:r>
        <w:rPr>
          <w:w w:val="101"/>
        </w:rPr>
        <w:t> </w:t>
      </w:r>
      <w:r>
        <w:rPr>
          <w:spacing w:val="-4"/>
        </w:rPr>
        <w:t>台意味着新一轮电力体制改革大幕的拉开。新一轮电力体制改革方案以</w:t>
      </w:r>
      <w:r>
        <w:rPr>
          <w:rFonts w:ascii="Times New Roman" w:hAnsi="Times New Roman" w:cs="Times New Roman" w:eastAsia="Times New Roman" w:hint="default"/>
          <w:spacing w:val="-4"/>
        </w:rPr>
        <w:t>“</w:t>
      </w:r>
      <w:r>
        <w:rPr>
          <w:spacing w:val="-4"/>
        </w:rPr>
        <w:t>三放开、一独立、三强化</w:t>
      </w:r>
      <w:r>
        <w:rPr>
          <w:rFonts w:ascii="Times New Roman" w:hAnsi="Times New Roman" w:cs="Times New Roman" w:eastAsia="Times New Roman" w:hint="default"/>
          <w:spacing w:val="-4"/>
        </w:rPr>
        <w:t>”</w:t>
      </w:r>
      <w:r>
        <w:rPr>
          <w:spacing w:val="-4"/>
        </w:rPr>
        <w:t>总体框架构建新电力市场</w:t>
      </w:r>
      <w:r>
        <w:rPr>
          <w:spacing w:val="64"/>
        </w:rPr>
        <w:t> </w:t>
      </w:r>
      <w:r>
        <w:rPr>
          <w:spacing w:val="64"/>
        </w:rPr>
      </w:r>
      <w:r>
        <w:rPr>
          <w:spacing w:val="-6"/>
        </w:rPr>
        <w:t>体系，有序放开输配以外的竞争性环节电价，有序向社会资本开放配售电业务，有序放开公益性和调节性以外的发用电计划；</w:t>
      </w:r>
      <w:r>
        <w:rPr>
          <w:spacing w:val="63"/>
        </w:rPr>
        <w:t> </w:t>
      </w:r>
      <w:r>
        <w:rPr>
          <w:spacing w:val="63"/>
        </w:rPr>
      </w:r>
      <w:r>
        <w:rPr>
          <w:spacing w:val="-4"/>
        </w:rPr>
        <w:t>推进交易机构相对独立，规范运行；继续深化对区域电网建设和适合我国国情的输配体制研究；进一步强化政府监管，进一</w:t>
      </w:r>
      <w:r>
        <w:rPr>
          <w:spacing w:val="40"/>
        </w:rPr>
        <w:t> </w:t>
      </w:r>
      <w:r>
        <w:rPr>
          <w:spacing w:val="40"/>
        </w:rPr>
      </w:r>
      <w:r>
        <w:rPr>
          <w:spacing w:val="-4"/>
        </w:rPr>
        <w:t>步强化电力统筹规划，进一步强化电力安全高效运行和可靠供应。我们认为，有序向社会资本开放配售电业务，是未来公司</w:t>
      </w:r>
      <w:r>
        <w:rPr>
          <w:spacing w:val="40"/>
        </w:rPr>
        <w:t> </w:t>
      </w:r>
      <w:r>
        <w:rPr>
          <w:spacing w:val="40"/>
        </w:rPr>
      </w:r>
      <w:r>
        <w:rPr>
          <w:spacing w:val="-3"/>
        </w:rPr>
        <w:t>快速发展的历史性机遇。</w:t>
      </w:r>
    </w:p>
    <w:p>
      <w:pPr>
        <w:pStyle w:val="Heading4"/>
        <w:spacing w:line="240" w:lineRule="auto" w:before="22"/>
        <w:ind w:right="0"/>
        <w:jc w:val="left"/>
        <w:rPr>
          <w:b w:val="0"/>
          <w:bCs w:val="0"/>
        </w:rPr>
      </w:pPr>
      <w:r>
        <w:rPr>
          <w:rFonts w:ascii="Times New Roman" w:hAnsi="Times New Roman" w:cs="Times New Roman" w:eastAsia="Times New Roman" w:hint="default"/>
        </w:rPr>
        <w:t>2</w:t>
      </w:r>
      <w:r>
        <w:rPr/>
        <w:t>、锂电材料板块：</w:t>
      </w:r>
      <w:r>
        <w:rPr>
          <w:b w:val="0"/>
          <w:bCs w:val="0"/>
        </w:rPr>
      </w:r>
    </w:p>
    <w:p>
      <w:pPr>
        <w:pStyle w:val="BodyText"/>
        <w:spacing w:line="240" w:lineRule="auto" w:before="62"/>
        <w:ind w:left="513" w:right="0"/>
        <w:jc w:val="left"/>
      </w:pPr>
      <w:r>
        <w:rPr/>
        <w:t>（</w:t>
      </w:r>
      <w:r>
        <w:rPr>
          <w:rFonts w:ascii="Times New Roman" w:hAnsi="Times New Roman" w:cs="Times New Roman" w:eastAsia="Times New Roman" w:hint="default"/>
        </w:rPr>
        <w:t>1</w:t>
      </w:r>
      <w:r>
        <w:rPr/>
        <w:t>）新能源汽车发展的需求</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22" w:firstLine="360"/>
        <w:jc w:val="both"/>
      </w:pPr>
      <w:r>
        <w:rPr>
          <w:spacing w:val="-3"/>
        </w:rPr>
        <w:t>中国汽车工业协会发布</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月份汽车产销数据。多家机构发布行业销量点评，当前新能源汽车行业景气较低，短期</w:t>
      </w:r>
      <w:r>
        <w:rPr>
          <w:w w:val="101"/>
        </w:rPr>
        <w:t> </w:t>
      </w:r>
      <w:r>
        <w:rPr>
          <w:spacing w:val="-4"/>
        </w:rPr>
        <w:t>受疫情冲击影响，但全年看，行业政策环境有望回暖，预计销量前低后高，全年销量增速有望超过</w:t>
      </w:r>
      <w:r>
        <w:rPr>
          <w:rFonts w:ascii="Times New Roman" w:hAnsi="Times New Roman" w:cs="Times New Roman" w:eastAsia="Times New Roman" w:hint="default"/>
          <w:spacing w:val="-4"/>
        </w:rPr>
        <w:t>35%</w:t>
      </w:r>
      <w:r>
        <w:rPr>
          <w:spacing w:val="-4"/>
        </w:rPr>
        <w:t>。今年预计新能源车</w:t>
      </w:r>
      <w:r>
        <w:rPr>
          <w:spacing w:val="77"/>
        </w:rPr>
        <w:t> </w:t>
      </w:r>
      <w:r>
        <w:rPr>
          <w:spacing w:val="77"/>
        </w:rPr>
      </w:r>
      <w:r>
        <w:rPr>
          <w:spacing w:val="-4"/>
        </w:rPr>
        <w:t>补贴退坡幅度比较温和，此外电动汽车百人会在北京举行，释放包括</w:t>
      </w:r>
      <w:r>
        <w:rPr>
          <w:rFonts w:ascii="Times New Roman" w:hAnsi="Times New Roman" w:cs="Times New Roman" w:eastAsia="Times New Roman" w:hint="default"/>
          <w:spacing w:val="-4"/>
        </w:rPr>
        <w:t>“</w:t>
      </w:r>
      <w:r>
        <w:rPr>
          <w:spacing w:val="-4"/>
        </w:rPr>
        <w:t>双积分政策拟于近期发布</w:t>
      </w:r>
      <w:r>
        <w:rPr>
          <w:rFonts w:ascii="Times New Roman" w:hAnsi="Times New Roman" w:cs="Times New Roman" w:eastAsia="Times New Roman" w:hint="default"/>
          <w:spacing w:val="-4"/>
        </w:rPr>
        <w:t>”</w:t>
      </w:r>
      <w:r>
        <w:rPr>
          <w:spacing w:val="-4"/>
        </w:rPr>
        <w:t>与</w:t>
      </w:r>
      <w:r>
        <w:rPr>
          <w:rFonts w:ascii="Times New Roman" w:hAnsi="Times New Roman" w:cs="Times New Roman" w:eastAsia="Times New Roman" w:hint="default"/>
          <w:spacing w:val="-4"/>
        </w:rPr>
        <w:t>“</w:t>
      </w:r>
      <w:r>
        <w:rPr>
          <w:spacing w:val="-4"/>
        </w:rPr>
        <w:t>补贴温和退坡</w:t>
      </w:r>
      <w:r>
        <w:rPr>
          <w:rFonts w:ascii="Times New Roman" w:hAnsi="Times New Roman" w:cs="Times New Roman" w:eastAsia="Times New Roman" w:hint="default"/>
          <w:spacing w:val="-4"/>
        </w:rPr>
        <w:t>”</w:t>
      </w:r>
      <w:r>
        <w:rPr>
          <w:spacing w:val="-4"/>
        </w:rPr>
        <w:t>等利好观</w:t>
      </w:r>
      <w:r>
        <w:rPr>
          <w:spacing w:val="2"/>
        </w:rPr>
        <w:t> </w:t>
      </w:r>
      <w:r>
        <w:rPr>
          <w:spacing w:val="2"/>
        </w:rPr>
      </w:r>
      <w:r>
        <w:rPr>
          <w:spacing w:val="-4"/>
        </w:rPr>
        <w:t>点，预计</w:t>
      </w:r>
      <w:r>
        <w:rPr>
          <w:rFonts w:ascii="Times New Roman" w:hAnsi="Times New Roman" w:cs="Times New Roman" w:eastAsia="Times New Roman" w:hint="default"/>
          <w:spacing w:val="-4"/>
        </w:rPr>
        <w:t>2020</w:t>
      </w:r>
      <w:r>
        <w:rPr>
          <w:spacing w:val="-4"/>
        </w:rPr>
        <w:t>年行业整体政策环境有望回暖，销量预期将明显提升。同时近期海外对于新能源汽车的政策频繁加码，</w:t>
      </w:r>
      <w:r>
        <w:rPr>
          <w:rFonts w:ascii="Times New Roman" w:hAnsi="Times New Roman" w:cs="Times New Roman" w:eastAsia="Times New Roman" w:hint="default"/>
          <w:spacing w:val="-4"/>
        </w:rPr>
        <w:t>11</w:t>
      </w:r>
      <w:r>
        <w:rPr>
          <w:spacing w:val="-4"/>
        </w:rPr>
        <w:t>月德</w:t>
      </w:r>
      <w:r>
        <w:rPr>
          <w:spacing w:val="54"/>
        </w:rPr>
        <w:t> </w:t>
      </w:r>
      <w:r>
        <w:rPr>
          <w:spacing w:val="-4"/>
        </w:rPr>
        <w:t>国电动补贴上调、</w:t>
      </w:r>
      <w:r>
        <w:rPr>
          <w:rFonts w:ascii="Times New Roman" w:hAnsi="Times New Roman" w:cs="Times New Roman" w:eastAsia="Times New Roman" w:hint="default"/>
          <w:spacing w:val="-4"/>
        </w:rPr>
        <w:t>12</w:t>
      </w:r>
      <w:r>
        <w:rPr>
          <w:spacing w:val="-4"/>
        </w:rPr>
        <w:t>月法国补贴得到延长、美国《</w:t>
      </w:r>
      <w:r>
        <w:rPr>
          <w:rFonts w:ascii="Times New Roman" w:hAnsi="Times New Roman" w:cs="Times New Roman" w:eastAsia="Times New Roman" w:hint="default"/>
          <w:spacing w:val="-4"/>
        </w:rPr>
        <w:t>2019</w:t>
      </w:r>
      <w:r>
        <w:rPr>
          <w:spacing w:val="-4"/>
        </w:rPr>
        <w:t>年绿色能源法案》有望进一步加大税收抵免政策优惠力度，海外政策</w:t>
      </w:r>
      <w:r>
        <w:rPr>
          <w:spacing w:val="54"/>
        </w:rPr>
        <w:t> </w:t>
      </w:r>
      <w:r>
        <w:rPr>
          <w:spacing w:val="54"/>
        </w:rPr>
      </w:r>
      <w:r>
        <w:rPr>
          <w:spacing w:val="-3"/>
        </w:rPr>
        <w:t>环境持续推动新能源汽车长期发展。</w:t>
      </w:r>
    </w:p>
    <w:p>
      <w:pPr>
        <w:pStyle w:val="BodyText"/>
        <w:spacing w:line="300" w:lineRule="auto" w:before="31"/>
        <w:ind w:right="1122" w:firstLine="360"/>
        <w:jc w:val="both"/>
      </w:pPr>
      <w:r>
        <w:rPr>
          <w:spacing w:val="-3"/>
        </w:rPr>
        <w:t>工信部发布的《汽车产业中长期发展规划》曾提出，中国在</w:t>
      </w:r>
      <w:r>
        <w:rPr>
          <w:rFonts w:ascii="Times New Roman" w:hAnsi="Times New Roman" w:cs="Times New Roman" w:eastAsia="Times New Roman" w:hint="default"/>
          <w:spacing w:val="-3"/>
        </w:rPr>
        <w:t>2020</w:t>
      </w:r>
      <w:r>
        <w:rPr>
          <w:spacing w:val="-3"/>
        </w:rPr>
        <w:t>年完成新能源汽车产销</w:t>
      </w:r>
      <w:r>
        <w:rPr>
          <w:rFonts w:ascii="Times New Roman" w:hAnsi="Times New Roman" w:cs="Times New Roman" w:eastAsia="Times New Roman" w:hint="default"/>
          <w:spacing w:val="-3"/>
        </w:rPr>
        <w:t>200</w:t>
      </w:r>
      <w:r>
        <w:rPr>
          <w:spacing w:val="-3"/>
        </w:rPr>
        <w:t>万辆。此外，《新能源汽车</w:t>
      </w:r>
      <w:r>
        <w:rPr>
          <w:w w:val="101"/>
        </w:rPr>
        <w:t> </w:t>
      </w:r>
      <w:r>
        <w:rPr>
          <w:spacing w:val="-3"/>
        </w:rPr>
        <w:t>产业发展规划</w:t>
      </w:r>
      <w:r>
        <w:rPr>
          <w:rFonts w:ascii="Times New Roman" w:hAnsi="Times New Roman" w:cs="Times New Roman" w:eastAsia="Times New Roman" w:hint="default"/>
          <w:spacing w:val="-3"/>
        </w:rPr>
        <w:t>(2021-2035</w:t>
      </w:r>
      <w:r>
        <w:rPr>
          <w:spacing w:val="-3"/>
        </w:rPr>
        <w:t>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征求意见稿</w:t>
      </w:r>
      <w:r>
        <w:rPr>
          <w:rFonts w:ascii="Times New Roman" w:hAnsi="Times New Roman" w:cs="Times New Roman" w:eastAsia="Times New Roman" w:hint="default"/>
          <w:spacing w:val="-3"/>
        </w:rPr>
        <w:t>)</w:t>
      </w:r>
      <w:r>
        <w:rPr>
          <w:spacing w:val="-3"/>
        </w:rPr>
        <w:t>也提出，</w:t>
      </w:r>
      <w:r>
        <w:rPr>
          <w:rFonts w:ascii="Times New Roman" w:hAnsi="Times New Roman" w:cs="Times New Roman" w:eastAsia="Times New Roman" w:hint="default"/>
          <w:spacing w:val="-3"/>
        </w:rPr>
        <w:t>2025</w:t>
      </w:r>
      <w:r>
        <w:rPr>
          <w:spacing w:val="-3"/>
        </w:rPr>
        <w:t>年中国汽车年产销约为</w:t>
      </w:r>
      <w:r>
        <w:rPr>
          <w:rFonts w:ascii="Times New Roman" w:hAnsi="Times New Roman" w:cs="Times New Roman" w:eastAsia="Times New Roman" w:hint="default"/>
          <w:spacing w:val="-3"/>
        </w:rPr>
        <w:t>3500</w:t>
      </w:r>
      <w:r>
        <w:rPr>
          <w:spacing w:val="-3"/>
        </w:rPr>
        <w:t>万辆，其中新能源汽车产销要占总量的</w:t>
      </w:r>
      <w:r>
        <w:rPr>
          <w:spacing w:val="78"/>
        </w:rPr>
        <w:t> </w:t>
      </w:r>
      <w:r>
        <w:rPr>
          <w:spacing w:val="78"/>
        </w:rPr>
      </w:r>
      <w:r>
        <w:rPr>
          <w:rFonts w:ascii="Times New Roman" w:hAnsi="Times New Roman" w:cs="Times New Roman" w:eastAsia="Times New Roman" w:hint="default"/>
          <w:spacing w:val="-3"/>
        </w:rPr>
        <w:t>25%</w:t>
      </w:r>
      <w:r>
        <w:rPr>
          <w:spacing w:val="-3"/>
        </w:rPr>
        <w:t>，届时新能源汽车年销量需达</w:t>
      </w:r>
      <w:r>
        <w:rPr>
          <w:rFonts w:ascii="Times New Roman" w:hAnsi="Times New Roman" w:cs="Times New Roman" w:eastAsia="Times New Roman" w:hint="default"/>
          <w:spacing w:val="-3"/>
        </w:rPr>
        <w:t>700</w:t>
      </w:r>
      <w:r>
        <w:rPr>
          <w:spacing w:val="-3"/>
        </w:rPr>
        <w:t>万辆。</w:t>
      </w:r>
    </w:p>
    <w:p>
      <w:pPr>
        <w:pStyle w:val="BodyText"/>
        <w:spacing w:line="300" w:lineRule="auto" w:before="13"/>
        <w:ind w:left="513" w:right="0"/>
        <w:jc w:val="left"/>
      </w:pP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5G</w:t>
      </w:r>
      <w:r>
        <w:rPr>
          <w:spacing w:val="-3"/>
        </w:rPr>
        <w:t>基站建设对磷酸铁锂电池需求快速增长。</w:t>
      </w:r>
      <w:r>
        <w:rPr>
          <w:spacing w:val="-22"/>
        </w:rPr>
        <w:t> </w:t>
      </w:r>
      <w:r>
        <w:rPr>
          <w:spacing w:val="-22"/>
        </w:rPr>
      </w:r>
      <w:r>
        <w:rPr>
          <w:spacing w:val="-2"/>
        </w:rPr>
        <w:t>国家广播电视总局启动全国有线电视网络整合和广电</w:t>
      </w:r>
      <w:r>
        <w:rPr>
          <w:rFonts w:ascii="Times New Roman" w:hAnsi="Times New Roman" w:cs="Times New Roman" w:eastAsia="Times New Roman" w:hint="default"/>
          <w:spacing w:val="-2"/>
        </w:rPr>
        <w:t>5G</w:t>
      </w:r>
      <w:r>
        <w:rPr>
          <w:spacing w:val="-2"/>
        </w:rPr>
        <w:t>建设一体化发展工作；三大运营商宣布合计不少于</w:t>
      </w:r>
      <w:r>
        <w:rPr>
          <w:rFonts w:ascii="Times New Roman" w:hAnsi="Times New Roman" w:cs="Times New Roman" w:eastAsia="Times New Roman" w:hint="default"/>
          <w:spacing w:val="-2"/>
        </w:rPr>
        <w:t>55</w:t>
      </w:r>
      <w:r>
        <w:rPr>
          <w:spacing w:val="-2"/>
        </w:rPr>
        <w:t>万个</w:t>
      </w:r>
      <w:r>
        <w:rPr>
          <w:rFonts w:ascii="Times New Roman" w:hAnsi="Times New Roman" w:cs="Times New Roman" w:eastAsia="Times New Roman" w:hint="default"/>
          <w:spacing w:val="-2"/>
        </w:rPr>
        <w:t>5G</w:t>
      </w:r>
      <w:r>
        <w:rPr>
          <w:spacing w:val="-2"/>
        </w:rPr>
        <w:t>基</w:t>
      </w:r>
    </w:p>
    <w:p>
      <w:pPr>
        <w:pStyle w:val="BodyText"/>
        <w:spacing w:line="300" w:lineRule="auto" w:before="13"/>
        <w:ind w:right="1120"/>
        <w:jc w:val="both"/>
      </w:pPr>
      <w:r>
        <w:rPr>
          <w:spacing w:val="-2"/>
        </w:rPr>
        <w:t>站的建设规划，即将开启</w:t>
      </w:r>
      <w:r>
        <w:rPr>
          <w:rFonts w:ascii="Times New Roman" w:hAnsi="Times New Roman" w:cs="Times New Roman" w:eastAsia="Times New Roman" w:hint="default"/>
          <w:spacing w:val="-2"/>
        </w:rPr>
        <w:t>5G</w:t>
      </w:r>
      <w:r>
        <w:rPr>
          <w:spacing w:val="-2"/>
        </w:rPr>
        <w:t>二期招标</w:t>
      </w:r>
      <w:r>
        <w:rPr>
          <w:rFonts w:ascii="Times New Roman" w:hAnsi="Times New Roman" w:cs="Times New Roman" w:eastAsia="Times New Roman" w:hint="default"/>
          <w:spacing w:val="-2"/>
        </w:rPr>
        <w:t>——</w:t>
      </w:r>
      <w:r>
        <w:rPr>
          <w:spacing w:val="-2"/>
        </w:rPr>
        <w:t>在业内人士看来，所有迹象都表明，</w:t>
      </w:r>
      <w:r>
        <w:rPr>
          <w:rFonts w:ascii="Times New Roman" w:hAnsi="Times New Roman" w:cs="Times New Roman" w:eastAsia="Times New Roman" w:hint="default"/>
          <w:spacing w:val="-2"/>
        </w:rPr>
        <w:t>5G</w:t>
      </w:r>
      <w:r>
        <w:rPr>
          <w:spacing w:val="-2"/>
        </w:rPr>
        <w:t>将加快速度开启新发展。根据规划，包括</w:t>
      </w:r>
      <w:r>
        <w:rPr>
          <w:spacing w:val="37"/>
        </w:rPr>
        <w:t> </w:t>
      </w:r>
      <w:r>
        <w:rPr>
          <w:spacing w:val="37"/>
        </w:rPr>
      </w:r>
      <w:r>
        <w:rPr>
          <w:spacing w:val="-4"/>
        </w:rPr>
        <w:t>移动、联通、电信、广电在内的四大运营商预计在</w:t>
      </w:r>
      <w:r>
        <w:rPr>
          <w:rFonts w:ascii="Times New Roman" w:hAnsi="Times New Roman" w:cs="Times New Roman" w:eastAsia="Times New Roman" w:hint="default"/>
          <w:spacing w:val="-4"/>
        </w:rPr>
        <w:t>2020</w:t>
      </w:r>
      <w:r>
        <w:rPr>
          <w:spacing w:val="-4"/>
        </w:rPr>
        <w:t>年年底，将累计开通</w:t>
      </w:r>
      <w:r>
        <w:rPr>
          <w:rFonts w:ascii="Times New Roman" w:hAnsi="Times New Roman" w:cs="Times New Roman" w:eastAsia="Times New Roman" w:hint="default"/>
          <w:spacing w:val="-4"/>
        </w:rPr>
        <w:t>60</w:t>
      </w:r>
      <w:r>
        <w:rPr>
          <w:spacing w:val="-4"/>
        </w:rPr>
        <w:t>万座</w:t>
      </w:r>
      <w:r>
        <w:rPr>
          <w:rFonts w:ascii="Times New Roman" w:hAnsi="Times New Roman" w:cs="Times New Roman" w:eastAsia="Times New Roman" w:hint="default"/>
          <w:spacing w:val="-4"/>
        </w:rPr>
        <w:t>5G</w:t>
      </w:r>
      <w:r>
        <w:rPr>
          <w:spacing w:val="-4"/>
        </w:rPr>
        <w:t>基站</w:t>
      </w:r>
      <w:r>
        <w:rPr>
          <w:rFonts w:ascii="Times New Roman" w:hAnsi="Times New Roman" w:cs="Times New Roman" w:eastAsia="Times New Roman" w:hint="default"/>
          <w:spacing w:val="-4"/>
        </w:rPr>
        <w:t>(</w:t>
      </w:r>
      <w:r>
        <w:rPr>
          <w:spacing w:val="-4"/>
        </w:rPr>
        <w:t>含新建及改造</w:t>
      </w:r>
      <w:r>
        <w:rPr>
          <w:rFonts w:ascii="Times New Roman" w:hAnsi="Times New Roman" w:cs="Times New Roman" w:eastAsia="Times New Roman" w:hint="default"/>
          <w:spacing w:val="-4"/>
        </w:rPr>
        <w:t>)</w:t>
      </w:r>
      <w:r>
        <w:rPr>
          <w:spacing w:val="-4"/>
        </w:rPr>
        <w:t>。</w:t>
      </w:r>
      <w:r>
        <w:rPr>
          <w:rFonts w:ascii="Times New Roman" w:hAnsi="Times New Roman" w:cs="Times New Roman" w:eastAsia="Times New Roman" w:hint="default"/>
          <w:spacing w:val="-4"/>
        </w:rPr>
        <w:t>2020</w:t>
      </w:r>
      <w:r>
        <w:rPr>
          <w:spacing w:val="-4"/>
        </w:rPr>
        <w:t>年国内将大</w:t>
      </w:r>
      <w:r>
        <w:rPr>
          <w:spacing w:val="3"/>
        </w:rPr>
        <w:t> </w:t>
      </w:r>
      <w:r>
        <w:rPr>
          <w:spacing w:val="3"/>
        </w:rPr>
      </w:r>
      <w:r>
        <w:rPr>
          <w:spacing w:val="-3"/>
        </w:rPr>
        <w:t>力发展</w:t>
      </w:r>
      <w:r>
        <w:rPr>
          <w:rFonts w:ascii="Times New Roman" w:hAnsi="Times New Roman" w:cs="Times New Roman" w:eastAsia="Times New Roman" w:hint="default"/>
          <w:spacing w:val="-3"/>
        </w:rPr>
        <w:t>5G</w:t>
      </w:r>
      <w:r>
        <w:rPr>
          <w:spacing w:val="-3"/>
        </w:rPr>
        <w:t>和基建工程项目，双向驱动作用下，</w:t>
      </w:r>
      <w:r>
        <w:rPr>
          <w:rFonts w:ascii="Times New Roman" w:hAnsi="Times New Roman" w:cs="Times New Roman" w:eastAsia="Times New Roman" w:hint="default"/>
          <w:spacing w:val="-3"/>
        </w:rPr>
        <w:t>5G</w:t>
      </w:r>
      <w:r>
        <w:rPr>
          <w:spacing w:val="-3"/>
        </w:rPr>
        <w:t>基站将是</w:t>
      </w:r>
      <w:r>
        <w:rPr>
          <w:rFonts w:ascii="Times New Roman" w:hAnsi="Times New Roman" w:cs="Times New Roman" w:eastAsia="Times New Roman" w:hint="default"/>
          <w:spacing w:val="-3"/>
        </w:rPr>
        <w:t>2020</w:t>
      </w:r>
      <w:r>
        <w:rPr>
          <w:spacing w:val="-3"/>
        </w:rPr>
        <w:t>年大力推动的必然趋势。保守预计，</w:t>
      </w:r>
      <w:r>
        <w:rPr>
          <w:rFonts w:ascii="Times New Roman" w:hAnsi="Times New Roman" w:cs="Times New Roman" w:eastAsia="Times New Roman" w:hint="default"/>
          <w:spacing w:val="-3"/>
        </w:rPr>
        <w:t>2020</w:t>
      </w:r>
      <w:r>
        <w:rPr>
          <w:spacing w:val="-3"/>
        </w:rPr>
        <w:t>年新建及改造的</w:t>
      </w:r>
      <w:r>
        <w:rPr>
          <w:rFonts w:ascii="Times New Roman" w:hAnsi="Times New Roman" w:cs="Times New Roman" w:eastAsia="Times New Roman" w:hint="default"/>
          <w:spacing w:val="-3"/>
        </w:rPr>
        <w:t>5G</w:t>
      </w:r>
      <w:r>
        <w:rPr>
          <w:rFonts w:ascii="Times New Roman" w:hAnsi="Times New Roman" w:cs="Times New Roman" w:eastAsia="Times New Roman" w:hint="default"/>
          <w:spacing w:val="27"/>
        </w:rPr>
        <w:t> </w:t>
      </w:r>
      <w:r>
        <w:rPr>
          <w:spacing w:val="-3"/>
        </w:rPr>
        <w:t>基站需求量将达到</w:t>
      </w:r>
      <w:r>
        <w:rPr>
          <w:rFonts w:ascii="Times New Roman" w:hAnsi="Times New Roman" w:cs="Times New Roman" w:eastAsia="Times New Roman" w:hint="default"/>
          <w:spacing w:val="-3"/>
        </w:rPr>
        <w:t>10GWh</w:t>
      </w:r>
      <w:r>
        <w:rPr>
          <w:spacing w:val="-3"/>
        </w:rPr>
        <w:t>，全年对磷酸铁的需求将大幅增长。</w:t>
      </w:r>
    </w:p>
    <w:p>
      <w:pPr>
        <w:spacing w:line="240" w:lineRule="auto" w:before="11"/>
        <w:rPr>
          <w:rFonts w:ascii="宋体" w:hAnsi="宋体" w:cs="宋体" w:eastAsia="宋体" w:hint="default"/>
          <w:sz w:val="24"/>
          <w:szCs w:val="24"/>
        </w:rPr>
      </w:pPr>
    </w:p>
    <w:p>
      <w:pPr>
        <w:pStyle w:val="Heading4"/>
        <w:spacing w:line="240" w:lineRule="auto"/>
        <w:ind w:right="0"/>
        <w:jc w:val="left"/>
        <w:rPr>
          <w:b w:val="0"/>
          <w:bCs w:val="0"/>
        </w:rPr>
      </w:pPr>
      <w:r>
        <w:rPr/>
        <w:t>（四）公司所处行业分析</w:t>
      </w:r>
      <w:r>
        <w:rPr>
          <w:b w:val="0"/>
          <w:bCs w:val="0"/>
        </w:rPr>
      </w:r>
    </w:p>
    <w:p>
      <w:pPr>
        <w:pStyle w:val="BodyText"/>
        <w:spacing w:line="300" w:lineRule="auto" w:before="76"/>
        <w:ind w:left="513" w:right="1037"/>
        <w:jc w:val="left"/>
      </w:pPr>
      <w:r>
        <w:rPr>
          <w:rFonts w:ascii="Times New Roman" w:hAnsi="Times New Roman" w:cs="Times New Roman" w:eastAsia="Times New Roman" w:hint="default"/>
          <w:b/>
          <w:bCs/>
        </w:rPr>
        <w:t>1</w:t>
      </w:r>
      <w:r>
        <w:rPr>
          <w:rFonts w:ascii="宋体" w:hAnsi="宋体" w:cs="宋体" w:eastAsia="宋体" w:hint="default"/>
          <w:b/>
          <w:bCs/>
        </w:rPr>
        <w:t>、电力板块：</w:t>
      </w:r>
      <w:r>
        <w:rPr>
          <w:rFonts w:ascii="宋体" w:hAnsi="宋体" w:cs="宋体" w:eastAsia="宋体" w:hint="default"/>
          <w:b/>
          <w:bCs/>
          <w:spacing w:val="-85"/>
        </w:rPr>
        <w:t> </w:t>
      </w:r>
      <w:r>
        <w:rPr>
          <w:spacing w:val="-3"/>
        </w:rPr>
        <w:t>电力系统是由发电、输变电、配电和用电等环节组成的电能生产与消耗系统。公司专注于配电领域的设备研发与制造，</w:t>
      </w:r>
    </w:p>
    <w:p>
      <w:pPr>
        <w:pStyle w:val="BodyText"/>
        <w:spacing w:line="240" w:lineRule="auto" w:before="32"/>
        <w:ind w:right="0"/>
        <w:jc w:val="both"/>
      </w:pPr>
      <w:r>
        <w:rPr>
          <w:spacing w:val="-3"/>
        </w:rPr>
        <w:t>主要面向城市电网和农村电网，以及部分行业应用（如铁路）。</w:t>
      </w:r>
    </w:p>
    <w:p>
      <w:pPr>
        <w:pStyle w:val="BodyText"/>
        <w:spacing w:line="300" w:lineRule="auto" w:before="76"/>
        <w:ind w:left="513" w:right="0"/>
        <w:jc w:val="left"/>
      </w:pPr>
      <w:r>
        <w:rPr/>
        <w:t>（</w:t>
      </w:r>
      <w:r>
        <w:rPr>
          <w:rFonts w:ascii="Times New Roman" w:hAnsi="Times New Roman" w:cs="Times New Roman" w:eastAsia="Times New Roman" w:hint="default"/>
        </w:rPr>
        <w:t>1</w:t>
      </w:r>
      <w:r>
        <w:rPr/>
        <w:t>）行业竞争格局和市场化程度</w:t>
      </w:r>
      <w:r>
        <w:rPr>
          <w:spacing w:val="-86"/>
        </w:rPr>
        <w:t> </w:t>
      </w:r>
      <w:r>
        <w:rPr>
          <w:spacing w:val="-86"/>
        </w:rPr>
      </w:r>
      <w:r>
        <w:rPr>
          <w:spacing w:val="-4"/>
        </w:rPr>
        <w:t>电力配电行业可以大致划分为电网市场和用户市场，其中电网市场是指有国家电网、南方电网以及各省级电力公司进行</w:t>
      </w:r>
    </w:p>
    <w:p>
      <w:pPr>
        <w:pStyle w:val="BodyText"/>
        <w:spacing w:line="312" w:lineRule="auto" w:before="31"/>
        <w:ind w:right="1032"/>
        <w:jc w:val="both"/>
      </w:pPr>
      <w:r>
        <w:rPr>
          <w:spacing w:val="-4"/>
        </w:rPr>
        <w:t>年度设备采购的市场，这部分市场采用面向全社会的公开招投标的方式进行采购，并对竞标企业进行资质审核和后续产品质</w:t>
      </w:r>
      <w:r>
        <w:rPr>
          <w:spacing w:val="43"/>
        </w:rPr>
        <w:t> </w:t>
      </w:r>
      <w:r>
        <w:rPr>
          <w:spacing w:val="43"/>
        </w:rPr>
      </w:r>
      <w:r>
        <w:rPr>
          <w:spacing w:val="-5"/>
        </w:rPr>
        <w:t>量跟踪，是公司参与的主要市场；用户市场是指由其他投资主体（如政府、企业、房地产公司等）进行采购的市场，这部分</w:t>
      </w:r>
      <w:r>
        <w:rPr>
          <w:spacing w:val="4"/>
        </w:rPr>
        <w:t> </w:t>
      </w:r>
      <w:r>
        <w:rPr>
          <w:spacing w:val="4"/>
        </w:rPr>
      </w:r>
      <w:r>
        <w:rPr>
          <w:spacing w:val="-3"/>
        </w:rPr>
        <w:t>市场相对分散，并有较强的地域性。根据公司的内部统计，近</w:t>
      </w:r>
      <w:r>
        <w:rPr>
          <w:rFonts w:ascii="Times New Roman" w:hAnsi="Times New Roman" w:cs="Times New Roman" w:eastAsia="Times New Roman" w:hint="default"/>
          <w:spacing w:val="-3"/>
        </w:rPr>
        <w:t>3</w:t>
      </w:r>
      <w:r>
        <w:rPr>
          <w:spacing w:val="-3"/>
        </w:rPr>
        <w:t>年来参与电网市场投标的企业数量呈上升趋势，市场竞争趋</w:t>
      </w:r>
      <w:r>
        <w:rPr>
          <w:spacing w:val="76"/>
        </w:rPr>
        <w:t> </w:t>
      </w:r>
      <w:r>
        <w:rPr>
          <w:spacing w:val="76"/>
        </w:rPr>
      </w:r>
      <w:r>
        <w:rPr>
          <w:spacing w:val="-2"/>
        </w:rPr>
        <w:t>于激烈，每个大类的产品参标企业都在</w:t>
      </w:r>
      <w:r>
        <w:rPr>
          <w:rFonts w:ascii="Times New Roman" w:hAnsi="Times New Roman" w:cs="Times New Roman" w:eastAsia="Times New Roman" w:hint="default"/>
          <w:spacing w:val="-2"/>
        </w:rPr>
        <w:t>100-200</w:t>
      </w:r>
      <w:r>
        <w:rPr>
          <w:spacing w:val="-2"/>
        </w:rPr>
        <w:t>家，且企业的产品线有明显的拉长趋势，即以往只参与开关类产品的企业，</w:t>
      </w:r>
      <w:r>
        <w:rPr>
          <w:spacing w:val="58"/>
        </w:rPr>
        <w:t> </w:t>
      </w:r>
      <w:r>
        <w:rPr>
          <w:spacing w:val="58"/>
        </w:rPr>
      </w:r>
      <w:r>
        <w:rPr>
          <w:spacing w:val="-4"/>
        </w:rPr>
        <w:t>也开始参与变电类产品的投标，反之亦然；甚至有二次设备企业参与一次设备投标的情况。用户市场由于较为分散，各地区</w:t>
      </w:r>
      <w:r>
        <w:rPr>
          <w:spacing w:val="40"/>
        </w:rPr>
        <w:t> </w:t>
      </w:r>
      <w:r>
        <w:rPr>
          <w:spacing w:val="40"/>
        </w:rPr>
      </w:r>
      <w:r>
        <w:rPr>
          <w:spacing w:val="-6"/>
        </w:rPr>
        <w:t>的情况也有所不同，但竞争也是趋于激烈的趋势。总的来说，我国电力配电设备市场的集约化程度较低，市场份额较为分散。</w:t>
      </w:r>
    </w:p>
    <w:p>
      <w:pPr>
        <w:pStyle w:val="BodyText"/>
        <w:spacing w:line="300" w:lineRule="auto" w:before="22"/>
        <w:ind w:left="513" w:right="0"/>
        <w:jc w:val="left"/>
      </w:pPr>
      <w:r>
        <w:rPr>
          <w:spacing w:val="-3"/>
        </w:rPr>
        <w:t>（</w:t>
      </w:r>
      <w:r>
        <w:rPr>
          <w:rFonts w:ascii="Times New Roman" w:hAnsi="Times New Roman" w:cs="Times New Roman" w:eastAsia="Times New Roman" w:hint="default"/>
          <w:spacing w:val="-3"/>
        </w:rPr>
        <w:t>2</w:t>
      </w:r>
      <w:r>
        <w:rPr>
          <w:spacing w:val="-3"/>
        </w:rPr>
        <w:t>）行业的周期性、区域性和季节性特点</w:t>
      </w:r>
      <w:r>
        <w:rPr>
          <w:spacing w:val="-29"/>
        </w:rPr>
        <w:t> </w:t>
      </w:r>
      <w:r>
        <w:rPr>
          <w:spacing w:val="-29"/>
        </w:rPr>
      </w:r>
      <w:r>
        <w:rPr>
          <w:spacing w:val="-4"/>
        </w:rPr>
        <w:t>电力配电设备制造作为输配电及控制设备制造业的一部分，与宏观经济周期存在一定的关联性，与房地产行业的周期也</w:t>
      </w:r>
    </w:p>
    <w:p>
      <w:pPr>
        <w:pStyle w:val="BodyText"/>
        <w:spacing w:line="316" w:lineRule="auto" w:before="32"/>
        <w:ind w:right="1124"/>
        <w:jc w:val="both"/>
      </w:pPr>
      <w:r>
        <w:rPr>
          <w:spacing w:val="-4"/>
        </w:rPr>
        <w:t>存在一定的关联性。由于我国各地区经济发展水平不同，华东、华南、以及华北的近海地区是主要市场，近年来，随着国家</w:t>
      </w:r>
      <w:r>
        <w:rPr>
          <w:spacing w:val="40"/>
        </w:rPr>
        <w:t> </w:t>
      </w:r>
      <w:r>
        <w:rPr>
          <w:spacing w:val="40"/>
        </w:rPr>
      </w:r>
      <w:r>
        <w:rPr>
          <w:spacing w:val="-3"/>
        </w:rPr>
        <w:t>鼓励西部开发，以及</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政策的推进，中西部地区的市场增长速度较快。</w:t>
      </w:r>
    </w:p>
    <w:p>
      <w:pPr>
        <w:pStyle w:val="BodyText"/>
        <w:spacing w:line="316" w:lineRule="auto"/>
        <w:ind w:right="1124" w:firstLine="360"/>
        <w:jc w:val="both"/>
      </w:pPr>
      <w:r>
        <w:rPr>
          <w:spacing w:val="-4"/>
        </w:rPr>
        <w:t>输配电及控制设备制造业具有一定的季节性特征。设备的销售与工程建设存在较大关联，设备的使用、安装多发生在工</w:t>
      </w:r>
      <w:r>
        <w:rPr>
          <w:w w:val="101"/>
        </w:rPr>
        <w:t> </w:t>
      </w:r>
      <w:r>
        <w:rPr>
          <w:spacing w:val="-4"/>
        </w:rPr>
        <w:t>程建设的中后期。一般工程建设年初招标，年末完成施工。受此影响，本行业企业一般一季度业务量偏少，二、三、四季度</w:t>
      </w:r>
      <w:r>
        <w:rPr>
          <w:spacing w:val="40"/>
        </w:rPr>
        <w:t> </w:t>
      </w:r>
      <w:r>
        <w:rPr>
          <w:spacing w:val="40"/>
        </w:rPr>
      </w:r>
      <w:r>
        <w:rPr>
          <w:spacing w:val="-3"/>
        </w:rPr>
        <w:t>业务比较集中。</w:t>
      </w:r>
    </w:p>
    <w:p>
      <w:pPr>
        <w:pStyle w:val="BodyText"/>
        <w:spacing w:line="240" w:lineRule="auto" w:before="19"/>
        <w:ind w:left="513" w:right="0"/>
        <w:jc w:val="left"/>
      </w:pPr>
      <w:r>
        <w:rPr/>
        <w:t>（</w:t>
      </w:r>
      <w:r>
        <w:rPr>
          <w:rFonts w:ascii="Times New Roman" w:hAnsi="Times New Roman" w:cs="Times New Roman" w:eastAsia="Times New Roman" w:hint="default"/>
        </w:rPr>
        <w:t>3</w:t>
      </w:r>
      <w:r>
        <w:rPr/>
        <w:t>）公司行业竞争地位</w:t>
      </w:r>
    </w:p>
    <w:p>
      <w:pPr>
        <w:pStyle w:val="BodyText"/>
        <w:spacing w:line="300" w:lineRule="auto" w:before="63"/>
        <w:ind w:left="513" w:right="4202" w:firstLine="76"/>
        <w:jc w:val="left"/>
      </w:pPr>
      <w:r>
        <w:rPr>
          <w:rFonts w:ascii="Times New Roman" w:hAnsi="Times New Roman" w:cs="Times New Roman" w:eastAsia="Times New Roman" w:hint="default"/>
          <w:spacing w:val="-3"/>
        </w:rPr>
        <w:t>1</w:t>
      </w:r>
      <w:r>
        <w:rPr>
          <w:spacing w:val="-3"/>
        </w:rPr>
        <w:t>）产品市场占有率及其变化情况</w:t>
      </w:r>
      <w:r>
        <w:rPr>
          <w:w w:val="101"/>
        </w:rPr>
        <w:t> </w:t>
      </w:r>
      <w:r>
        <w:rPr>
          <w:spacing w:val="-3"/>
        </w:rPr>
        <w:t>公司主要产品在</w:t>
      </w:r>
      <w:r>
        <w:rPr>
          <w:rFonts w:ascii="Times New Roman" w:hAnsi="Times New Roman" w:cs="Times New Roman" w:eastAsia="Times New Roman" w:hint="default"/>
          <w:spacing w:val="-3"/>
        </w:rPr>
        <w:t>12kV</w:t>
      </w:r>
      <w:r>
        <w:rPr>
          <w:spacing w:val="-3"/>
        </w:rPr>
        <w:t>电压等级市场占有率和行业排名如下表：</w:t>
      </w:r>
    </w:p>
    <w:tbl>
      <w:tblPr>
        <w:tblW w:w="0" w:type="auto"/>
        <w:jc w:val="left"/>
        <w:tblInd w:w="724" w:type="dxa"/>
        <w:tblLayout w:type="fixed"/>
        <w:tblCellMar>
          <w:top w:w="0" w:type="dxa"/>
          <w:left w:w="0" w:type="dxa"/>
          <w:bottom w:w="0" w:type="dxa"/>
          <w:right w:w="0" w:type="dxa"/>
        </w:tblCellMar>
        <w:tblLook w:val="01E0"/>
      </w:tblPr>
      <w:tblGrid>
        <w:gridCol w:w="1527"/>
        <w:gridCol w:w="850"/>
        <w:gridCol w:w="994"/>
        <w:gridCol w:w="1138"/>
        <w:gridCol w:w="850"/>
        <w:gridCol w:w="1133"/>
        <w:gridCol w:w="850"/>
        <w:gridCol w:w="1133"/>
      </w:tblGrid>
      <w:tr>
        <w:trPr>
          <w:trHeight w:val="346" w:hRule="exact"/>
        </w:trPr>
        <w:tc>
          <w:tcPr>
            <w:tcW w:w="1527"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20"/>
              <w:ind w:left="403" w:right="0"/>
              <w:jc w:val="left"/>
              <w:rPr>
                <w:rFonts w:ascii="宋体" w:hAnsi="宋体" w:cs="宋体" w:eastAsia="宋体" w:hint="default"/>
                <w:sz w:val="18"/>
                <w:szCs w:val="18"/>
              </w:rPr>
            </w:pPr>
            <w:r>
              <w:rPr>
                <w:rFonts w:ascii="宋体" w:hAnsi="宋体" w:cs="宋体" w:eastAsia="宋体" w:hint="default"/>
                <w:sz w:val="18"/>
                <w:szCs w:val="18"/>
              </w:rPr>
              <w:t>产品名称</w:t>
            </w:r>
          </w:p>
        </w:tc>
        <w:tc>
          <w:tcPr>
            <w:tcW w:w="850" w:type="dxa"/>
            <w:vMerge w:val="restart"/>
            <w:tcBorders>
              <w:top w:val="single" w:sz="6" w:space="0" w:color="000000"/>
              <w:left w:val="single" w:sz="6" w:space="0" w:color="000000"/>
              <w:right w:val="single" w:sz="6" w:space="0" w:color="000000"/>
            </w:tcBorders>
            <w:shd w:val="clear" w:color="auto" w:fill="D0CECE"/>
          </w:tcPr>
          <w:p>
            <w:pPr>
              <w:pStyle w:val="TableParagraph"/>
              <w:spacing w:line="240" w:lineRule="auto" w:before="20"/>
              <w:ind w:left="244" w:right="0"/>
              <w:jc w:val="left"/>
              <w:rPr>
                <w:rFonts w:ascii="宋体" w:hAnsi="宋体" w:cs="宋体" w:eastAsia="宋体" w:hint="default"/>
                <w:sz w:val="18"/>
                <w:szCs w:val="18"/>
              </w:rPr>
            </w:pPr>
            <w:r>
              <w:rPr>
                <w:rFonts w:ascii="宋体" w:hAnsi="宋体" w:cs="宋体" w:eastAsia="宋体" w:hint="default"/>
                <w:sz w:val="18"/>
                <w:szCs w:val="18"/>
              </w:rPr>
              <w:t>单位</w:t>
            </w:r>
          </w:p>
        </w:tc>
        <w:tc>
          <w:tcPr>
            <w:tcW w:w="2132"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z w:val="18"/>
                <w:szCs w:val="18"/>
              </w:rPr>
              <w:t>年</w:t>
            </w:r>
          </w:p>
        </w:tc>
        <w:tc>
          <w:tcPr>
            <w:tcW w:w="1983"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2017</w:t>
            </w:r>
            <w:r>
              <w:rPr>
                <w:rFonts w:ascii="宋体" w:hAnsi="宋体" w:cs="宋体" w:eastAsia="宋体" w:hint="default"/>
                <w:sz w:val="18"/>
                <w:szCs w:val="18"/>
              </w:rPr>
              <w:t>年</w:t>
            </w:r>
          </w:p>
        </w:tc>
        <w:tc>
          <w:tcPr>
            <w:tcW w:w="1983" w:type="dxa"/>
            <w:gridSpan w:val="2"/>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2016</w:t>
            </w:r>
            <w:r>
              <w:rPr>
                <w:rFonts w:ascii="宋体" w:hAnsi="宋体" w:cs="宋体" w:eastAsia="宋体" w:hint="default"/>
                <w:sz w:val="18"/>
                <w:szCs w:val="18"/>
              </w:rPr>
              <w:t>年</w:t>
            </w:r>
          </w:p>
        </w:tc>
      </w:tr>
      <w:tr>
        <w:trPr>
          <w:trHeight w:val="350" w:hRule="exact"/>
        </w:trPr>
        <w:tc>
          <w:tcPr>
            <w:tcW w:w="1527" w:type="dxa"/>
            <w:vMerge/>
            <w:tcBorders>
              <w:left w:val="single" w:sz="6" w:space="0" w:color="000000"/>
              <w:bottom w:val="single" w:sz="6" w:space="0" w:color="000000"/>
              <w:right w:val="single" w:sz="6" w:space="0" w:color="000000"/>
            </w:tcBorders>
            <w:shd w:val="clear" w:color="auto" w:fill="D0CECE"/>
          </w:tcPr>
          <w:p>
            <w:pPr/>
          </w:p>
        </w:tc>
        <w:tc>
          <w:tcPr>
            <w:tcW w:w="850" w:type="dxa"/>
            <w:vMerge/>
            <w:tcBorders>
              <w:left w:val="single" w:sz="6" w:space="0" w:color="000000"/>
              <w:bottom w:val="single" w:sz="6" w:space="0" w:color="000000"/>
              <w:right w:val="single" w:sz="6" w:space="0" w:color="000000"/>
            </w:tcBorders>
            <w:shd w:val="clear" w:color="auto" w:fill="D0CECE"/>
          </w:tcPr>
          <w:p>
            <w:pPr/>
          </w:p>
        </w:tc>
        <w:tc>
          <w:tcPr>
            <w:tcW w:w="994"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13" w:right="0"/>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sz w:val="18"/>
                <w:szCs w:val="18"/>
              </w:rPr>
              <w:t>产量</w:t>
            </w:r>
          </w:p>
        </w:tc>
        <w:tc>
          <w:tcPr>
            <w:tcW w:w="85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产量</w:t>
            </w:r>
          </w:p>
        </w:tc>
        <w:tc>
          <w:tcPr>
            <w:tcW w:w="85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行业排名</w:t>
            </w:r>
          </w:p>
        </w:tc>
        <w:tc>
          <w:tcPr>
            <w:tcW w:w="113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产量</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sz w:val="18"/>
                <w:szCs w:val="18"/>
              </w:rPr>
              <w:t>12kV</w:t>
            </w:r>
            <w:r>
              <w:rPr>
                <w:rFonts w:ascii="宋体" w:hAnsi="宋体" w:cs="宋体" w:eastAsia="宋体" w:hint="default"/>
                <w:sz w:val="18"/>
                <w:szCs w:val="18"/>
              </w:rPr>
              <w:t>环网柜</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sz w:val="18"/>
                <w:szCs w:val="18"/>
              </w:rPr>
              <w:t>回路</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 w:right="0"/>
              <w:jc w:val="center"/>
              <w:rPr>
                <w:rFonts w:ascii="宋体" w:hAnsi="宋体" w:cs="宋体" w:eastAsia="宋体" w:hint="default"/>
                <w:sz w:val="18"/>
                <w:szCs w:val="18"/>
              </w:rPr>
            </w:pPr>
            <w:r>
              <w:rPr>
                <w:rFonts w:ascii="宋体"/>
                <w:w w:val="101"/>
                <w:sz w:val="18"/>
              </w:rPr>
              <w:t>5</w:t>
            </w:r>
            <w:r>
              <w:rPr>
                <w:rFonts w:ascii="宋体"/>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sz w:val="18"/>
              </w:rPr>
              <w:t>29775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1</w:t>
            </w:r>
            <w:r>
              <w:rPr>
                <w:rFonts w:ascii="宋体"/>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sz w:val="18"/>
              </w:rPr>
              <w:t>32,362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2</w:t>
            </w:r>
            <w:r>
              <w:rPr>
                <w:rFonts w:ascii="宋体"/>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sz w:val="18"/>
              </w:rPr>
              <w:t>26,296</w:t>
            </w:r>
          </w:p>
        </w:tc>
      </w:tr>
      <w:tr>
        <w:trPr>
          <w:trHeight w:val="346"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12kV</w:t>
            </w:r>
            <w:r>
              <w:rPr>
                <w:rFonts w:ascii="宋体" w:hAnsi="宋体" w:cs="宋体" w:eastAsia="宋体" w:hint="default"/>
                <w:sz w:val="18"/>
                <w:szCs w:val="18"/>
              </w:rPr>
              <w:t>真空断路器</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sz w:val="18"/>
              </w:rPr>
              <w:t>43</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sz w:val="18"/>
              </w:rPr>
              <w:t>5995</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sz w:val="18"/>
              </w:rPr>
              <w:t>33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6056</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sz w:val="18"/>
              </w:rPr>
              <w:t>38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sz w:val="18"/>
              </w:rPr>
              <w:t>4,734</w:t>
            </w:r>
          </w:p>
        </w:tc>
      </w:tr>
      <w:tr>
        <w:trPr>
          <w:trHeight w:val="350" w:hRule="exact"/>
        </w:trPr>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hAnsi="宋体" w:cs="宋体" w:eastAsia="宋体" w:hint="default"/>
                <w:sz w:val="18"/>
                <w:szCs w:val="18"/>
              </w:rPr>
              <w:t>12kV</w:t>
            </w:r>
            <w:r>
              <w:rPr>
                <w:rFonts w:ascii="宋体" w:hAnsi="宋体" w:cs="宋体" w:eastAsia="宋体" w:hint="default"/>
                <w:sz w:val="18"/>
                <w:szCs w:val="18"/>
              </w:rPr>
              <w:t>箱式变电站</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5" w:right="0"/>
              <w:jc w:val="center"/>
              <w:rPr>
                <w:rFonts w:ascii="宋体" w:hAnsi="宋体" w:cs="宋体" w:eastAsia="宋体" w:hint="default"/>
                <w:sz w:val="18"/>
                <w:szCs w:val="18"/>
              </w:rPr>
            </w:pPr>
            <w:r>
              <w:rPr>
                <w:rFonts w:ascii="宋体"/>
                <w:w w:val="101"/>
                <w:sz w:val="18"/>
              </w:rPr>
              <w:t>8</w:t>
            </w:r>
            <w:r>
              <w:rPr>
                <w:rFonts w:ascii="宋体"/>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sz w:val="18"/>
              </w:rPr>
              <w:t>1322</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8</w:t>
            </w:r>
            <w:r>
              <w:rPr>
                <w:rFonts w:ascii="宋体"/>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1954</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w w:val="101"/>
                <w:sz w:val="18"/>
              </w:rPr>
              <w:t>9</w:t>
            </w:r>
            <w:r>
              <w:rPr>
                <w:rFonts w:ascii="宋体"/>
                <w:sz w:val="18"/>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sz w:val="18"/>
              </w:rPr>
              <w:t>1,529</w:t>
            </w:r>
          </w:p>
        </w:tc>
      </w:tr>
    </w:tbl>
    <w:p>
      <w:pPr>
        <w:pStyle w:val="BodyText"/>
        <w:spacing w:line="240" w:lineRule="auto" w:before="13"/>
        <w:ind w:left="518" w:right="0"/>
        <w:jc w:val="left"/>
      </w:pPr>
      <w:r>
        <w:rPr>
          <w:rFonts w:ascii="Times New Roman" w:hAnsi="Times New Roman" w:cs="Times New Roman" w:eastAsia="Times New Roman" w:hint="default"/>
          <w:spacing w:val="-3"/>
        </w:rPr>
        <w:t>2</w:t>
      </w:r>
      <w:r>
        <w:rPr>
          <w:spacing w:val="-3"/>
        </w:rPr>
        <w:t>）公司的市场前景</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14" w:lineRule="auto" w:before="46"/>
        <w:ind w:right="1123" w:firstLine="360"/>
        <w:jc w:val="both"/>
      </w:pPr>
      <w:r>
        <w:rPr>
          <w:spacing w:val="-4"/>
        </w:rPr>
        <w:t>当前，我国正处于国民经济和社会发展的恢复期，国家仍然在加快全国骨干电网的建设速度、完善智能电网规划以及推</w:t>
      </w:r>
      <w:r>
        <w:rPr>
          <w:w w:val="101"/>
        </w:rPr>
        <w:t> </w:t>
      </w:r>
      <w:r>
        <w:rPr>
          <w:spacing w:val="-4"/>
        </w:rPr>
        <w:t>进城市化建设，输配电设备需求相应较大；我国能源消费的最终形式越来越趋向于电力，北上广深等大型城市的能源供给在</w:t>
      </w:r>
      <w:r>
        <w:rPr>
          <w:spacing w:val="43"/>
        </w:rPr>
        <w:t> </w:t>
      </w:r>
      <w:r>
        <w:rPr>
          <w:spacing w:val="43"/>
        </w:rPr>
      </w:r>
      <w:r>
        <w:rPr>
          <w:spacing w:val="-4"/>
        </w:rPr>
        <w:t>未来的几年内将逐步电气化，新能源汽车（主要是电动汽车）的发展也已经进入了一个爆发期，这也对未来我国的电力配电</w:t>
      </w:r>
      <w:r>
        <w:rPr>
          <w:spacing w:val="40"/>
        </w:rPr>
        <w:t> </w:t>
      </w:r>
      <w:r>
        <w:rPr>
          <w:spacing w:val="40"/>
        </w:rPr>
      </w:r>
      <w:r>
        <w:rPr>
          <w:spacing w:val="-4"/>
        </w:rPr>
        <w:t>设施的建设提出了很高的要求；坚强智能电网和泛在电力物联网概念的提出，表明未来国家电网的发展方向是成为世界一流</w:t>
      </w:r>
      <w:r>
        <w:rPr>
          <w:spacing w:val="43"/>
        </w:rPr>
        <w:t> </w:t>
      </w:r>
      <w:r>
        <w:rPr>
          <w:spacing w:val="43"/>
        </w:rPr>
      </w:r>
      <w:r>
        <w:rPr>
          <w:spacing w:val="-4"/>
        </w:rPr>
        <w:t>的能源互联网企业。国家发改委《关于</w:t>
      </w:r>
      <w:r>
        <w:rPr>
          <w:rFonts w:ascii="Times New Roman" w:hAnsi="Times New Roman" w:cs="Times New Roman" w:eastAsia="Times New Roman" w:hint="default"/>
          <w:spacing w:val="-4"/>
        </w:rPr>
        <w:t>“</w:t>
      </w:r>
      <w:r>
        <w:rPr>
          <w:spacing w:val="-4"/>
        </w:rPr>
        <w:t>十三五</w:t>
      </w:r>
      <w:r>
        <w:rPr>
          <w:rFonts w:ascii="Times New Roman" w:hAnsi="Times New Roman" w:cs="Times New Roman" w:eastAsia="Times New Roman" w:hint="default"/>
          <w:spacing w:val="-4"/>
        </w:rPr>
        <w:t>”</w:t>
      </w:r>
      <w:r>
        <w:rPr>
          <w:spacing w:val="-4"/>
        </w:rPr>
        <w:t>期间实施新一轮农村电网改造升级工程的意见》中提出，十三五期间，农村</w:t>
      </w:r>
      <w:r>
        <w:rPr>
          <w:spacing w:val="64"/>
        </w:rPr>
        <w:t> </w:t>
      </w:r>
      <w:r>
        <w:rPr>
          <w:spacing w:val="64"/>
        </w:rPr>
      </w:r>
      <w:r>
        <w:rPr>
          <w:spacing w:val="-3"/>
        </w:rPr>
        <w:t>电网投资将达到</w:t>
      </w:r>
      <w:r>
        <w:rPr>
          <w:rFonts w:ascii="Times New Roman" w:hAnsi="Times New Roman" w:cs="Times New Roman" w:eastAsia="Times New Roman" w:hint="default"/>
          <w:spacing w:val="-3"/>
        </w:rPr>
        <w:t>7000</w:t>
      </w:r>
      <w:r>
        <w:rPr>
          <w:spacing w:val="-3"/>
        </w:rPr>
        <w:t>亿元。这为公司业务的拓展提供了巨大的增长空间。</w:t>
      </w:r>
    </w:p>
    <w:p>
      <w:pPr>
        <w:pStyle w:val="Heading4"/>
        <w:spacing w:line="240" w:lineRule="auto" w:before="1"/>
        <w:ind w:right="0"/>
        <w:jc w:val="left"/>
        <w:rPr>
          <w:b w:val="0"/>
          <w:bCs w:val="0"/>
        </w:rPr>
      </w:pPr>
      <w:r>
        <w:rPr>
          <w:rFonts w:ascii="Times New Roman" w:hAnsi="Times New Roman" w:cs="Times New Roman" w:eastAsia="Times New Roman" w:hint="default"/>
        </w:rPr>
        <w:t>2</w:t>
      </w:r>
      <w:r>
        <w:rPr/>
        <w:t>、锂电材料板块：</w:t>
      </w:r>
      <w:r>
        <w:rPr>
          <w:b w:val="0"/>
          <w:bCs w:val="0"/>
        </w:rPr>
      </w:r>
    </w:p>
    <w:p>
      <w:pPr>
        <w:pStyle w:val="BodyText"/>
        <w:spacing w:line="300" w:lineRule="auto" w:before="63"/>
        <w:ind w:left="513" w:right="0"/>
        <w:jc w:val="left"/>
      </w:pPr>
      <w:r>
        <w:rPr/>
        <w:t>（</w:t>
      </w:r>
      <w:r>
        <w:rPr>
          <w:rFonts w:ascii="Times New Roman" w:hAnsi="Times New Roman" w:cs="Times New Roman" w:eastAsia="Times New Roman" w:hint="default"/>
        </w:rPr>
        <w:t>1</w:t>
      </w:r>
      <w:r>
        <w:rPr/>
        <w:t>）行业发展趋势</w:t>
      </w:r>
      <w:r>
        <w:rPr>
          <w:spacing w:val="-85"/>
        </w:rPr>
        <w:t> </w:t>
      </w:r>
      <w:r>
        <w:rPr>
          <w:spacing w:val="-85"/>
        </w:rPr>
      </w:r>
      <w:r>
        <w:rPr>
          <w:spacing w:val="-2"/>
        </w:rPr>
        <w:t>高能量密度磷酸铁锂电池技术的发展以及</w:t>
      </w:r>
      <w:r>
        <w:rPr>
          <w:rFonts w:ascii="Times New Roman" w:hAnsi="Times New Roman" w:cs="Times New Roman" w:eastAsia="Times New Roman" w:hint="default"/>
          <w:spacing w:val="-2"/>
        </w:rPr>
        <w:t>5G</w:t>
      </w:r>
      <w:r>
        <w:rPr>
          <w:spacing w:val="-2"/>
        </w:rPr>
        <w:t>基站为代表的储能电池广泛应用给电池级磷酸铁的成长带来了很大的市场</w:t>
      </w:r>
    </w:p>
    <w:p>
      <w:pPr>
        <w:pStyle w:val="BodyText"/>
        <w:spacing w:line="307" w:lineRule="auto" w:before="13"/>
        <w:ind w:right="1122"/>
        <w:jc w:val="both"/>
      </w:pPr>
      <w:r>
        <w:rPr>
          <w:spacing w:val="-2"/>
        </w:rPr>
        <w:t>空间，应用于动力锂电的正极材料在未来将保持快速增长。根据</w:t>
      </w:r>
      <w:r>
        <w:rPr>
          <w:rFonts w:ascii="Times New Roman" w:hAnsi="Times New Roman" w:cs="Times New Roman" w:eastAsia="Times New Roman" w:hint="default"/>
          <w:spacing w:val="-2"/>
        </w:rPr>
        <w:t>IIT</w:t>
      </w:r>
      <w:r>
        <w:rPr>
          <w:spacing w:val="-2"/>
        </w:rPr>
        <w:t>对动力锂电的总容量需求的统计和预测：</w:t>
      </w:r>
      <w:r>
        <w:rPr>
          <w:rFonts w:ascii="Times New Roman" w:hAnsi="Times New Roman" w:cs="Times New Roman" w:eastAsia="Times New Roman" w:hint="default"/>
          <w:spacing w:val="-2"/>
        </w:rPr>
        <w:t>2010</w:t>
      </w:r>
      <w:r>
        <w:rPr>
          <w:spacing w:val="-2"/>
        </w:rPr>
        <w:t>－</w:t>
      </w:r>
      <w:r>
        <w:rPr>
          <w:rFonts w:ascii="Times New Roman" w:hAnsi="Times New Roman" w:cs="Times New Roman" w:eastAsia="Times New Roman" w:hint="default"/>
          <w:spacing w:val="-2"/>
        </w:rPr>
        <w:t>2013</w:t>
      </w:r>
      <w:r>
        <w:rPr>
          <w:spacing w:val="-2"/>
        </w:rPr>
        <w:t>年</w:t>
      </w:r>
      <w:r>
        <w:rPr>
          <w:spacing w:val="76"/>
        </w:rPr>
        <w:t> </w:t>
      </w:r>
      <w:r>
        <w:rPr>
          <w:spacing w:val="-3"/>
        </w:rPr>
        <w:t>动力锂电汽车对锂电池的总容量需求的复合增长率为</w:t>
      </w:r>
      <w:r>
        <w:rPr>
          <w:rFonts w:ascii="Times New Roman" w:hAnsi="Times New Roman" w:cs="Times New Roman" w:eastAsia="Times New Roman" w:hint="default"/>
          <w:spacing w:val="-3"/>
        </w:rPr>
        <w:t>116.12%</w:t>
      </w:r>
      <w:r>
        <w:rPr>
          <w:spacing w:val="-3"/>
        </w:rPr>
        <w:t>，</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2018</w:t>
      </w:r>
      <w:r>
        <w:rPr>
          <w:spacing w:val="-3"/>
        </w:rPr>
        <w:t>年的复合增长率将保持在</w:t>
      </w:r>
      <w:r>
        <w:rPr>
          <w:rFonts w:ascii="Times New Roman" w:hAnsi="Times New Roman" w:cs="Times New Roman" w:eastAsia="Times New Roman" w:hint="default"/>
          <w:spacing w:val="-3"/>
        </w:rPr>
        <w:t>26.04%</w:t>
      </w:r>
      <w:r>
        <w:rPr>
          <w:spacing w:val="-3"/>
        </w:rPr>
        <w:t>；目前全球用于</w:t>
      </w:r>
      <w:r>
        <w:rPr>
          <w:spacing w:val="77"/>
        </w:rPr>
        <w:t> </w:t>
      </w:r>
      <w:r>
        <w:rPr>
          <w:spacing w:val="77"/>
        </w:rPr>
      </w:r>
      <w:r>
        <w:rPr>
          <w:spacing w:val="-4"/>
        </w:rPr>
        <w:t>动力锂电的正极材料主要包括锰酸锂、三元材料以及磷酸铁锂。在日本和韩国，电池制造商目前倾向于使用锰酸锂和三元材</w:t>
      </w:r>
      <w:r>
        <w:rPr>
          <w:spacing w:val="43"/>
        </w:rPr>
        <w:t> </w:t>
      </w:r>
      <w:r>
        <w:rPr>
          <w:spacing w:val="43"/>
        </w:rPr>
      </w:r>
      <w:r>
        <w:rPr>
          <w:spacing w:val="-3"/>
        </w:rPr>
        <w:t>料作为锂电正极材料，而国内的电动汽车电池制造商倾向于使用磷酸亚铁锂。</w:t>
      </w:r>
    </w:p>
    <w:p>
      <w:pPr>
        <w:pStyle w:val="BodyText"/>
        <w:spacing w:line="300" w:lineRule="auto" w:before="26"/>
        <w:ind w:right="1126" w:firstLine="360"/>
        <w:jc w:val="both"/>
      </w:pPr>
      <w:r>
        <w:rPr>
          <w:spacing w:val="-2"/>
        </w:rPr>
        <w:t>根据动力锂电的总容量需求及汽车锂电厂商对动力锂电正极材料的选择，以锰酸锂的能量密度约</w:t>
      </w:r>
      <w:r>
        <w:rPr>
          <w:rFonts w:ascii="Times New Roman" w:hAnsi="Times New Roman" w:cs="Times New Roman" w:eastAsia="Times New Roman" w:hint="default"/>
          <w:spacing w:val="-2"/>
        </w:rPr>
        <w:t>370Wh/kg</w:t>
      </w:r>
      <w:r>
        <w:rPr>
          <w:spacing w:val="-2"/>
        </w:rPr>
        <w:t>，磷酸亚铁</w:t>
      </w:r>
      <w:r>
        <w:rPr>
          <w:w w:val="101"/>
        </w:rPr>
        <w:t> </w:t>
      </w:r>
      <w:r>
        <w:rPr>
          <w:spacing w:val="-2"/>
        </w:rPr>
        <w:t>锂的能量密度约</w:t>
      </w:r>
      <w:r>
        <w:rPr>
          <w:rFonts w:ascii="Times New Roman" w:hAnsi="Times New Roman" w:cs="Times New Roman" w:eastAsia="Times New Roman" w:hint="default"/>
          <w:spacing w:val="-2"/>
        </w:rPr>
        <w:t>432Wh/kg</w:t>
      </w:r>
      <w:r>
        <w:rPr>
          <w:spacing w:val="-2"/>
        </w:rPr>
        <w:t>，三元材料的能量密度约</w:t>
      </w:r>
      <w:r>
        <w:rPr>
          <w:rFonts w:ascii="Times New Roman" w:hAnsi="Times New Roman" w:cs="Times New Roman" w:eastAsia="Times New Roman" w:hint="default"/>
          <w:spacing w:val="-2"/>
        </w:rPr>
        <w:t>525Wh/kg</w:t>
      </w:r>
      <w:r>
        <w:rPr>
          <w:spacing w:val="-2"/>
        </w:rPr>
        <w:t>来测算，到</w:t>
      </w:r>
      <w:r>
        <w:rPr>
          <w:rFonts w:ascii="Times New Roman" w:hAnsi="Times New Roman" w:cs="Times New Roman" w:eastAsia="Times New Roman" w:hint="default"/>
          <w:spacing w:val="-2"/>
        </w:rPr>
        <w:t>2020</w:t>
      </w:r>
      <w:r>
        <w:rPr>
          <w:spacing w:val="-2"/>
        </w:rPr>
        <w:t>年，预计需要磷酸铁锂正极材料</w:t>
      </w:r>
      <w:r>
        <w:rPr>
          <w:rFonts w:ascii="Times New Roman" w:hAnsi="Times New Roman" w:cs="Times New Roman" w:eastAsia="Times New Roman" w:hint="default"/>
          <w:spacing w:val="-2"/>
        </w:rPr>
        <w:t>16</w:t>
      </w:r>
      <w:r>
        <w:rPr>
          <w:spacing w:val="-2"/>
        </w:rPr>
        <w:t>万吨，即磷</w:t>
      </w:r>
      <w:r>
        <w:rPr>
          <w:spacing w:val="48"/>
        </w:rPr>
        <w:t> </w:t>
      </w:r>
      <w:r>
        <w:rPr>
          <w:spacing w:val="48"/>
        </w:rPr>
      </w:r>
      <w:r>
        <w:rPr>
          <w:spacing w:val="-3"/>
        </w:rPr>
        <w:t>酸铁的市场需求量将达到</w:t>
      </w:r>
      <w:r>
        <w:rPr>
          <w:rFonts w:ascii="Times New Roman" w:hAnsi="Times New Roman" w:cs="Times New Roman" w:eastAsia="Times New Roman" w:hint="default"/>
          <w:spacing w:val="-3"/>
        </w:rPr>
        <w:t>15.5~15.8</w:t>
      </w:r>
      <w:r>
        <w:rPr>
          <w:spacing w:val="-3"/>
        </w:rPr>
        <w:t>万吨。</w:t>
      </w:r>
      <w:r>
        <w:rPr>
          <w:rFonts w:ascii="Times New Roman" w:hAnsi="Times New Roman" w:cs="Times New Roman" w:eastAsia="Times New Roman" w:hint="default"/>
          <w:spacing w:val="-3"/>
        </w:rPr>
        <w:t>3C</w:t>
      </w:r>
      <w:r>
        <w:rPr>
          <w:spacing w:val="-3"/>
        </w:rPr>
        <w:t>产品用钴酸锂相对稳定，每年复合增长率约为</w:t>
      </w:r>
      <w:r>
        <w:rPr>
          <w:rFonts w:ascii="Times New Roman" w:hAnsi="Times New Roman" w:cs="Times New Roman" w:eastAsia="Times New Roman" w:hint="default"/>
          <w:spacing w:val="-3"/>
        </w:rPr>
        <w:t>10%</w:t>
      </w:r>
      <w:r>
        <w:rPr>
          <w:spacing w:val="-3"/>
        </w:rPr>
        <w:t>，预计</w:t>
      </w:r>
      <w:r>
        <w:rPr>
          <w:rFonts w:ascii="Times New Roman" w:hAnsi="Times New Roman" w:cs="Times New Roman" w:eastAsia="Times New Roman" w:hint="default"/>
          <w:spacing w:val="-3"/>
        </w:rPr>
        <w:t>2020</w:t>
      </w:r>
      <w:r>
        <w:rPr>
          <w:spacing w:val="-3"/>
        </w:rPr>
        <w:t>年需求</w:t>
      </w:r>
      <w:r>
        <w:rPr>
          <w:rFonts w:ascii="Times New Roman" w:hAnsi="Times New Roman" w:cs="Times New Roman" w:eastAsia="Times New Roman" w:hint="default"/>
          <w:spacing w:val="-3"/>
        </w:rPr>
        <w:t>6</w:t>
      </w:r>
      <w:r>
        <w:rPr>
          <w:spacing w:val="-3"/>
        </w:rPr>
        <w:t>万吨。</w:t>
      </w:r>
    </w:p>
    <w:p>
      <w:pPr>
        <w:pStyle w:val="BodyText"/>
        <w:spacing w:line="309" w:lineRule="auto" w:before="13"/>
        <w:ind w:left="662" w:right="7684" w:hanging="130"/>
        <w:jc w:val="left"/>
      </w:pPr>
      <w:r>
        <w:rPr>
          <w:spacing w:val="-3"/>
        </w:rPr>
        <w:t>正极材料市场情况分析及预测</w:t>
      </w:r>
      <w:r>
        <w:rPr>
          <w:spacing w:val="-55"/>
        </w:rPr>
        <w:t> </w:t>
      </w:r>
      <w:r>
        <w:rPr>
          <w:spacing w:val="-55"/>
        </w:rPr>
      </w:r>
      <w:r>
        <w:rPr>
          <w:rFonts w:ascii="Times New Roman" w:hAnsi="Times New Roman" w:cs="Times New Roman" w:eastAsia="Times New Roman" w:hint="default"/>
          <w:spacing w:val="-3"/>
        </w:rPr>
        <w:t>1)</w:t>
      </w:r>
      <w:r>
        <w:rPr>
          <w:spacing w:val="-3"/>
        </w:rPr>
        <w:t>钴酸锂市场情况及预测：</w:t>
      </w:r>
      <w:r>
        <w:rPr>
          <w:w w:val="101"/>
        </w:rPr>
        <w:t> </w:t>
      </w:r>
      <w:r>
        <w:rPr>
          <w:spacing w:val="-3"/>
        </w:rPr>
        <w:t>附表一：</w:t>
      </w:r>
    </w:p>
    <w:p>
      <w:pPr>
        <w:pStyle w:val="BodyText"/>
        <w:spacing w:line="240" w:lineRule="auto" w:before="68"/>
        <w:ind w:left="0" w:right="1669"/>
        <w:jc w:val="right"/>
      </w:pPr>
      <w:r>
        <w:rPr>
          <w:spacing w:val="-2"/>
        </w:rPr>
        <w:t>单位：实物吨（万吨）</w:t>
      </w:r>
    </w:p>
    <w:p>
      <w:pPr>
        <w:spacing w:line="240" w:lineRule="auto" w:before="13"/>
        <w:rPr>
          <w:rFonts w:ascii="宋体" w:hAnsi="宋体" w:cs="宋体" w:eastAsia="宋体" w:hint="default"/>
          <w:sz w:val="7"/>
          <w:szCs w:val="7"/>
        </w:rPr>
      </w:pPr>
    </w:p>
    <w:tbl>
      <w:tblPr>
        <w:tblW w:w="0" w:type="auto"/>
        <w:jc w:val="left"/>
        <w:tblInd w:w="700" w:type="dxa"/>
        <w:tblLayout w:type="fixed"/>
        <w:tblCellMar>
          <w:top w:w="0" w:type="dxa"/>
          <w:left w:w="0" w:type="dxa"/>
          <w:bottom w:w="0" w:type="dxa"/>
          <w:right w:w="0" w:type="dxa"/>
        </w:tblCellMar>
        <w:tblLook w:val="01E0"/>
      </w:tblPr>
      <w:tblGrid>
        <w:gridCol w:w="1691"/>
        <w:gridCol w:w="1138"/>
        <w:gridCol w:w="1142"/>
        <w:gridCol w:w="1138"/>
        <w:gridCol w:w="1138"/>
        <w:gridCol w:w="1138"/>
        <w:gridCol w:w="1143"/>
      </w:tblGrid>
      <w:tr>
        <w:trPr>
          <w:trHeight w:val="346" w:hRule="exact"/>
        </w:trPr>
        <w:tc>
          <w:tcPr>
            <w:tcW w:w="169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z w:val="18"/>
                <w:szCs w:val="18"/>
              </w:rPr>
              <w:t>年份</w:t>
            </w:r>
          </w:p>
        </w:tc>
        <w:tc>
          <w:tcPr>
            <w:tcW w:w="113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18" w:right="0"/>
              <w:jc w:val="center"/>
              <w:rPr>
                <w:rFonts w:ascii="宋体" w:hAnsi="宋体" w:cs="宋体" w:eastAsia="宋体" w:hint="default"/>
                <w:sz w:val="18"/>
                <w:szCs w:val="18"/>
              </w:rPr>
            </w:pPr>
            <w:r>
              <w:rPr>
                <w:rFonts w:ascii="宋体"/>
                <w:sz w:val="18"/>
              </w:rPr>
              <w:t>2016</w:t>
            </w:r>
          </w:p>
        </w:tc>
        <w:tc>
          <w:tcPr>
            <w:tcW w:w="114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388" w:right="0"/>
              <w:jc w:val="left"/>
              <w:rPr>
                <w:rFonts w:ascii="宋体" w:hAnsi="宋体" w:cs="宋体" w:eastAsia="宋体" w:hint="default"/>
                <w:sz w:val="18"/>
                <w:szCs w:val="18"/>
              </w:rPr>
            </w:pPr>
            <w:r>
              <w:rPr>
                <w:rFonts w:ascii="宋体"/>
                <w:sz w:val="18"/>
              </w:rPr>
              <w:t>2017</w:t>
            </w:r>
          </w:p>
        </w:tc>
        <w:tc>
          <w:tcPr>
            <w:tcW w:w="113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2018</w:t>
            </w:r>
          </w:p>
        </w:tc>
        <w:tc>
          <w:tcPr>
            <w:tcW w:w="113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2019</w:t>
            </w:r>
          </w:p>
        </w:tc>
        <w:tc>
          <w:tcPr>
            <w:tcW w:w="113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10" w:right="0"/>
              <w:jc w:val="center"/>
              <w:rPr>
                <w:rFonts w:ascii="宋体" w:hAnsi="宋体" w:cs="宋体" w:eastAsia="宋体" w:hint="default"/>
                <w:sz w:val="18"/>
                <w:szCs w:val="18"/>
              </w:rPr>
            </w:pPr>
            <w:r>
              <w:rPr>
                <w:rFonts w:ascii="宋体"/>
                <w:sz w:val="18"/>
              </w:rPr>
              <w:t>2020</w:t>
            </w:r>
          </w:p>
        </w:tc>
        <w:tc>
          <w:tcPr>
            <w:tcW w:w="1143"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389" w:right="0"/>
              <w:jc w:val="left"/>
              <w:rPr>
                <w:rFonts w:ascii="宋体" w:hAnsi="宋体" w:cs="宋体" w:eastAsia="宋体" w:hint="default"/>
                <w:sz w:val="18"/>
                <w:szCs w:val="18"/>
              </w:rPr>
            </w:pPr>
            <w:r>
              <w:rPr>
                <w:rFonts w:ascii="宋体"/>
                <w:sz w:val="18"/>
              </w:rPr>
              <w:t>2021</w:t>
            </w:r>
          </w:p>
        </w:tc>
      </w:tr>
      <w:tr>
        <w:trPr>
          <w:trHeight w:val="346" w:hRule="exact"/>
        </w:trPr>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中国钴酸锂产能</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w w:val="101"/>
                <w:sz w:val="18"/>
              </w:rPr>
              <w:t>7</w:t>
            </w:r>
            <w:r>
              <w:rPr>
                <w:rFonts w:ascii="宋体"/>
                <w:sz w:val="18"/>
              </w:rPr>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sz w:val="18"/>
              </w:rPr>
              <w:t>8.5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9.5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9.5</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9.5</w:t>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sz w:val="18"/>
              </w:rPr>
              <w:t>9.5</w:t>
            </w:r>
          </w:p>
        </w:tc>
      </w:tr>
      <w:tr>
        <w:trPr>
          <w:trHeight w:val="350" w:hRule="exact"/>
        </w:trPr>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中国钴酸锂产量</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3" w:right="0"/>
              <w:jc w:val="center"/>
              <w:rPr>
                <w:rFonts w:ascii="宋体" w:hAnsi="宋体" w:cs="宋体" w:eastAsia="宋体" w:hint="default"/>
                <w:sz w:val="18"/>
                <w:szCs w:val="18"/>
              </w:rPr>
            </w:pPr>
            <w:r>
              <w:rPr>
                <w:rFonts w:ascii="宋体"/>
                <w:sz w:val="18"/>
              </w:rPr>
              <w:t>5.2</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sz w:val="18"/>
              </w:rPr>
              <w:t>5.6</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5.4</w:t>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w w:val="101"/>
                <w:sz w:val="18"/>
              </w:rPr>
              <w:t>5</w:t>
            </w:r>
            <w:r>
              <w:rPr>
                <w:rFonts w:ascii="宋体"/>
                <w:sz w:val="18"/>
              </w:rPr>
            </w:r>
          </w:p>
        </w:tc>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w w:val="101"/>
                <w:sz w:val="18"/>
              </w:rPr>
              <w:t>6</w:t>
            </w:r>
            <w:r>
              <w:rPr>
                <w:rFonts w:ascii="宋体"/>
                <w:sz w:val="18"/>
              </w:rPr>
            </w:r>
          </w:p>
        </w:tc>
        <w:tc>
          <w:tcPr>
            <w:tcW w:w="11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2" w:right="0"/>
              <w:jc w:val="left"/>
              <w:rPr>
                <w:rFonts w:ascii="宋体" w:hAnsi="宋体" w:cs="宋体" w:eastAsia="宋体" w:hint="default"/>
                <w:sz w:val="18"/>
                <w:szCs w:val="18"/>
              </w:rPr>
            </w:pPr>
            <w:r>
              <w:rPr>
                <w:rFonts w:ascii="宋体"/>
                <w:sz w:val="18"/>
              </w:rPr>
              <w:t>6.5</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pStyle w:val="BodyText"/>
        <w:spacing w:line="240" w:lineRule="auto" w:before="10"/>
        <w:ind w:left="695" w:right="0"/>
        <w:jc w:val="left"/>
      </w:pPr>
      <w:r>
        <w:rPr>
          <w:spacing w:val="-3"/>
        </w:rPr>
        <w:t>中国钴酸锂市场因受三元以及锰酸锂的冲击，市场增长缓慢。</w:t>
      </w:r>
    </w:p>
    <w:p>
      <w:pPr>
        <w:pStyle w:val="BodyText"/>
        <w:spacing w:line="340" w:lineRule="auto" w:before="120"/>
        <w:ind w:left="513" w:right="2077" w:firstLine="201"/>
        <w:jc w:val="left"/>
      </w:pPr>
      <w:r>
        <w:rPr/>
        <w:t>（资料来源：</w:t>
      </w:r>
      <w:r>
        <w:rPr>
          <w:rFonts w:ascii="Times New Roman" w:hAnsi="Times New Roman" w:cs="Times New Roman" w:eastAsia="Times New Roman" w:hint="default"/>
        </w:rPr>
        <w:t>SMM</w:t>
      </w:r>
      <w:r>
        <w:rPr/>
        <w:t>）</w:t>
      </w:r>
      <w:r>
        <w:rPr>
          <w:w w:val="101"/>
        </w:rPr>
        <w:t> </w:t>
      </w:r>
      <w:r>
        <w:rPr>
          <w:rFonts w:ascii="Times New Roman" w:hAnsi="Times New Roman" w:cs="Times New Roman" w:eastAsia="Times New Roman" w:hint="default"/>
          <w:spacing w:val="-3"/>
        </w:rPr>
        <w:t>2)</w:t>
      </w:r>
      <w:r>
        <w:rPr>
          <w:spacing w:val="-3"/>
        </w:rPr>
        <w:t>磷酸铁锂市场情况及预测：</w:t>
      </w:r>
      <w:r>
        <w:rPr>
          <w:spacing w:val="-47"/>
        </w:rPr>
        <w:t> </w:t>
      </w:r>
      <w:r>
        <w:rPr>
          <w:spacing w:val="-47"/>
        </w:rPr>
      </w:r>
      <w:r>
        <w:rPr/>
        <w:t>附表二：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8"/>
          <w:szCs w:val="18"/>
        </w:rPr>
      </w:pPr>
    </w:p>
    <w:p>
      <w:pPr>
        <w:pStyle w:val="BodyText"/>
        <w:spacing w:line="240" w:lineRule="auto"/>
        <w:ind w:left="513" w:right="0"/>
        <w:jc w:val="left"/>
      </w:pPr>
      <w:r>
        <w:rPr/>
        <w:t>单位：实物吨（万吨）</w:t>
      </w:r>
    </w:p>
    <w:p>
      <w:pPr>
        <w:spacing w:after="0" w:line="240" w:lineRule="auto"/>
        <w:jc w:val="left"/>
        <w:sectPr>
          <w:type w:val="continuous"/>
          <w:pgSz w:w="11910" w:h="16840"/>
          <w:pgMar w:top="1060" w:bottom="1160" w:left="980" w:right="0"/>
          <w:cols w:num="2" w:equalWidth="0">
            <w:col w:w="5559" w:space="1922"/>
            <w:col w:w="3449"/>
          </w:cols>
        </w:sectPr>
      </w:pPr>
    </w:p>
    <w:p>
      <w:pPr>
        <w:spacing w:line="240" w:lineRule="auto" w:before="8"/>
        <w:rPr>
          <w:rFonts w:ascii="宋体" w:hAnsi="宋体" w:cs="宋体" w:eastAsia="宋体" w:hint="default"/>
          <w:sz w:val="7"/>
          <w:szCs w:val="7"/>
        </w:rPr>
      </w:pPr>
    </w:p>
    <w:tbl>
      <w:tblPr>
        <w:tblW w:w="0" w:type="auto"/>
        <w:jc w:val="left"/>
        <w:tblInd w:w="825" w:type="dxa"/>
        <w:tblLayout w:type="fixed"/>
        <w:tblCellMar>
          <w:top w:w="0" w:type="dxa"/>
          <w:left w:w="0" w:type="dxa"/>
          <w:bottom w:w="0" w:type="dxa"/>
          <w:right w:w="0" w:type="dxa"/>
        </w:tblCellMar>
        <w:tblLook w:val="01E0"/>
      </w:tblPr>
      <w:tblGrid>
        <w:gridCol w:w="2747"/>
        <w:gridCol w:w="922"/>
        <w:gridCol w:w="922"/>
        <w:gridCol w:w="922"/>
        <w:gridCol w:w="922"/>
        <w:gridCol w:w="922"/>
        <w:gridCol w:w="922"/>
      </w:tblGrid>
      <w:tr>
        <w:trPr>
          <w:trHeight w:val="350" w:hRule="exact"/>
        </w:trPr>
        <w:tc>
          <w:tcPr>
            <w:tcW w:w="2747"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z w:val="18"/>
                <w:szCs w:val="18"/>
              </w:rPr>
              <w:t>年份</w:t>
            </w:r>
          </w:p>
        </w:tc>
        <w:tc>
          <w:tcPr>
            <w:tcW w:w="9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5"/>
              <w:ind w:left="14" w:right="0"/>
              <w:jc w:val="center"/>
              <w:rPr>
                <w:rFonts w:ascii="宋体" w:hAnsi="宋体" w:cs="宋体" w:eastAsia="宋体" w:hint="default"/>
                <w:sz w:val="18"/>
                <w:szCs w:val="18"/>
              </w:rPr>
            </w:pPr>
            <w:r>
              <w:rPr>
                <w:rFonts w:ascii="宋体"/>
                <w:sz w:val="18"/>
              </w:rPr>
              <w:t>2016</w:t>
            </w:r>
          </w:p>
        </w:tc>
        <w:tc>
          <w:tcPr>
            <w:tcW w:w="9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5"/>
              <w:ind w:left="278" w:right="0"/>
              <w:jc w:val="left"/>
              <w:rPr>
                <w:rFonts w:ascii="宋体" w:hAnsi="宋体" w:cs="宋体" w:eastAsia="宋体" w:hint="default"/>
                <w:sz w:val="18"/>
                <w:szCs w:val="18"/>
              </w:rPr>
            </w:pPr>
            <w:r>
              <w:rPr>
                <w:rFonts w:ascii="宋体"/>
                <w:sz w:val="18"/>
              </w:rPr>
              <w:t>2017</w:t>
            </w:r>
          </w:p>
        </w:tc>
        <w:tc>
          <w:tcPr>
            <w:tcW w:w="9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5"/>
              <w:ind w:left="14" w:right="0"/>
              <w:jc w:val="center"/>
              <w:rPr>
                <w:rFonts w:ascii="宋体" w:hAnsi="宋体" w:cs="宋体" w:eastAsia="宋体" w:hint="default"/>
                <w:sz w:val="18"/>
                <w:szCs w:val="18"/>
              </w:rPr>
            </w:pPr>
            <w:r>
              <w:rPr>
                <w:rFonts w:ascii="宋体"/>
                <w:sz w:val="18"/>
              </w:rPr>
              <w:t>2018</w:t>
            </w:r>
          </w:p>
        </w:tc>
        <w:tc>
          <w:tcPr>
            <w:tcW w:w="9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5"/>
              <w:ind w:left="278" w:right="0"/>
              <w:jc w:val="left"/>
              <w:rPr>
                <w:rFonts w:ascii="宋体" w:hAnsi="宋体" w:cs="宋体" w:eastAsia="宋体" w:hint="default"/>
                <w:sz w:val="18"/>
                <w:szCs w:val="18"/>
              </w:rPr>
            </w:pPr>
            <w:r>
              <w:rPr>
                <w:rFonts w:ascii="宋体"/>
                <w:sz w:val="18"/>
              </w:rPr>
              <w:t>2019</w:t>
            </w:r>
          </w:p>
        </w:tc>
        <w:tc>
          <w:tcPr>
            <w:tcW w:w="9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5"/>
              <w:ind w:left="4" w:right="0"/>
              <w:jc w:val="center"/>
              <w:rPr>
                <w:rFonts w:ascii="宋体" w:hAnsi="宋体" w:cs="宋体" w:eastAsia="宋体" w:hint="default"/>
                <w:sz w:val="18"/>
                <w:szCs w:val="18"/>
              </w:rPr>
            </w:pPr>
            <w:r>
              <w:rPr>
                <w:rFonts w:ascii="宋体"/>
                <w:sz w:val="18"/>
              </w:rPr>
              <w:t>2020</w:t>
            </w:r>
          </w:p>
        </w:tc>
        <w:tc>
          <w:tcPr>
            <w:tcW w:w="92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5"/>
              <w:ind w:left="5" w:right="0"/>
              <w:jc w:val="center"/>
              <w:rPr>
                <w:rFonts w:ascii="宋体" w:hAnsi="宋体" w:cs="宋体" w:eastAsia="宋体" w:hint="default"/>
                <w:sz w:val="18"/>
                <w:szCs w:val="18"/>
              </w:rPr>
            </w:pPr>
            <w:r>
              <w:rPr>
                <w:rFonts w:ascii="宋体"/>
                <w:sz w:val="18"/>
              </w:rPr>
              <w:t>2021</w:t>
            </w:r>
          </w:p>
        </w:tc>
      </w:tr>
      <w:tr>
        <w:trPr>
          <w:trHeight w:val="346" w:hRule="exact"/>
        </w:trPr>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中国磷酸铁锂产能</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sz w:val="18"/>
              </w:rPr>
              <w:t>8.4</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sz w:val="18"/>
              </w:rPr>
              <w:t>18.7</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 w:right="0"/>
              <w:jc w:val="center"/>
              <w:rPr>
                <w:rFonts w:ascii="宋体" w:hAnsi="宋体" w:cs="宋体" w:eastAsia="宋体" w:hint="default"/>
                <w:sz w:val="18"/>
                <w:szCs w:val="18"/>
              </w:rPr>
            </w:pPr>
            <w:r>
              <w:rPr>
                <w:rFonts w:ascii="宋体"/>
                <w:sz w:val="18"/>
              </w:rPr>
              <w:t>21.2</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sz w:val="18"/>
              </w:rPr>
              <w:t>21.2</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23.2</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27.2</w:t>
            </w:r>
          </w:p>
        </w:tc>
      </w:tr>
      <w:tr>
        <w:trPr>
          <w:trHeight w:val="346" w:hRule="exact"/>
        </w:trPr>
        <w:tc>
          <w:tcPr>
            <w:tcW w:w="27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中国磷酸铁锂产量</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9" w:right="0"/>
              <w:jc w:val="center"/>
              <w:rPr>
                <w:rFonts w:ascii="宋体" w:hAnsi="宋体" w:cs="宋体" w:eastAsia="宋体" w:hint="default"/>
                <w:sz w:val="18"/>
                <w:szCs w:val="18"/>
              </w:rPr>
            </w:pPr>
            <w:r>
              <w:rPr>
                <w:rFonts w:ascii="宋体"/>
                <w:sz w:val="18"/>
              </w:rPr>
              <w:t>5.7</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6" w:right="0"/>
              <w:jc w:val="left"/>
              <w:rPr>
                <w:rFonts w:ascii="宋体" w:hAnsi="宋体" w:cs="宋体" w:eastAsia="宋体" w:hint="default"/>
                <w:sz w:val="18"/>
                <w:szCs w:val="18"/>
              </w:rPr>
            </w:pPr>
            <w:r>
              <w:rPr>
                <w:rFonts w:ascii="宋体"/>
                <w:sz w:val="18"/>
              </w:rPr>
              <w:t>7.4</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 w:right="0"/>
              <w:jc w:val="center"/>
              <w:rPr>
                <w:rFonts w:ascii="宋体" w:hAnsi="宋体" w:cs="宋体" w:eastAsia="宋体" w:hint="default"/>
                <w:sz w:val="18"/>
                <w:szCs w:val="18"/>
              </w:rPr>
            </w:pPr>
            <w:r>
              <w:rPr>
                <w:rFonts w:ascii="宋体"/>
                <w:sz w:val="18"/>
              </w:rPr>
              <w:t>6.5</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26" w:right="0"/>
              <w:jc w:val="left"/>
              <w:rPr>
                <w:rFonts w:ascii="宋体" w:hAnsi="宋体" w:cs="宋体" w:eastAsia="宋体" w:hint="default"/>
                <w:sz w:val="18"/>
                <w:szCs w:val="18"/>
              </w:rPr>
            </w:pPr>
            <w:r>
              <w:rPr>
                <w:rFonts w:ascii="宋体"/>
                <w:sz w:val="18"/>
              </w:rPr>
              <w:t>7.8</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sz w:val="18"/>
              </w:rPr>
              <w:t>12</w:t>
            </w:r>
          </w:p>
        </w:tc>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sz w:val="18"/>
              </w:rPr>
              <w:t>18</w:t>
            </w:r>
          </w:p>
        </w:tc>
      </w:tr>
    </w:tbl>
    <w:p>
      <w:pPr>
        <w:pStyle w:val="BodyText"/>
        <w:spacing w:line="240" w:lineRule="auto" w:before="53"/>
        <w:ind w:left="782" w:right="0"/>
        <w:jc w:val="left"/>
      </w:pPr>
      <w:r>
        <w:rPr>
          <w:spacing w:val="-3"/>
        </w:rPr>
        <w:t>补贴政策结束以及储能需求的兴起，磷酸铁锂产量开始显著增长，</w:t>
      </w:r>
      <w:r>
        <w:rPr>
          <w:rFonts w:ascii="Times New Roman" w:hAnsi="Times New Roman" w:cs="Times New Roman" w:eastAsia="Times New Roman" w:hint="default"/>
          <w:spacing w:val="-3"/>
        </w:rPr>
        <w:t>2016-2021</w:t>
      </w:r>
      <w:r>
        <w:rPr>
          <w:spacing w:val="-3"/>
        </w:rPr>
        <w:t>复合增长率为</w:t>
      </w:r>
      <w:r>
        <w:rPr>
          <w:rFonts w:ascii="Times New Roman" w:hAnsi="Times New Roman" w:cs="Times New Roman" w:eastAsia="Times New Roman" w:hint="default"/>
          <w:spacing w:val="-3"/>
        </w:rPr>
        <w:t>10.76%</w:t>
      </w:r>
      <w:r>
        <w:rPr>
          <w:spacing w:val="-3"/>
        </w:rPr>
        <w:t>。</w:t>
      </w:r>
    </w:p>
    <w:p>
      <w:pPr>
        <w:pStyle w:val="BodyText"/>
        <w:spacing w:line="240" w:lineRule="auto" w:before="106"/>
        <w:ind w:left="695" w:right="0"/>
        <w:jc w:val="left"/>
      </w:pPr>
      <w:r>
        <w:rPr/>
        <w:t>（资料来源：</w:t>
      </w:r>
      <w:r>
        <w:rPr>
          <w:rFonts w:ascii="Times New Roman" w:hAnsi="Times New Roman" w:cs="Times New Roman" w:eastAsia="Times New Roman" w:hint="default"/>
        </w:rPr>
        <w:t>SMM</w:t>
      </w:r>
      <w:r>
        <w:rPr/>
        <w:t>）</w:t>
      </w:r>
    </w:p>
    <w:p>
      <w:pPr>
        <w:pStyle w:val="BodyText"/>
        <w:spacing w:line="338" w:lineRule="auto" w:before="101"/>
        <w:ind w:left="513" w:right="0" w:hanging="68"/>
        <w:jc w:val="left"/>
      </w:pPr>
      <w:r>
        <w:rPr>
          <w:spacing w:val="-3"/>
        </w:rPr>
        <w:t>（</w:t>
      </w:r>
      <w:r>
        <w:rPr>
          <w:rFonts w:ascii="Times New Roman" w:hAnsi="Times New Roman" w:cs="Times New Roman" w:eastAsia="Times New Roman" w:hint="default"/>
          <w:spacing w:val="-3"/>
        </w:rPr>
        <w:t>2</w:t>
      </w:r>
      <w:r>
        <w:rPr>
          <w:spacing w:val="-3"/>
        </w:rPr>
        <w:t>）公司行业竞争地位</w:t>
      </w:r>
      <w:r>
        <w:rPr>
          <w:spacing w:val="-57"/>
        </w:rPr>
        <w:t> </w:t>
      </w:r>
      <w:r>
        <w:rPr>
          <w:spacing w:val="-57"/>
        </w:rPr>
      </w:r>
      <w:r>
        <w:rPr>
          <w:spacing w:val="-2"/>
        </w:rPr>
        <w:t>湖南雅城目前的业务主要集中在新能源汽车、</w:t>
      </w:r>
      <w:r>
        <w:rPr>
          <w:rFonts w:ascii="Times New Roman" w:hAnsi="Times New Roman" w:cs="Times New Roman" w:eastAsia="Times New Roman" w:hint="default"/>
          <w:spacing w:val="-2"/>
        </w:rPr>
        <w:t>3C</w:t>
      </w:r>
      <w:r>
        <w:rPr>
          <w:spacing w:val="-2"/>
        </w:rPr>
        <w:t>电子、储能领域，其自成立以来，一直专注于锂电池正极材料前驱体</w:t>
      </w:r>
    </w:p>
    <w:p>
      <w:pPr>
        <w:pStyle w:val="BodyText"/>
        <w:spacing w:line="230" w:lineRule="exact"/>
        <w:ind w:right="0"/>
        <w:jc w:val="left"/>
      </w:pPr>
      <w:r>
        <w:rPr>
          <w:spacing w:val="-5"/>
        </w:rPr>
        <w:t>的生产、研发及销售，凭借多年深耕锂电池正极材料前驱体领域的所积累的生产研发经验和优质的产品性能，已与韩国</w:t>
      </w:r>
      <w:r>
        <w:rPr>
          <w:rFonts w:ascii="Times New Roman" w:hAnsi="Times New Roman" w:cs="Times New Roman" w:eastAsia="Times New Roman" w:hint="default"/>
          <w:spacing w:val="-5"/>
        </w:rPr>
        <w:t>SDI</w:t>
      </w:r>
      <w:r>
        <w:rPr>
          <w:spacing w:val="-5"/>
        </w:rPr>
        <w:t>、</w:t>
      </w:r>
    </w:p>
    <w:p>
      <w:pPr>
        <w:pStyle w:val="BodyText"/>
        <w:spacing w:line="240" w:lineRule="auto" w:before="63"/>
        <w:ind w:right="0"/>
        <w:jc w:val="left"/>
      </w:pPr>
      <w:r>
        <w:rPr>
          <w:spacing w:val="-3"/>
        </w:rPr>
        <w:t>厦门钨业、国轩高科、贝特瑞、北大先行等国内外主要客户建立了良好的合作关系甚至战略合作关系。</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30"/>
        <w:gridCol w:w="6528"/>
      </w:tblGrid>
      <w:tr>
        <w:trPr>
          <w:trHeight w:val="182" w:hRule="exact"/>
        </w:trPr>
        <w:tc>
          <w:tcPr>
            <w:tcW w:w="30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0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7" w:hRule="exact"/>
        </w:trPr>
        <w:tc>
          <w:tcPr>
            <w:tcW w:w="30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本期投资天津市茂联科技有限公司</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121,000,000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4"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新增雅城土地使用权</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48,076,025.72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tc>
      </w:tr>
      <w:tr>
        <w:trPr>
          <w:trHeight w:val="403" w:hRule="exact"/>
        </w:trPr>
        <w:tc>
          <w:tcPr>
            <w:tcW w:w="3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新增雅城电池级铁鲤材料生产基地的建设工程 </w:t>
            </w:r>
            <w:r>
              <w:rPr>
                <w:rFonts w:ascii="Times New Roman" w:hAnsi="Times New Roman" w:cs="Times New Roman" w:eastAsia="Times New Roman" w:hint="default"/>
                <w:sz w:val="18"/>
                <w:szCs w:val="18"/>
              </w:rPr>
              <w:t>139,890,477.42</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元。</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3"/>
        <w:rPr>
          <w:rFonts w:ascii="宋体" w:hAnsi="宋体" w:cs="宋体" w:eastAsia="宋体" w:hint="default"/>
          <w:b/>
          <w:bCs/>
          <w:sz w:val="27"/>
          <w:szCs w:val="27"/>
        </w:rPr>
      </w:pPr>
    </w:p>
    <w:p>
      <w:pPr>
        <w:pStyle w:val="Heading4"/>
        <w:spacing w:line="240" w:lineRule="auto"/>
        <w:ind w:right="0"/>
        <w:jc w:val="left"/>
        <w:rPr>
          <w:b w:val="0"/>
          <w:bCs w:val="0"/>
        </w:rPr>
      </w:pPr>
      <w:r>
        <w:rPr/>
        <w:t>电力板块</w:t>
      </w:r>
      <w:r>
        <w:rPr>
          <w:b w:val="0"/>
          <w:bCs w:val="0"/>
        </w:rPr>
      </w:r>
    </w:p>
    <w:p>
      <w:pPr>
        <w:pStyle w:val="BodyText"/>
        <w:spacing w:line="300" w:lineRule="auto" w:before="77"/>
        <w:ind w:left="513" w:right="0"/>
        <w:jc w:val="left"/>
      </w:pPr>
      <w:r>
        <w:rPr>
          <w:rFonts w:ascii="Times New Roman" w:hAnsi="Times New Roman" w:cs="Times New Roman" w:eastAsia="Times New Roman" w:hint="default"/>
        </w:rPr>
        <w:t>(</w:t>
      </w:r>
      <w:r>
        <w:rPr/>
        <w:t>一）持续的研发创新能力</w:t>
      </w:r>
      <w:r>
        <w:rPr>
          <w:spacing w:val="-87"/>
        </w:rPr>
        <w:t> </w:t>
      </w:r>
      <w:r>
        <w:rPr>
          <w:spacing w:val="-87"/>
        </w:rPr>
      </w:r>
      <w:r>
        <w:rPr>
          <w:spacing w:val="-5"/>
        </w:rPr>
        <w:t>公司明确了</w:t>
      </w:r>
      <w:r>
        <w:rPr>
          <w:rFonts w:ascii="Times New Roman" w:hAnsi="Times New Roman" w:cs="Times New Roman" w:eastAsia="Times New Roman" w:hint="default"/>
          <w:spacing w:val="-5"/>
        </w:rPr>
        <w:t>“</w:t>
      </w:r>
      <w:r>
        <w:rPr>
          <w:spacing w:val="-5"/>
        </w:rPr>
        <w:t>专注户外、领先半步</w:t>
      </w:r>
      <w:r>
        <w:rPr>
          <w:rFonts w:ascii="Times New Roman" w:hAnsi="Times New Roman" w:cs="Times New Roman" w:eastAsia="Times New Roman" w:hint="default"/>
          <w:spacing w:val="-5"/>
        </w:rPr>
        <w:t>”</w:t>
      </w:r>
      <w:r>
        <w:rPr>
          <w:spacing w:val="-5"/>
        </w:rPr>
        <w:t>的研发战略，本着</w:t>
      </w:r>
      <w:r>
        <w:rPr>
          <w:rFonts w:ascii="Times New Roman" w:hAnsi="Times New Roman" w:cs="Times New Roman" w:eastAsia="Times New Roman" w:hint="default"/>
          <w:spacing w:val="-5"/>
        </w:rPr>
        <w:t>“</w:t>
      </w:r>
      <w:r>
        <w:rPr>
          <w:spacing w:val="-5"/>
        </w:rPr>
        <w:t>生产一代、储备一代、研发一代</w:t>
      </w:r>
      <w:r>
        <w:rPr>
          <w:rFonts w:ascii="Times New Roman" w:hAnsi="Times New Roman" w:cs="Times New Roman" w:eastAsia="Times New Roman" w:hint="default"/>
          <w:spacing w:val="-5"/>
        </w:rPr>
        <w:t>”</w:t>
      </w:r>
      <w:r>
        <w:rPr>
          <w:spacing w:val="-5"/>
        </w:rPr>
        <w:t>的原则，在户外配电产品小型化、</w:t>
      </w:r>
    </w:p>
    <w:p>
      <w:pPr>
        <w:pStyle w:val="BodyText"/>
        <w:spacing w:line="307" w:lineRule="auto" w:before="13"/>
        <w:ind w:right="1037"/>
        <w:jc w:val="left"/>
      </w:pPr>
      <w:r>
        <w:rPr>
          <w:spacing w:val="-6"/>
          <w:w w:val="101"/>
        </w:rPr>
        <w:t>免维护、智能化的相关技术领域进行了适度前瞻性的技术研究和产品研发，储备了许多可以较快进入这些领域的技术和产品，</w:t>
      </w:r>
      <w:r>
        <w:rPr>
          <w:spacing w:val="-71"/>
          <w:w w:val="101"/>
        </w:rPr>
        <w:t> </w:t>
      </w:r>
      <w:r>
        <w:rPr>
          <w:spacing w:val="-71"/>
          <w:w w:val="101"/>
        </w:rPr>
      </w:r>
      <w:r>
        <w:rPr>
          <w:spacing w:val="-3"/>
        </w:rPr>
        <w:t>如智能快速开关、大电流充气式环网柜、新一代智能环网柜、</w:t>
      </w:r>
      <w:r>
        <w:rPr>
          <w:rFonts w:ascii="Times New Roman" w:hAnsi="Times New Roman" w:cs="Times New Roman" w:eastAsia="Times New Roman" w:hint="default"/>
          <w:spacing w:val="-3"/>
        </w:rPr>
        <w:t>12</w:t>
      </w:r>
      <w:r>
        <w:rPr>
          <w:spacing w:val="-3"/>
        </w:rPr>
        <w:t>～</w:t>
      </w:r>
      <w:r>
        <w:rPr>
          <w:rFonts w:ascii="Times New Roman" w:hAnsi="Times New Roman" w:cs="Times New Roman" w:eastAsia="Times New Roman" w:hint="default"/>
          <w:spacing w:val="-3"/>
        </w:rPr>
        <w:t>24kV</w:t>
      </w:r>
      <w:r>
        <w:rPr>
          <w:spacing w:val="-3"/>
        </w:rPr>
        <w:t>固体绝缘环网柜、小型化真空环网柜、</w:t>
      </w:r>
      <w:r>
        <w:rPr>
          <w:rFonts w:ascii="Times New Roman" w:hAnsi="Times New Roman" w:cs="Times New Roman" w:eastAsia="Times New Roman" w:hint="default"/>
          <w:spacing w:val="-3"/>
        </w:rPr>
        <w:t>12-24kV</w:t>
      </w:r>
      <w:r>
        <w:rPr>
          <w:spacing w:val="-3"/>
        </w:rPr>
        <w:t>氮气</w:t>
      </w:r>
      <w:r>
        <w:rPr>
          <w:spacing w:val="46"/>
        </w:rPr>
        <w:t> </w:t>
      </w:r>
      <w:r>
        <w:rPr>
          <w:spacing w:val="-2"/>
        </w:rPr>
        <w:t>绝缘共箱式环网柜、户外配电设备数字采集装置、</w:t>
      </w:r>
      <w:r>
        <w:rPr>
          <w:rFonts w:ascii="Times New Roman" w:hAnsi="Times New Roman" w:cs="Times New Roman" w:eastAsia="Times New Roman" w:hint="default"/>
          <w:spacing w:val="-2"/>
        </w:rPr>
        <w:t>27.5/55kV</w:t>
      </w:r>
      <w:r>
        <w:rPr>
          <w:spacing w:val="-2"/>
        </w:rPr>
        <w:t>高铁牵引系统开关设备、电气化铁路运用所户外箱式地面电源</w:t>
      </w:r>
      <w:r>
        <w:rPr>
          <w:spacing w:val="75"/>
        </w:rPr>
        <w:t> </w:t>
      </w:r>
      <w:r>
        <w:rPr>
          <w:spacing w:val="75"/>
        </w:rPr>
      </w:r>
      <w:r>
        <w:rPr>
          <w:spacing w:val="-3"/>
        </w:rPr>
        <w:t>等。这些储备技术和产品是公司未来持续发展的动力。</w:t>
      </w:r>
    </w:p>
    <w:p>
      <w:pPr>
        <w:pStyle w:val="BodyText"/>
        <w:spacing w:line="240" w:lineRule="auto" w:before="26"/>
        <w:ind w:left="446" w:right="0"/>
        <w:jc w:val="left"/>
      </w:pPr>
      <w:r>
        <w:rPr>
          <w:spacing w:val="-3"/>
        </w:rPr>
        <w:t>（二）市场优势</w:t>
      </w:r>
    </w:p>
    <w:p>
      <w:pPr>
        <w:pStyle w:val="BodyText"/>
        <w:spacing w:line="240" w:lineRule="auto" w:before="76"/>
        <w:ind w:left="570" w:right="0"/>
        <w:jc w:val="left"/>
      </w:pPr>
      <w:r>
        <w:rPr>
          <w:rFonts w:ascii="Times New Roman" w:hAnsi="Times New Roman" w:cs="Times New Roman" w:eastAsia="Times New Roman" w:hint="default"/>
          <w:spacing w:val="-3"/>
        </w:rPr>
        <w:t>1</w:t>
      </w:r>
      <w:r>
        <w:rPr>
          <w:spacing w:val="-3"/>
        </w:rPr>
        <w:t>、细分市场的比较优势</w:t>
      </w:r>
    </w:p>
    <w:p>
      <w:pPr>
        <w:pStyle w:val="BodyText"/>
        <w:spacing w:line="300" w:lineRule="auto" w:before="63"/>
        <w:ind w:right="1123" w:firstLine="451"/>
        <w:jc w:val="both"/>
      </w:pPr>
      <w:r>
        <w:rPr>
          <w:spacing w:val="-3"/>
        </w:rPr>
        <w:t>目前公司的业务主要集中于电网市场，</w:t>
      </w:r>
      <w:r>
        <w:rPr>
          <w:spacing w:val="15"/>
        </w:rPr>
        <w:t> </w:t>
      </w:r>
      <w:r>
        <w:rPr>
          <w:spacing w:val="-5"/>
        </w:rPr>
        <w:t>遍及我国</w:t>
      </w:r>
      <w:r>
        <w:rPr>
          <w:rFonts w:ascii="Times New Roman" w:hAnsi="Times New Roman" w:cs="Times New Roman" w:eastAsia="Times New Roman" w:hint="default"/>
          <w:spacing w:val="-5"/>
        </w:rPr>
        <w:t>29</w:t>
      </w:r>
      <w:r>
        <w:rPr>
          <w:spacing w:val="-5"/>
        </w:rPr>
        <w:t>个省市自治区，在广东、江苏、山东、广东、河南、河北等区域拥</w:t>
      </w:r>
      <w:r>
        <w:rPr>
          <w:w w:val="101"/>
        </w:rPr>
        <w:t> </w:t>
      </w:r>
      <w:r>
        <w:rPr>
          <w:spacing w:val="-3"/>
        </w:rPr>
        <w:t>有较为雄厚的市场基础，根据公司自行统计的数据，在近</w:t>
      </w:r>
      <w:r>
        <w:rPr>
          <w:rFonts w:ascii="Times New Roman" w:hAnsi="Times New Roman" w:cs="Times New Roman" w:eastAsia="Times New Roman" w:hint="default"/>
          <w:spacing w:val="-3"/>
        </w:rPr>
        <w:t>5</w:t>
      </w:r>
      <w:r>
        <w:rPr>
          <w:spacing w:val="-3"/>
        </w:rPr>
        <w:t>年国家电网和南方电网年度招投标的中标企业排名中，公司都保</w:t>
      </w:r>
      <w:r>
        <w:rPr>
          <w:spacing w:val="75"/>
        </w:rPr>
        <w:t> </w:t>
      </w:r>
      <w:r>
        <w:rPr>
          <w:spacing w:val="75"/>
        </w:rPr>
      </w:r>
      <w:r>
        <w:rPr>
          <w:spacing w:val="-3"/>
        </w:rPr>
        <w:t>持较前的水平。</w:t>
      </w:r>
    </w:p>
    <w:p>
      <w:pPr>
        <w:pStyle w:val="BodyText"/>
        <w:spacing w:line="300" w:lineRule="auto" w:before="32"/>
        <w:ind w:left="513" w:right="0" w:firstLine="62"/>
        <w:jc w:val="left"/>
      </w:pPr>
      <w:r>
        <w:rPr>
          <w:rFonts w:ascii="Times New Roman" w:hAnsi="Times New Roman" w:cs="Times New Roman" w:eastAsia="Times New Roman" w:hint="default"/>
          <w:spacing w:val="-3"/>
        </w:rPr>
        <w:t>2</w:t>
      </w:r>
      <w:r>
        <w:rPr>
          <w:spacing w:val="-3"/>
        </w:rPr>
        <w:t>、较高的产品认可度和品牌认知度</w:t>
      </w:r>
      <w:r>
        <w:rPr>
          <w:w w:val="101"/>
        </w:rPr>
        <w:t> </w:t>
      </w:r>
      <w:r>
        <w:rPr>
          <w:spacing w:val="-4"/>
        </w:rPr>
        <w:t>公司凭借满足客户需求的产品设计、稳定可靠的产品质量、优质的售后服务逐渐获得了客户的认可。公司环网柜产品在</w:t>
      </w:r>
    </w:p>
    <w:p>
      <w:pPr>
        <w:pStyle w:val="BodyText"/>
        <w:spacing w:line="312" w:lineRule="auto" w:before="31"/>
        <w:ind w:right="1037"/>
        <w:jc w:val="left"/>
      </w:pPr>
      <w:r>
        <w:rPr>
          <w:rFonts w:ascii="宋体" w:hAnsi="宋体" w:cs="宋体" w:eastAsia="宋体" w:hint="default"/>
          <w:spacing w:val="-3"/>
        </w:rPr>
        <w:t>2019</w:t>
      </w:r>
      <w:r>
        <w:rPr>
          <w:spacing w:val="-3"/>
        </w:rPr>
        <w:t>年度中国电力电气行业互联网评选中获环网柜十大品牌， 变压器、柱上开关、</w:t>
      </w:r>
      <w:r>
        <w:rPr>
          <w:rFonts w:ascii="宋体" w:hAnsi="宋体" w:cs="宋体" w:eastAsia="宋体" w:hint="default"/>
          <w:spacing w:val="-3"/>
        </w:rPr>
        <w:t>JP</w:t>
      </w:r>
      <w:r>
        <w:rPr>
          <w:spacing w:val="-3"/>
        </w:rPr>
        <w:t>柜等产品也排名靠前，在行业客户中</w:t>
      </w:r>
      <w:r>
        <w:rPr>
          <w:spacing w:val="-2"/>
        </w:rPr>
        <w:t> </w:t>
      </w:r>
      <w:r>
        <w:rPr>
          <w:spacing w:val="-2"/>
        </w:rPr>
      </w:r>
      <w:r>
        <w:rPr>
          <w:spacing w:val="-4"/>
        </w:rPr>
        <w:t>拥有较高的认可度。公司产品用于电力市场的部分重要项目包括</w:t>
      </w:r>
      <w:r>
        <w:rPr>
          <w:rFonts w:ascii="宋体" w:hAnsi="宋体" w:cs="宋体" w:eastAsia="宋体" w:hint="default"/>
          <w:spacing w:val="-4"/>
        </w:rPr>
        <w:t>2022</w:t>
      </w:r>
      <w:r>
        <w:rPr>
          <w:spacing w:val="-4"/>
        </w:rPr>
        <w:t>年张家口冬奥会配套项目、</w:t>
      </w:r>
      <w:r>
        <w:rPr>
          <w:rFonts w:ascii="宋体" w:hAnsi="宋体" w:cs="宋体" w:eastAsia="宋体" w:hint="default"/>
          <w:spacing w:val="-4"/>
        </w:rPr>
        <w:t>2018</w:t>
      </w:r>
      <w:r>
        <w:rPr>
          <w:spacing w:val="-4"/>
        </w:rPr>
        <w:t>年青岛上合峰会、济南</w:t>
      </w:r>
      <w:r>
        <w:rPr>
          <w:spacing w:val="59"/>
        </w:rPr>
        <w:t> </w:t>
      </w:r>
      <w:r>
        <w:rPr>
          <w:spacing w:val="59"/>
        </w:rPr>
      </w:r>
      <w:r>
        <w:rPr>
          <w:spacing w:val="-4"/>
        </w:rPr>
        <w:t>全运会保电项目、涉奥保电项目、苏通长江大桥路电项目、南京长江三桥路电项目、天津机场空客总装线配套工程、天津滨</w:t>
      </w:r>
      <w:r>
        <w:rPr>
          <w:spacing w:val="40"/>
        </w:rPr>
        <w:t> </w:t>
      </w:r>
      <w:r>
        <w:rPr>
          <w:spacing w:val="40"/>
        </w:rPr>
      </w:r>
      <w:r>
        <w:rPr>
          <w:spacing w:val="-4"/>
        </w:rPr>
        <w:t>海国际机场二期扩建工程、青岛海底隧道工程、黄河小浪底工程等、中国人民解放军北京军区保障项目。公司产品用于轨道</w:t>
      </w:r>
      <w:r>
        <w:rPr>
          <w:spacing w:val="40"/>
        </w:rPr>
        <w:t> </w:t>
      </w:r>
      <w:r>
        <w:rPr>
          <w:spacing w:val="40"/>
        </w:rPr>
      </w:r>
      <w:r>
        <w:rPr>
          <w:spacing w:val="-3"/>
        </w:rPr>
        <w:t>交通的部分重要项目有京九铁路、向莆铁路、昌九铁路、龙厦铁路、哈齐铁路、厦门市轨道交通</w:t>
      </w:r>
      <w:r>
        <w:rPr>
          <w:rFonts w:ascii="Times New Roman" w:hAnsi="Times New Roman" w:cs="Times New Roman" w:eastAsia="Times New Roman" w:hint="default"/>
          <w:spacing w:val="-3"/>
        </w:rPr>
        <w:t>2</w:t>
      </w:r>
      <w:r>
        <w:rPr>
          <w:spacing w:val="-3"/>
        </w:rPr>
        <w:t>号线地铁项目等。此外，</w:t>
      </w:r>
      <w:r>
        <w:rPr>
          <w:spacing w:val="76"/>
        </w:rPr>
        <w:t> </w:t>
      </w:r>
      <w:r>
        <w:rPr>
          <w:spacing w:val="76"/>
        </w:rPr>
      </w:r>
      <w:r>
        <w:rPr>
          <w:spacing w:val="-3"/>
        </w:rPr>
        <w:t>公司的产品还应用于青海格尔木油田、青藏铁路那曲物流中心、冀东油田、齐齐哈尔至海拉尔铁路工程等高寒、高原地区。</w:t>
      </w:r>
      <w:r>
        <w:rPr>
          <w:spacing w:val="66"/>
        </w:rPr>
        <w:t> </w:t>
      </w:r>
      <w:r>
        <w:rPr>
          <w:spacing w:val="66"/>
        </w:rPr>
      </w:r>
      <w:r>
        <w:rPr/>
        <w:t>不仅国内，公司的产品在海外也得到了客户的认可，目前公司参与的海外项目有埃塞俄比亚箱变项目、肯尼亚</w:t>
      </w:r>
      <w:r>
        <w:rPr>
          <w:rFonts w:ascii="Times New Roman" w:hAnsi="Times New Roman" w:cs="Times New Roman" w:eastAsia="Times New Roman" w:hint="default"/>
        </w:rPr>
        <w:t>“</w:t>
      </w:r>
      <w:r>
        <w:rPr/>
        <w:t>世纪工程</w:t>
      </w:r>
      <w:r>
        <w:rPr>
          <w:rFonts w:ascii="Times New Roman" w:hAnsi="Times New Roman" w:cs="Times New Roman" w:eastAsia="Times New Roman" w:hint="default"/>
        </w:rPr>
        <w:t>”</w:t>
      </w:r>
      <w:r>
        <w:rPr>
          <w:rFonts w:ascii="Times New Roman" w:hAnsi="Times New Roman" w:cs="Times New Roman" w:eastAsia="Times New Roman" w:hint="default"/>
          <w:spacing w:val="33"/>
        </w:rPr>
        <w:t> </w:t>
      </w:r>
      <w:r>
        <w:rPr>
          <w:spacing w:val="-3"/>
        </w:rPr>
        <w:t>蒙内铁路、印度古吉拉特项目、印度孟买</w:t>
      </w:r>
      <w:r>
        <w:rPr>
          <w:rFonts w:ascii="Times New Roman" w:hAnsi="Times New Roman" w:cs="Times New Roman" w:eastAsia="Times New Roman" w:hint="default"/>
          <w:spacing w:val="-3"/>
        </w:rPr>
        <w:t>MULUND</w:t>
      </w:r>
      <w:r>
        <w:rPr>
          <w:spacing w:val="-3"/>
        </w:rPr>
        <w:t>变电站项目、刚果</w:t>
      </w:r>
      <w:r>
        <w:rPr>
          <w:rFonts w:ascii="Times New Roman" w:hAnsi="Times New Roman" w:cs="Times New Roman" w:eastAsia="Times New Roman" w:hint="default"/>
          <w:spacing w:val="-3"/>
        </w:rPr>
        <w:t>(</w:t>
      </w:r>
      <w:r>
        <w:rPr>
          <w:spacing w:val="-3"/>
        </w:rPr>
        <w:t>金</w:t>
      </w:r>
      <w:r>
        <w:rPr>
          <w:rFonts w:ascii="Times New Roman" w:hAnsi="Times New Roman" w:cs="Times New Roman" w:eastAsia="Times New Roman" w:hint="default"/>
          <w:spacing w:val="-3"/>
        </w:rPr>
        <w:t>)Deziw</w:t>
      </w:r>
      <w:r>
        <w:rPr>
          <w:spacing w:val="-3"/>
        </w:rPr>
        <w:t>铜钴矿项目、赞比亚恩卡纳铜钴渣综合利用</w:t>
      </w:r>
      <w:r>
        <w:rPr>
          <w:spacing w:val="55"/>
        </w:rPr>
        <w:t> </w:t>
      </w:r>
      <w:r>
        <w:rPr>
          <w:spacing w:val="55"/>
        </w:rPr>
      </w:r>
      <w:r>
        <w:rPr/>
        <w:t>项目等。</w:t>
      </w:r>
    </w:p>
    <w:p>
      <w:pPr>
        <w:pStyle w:val="BodyText"/>
        <w:spacing w:line="240" w:lineRule="auto" w:before="23"/>
        <w:ind w:left="508" w:right="0"/>
        <w:jc w:val="left"/>
      </w:pPr>
      <w:r>
        <w:rPr>
          <w:spacing w:val="-3"/>
        </w:rPr>
        <w:t>（三）团队管理优势</w:t>
      </w:r>
    </w:p>
    <w:p>
      <w:pPr>
        <w:pStyle w:val="BodyText"/>
        <w:spacing w:line="300" w:lineRule="auto" w:before="76"/>
        <w:ind w:left="513" w:right="0" w:hanging="10"/>
        <w:jc w:val="left"/>
      </w:pPr>
      <w:r>
        <w:rPr>
          <w:rFonts w:ascii="Times New Roman" w:hAnsi="Times New Roman" w:cs="Times New Roman" w:eastAsia="Times New Roman" w:hint="default"/>
          <w:spacing w:val="-3"/>
        </w:rPr>
        <w:t>1</w:t>
      </w:r>
      <w:r>
        <w:rPr>
          <w:spacing w:val="-3"/>
        </w:rPr>
        <w:t>、优秀的技术与管理团队</w:t>
      </w:r>
      <w:r>
        <w:rPr>
          <w:spacing w:val="-57"/>
        </w:rPr>
        <w:t> </w:t>
      </w:r>
      <w:r>
        <w:rPr>
          <w:spacing w:val="-57"/>
        </w:rPr>
      </w:r>
      <w:r>
        <w:rPr>
          <w:spacing w:val="-5"/>
        </w:rPr>
        <w:t>公司自成立以来一直注重人才的储备和管理制度的创新，公司的技术中心是北京市级（省部级）研发中心。公司的董事</w:t>
      </w:r>
    </w:p>
    <w:p>
      <w:pPr>
        <w:spacing w:after="0" w:line="30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0" w:lineRule="auto" w:before="46"/>
        <w:ind w:right="1122"/>
        <w:jc w:val="both"/>
      </w:pPr>
      <w:r>
        <w:rPr>
          <w:spacing w:val="-7"/>
        </w:rPr>
        <w:t>会和管理层成员，普遍具备十年以上的电力行业从业经验或多年财务、管理经验。公司员工队伍的结构也在持续优化，到</w:t>
      </w:r>
      <w:r>
        <w:rPr>
          <w:rFonts w:ascii="Times New Roman" w:hAnsi="Times New Roman" w:cs="Times New Roman" w:eastAsia="Times New Roman" w:hint="default"/>
          <w:spacing w:val="-7"/>
        </w:rPr>
        <w:t>2019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spacing w:val="-3"/>
        </w:rPr>
        <w:t>年底，公司电力板块拥有本科学历的员工数量达到了</w:t>
      </w:r>
      <w:r>
        <w:rPr>
          <w:rFonts w:ascii="Times New Roman" w:hAnsi="Times New Roman" w:cs="Times New Roman" w:eastAsia="Times New Roman" w:hint="default"/>
          <w:spacing w:val="-3"/>
        </w:rPr>
        <w:t>375</w:t>
      </w:r>
      <w:r>
        <w:rPr>
          <w:spacing w:val="-3"/>
        </w:rPr>
        <w:t>人，占比</w:t>
      </w:r>
      <w:r>
        <w:rPr>
          <w:rFonts w:ascii="Times New Roman" w:hAnsi="Times New Roman" w:cs="Times New Roman" w:eastAsia="Times New Roman" w:hint="default"/>
          <w:spacing w:val="-3"/>
        </w:rPr>
        <w:t>23.53%</w:t>
      </w:r>
      <w:r>
        <w:rPr>
          <w:spacing w:val="-3"/>
        </w:rPr>
        <w:t>，研究生及以上学历的</w:t>
      </w:r>
      <w:r>
        <w:rPr>
          <w:rFonts w:ascii="Times New Roman" w:hAnsi="Times New Roman" w:cs="Times New Roman" w:eastAsia="Times New Roman" w:hint="default"/>
          <w:spacing w:val="-3"/>
        </w:rPr>
        <w:t>43</w:t>
      </w:r>
      <w:r>
        <w:rPr>
          <w:spacing w:val="-3"/>
        </w:rPr>
        <w:t>人，占比</w:t>
      </w:r>
      <w:r>
        <w:rPr>
          <w:rFonts w:ascii="Times New Roman" w:hAnsi="Times New Roman" w:cs="Times New Roman" w:eastAsia="Times New Roman" w:hint="default"/>
          <w:spacing w:val="-3"/>
        </w:rPr>
        <w:t>2.70%</w:t>
      </w:r>
      <w:r>
        <w:rPr>
          <w:spacing w:val="-3"/>
        </w:rPr>
        <w:t>。</w:t>
      </w:r>
    </w:p>
    <w:p>
      <w:pPr>
        <w:pStyle w:val="BodyText"/>
        <w:spacing w:line="300" w:lineRule="auto" w:before="13"/>
        <w:ind w:left="513" w:right="0"/>
        <w:jc w:val="left"/>
      </w:pPr>
      <w:r>
        <w:rPr>
          <w:rFonts w:ascii="Times New Roman" w:hAnsi="Times New Roman" w:cs="Times New Roman" w:eastAsia="Times New Roman" w:hint="default"/>
        </w:rPr>
        <w:t>2</w:t>
      </w:r>
      <w:r>
        <w:rPr/>
        <w:t>、先进的业务管理模式</w:t>
      </w:r>
      <w:r>
        <w:rPr>
          <w:spacing w:val="-85"/>
        </w:rPr>
        <w:t> </w:t>
      </w:r>
      <w:r>
        <w:rPr>
          <w:spacing w:val="-85"/>
        </w:rPr>
      </w:r>
      <w:r>
        <w:rPr>
          <w:spacing w:val="-5"/>
        </w:rPr>
        <w:t>公司采用大区经理、省区经理、销售工程师三级业务管理模式，由公司营销总部统一部署业务开拓和市场营销工作，在</w:t>
      </w:r>
    </w:p>
    <w:p>
      <w:pPr>
        <w:pStyle w:val="BodyText"/>
        <w:spacing w:line="316" w:lineRule="auto" w:before="31"/>
        <w:ind w:right="1123"/>
        <w:jc w:val="both"/>
      </w:pPr>
      <w:r>
        <w:rPr>
          <w:spacing w:val="-4"/>
        </w:rPr>
        <w:t>各大区、省区，强调团队之间的协同合作，避免单一业务人员掌握过多市场资源及各自为战的局面。这种管理模式，大幅度</w:t>
      </w:r>
      <w:r>
        <w:rPr>
          <w:spacing w:val="40"/>
        </w:rPr>
        <w:t> </w:t>
      </w:r>
      <w:r>
        <w:rPr>
          <w:spacing w:val="40"/>
        </w:rPr>
      </w:r>
      <w:r>
        <w:rPr>
          <w:spacing w:val="-3"/>
        </w:rPr>
        <w:t>稳定了销售队伍，同时从制度上有效地规范了公司的营销业务，确保了销售业绩的稳步提高。</w:t>
      </w:r>
    </w:p>
    <w:p>
      <w:pPr>
        <w:pStyle w:val="BodyText"/>
        <w:spacing w:line="316" w:lineRule="auto" w:before="19"/>
        <w:ind w:left="532" w:right="1037" w:hanging="178"/>
        <w:jc w:val="left"/>
      </w:pPr>
      <w:r>
        <w:rPr/>
        <w:t>（四）产业链优势</w:t>
      </w:r>
      <w:r>
        <w:rPr>
          <w:spacing w:val="-86"/>
        </w:rPr>
        <w:t> </w:t>
      </w:r>
      <w:r>
        <w:rPr>
          <w:spacing w:val="-86"/>
        </w:rPr>
      </w:r>
      <w:r>
        <w:rPr>
          <w:spacing w:val="-1"/>
        </w:rPr>
        <w:t>公司已经着手打造完善的行业产业链，通过资本运作和战略合作的方式，快速介入设计咨询、电力工程总包、运维服</w:t>
      </w:r>
    </w:p>
    <w:p>
      <w:pPr>
        <w:pStyle w:val="BodyText"/>
        <w:spacing w:line="300" w:lineRule="auto" w:before="19"/>
        <w:ind w:left="455" w:right="2648" w:hanging="303"/>
        <w:jc w:val="left"/>
        <w:rPr>
          <w:rFonts w:ascii="宋体" w:hAnsi="宋体" w:cs="宋体" w:eastAsia="宋体" w:hint="default"/>
        </w:rPr>
      </w:pPr>
      <w:r>
        <w:rPr>
          <w:spacing w:val="-3"/>
        </w:rPr>
        <w:t>务等领域的业务，公司正式成立了</w:t>
      </w:r>
      <w:r>
        <w:rPr>
          <w:rFonts w:ascii="Times New Roman" w:hAnsi="Times New Roman" w:cs="Times New Roman" w:eastAsia="Times New Roman" w:hint="default"/>
          <w:spacing w:val="-3"/>
        </w:rPr>
        <w:t>EPC</w:t>
      </w:r>
      <w:r>
        <w:rPr>
          <w:spacing w:val="-3"/>
        </w:rPr>
        <w:t>事业部，正逐步由单一的设备提供商向综合服务商转变。</w:t>
      </w:r>
      <w:r>
        <w:rPr>
          <w:spacing w:val="34"/>
        </w:rPr>
        <w:t> </w:t>
      </w:r>
      <w:r>
        <w:rPr>
          <w:spacing w:val="34"/>
        </w:rPr>
      </w:r>
      <w:r>
        <w:rPr>
          <w:rFonts w:ascii="宋体" w:hAnsi="宋体" w:cs="宋体" w:eastAsia="宋体" w:hint="default"/>
          <w:b/>
          <w:bCs/>
        </w:rPr>
        <w:t>锂电材料板块</w:t>
      </w:r>
      <w:r>
        <w:rPr>
          <w:rFonts w:ascii="宋体" w:hAnsi="宋体" w:cs="宋体" w:eastAsia="宋体" w:hint="default"/>
        </w:rPr>
      </w:r>
    </w:p>
    <w:p>
      <w:pPr>
        <w:pStyle w:val="BodyText"/>
        <w:spacing w:line="357" w:lineRule="auto" w:before="74"/>
        <w:ind w:left="513" w:right="0" w:hanging="284"/>
        <w:jc w:val="left"/>
      </w:pPr>
      <w:r>
        <w:rPr>
          <w:spacing w:val="-3"/>
        </w:rPr>
        <w:t>（一）技术与产品优势</w:t>
      </w:r>
      <w:r>
        <w:rPr>
          <w:spacing w:val="-61"/>
        </w:rPr>
        <w:t> </w:t>
      </w:r>
      <w:r>
        <w:rPr>
          <w:spacing w:val="-61"/>
        </w:rPr>
      </w:r>
      <w:r>
        <w:rPr>
          <w:spacing w:val="-4"/>
        </w:rPr>
        <w:t>湖南雅城拥有独立的研发机构，以自主研发为主、对外技术合作为辅。</w:t>
      </w:r>
      <w:r>
        <w:rPr>
          <w:rFonts w:ascii="Times New Roman" w:hAnsi="Times New Roman" w:cs="Times New Roman" w:eastAsia="Times New Roman" w:hint="default"/>
          <w:spacing w:val="-4"/>
        </w:rPr>
        <w:t>2016</w:t>
      </w:r>
      <w:r>
        <w:rPr>
          <w:spacing w:val="-4"/>
        </w:rPr>
        <w:t>年，湖南雅城的研发机构被评为省级研发机</w:t>
      </w:r>
    </w:p>
    <w:p>
      <w:pPr>
        <w:pStyle w:val="BodyText"/>
        <w:spacing w:line="214" w:lineRule="exact"/>
        <w:ind w:right="0"/>
        <w:jc w:val="left"/>
      </w:pPr>
      <w:r>
        <w:rPr>
          <w:spacing w:val="-6"/>
        </w:rPr>
        <w:t>构，目前，湖南雅城已申请发明专利</w:t>
      </w:r>
      <w:r>
        <w:rPr>
          <w:rFonts w:ascii="Times New Roman" w:hAnsi="Times New Roman" w:cs="Times New Roman" w:eastAsia="Times New Roman" w:hint="default"/>
          <w:spacing w:val="-6"/>
        </w:rPr>
        <w:t>17</w:t>
      </w:r>
      <w:r>
        <w:rPr>
          <w:spacing w:val="-6"/>
        </w:rPr>
        <w:t>项，其中授权</w:t>
      </w:r>
      <w:r>
        <w:rPr>
          <w:rFonts w:ascii="Times New Roman" w:hAnsi="Times New Roman" w:cs="Times New Roman" w:eastAsia="Times New Roman" w:hint="default"/>
          <w:spacing w:val="-6"/>
        </w:rPr>
        <w:t>5</w:t>
      </w:r>
      <w:r>
        <w:rPr>
          <w:spacing w:val="-6"/>
        </w:rPr>
        <w:t>项，</w:t>
      </w:r>
      <w:r>
        <w:rPr>
          <w:rFonts w:ascii="Times New Roman" w:hAnsi="Times New Roman" w:cs="Times New Roman" w:eastAsia="Times New Roman" w:hint="default"/>
          <w:spacing w:val="-6"/>
        </w:rPr>
        <w:t>6</w:t>
      </w:r>
      <w:r>
        <w:rPr>
          <w:spacing w:val="-6"/>
        </w:rPr>
        <w:t>项正在实质审查阶段；申请实用新型专利</w:t>
      </w:r>
      <w:r>
        <w:rPr>
          <w:rFonts w:ascii="Times New Roman" w:hAnsi="Times New Roman" w:cs="Times New Roman" w:eastAsia="Times New Roman" w:hint="default"/>
          <w:spacing w:val="-6"/>
        </w:rPr>
        <w:t>27</w:t>
      </w:r>
      <w:r>
        <w:rPr>
          <w:spacing w:val="-6"/>
        </w:rPr>
        <w:t>项，授权</w:t>
      </w:r>
      <w:r>
        <w:rPr>
          <w:rFonts w:ascii="Times New Roman" w:hAnsi="Times New Roman" w:cs="Times New Roman" w:eastAsia="Times New Roman" w:hint="default"/>
          <w:spacing w:val="-6"/>
        </w:rPr>
        <w:t>27</w:t>
      </w:r>
      <w:r>
        <w:rPr>
          <w:spacing w:val="-6"/>
        </w:rPr>
        <w:t>项。同时，</w:t>
      </w:r>
    </w:p>
    <w:p>
      <w:pPr>
        <w:pStyle w:val="BodyText"/>
        <w:spacing w:line="319" w:lineRule="auto" w:before="63"/>
        <w:ind w:left="513" w:right="0" w:hanging="360"/>
        <w:jc w:val="left"/>
      </w:pPr>
      <w:r>
        <w:rPr>
          <w:spacing w:val="-3"/>
        </w:rPr>
        <w:t>湖南雅城还十分重视同科研机构、大专院校的产学研合作，如与中南大学和长沙矿冶研究院的产学研合作。</w:t>
      </w:r>
      <w:r>
        <w:rPr>
          <w:spacing w:val="48"/>
        </w:rPr>
        <w:t> </w:t>
      </w:r>
      <w:r>
        <w:rPr>
          <w:spacing w:val="48"/>
        </w:rPr>
      </w:r>
      <w:r>
        <w:rPr>
          <w:spacing w:val="-4"/>
        </w:rPr>
        <w:t>通过湖南雅城的自主研发，湖南雅城拥有钴酸锂前驱体全系列产品、磷酸铁锂前驱体全系列产品，磷酸铁锰锂前驱体以</w:t>
      </w:r>
    </w:p>
    <w:p>
      <w:pPr>
        <w:pStyle w:val="BodyText"/>
        <w:spacing w:line="240" w:lineRule="auto" w:before="17"/>
        <w:ind w:right="0"/>
        <w:jc w:val="left"/>
      </w:pPr>
      <w:r>
        <w:rPr>
          <w:spacing w:val="-3"/>
        </w:rPr>
        <w:t>及三元前驱体全系列产品的技术储备，其中四氧化三钴（</w:t>
      </w:r>
      <w:r>
        <w:rPr>
          <w:rFonts w:ascii="Times New Roman" w:hAnsi="Times New Roman" w:cs="Times New Roman" w:eastAsia="Times New Roman" w:hint="default"/>
          <w:spacing w:val="-3"/>
        </w:rPr>
        <w:t>15-20</w:t>
      </w:r>
      <w:r>
        <w:rPr>
          <w:spacing w:val="-3"/>
        </w:rPr>
        <w:t>微米）被认定为湖南名牌产品。</w:t>
      </w:r>
    </w:p>
    <w:p>
      <w:pPr>
        <w:pStyle w:val="BodyText"/>
        <w:spacing w:line="352" w:lineRule="auto" w:before="106"/>
        <w:ind w:left="513" w:right="1037" w:hanging="360"/>
        <w:jc w:val="left"/>
      </w:pPr>
      <w:r>
        <w:rPr>
          <w:spacing w:val="-3"/>
        </w:rPr>
        <w:t>（二）客户资源优势</w:t>
      </w:r>
      <w:r>
        <w:rPr>
          <w:spacing w:val="-62"/>
        </w:rPr>
        <w:t> </w:t>
      </w:r>
      <w:r>
        <w:rPr>
          <w:spacing w:val="-62"/>
        </w:rPr>
      </w:r>
      <w:r>
        <w:rPr>
          <w:spacing w:val="-4"/>
        </w:rPr>
        <w:t>公司与业内主要的客户建立了稳定的合作关系，如北大先行旗下的泰丰先行、先行泰安、湖南杉杉能源科技股份有限公</w:t>
      </w:r>
    </w:p>
    <w:p>
      <w:pPr>
        <w:pStyle w:val="BodyText"/>
        <w:spacing w:line="300" w:lineRule="auto"/>
        <w:ind w:right="1122"/>
        <w:jc w:val="both"/>
      </w:pPr>
      <w:r>
        <w:rPr>
          <w:spacing w:val="-3"/>
        </w:rPr>
        <w:t>司、湖南美特新材料科技有限公司等。</w:t>
      </w:r>
      <w:r>
        <w:rPr>
          <w:rFonts w:ascii="Times New Roman" w:hAnsi="Times New Roman" w:cs="Times New Roman" w:eastAsia="Times New Roman" w:hint="default"/>
          <w:spacing w:val="-3"/>
        </w:rPr>
        <w:t>2014</w:t>
      </w:r>
      <w:r>
        <w:rPr>
          <w:spacing w:val="-3"/>
        </w:rPr>
        <w:t>年，公司产品顺利通过三星</w:t>
      </w:r>
      <w:r>
        <w:rPr>
          <w:rFonts w:ascii="Times New Roman" w:hAnsi="Times New Roman" w:cs="Times New Roman" w:eastAsia="Times New Roman" w:hint="default"/>
          <w:spacing w:val="-3"/>
        </w:rPr>
        <w:t>SDI SQE</w:t>
      </w:r>
      <w:r>
        <w:rPr>
          <w:spacing w:val="-3"/>
        </w:rPr>
        <w:t>体系审核，成为三星的合格供应商，为进入</w:t>
      </w:r>
      <w:r>
        <w:rPr>
          <w:spacing w:val="-36"/>
        </w:rPr>
        <w:t> </w:t>
      </w:r>
      <w:r>
        <w:rPr>
          <w:spacing w:val="-36"/>
        </w:rPr>
      </w:r>
      <w:r>
        <w:rPr>
          <w:spacing w:val="-3"/>
        </w:rPr>
        <w:t>国际市场取得了绿色通行证。</w:t>
      </w:r>
    </w:p>
    <w:p>
      <w:pPr>
        <w:pStyle w:val="BodyText"/>
        <w:spacing w:line="240" w:lineRule="auto" w:before="74"/>
        <w:ind w:right="0"/>
        <w:jc w:val="left"/>
      </w:pPr>
      <w:r>
        <w:rPr>
          <w:spacing w:val="-3"/>
        </w:rPr>
        <w:t>（三）品质优势</w:t>
      </w:r>
    </w:p>
    <w:p>
      <w:pPr>
        <w:pStyle w:val="BodyText"/>
        <w:spacing w:line="307" w:lineRule="auto" w:before="115"/>
        <w:ind w:right="1124" w:firstLine="360"/>
        <w:jc w:val="both"/>
      </w:pPr>
      <w:r>
        <w:rPr>
          <w:spacing w:val="10"/>
        </w:rPr>
        <w:t>公司已建立一套完整的质量保证体系，并已获得 </w:t>
      </w:r>
      <w:r>
        <w:rPr>
          <w:rFonts w:ascii="Times New Roman" w:hAnsi="Times New Roman" w:cs="Times New Roman" w:eastAsia="Times New Roman" w:hint="default"/>
          <w:spacing w:val="8"/>
        </w:rPr>
        <w:t>AAA</w:t>
      </w:r>
      <w:r>
        <w:rPr>
          <w:spacing w:val="8"/>
        </w:rPr>
        <w:t>级企业质量信用等级、</w:t>
      </w:r>
      <w:r>
        <w:rPr>
          <w:spacing w:val="-59"/>
        </w:rPr>
        <w:t> </w:t>
      </w:r>
      <w:r>
        <w:rPr>
          <w:rFonts w:ascii="Times New Roman" w:hAnsi="Times New Roman" w:cs="Times New Roman" w:eastAsia="Times New Roman" w:hint="default"/>
          <w:spacing w:val="4"/>
        </w:rPr>
        <w:t>ISO9001:2008</w:t>
      </w:r>
      <w:r>
        <w:rPr>
          <w:spacing w:val="4"/>
        </w:rPr>
        <w:t>质量管理体系认证、</w:t>
      </w:r>
      <w:r>
        <w:rPr>
          <w:w w:val="101"/>
        </w:rPr>
        <w:t> </w:t>
      </w:r>
      <w:r>
        <w:rPr>
          <w:rFonts w:ascii="Times New Roman" w:hAnsi="Times New Roman" w:cs="Times New Roman" w:eastAsia="Times New Roman" w:hint="default"/>
        </w:rPr>
        <w:t>ISO14001:2004</w:t>
      </w:r>
      <w:r>
        <w:rPr/>
        <w:t>环境管理体系认证以及职业健康安全管理体系认证</w:t>
      </w:r>
      <w:r>
        <w:rPr>
          <w:rFonts w:ascii="Times New Roman" w:hAnsi="Times New Roman" w:cs="Times New Roman" w:eastAsia="Times New Roman" w:hint="default"/>
        </w:rPr>
        <w:t>OHSAS 18001:2007</w:t>
      </w:r>
      <w:r>
        <w:rPr/>
        <w:t>等系列质量和管理认证。在生产过程</w:t>
      </w:r>
      <w:r>
        <w:rPr>
          <w:spacing w:val="-79"/>
        </w:rPr>
        <w:t> </w:t>
      </w:r>
      <w:r>
        <w:rPr>
          <w:spacing w:val="-79"/>
        </w:rPr>
      </w:r>
      <w:r>
        <w:rPr>
          <w:spacing w:val="-4"/>
        </w:rPr>
        <w:t>中，品质部与生产技术部人员隔离，产品检测拥有独立性，从而保证了公司产品的质量。公司的产品品质与管理水平在业内</w:t>
      </w:r>
      <w:r>
        <w:rPr>
          <w:spacing w:val="40"/>
        </w:rPr>
        <w:t> </w:t>
      </w:r>
      <w:r>
        <w:rPr>
          <w:spacing w:val="40"/>
        </w:rPr>
      </w:r>
      <w:r>
        <w:rPr/>
        <w:t>受到好评。</w:t>
      </w:r>
    </w:p>
    <w:p>
      <w:pPr>
        <w:pStyle w:val="BodyText"/>
        <w:spacing w:line="357" w:lineRule="auto" w:before="69"/>
        <w:ind w:left="513" w:right="1037" w:hanging="360"/>
        <w:jc w:val="left"/>
      </w:pPr>
      <w:r>
        <w:rPr>
          <w:spacing w:val="-3"/>
        </w:rPr>
        <w:t>（四）品牌优势</w:t>
      </w:r>
      <w:r>
        <w:rPr>
          <w:spacing w:val="-68"/>
        </w:rPr>
        <w:t> </w:t>
      </w:r>
      <w:r>
        <w:rPr>
          <w:spacing w:val="-68"/>
        </w:rPr>
      </w:r>
      <w:r>
        <w:rPr>
          <w:spacing w:val="-3"/>
        </w:rPr>
        <w:t>公司产品为长沙市名牌产品，公司被评为湖南省诚信建设示范单位、湖南省质量信用</w:t>
      </w:r>
      <w:r>
        <w:rPr>
          <w:rFonts w:ascii="Times New Roman" w:hAnsi="Times New Roman" w:cs="Times New Roman" w:eastAsia="Times New Roman" w:hint="default"/>
          <w:spacing w:val="-3"/>
        </w:rPr>
        <w:t>AAA</w:t>
      </w:r>
      <w:r>
        <w:rPr>
          <w:spacing w:val="-3"/>
        </w:rPr>
        <w:t>级企业、长沙市小巨人企业，</w:t>
      </w:r>
    </w:p>
    <w:p>
      <w:pPr>
        <w:pStyle w:val="BodyText"/>
        <w:spacing w:line="201" w:lineRule="exact"/>
        <w:ind w:right="0"/>
        <w:jc w:val="left"/>
      </w:pPr>
      <w:r>
        <w:rPr>
          <w:spacing w:val="-4"/>
        </w:rPr>
        <w:t>长沙市三百之星、长沙市第七批创建创新型单位、湖南省新材料企业，长沙市智能制造企业、长沙市节能示范企业、宁乡市</w:t>
      </w:r>
    </w:p>
    <w:p>
      <w:pPr>
        <w:pStyle w:val="BodyText"/>
        <w:spacing w:line="300" w:lineRule="auto" w:before="76"/>
        <w:ind w:right="1122"/>
        <w:jc w:val="both"/>
      </w:pPr>
      <w:r>
        <w:rPr>
          <w:spacing w:val="-3"/>
        </w:rPr>
        <w:t>第一批先进制造业企业等。公司的品牌在业内具有一定的知名度。并且</w:t>
      </w:r>
      <w:r>
        <w:rPr>
          <w:rFonts w:ascii="Times New Roman" w:hAnsi="Times New Roman" w:cs="Times New Roman" w:eastAsia="Times New Roman" w:hint="default"/>
          <w:spacing w:val="-3"/>
        </w:rPr>
        <w:t>2019</w:t>
      </w:r>
      <w:r>
        <w:rPr>
          <w:spacing w:val="-3"/>
        </w:rPr>
        <w:t>年获湖南省制造强省专项资金，进入湖南省</w:t>
      </w:r>
      <w:r>
        <w:rPr>
          <w:rFonts w:ascii="Times New Roman" w:hAnsi="Times New Roman" w:cs="Times New Roman" w:eastAsia="Times New Roman" w:hint="default"/>
          <w:spacing w:val="-3"/>
        </w:rPr>
        <w:t>100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spacing w:val="-4"/>
        </w:rPr>
        <w:t>家重点培养发展企业，入围国家发改委新型产业振兴项目，入围工业信息化部智能制造企业，</w:t>
      </w:r>
      <w:r>
        <w:rPr>
          <w:rFonts w:ascii="Times New Roman" w:hAnsi="Times New Roman" w:cs="Times New Roman" w:eastAsia="Times New Roman" w:hint="default"/>
          <w:spacing w:val="-4"/>
        </w:rPr>
        <w:t>2019</w:t>
      </w:r>
      <w:r>
        <w:rPr>
          <w:spacing w:val="-4"/>
        </w:rPr>
        <w:t>年已申报湖南省工程技术</w:t>
      </w:r>
      <w:r>
        <w:rPr>
          <w:spacing w:val="52"/>
        </w:rPr>
        <w:t> </w:t>
      </w:r>
      <w:r>
        <w:rPr>
          <w:spacing w:val="52"/>
        </w:rPr>
      </w:r>
      <w:r>
        <w:rPr>
          <w:spacing w:val="-3"/>
        </w:rPr>
        <w:t>中心，目前正在批复中，获批后公司将拥有省级技术中心和省级工程中心资质。</w:t>
      </w:r>
    </w:p>
    <w:p>
      <w:pPr>
        <w:pStyle w:val="BodyText"/>
        <w:spacing w:line="352" w:lineRule="auto" w:before="74"/>
        <w:ind w:left="513" w:right="1037" w:hanging="360"/>
        <w:jc w:val="left"/>
      </w:pPr>
      <w:r>
        <w:rPr>
          <w:spacing w:val="-3"/>
        </w:rPr>
        <w:t>（五）装备优势</w:t>
      </w:r>
      <w:r>
        <w:rPr>
          <w:spacing w:val="-68"/>
        </w:rPr>
        <w:t> </w:t>
      </w:r>
      <w:r>
        <w:rPr>
          <w:spacing w:val="-68"/>
        </w:rPr>
      </w:r>
      <w:r>
        <w:rPr>
          <w:spacing w:val="-3"/>
        </w:rPr>
        <w:t>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2</w:t>
      </w:r>
      <w:r>
        <w:rPr>
          <w:spacing w:val="-3"/>
        </w:rPr>
        <w:t>万吨磷酸铁生产线正式投产，通过引进先进自动化控制设备，提高湖南雅城装备水平，扩大竞争优势。随</w:t>
      </w:r>
    </w:p>
    <w:p>
      <w:pPr>
        <w:pStyle w:val="BodyText"/>
        <w:spacing w:line="205" w:lineRule="exact"/>
        <w:ind w:right="0"/>
        <w:jc w:val="left"/>
      </w:pPr>
      <w:r>
        <w:rPr>
          <w:spacing w:val="-4"/>
        </w:rPr>
        <w:t>着现代材料科学技术的日益发展、社会的进步，现代化生产规模越来越大，其管理形式和方式也日趋多样，管理也需要更加</w:t>
      </w:r>
    </w:p>
    <w:p>
      <w:pPr>
        <w:pStyle w:val="BodyText"/>
        <w:spacing w:line="316" w:lineRule="auto" w:before="77"/>
        <w:ind w:right="1123"/>
        <w:jc w:val="both"/>
      </w:pPr>
      <w:r>
        <w:rPr>
          <w:spacing w:val="-4"/>
        </w:rPr>
        <w:t>科学，市场对产品的质量要求也越来越高，这就使材料的生产厂家在新材料的生产过程中，要求做到品质更加优良，品质管</w:t>
      </w:r>
      <w:r>
        <w:rPr>
          <w:spacing w:val="40"/>
        </w:rPr>
        <w:t> </w:t>
      </w:r>
      <w:r>
        <w:rPr>
          <w:spacing w:val="40"/>
        </w:rPr>
      </w:r>
      <w:r>
        <w:rPr>
          <w:spacing w:val="-4"/>
        </w:rPr>
        <w:t>理更加到位，尽量减少因人为的操作和测量波动使材料的物理化学性能产生影响，为此，湖南雅城在磷酸铁新项目中启用智</w:t>
      </w:r>
      <w:r>
        <w:rPr>
          <w:spacing w:val="43"/>
        </w:rPr>
        <w:t> </w:t>
      </w:r>
      <w:r>
        <w:rPr>
          <w:spacing w:val="43"/>
        </w:rPr>
      </w:r>
      <w:r>
        <w:rPr>
          <w:spacing w:val="-3"/>
        </w:rPr>
        <w:t>能化控制设备。</w:t>
      </w:r>
    </w:p>
    <w:p>
      <w:pPr>
        <w:pStyle w:val="BodyText"/>
        <w:spacing w:line="316" w:lineRule="auto" w:before="19"/>
        <w:ind w:right="1124" w:firstLine="360"/>
        <w:jc w:val="both"/>
      </w:pPr>
      <w:r>
        <w:rPr>
          <w:spacing w:val="-5"/>
        </w:rPr>
        <w:t>目前，在磷酸铁制造行业中，自动化程度普遍不高，湖南雅城通过引进先进的自动化设备，降低生产成本，提高产品质</w:t>
      </w:r>
      <w:r>
        <w:rPr>
          <w:w w:val="101"/>
        </w:rPr>
        <w:t> </w:t>
      </w:r>
      <w:r>
        <w:rPr>
          <w:spacing w:val="-4"/>
        </w:rPr>
        <w:t>量，扩大湖南雅城磷酸铁产品在市场中竞争地位。同时，也为湖南雅城在以后的新材料生产研发过程中提供自动化设备应用</w:t>
      </w:r>
      <w:r>
        <w:rPr>
          <w:spacing w:val="38"/>
        </w:rPr>
        <w:t> </w:t>
      </w:r>
      <w:r>
        <w:rPr>
          <w:spacing w:val="38"/>
        </w:rPr>
      </w:r>
      <w:r>
        <w:rPr>
          <w:spacing w:val="-3"/>
        </w:rPr>
        <w:t>经验，进一步扩大湖南雅城的竞争优势。</w:t>
      </w:r>
    </w:p>
    <w:p>
      <w:pPr>
        <w:spacing w:after="0" w:line="316" w:lineRule="auto"/>
        <w:jc w:val="both"/>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1"/>
        <w:spacing w:line="240" w:lineRule="auto"/>
        <w:ind w:left="3043" w:right="0"/>
        <w:jc w:val="left"/>
        <w:rPr>
          <w:b w:val="0"/>
          <w:bCs w:val="0"/>
        </w:rPr>
      </w:pPr>
      <w:bookmarkStart w:name="_TOC_250009" w:id="22"/>
      <w:bookmarkStart w:name="第四节经营情况讨论与分析" w:id="23"/>
      <w:r>
        <w:rPr>
          <w:b w:val="0"/>
          <w:bCs w:val="0"/>
        </w:rPr>
      </w:r>
      <w:r>
        <w:rPr/>
        <w:t>第四节经营情况讨论与分析</w:t>
      </w:r>
      <w:bookmarkEnd w:id="2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5"/>
          <w:szCs w:val="15"/>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3"/>
        <w:rPr>
          <w:rFonts w:ascii="宋体" w:hAnsi="宋体" w:cs="宋体" w:eastAsia="宋体" w:hint="default"/>
          <w:b/>
          <w:bCs/>
          <w:sz w:val="27"/>
          <w:szCs w:val="27"/>
        </w:rPr>
      </w:pPr>
    </w:p>
    <w:p>
      <w:pPr>
        <w:pStyle w:val="BodyText"/>
        <w:spacing w:line="314" w:lineRule="auto"/>
        <w:ind w:right="1122" w:firstLine="360"/>
        <w:jc w:val="both"/>
      </w:pPr>
      <w:r>
        <w:rPr>
          <w:rFonts w:ascii="Times New Roman" w:hAnsi="Times New Roman" w:cs="Times New Roman" w:eastAsia="Times New Roman" w:hint="default"/>
          <w:spacing w:val="-4"/>
        </w:rPr>
        <w:t>2019</w:t>
      </w:r>
      <w:r>
        <w:rPr>
          <w:spacing w:val="-4"/>
        </w:rPr>
        <w:t>年，全球贸易摩擦升级，国内经济转型持续推进，行业竞争进一步加剧，公司发展迎来众多机遇与挑战。面对错综</w:t>
      </w:r>
      <w:r>
        <w:rPr>
          <w:w w:val="101"/>
        </w:rPr>
        <w:t> </w:t>
      </w:r>
      <w:r>
        <w:rPr>
          <w:spacing w:val="-4"/>
        </w:rPr>
        <w:t>复杂的内外部环境，公司坚持围绕成为配电领域综合服务商和锂电池材料领导厂商的目标，按照年度经营计划有序推进并完</w:t>
      </w:r>
      <w:r>
        <w:rPr>
          <w:spacing w:val="44"/>
        </w:rPr>
        <w:t> </w:t>
      </w:r>
      <w:r>
        <w:rPr>
          <w:spacing w:val="44"/>
        </w:rPr>
      </w:r>
      <w:r>
        <w:rPr>
          <w:spacing w:val="-7"/>
        </w:rPr>
        <w:t>成各项任务，主营业务发展稳定，电力板块和锂电材料业务发展各有千秋。报告期内，公司实现净利润</w:t>
      </w:r>
      <w:r>
        <w:rPr>
          <w:rFonts w:ascii="宋体" w:hAnsi="宋体" w:cs="宋体" w:eastAsia="宋体" w:hint="default"/>
          <w:spacing w:val="-7"/>
        </w:rPr>
        <w:t>6,219.31</w:t>
      </w:r>
      <w:r>
        <w:rPr>
          <w:spacing w:val="-7"/>
        </w:rPr>
        <w:t>万元，较</w:t>
      </w:r>
      <w:r>
        <w:rPr>
          <w:rFonts w:ascii="宋体" w:hAnsi="宋体" w:cs="宋体" w:eastAsia="宋体" w:hint="default"/>
          <w:spacing w:val="-7"/>
        </w:rPr>
        <w:t>2018</w:t>
      </w:r>
      <w:r>
        <w:rPr>
          <w:rFonts w:ascii="宋体" w:hAnsi="宋体" w:cs="宋体" w:eastAsia="宋体" w:hint="default"/>
          <w:spacing w:val="75"/>
        </w:rPr>
        <w:t> </w:t>
      </w:r>
      <w:r>
        <w:rPr>
          <w:rFonts w:ascii="宋体" w:hAnsi="宋体" w:cs="宋体" w:eastAsia="宋体" w:hint="default"/>
          <w:spacing w:val="75"/>
        </w:rPr>
      </w:r>
      <w:r>
        <w:rPr/>
        <w:t>年增加</w:t>
      </w:r>
      <w:r>
        <w:rPr>
          <w:rFonts w:ascii="宋体" w:hAnsi="宋体" w:cs="宋体" w:eastAsia="宋体" w:hint="default"/>
        </w:rPr>
        <w:t>23.77%</w:t>
      </w:r>
      <w:r>
        <w:rPr/>
        <w:t>。其中，归属于母公司的净利润增加</w:t>
      </w:r>
      <w:r>
        <w:rPr>
          <w:rFonts w:ascii="宋体" w:hAnsi="宋体" w:cs="宋体" w:eastAsia="宋体" w:hint="default"/>
        </w:rPr>
        <w:t>22.73%</w:t>
      </w:r>
      <w:r>
        <w:rPr/>
        <w:t>。</w:t>
      </w:r>
    </w:p>
    <w:p>
      <w:pPr>
        <w:pStyle w:val="BodyText"/>
        <w:spacing w:line="240" w:lineRule="auto" w:before="59"/>
        <w:ind w:left="422" w:right="0"/>
        <w:jc w:val="left"/>
      </w:pPr>
      <w:r>
        <w:rPr>
          <w:spacing w:val="-3"/>
        </w:rPr>
        <w:t>报告期内，在董事会的领导下，公司开展的主要工作如下：</w:t>
      </w:r>
    </w:p>
    <w:p>
      <w:pPr>
        <w:spacing w:line="333" w:lineRule="auto" w:before="119"/>
        <w:ind w:left="422" w:right="0" w:hanging="1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、拓展销售渠道，稳定业绩增长</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3"/>
          <w:sz w:val="18"/>
          <w:szCs w:val="18"/>
        </w:rPr>
        <w:t>报告期内，在电网投资有所下滑的背景下，公司依托现有的技术实力、核心产品和市场团队，以国家电网和南方电网市</w:t>
      </w:r>
    </w:p>
    <w:p>
      <w:pPr>
        <w:pStyle w:val="BodyText"/>
        <w:spacing w:line="321" w:lineRule="auto" w:before="7"/>
        <w:ind w:right="0"/>
        <w:jc w:val="left"/>
      </w:pPr>
      <w:r>
        <w:rPr>
          <w:spacing w:val="-4"/>
        </w:rPr>
        <w:t>场为中心，逐步向终端用户、国际市场和行业客户延伸。用户项目占比进一步提升，河北、东南、安徽、华中三省等用户项</w:t>
      </w:r>
      <w:r>
        <w:rPr>
          <w:spacing w:val="42"/>
        </w:rPr>
        <w:t> </w:t>
      </w:r>
      <w:r>
        <w:rPr>
          <w:spacing w:val="42"/>
        </w:rPr>
      </w:r>
      <w:r>
        <w:rPr>
          <w:spacing w:val="-3"/>
        </w:rPr>
        <w:t>目实现快速增长；海外业务订单大幅增长，国际业务在印尼和泰国电网布局初见成效。</w:t>
      </w:r>
    </w:p>
    <w:p>
      <w:pPr>
        <w:spacing w:line="338" w:lineRule="auto" w:before="53"/>
        <w:ind w:left="422" w:right="0" w:hanging="1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、控制合同质量，强调现金流回收</w:t>
      </w:r>
      <w:r>
        <w:rPr>
          <w:rFonts w:ascii="宋体" w:hAnsi="宋体" w:cs="宋体" w:eastAsia="宋体" w:hint="default"/>
          <w:b/>
          <w:bCs/>
          <w:w w:val="100"/>
          <w:sz w:val="18"/>
          <w:szCs w:val="18"/>
        </w:rPr>
        <w:t> </w:t>
      </w:r>
      <w:r>
        <w:rPr>
          <w:rFonts w:ascii="宋体" w:hAnsi="宋体" w:cs="宋体" w:eastAsia="宋体" w:hint="default"/>
          <w:spacing w:val="-3"/>
          <w:sz w:val="18"/>
          <w:szCs w:val="18"/>
        </w:rPr>
        <w:t>报告期内，继续推进阿米巴经营管理体系，各区域团队自主经营管理意识大幅提升，在追求合同金额的同时，更加注重</w:t>
      </w:r>
    </w:p>
    <w:p>
      <w:pPr>
        <w:pStyle w:val="BodyText"/>
        <w:spacing w:line="304" w:lineRule="auto" w:before="2"/>
        <w:ind w:right="0"/>
        <w:jc w:val="left"/>
      </w:pPr>
      <w:r>
        <w:rPr>
          <w:spacing w:val="-4"/>
        </w:rPr>
        <w:t>合同的质量和盈利，</w:t>
      </w:r>
      <w:r>
        <w:rPr>
          <w:rFonts w:ascii="Times New Roman" w:hAnsi="Times New Roman" w:cs="Times New Roman" w:eastAsia="Times New Roman" w:hint="default"/>
          <w:spacing w:val="-4"/>
        </w:rPr>
        <w:t>2019</w:t>
      </w:r>
      <w:r>
        <w:rPr>
          <w:spacing w:val="-4"/>
        </w:rPr>
        <w:t>年电力板块产品毛利率</w:t>
      </w:r>
      <w:r>
        <w:rPr>
          <w:rFonts w:ascii="Times New Roman" w:hAnsi="Times New Roman" w:cs="Times New Roman" w:eastAsia="Times New Roman" w:hint="default"/>
          <w:spacing w:val="-4"/>
        </w:rPr>
        <w:t>26.73%</w:t>
      </w:r>
      <w:r>
        <w:rPr>
          <w:spacing w:val="-4"/>
        </w:rPr>
        <w:t>，同比上升</w:t>
      </w:r>
      <w:r>
        <w:rPr>
          <w:rFonts w:ascii="Times New Roman" w:hAnsi="Times New Roman" w:cs="Times New Roman" w:eastAsia="Times New Roman" w:hint="default"/>
          <w:spacing w:val="-4"/>
        </w:rPr>
        <w:t>7.16</w:t>
      </w:r>
      <w:r>
        <w:rPr>
          <w:spacing w:val="-4"/>
        </w:rPr>
        <w:t>个百分点。同时，强调电力板块和锂电材料板块现金</w:t>
      </w:r>
      <w:r>
        <w:rPr>
          <w:spacing w:val="13"/>
        </w:rPr>
        <w:t> </w:t>
      </w:r>
      <w:r>
        <w:rPr>
          <w:spacing w:val="13"/>
        </w:rPr>
      </w:r>
      <w:r>
        <w:rPr>
          <w:spacing w:val="-3"/>
        </w:rPr>
        <w:t>流回收，</w:t>
      </w:r>
      <w:r>
        <w:rPr>
          <w:rFonts w:ascii="Times New Roman" w:hAnsi="Times New Roman" w:cs="Times New Roman" w:eastAsia="Times New Roman" w:hint="default"/>
          <w:spacing w:val="-3"/>
        </w:rPr>
        <w:t>2019</w:t>
      </w:r>
      <w:r>
        <w:rPr>
          <w:spacing w:val="-3"/>
        </w:rPr>
        <w:t>年公司经营活动产生的净现金流为</w:t>
      </w:r>
      <w:r>
        <w:rPr>
          <w:rFonts w:ascii="Times New Roman" w:hAnsi="Times New Roman" w:cs="Times New Roman" w:eastAsia="Times New Roman" w:hint="default"/>
          <w:spacing w:val="-3"/>
        </w:rPr>
        <w:t>2.09</w:t>
      </w:r>
      <w:r>
        <w:rPr>
          <w:spacing w:val="-3"/>
        </w:rPr>
        <w:t>亿元，相比于</w:t>
      </w:r>
      <w:r>
        <w:rPr>
          <w:rFonts w:ascii="Times New Roman" w:hAnsi="Times New Roman" w:cs="Times New Roman" w:eastAsia="Times New Roman" w:hint="default"/>
          <w:spacing w:val="-3"/>
        </w:rPr>
        <w:t>2018</w:t>
      </w:r>
      <w:r>
        <w:rPr>
          <w:spacing w:val="-3"/>
        </w:rPr>
        <w:t>年不但转负为正，而且同比增长</w:t>
      </w:r>
      <w:r>
        <w:rPr>
          <w:rFonts w:ascii="Times New Roman" w:hAnsi="Times New Roman" w:cs="Times New Roman" w:eastAsia="Times New Roman" w:hint="default"/>
          <w:spacing w:val="-3"/>
        </w:rPr>
        <w:t>214.85%</w:t>
      </w:r>
      <w:r>
        <w:rPr>
          <w:spacing w:val="-3"/>
        </w:rPr>
        <w:t>。</w:t>
      </w:r>
    </w:p>
    <w:p>
      <w:pPr>
        <w:spacing w:line="333" w:lineRule="auto" w:before="47"/>
        <w:ind w:left="422" w:right="0" w:hanging="1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、优化产能布局，加强战略合作</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3"/>
          <w:sz w:val="18"/>
          <w:szCs w:val="18"/>
        </w:rPr>
        <w:t>报告期内，公司积极推动子公司湖南雅城磷酸铁自动化智能工厂的建设工作，已于</w:t>
      </w:r>
      <w:r>
        <w:rPr>
          <w:rFonts w:ascii="Times New Roman" w:hAnsi="Times New Roman" w:cs="Times New Roman" w:eastAsia="Times New Roman" w:hint="default"/>
          <w:spacing w:val="-3"/>
          <w:sz w:val="18"/>
          <w:szCs w:val="18"/>
        </w:rPr>
        <w:t>2019</w:t>
      </w:r>
      <w:r>
        <w:rPr>
          <w:rFonts w:ascii="宋体" w:hAnsi="宋体" w:cs="宋体" w:eastAsia="宋体" w:hint="default"/>
          <w:spacing w:val="-3"/>
          <w:sz w:val="18"/>
          <w:szCs w:val="18"/>
        </w:rPr>
        <w:t>年底完成一期建设，可实现年产</w:t>
      </w:r>
    </w:p>
    <w:p>
      <w:pPr>
        <w:pStyle w:val="BodyText"/>
        <w:spacing w:line="234" w:lineRule="exact"/>
        <w:ind w:right="0"/>
        <w:jc w:val="left"/>
        <w:rPr>
          <w:rFonts w:ascii="Times New Roman" w:hAnsi="Times New Roman" w:cs="Times New Roman" w:eastAsia="Times New Roman" w:hint="default"/>
        </w:rPr>
      </w:pPr>
      <w:r>
        <w:rPr>
          <w:spacing w:val="-4"/>
        </w:rPr>
        <w:t>能</w:t>
      </w:r>
      <w:r>
        <w:rPr>
          <w:rFonts w:ascii="Times New Roman" w:hAnsi="Times New Roman" w:cs="Times New Roman" w:eastAsia="Times New Roman" w:hint="default"/>
          <w:spacing w:val="-4"/>
        </w:rPr>
        <w:t>2</w:t>
      </w:r>
      <w:r>
        <w:rPr>
          <w:spacing w:val="-4"/>
        </w:rPr>
        <w:t>万吨。</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11-12</w:t>
      </w:r>
      <w:r>
        <w:rPr>
          <w:spacing w:val="-4"/>
        </w:rPr>
        <w:t>月，湖南雅城与贝特瑞签订了</w:t>
      </w:r>
      <w:r>
        <w:rPr>
          <w:rFonts w:ascii="Times New Roman" w:hAnsi="Times New Roman" w:cs="Times New Roman" w:eastAsia="Times New Roman" w:hint="default"/>
          <w:spacing w:val="-4"/>
        </w:rPr>
        <w:t>2019-2021</w:t>
      </w:r>
      <w:r>
        <w:rPr>
          <w:spacing w:val="-4"/>
        </w:rPr>
        <w:t>年度</w:t>
      </w:r>
      <w:r>
        <w:rPr>
          <w:rFonts w:ascii="Times New Roman" w:hAnsi="Times New Roman" w:cs="Times New Roman" w:eastAsia="Times New Roman" w:hint="default"/>
          <w:spacing w:val="-4"/>
        </w:rPr>
        <w:t>3</w:t>
      </w:r>
      <w:r>
        <w:rPr>
          <w:spacing w:val="-4"/>
        </w:rPr>
        <w:t>万吨磷酸铁战略采购协议，与北大先行签订了</w:t>
      </w:r>
      <w:r>
        <w:rPr>
          <w:rFonts w:ascii="Times New Roman" w:hAnsi="Times New Roman" w:cs="Times New Roman" w:eastAsia="Times New Roman" w:hint="default"/>
          <w:spacing w:val="-4"/>
        </w:rPr>
        <w:t>2020-2022</w:t>
      </w:r>
    </w:p>
    <w:p>
      <w:pPr>
        <w:pStyle w:val="BodyText"/>
        <w:spacing w:line="338" w:lineRule="auto" w:before="67"/>
        <w:ind w:left="407" w:right="1037" w:hanging="255"/>
        <w:jc w:val="left"/>
      </w:pPr>
      <w:r>
        <w:rPr>
          <w:spacing w:val="-3"/>
        </w:rPr>
        <w:t>年度</w:t>
      </w:r>
      <w:r>
        <w:rPr>
          <w:rFonts w:ascii="Times New Roman" w:hAnsi="Times New Roman" w:cs="Times New Roman" w:eastAsia="Times New Roman" w:hint="default"/>
          <w:spacing w:val="-3"/>
        </w:rPr>
        <w:t>6.93</w:t>
      </w:r>
      <w:r>
        <w:rPr>
          <w:spacing w:val="-3"/>
        </w:rPr>
        <w:t>万吨磷酸铁、</w:t>
      </w:r>
      <w:r>
        <w:rPr>
          <w:rFonts w:ascii="Times New Roman" w:hAnsi="Times New Roman" w:cs="Times New Roman" w:eastAsia="Times New Roman" w:hint="default"/>
          <w:spacing w:val="-3"/>
        </w:rPr>
        <w:t>1.87</w:t>
      </w:r>
      <w:r>
        <w:rPr>
          <w:spacing w:val="-3"/>
        </w:rPr>
        <w:t>万吨四氧化三钴战略采购协议，切实保障湖南雅城主要产品的销售目标。</w:t>
      </w:r>
      <w:r>
        <w:rPr>
          <w:spacing w:val="52"/>
        </w:rPr>
        <w:t> </w:t>
      </w:r>
      <w:r>
        <w:rPr>
          <w:spacing w:val="52"/>
        </w:rPr>
      </w:r>
      <w:r>
        <w:rPr>
          <w:rFonts w:ascii="Times New Roman" w:hAnsi="Times New Roman" w:cs="Times New Roman" w:eastAsia="Times New Roman" w:hint="default"/>
          <w:b/>
          <w:bCs/>
        </w:rPr>
        <w:t>4</w:t>
      </w:r>
      <w:r>
        <w:rPr>
          <w:rFonts w:ascii="宋体" w:hAnsi="宋体" w:cs="宋体" w:eastAsia="宋体" w:hint="default"/>
          <w:b/>
          <w:bCs/>
        </w:rPr>
        <w:t>、聚焦客户需求，加快新技术研发</w:t>
      </w:r>
      <w:r>
        <w:rPr>
          <w:rFonts w:ascii="宋体" w:hAnsi="宋体" w:cs="宋体" w:eastAsia="宋体" w:hint="default"/>
          <w:b/>
          <w:bCs/>
          <w:w w:val="100"/>
        </w:rPr>
        <w:t> </w:t>
      </w:r>
      <w:r>
        <w:rPr>
          <w:spacing w:val="2"/>
        </w:rPr>
        <w:t>报告期内，湖南雅城自主研发的动力型高压实磷酸铁产品性能领先，磷酸铁锂极片压实达到</w:t>
      </w:r>
      <w:r>
        <w:rPr>
          <w:rFonts w:ascii="Times New Roman" w:hAnsi="Times New Roman" w:cs="Times New Roman" w:eastAsia="Times New Roman" w:hint="default"/>
          <w:spacing w:val="2"/>
        </w:rPr>
        <w:t>2.60g/cm³</w:t>
      </w:r>
      <w:r>
        <w:rPr>
          <w:spacing w:val="2"/>
        </w:rPr>
        <w:t>，</w:t>
      </w:r>
      <w:r>
        <w:rPr>
          <w:rFonts w:ascii="Times New Roman" w:hAnsi="Times New Roman" w:cs="Times New Roman" w:eastAsia="Times New Roman" w:hint="default"/>
          <w:spacing w:val="2"/>
        </w:rPr>
        <w:t>1C</w:t>
      </w:r>
      <w:r>
        <w:rPr>
          <w:spacing w:val="2"/>
        </w:rPr>
        <w:t>放电容量</w:t>
      </w:r>
      <w:r>
        <w:rPr/>
      </w:r>
    </w:p>
    <w:p>
      <w:pPr>
        <w:pStyle w:val="BodyText"/>
        <w:spacing w:line="230" w:lineRule="exact"/>
        <w:ind w:right="0"/>
        <w:jc w:val="left"/>
      </w:pPr>
      <w:r>
        <w:rPr>
          <w:rFonts w:ascii="Times New Roman" w:hAnsi="Times New Roman" w:cs="Times New Roman" w:eastAsia="Times New Roman" w:hint="default"/>
        </w:rPr>
        <w:t>145mAh/g</w:t>
      </w:r>
      <w:r>
        <w:rPr/>
        <w:t>，高容量高压实的磷酸铁锂极大的提升了电动车的续航能力。同时，湖南雅城开发了储能型磷酸铁，对应的磷酸</w:t>
      </w:r>
    </w:p>
    <w:p>
      <w:pPr>
        <w:pStyle w:val="BodyText"/>
        <w:spacing w:line="338" w:lineRule="auto" w:before="67"/>
        <w:ind w:left="388" w:right="0" w:hanging="236"/>
        <w:jc w:val="left"/>
      </w:pPr>
      <w:r>
        <w:rPr>
          <w:spacing w:val="-3"/>
        </w:rPr>
        <w:t>铁锂全电池</w:t>
      </w:r>
      <w:r>
        <w:rPr>
          <w:rFonts w:ascii="Times New Roman" w:hAnsi="Times New Roman" w:cs="Times New Roman" w:eastAsia="Times New Roman" w:hint="default"/>
          <w:spacing w:val="-3"/>
        </w:rPr>
        <w:t>1C</w:t>
      </w:r>
      <w:r>
        <w:rPr>
          <w:spacing w:val="-3"/>
        </w:rPr>
        <w:t>容量达到</w:t>
      </w:r>
      <w:r>
        <w:rPr>
          <w:rFonts w:ascii="Times New Roman" w:hAnsi="Times New Roman" w:cs="Times New Roman" w:eastAsia="Times New Roman" w:hint="default"/>
          <w:spacing w:val="-3"/>
        </w:rPr>
        <w:t>151mAh/g</w:t>
      </w:r>
      <w:r>
        <w:rPr>
          <w:spacing w:val="-3"/>
        </w:rPr>
        <w:t>，倍率性能和低温性能优异。湖南雅城还在新技术和新工艺上储备了第三和第四代技术。</w:t>
      </w:r>
      <w:r>
        <w:rPr>
          <w:spacing w:val="81"/>
        </w:rPr>
        <w:t> </w:t>
      </w:r>
      <w:r>
        <w:rPr>
          <w:spacing w:val="81"/>
        </w:rPr>
      </w:r>
      <w:r>
        <w:rPr>
          <w:rFonts w:ascii="Times New Roman" w:hAnsi="Times New Roman" w:cs="Times New Roman" w:eastAsia="Times New Roman" w:hint="default"/>
          <w:b/>
          <w:bCs/>
        </w:rPr>
        <w:t>5</w:t>
      </w:r>
      <w:r>
        <w:rPr>
          <w:rFonts w:ascii="宋体" w:hAnsi="宋体" w:cs="宋体" w:eastAsia="宋体" w:hint="default"/>
          <w:b/>
          <w:bCs/>
        </w:rPr>
        <w:t>、完善激励体系，培育骨干人才</w:t>
      </w:r>
      <w:r>
        <w:rPr>
          <w:rFonts w:ascii="宋体" w:hAnsi="宋体" w:cs="宋体" w:eastAsia="宋体" w:hint="default"/>
          <w:b/>
          <w:bCs/>
          <w:w w:val="100"/>
        </w:rPr>
        <w:t> </w:t>
      </w:r>
      <w:r>
        <w:rPr>
          <w:spacing w:val="-3"/>
        </w:rPr>
        <w:t>报告期内，公司实施了面向核心员工的限制性股票激励计划，明确了公司未来三年的业绩考核目标，充分调动核心员工</w:t>
      </w:r>
    </w:p>
    <w:p>
      <w:pPr>
        <w:pStyle w:val="BodyText"/>
        <w:spacing w:line="240" w:lineRule="auto" w:before="7"/>
        <w:ind w:right="0"/>
        <w:jc w:val="left"/>
      </w:pPr>
      <w:r>
        <w:rPr>
          <w:spacing w:val="-3"/>
        </w:rPr>
        <w:t>的积极性和主动性，力争培养一批有经营能力的人才，让核心员工有机会分享公司业绩增长带来的红利。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概述" w:id="26"/>
      <w:bookmarkEnd w:id="26"/>
      <w:r>
        <w:rPr>
          <w:b w:val="0"/>
          <w:bCs w:val="0"/>
        </w:rPr>
      </w:r>
      <w:r>
        <w:rPr>
          <w:rFonts w:ascii="Times New Roman" w:hAnsi="Times New Roman" w:cs="Times New Roman" w:eastAsia="Times New Roman" w:hint="default"/>
        </w:rPr>
        <w:t>1</w:t>
      </w:r>
      <w:r>
        <w:rPr/>
        <w:t>、概述</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142" w:firstLine="427"/>
        <w:jc w:val="both"/>
      </w:pPr>
      <w:r>
        <w:rPr>
          <w:rFonts w:ascii="Times New Roman" w:hAnsi="Times New Roman" w:cs="Times New Roman" w:eastAsia="Times New Roman" w:hint="default"/>
          <w:spacing w:val="-3"/>
        </w:rPr>
        <w:t>1</w:t>
      </w:r>
      <w:r>
        <w:rPr>
          <w:spacing w:val="-3"/>
        </w:rPr>
        <w:t>、营业收入：本期较上年同期减少</w:t>
      </w:r>
      <w:r>
        <w:rPr>
          <w:rFonts w:ascii="Times New Roman" w:hAnsi="Times New Roman" w:cs="Times New Roman" w:eastAsia="Times New Roman" w:hint="default"/>
          <w:spacing w:val="-3"/>
        </w:rPr>
        <w:t>11,321.07</w:t>
      </w:r>
      <w:r>
        <w:rPr>
          <w:spacing w:val="-3"/>
        </w:rPr>
        <w:t>万元，减少</w:t>
      </w:r>
      <w:r>
        <w:rPr>
          <w:rFonts w:ascii="Times New Roman" w:hAnsi="Times New Roman" w:cs="Times New Roman" w:eastAsia="Times New Roman" w:hint="default"/>
          <w:spacing w:val="-3"/>
        </w:rPr>
        <w:t>5.64%</w:t>
      </w:r>
      <w:r>
        <w:rPr>
          <w:spacing w:val="-3"/>
        </w:rPr>
        <w:t>，营业收入较同期减少是由于电力板块放弃了一些低毛</w:t>
      </w:r>
      <w:r>
        <w:rPr>
          <w:w w:val="101"/>
        </w:rPr>
        <w:t> </w:t>
      </w:r>
      <w:r>
        <w:rPr>
          <w:spacing w:val="-3"/>
        </w:rPr>
        <w:t>利、回款周期较长的合同。</w:t>
      </w:r>
    </w:p>
    <w:p>
      <w:pPr>
        <w:pStyle w:val="BodyText"/>
        <w:spacing w:line="240" w:lineRule="auto" w:before="31"/>
        <w:ind w:left="580" w:right="0"/>
        <w:jc w:val="left"/>
      </w:pPr>
      <w:r>
        <w:rPr>
          <w:rFonts w:ascii="Times New Roman" w:hAnsi="Times New Roman" w:cs="Times New Roman" w:eastAsia="Times New Roman" w:hint="default"/>
        </w:rPr>
        <w:t>2</w:t>
      </w:r>
      <w:r>
        <w:rPr/>
        <w:t>、营业成本：本期较上年同期减少</w:t>
      </w:r>
      <w:r>
        <w:rPr>
          <w:rFonts w:ascii="Times New Roman" w:hAnsi="Times New Roman" w:cs="Times New Roman" w:eastAsia="Times New Roman" w:hint="default"/>
        </w:rPr>
        <w:t>10,263.24  </w:t>
      </w:r>
      <w:r>
        <w:rPr>
          <w:rFonts w:ascii="Times New Roman" w:hAnsi="Times New Roman" w:cs="Times New Roman" w:eastAsia="Times New Roman" w:hint="default"/>
          <w:spacing w:val="9"/>
        </w:rPr>
        <w:t> </w:t>
      </w:r>
      <w:r>
        <w:rPr>
          <w:spacing w:val="-3"/>
        </w:rPr>
        <w:t>万元，减少</w:t>
      </w:r>
      <w:r>
        <w:rPr>
          <w:rFonts w:ascii="Times New Roman" w:hAnsi="Times New Roman" w:cs="Times New Roman" w:eastAsia="Times New Roman" w:hint="default"/>
          <w:spacing w:val="-3"/>
        </w:rPr>
        <w:t>6.49%</w:t>
      </w:r>
      <w:r>
        <w:rPr>
          <w:spacing w:val="-3"/>
        </w:rPr>
        <w:t>，主要原因系营业收入减少所致。</w:t>
      </w:r>
    </w:p>
    <w:p>
      <w:pPr>
        <w:pStyle w:val="BodyText"/>
        <w:spacing w:line="300" w:lineRule="auto" w:before="63"/>
        <w:ind w:right="1123" w:firstLine="427"/>
        <w:jc w:val="both"/>
      </w:pPr>
      <w:r>
        <w:rPr>
          <w:rFonts w:ascii="Times New Roman" w:hAnsi="Times New Roman" w:cs="Times New Roman" w:eastAsia="Times New Roman" w:hint="default"/>
          <w:spacing w:val="-3"/>
        </w:rPr>
        <w:t>3</w:t>
      </w:r>
      <w:r>
        <w:rPr>
          <w:spacing w:val="-3"/>
        </w:rPr>
        <w:t>、销售费用：本期较上年同期减少</w:t>
      </w:r>
      <w:r>
        <w:rPr>
          <w:rFonts w:ascii="Times New Roman" w:hAnsi="Times New Roman" w:cs="Times New Roman" w:eastAsia="Times New Roman" w:hint="default"/>
          <w:spacing w:val="-3"/>
        </w:rPr>
        <w:t>2,911.58</w:t>
      </w:r>
      <w:r>
        <w:rPr>
          <w:rFonts w:ascii="Times New Roman" w:hAnsi="Times New Roman" w:cs="Times New Roman" w:eastAsia="Times New Roman" w:hint="default"/>
          <w:spacing w:val="18"/>
        </w:rPr>
        <w:t> </w:t>
      </w:r>
      <w:r>
        <w:rPr>
          <w:spacing w:val="-4"/>
        </w:rPr>
        <w:t>万元，减少</w:t>
      </w:r>
      <w:r>
        <w:rPr>
          <w:rFonts w:ascii="Times New Roman" w:hAnsi="Times New Roman" w:cs="Times New Roman" w:eastAsia="Times New Roman" w:hint="default"/>
          <w:spacing w:val="-4"/>
        </w:rPr>
        <w:t>17.27%</w:t>
      </w:r>
      <w:r>
        <w:rPr>
          <w:spacing w:val="-4"/>
        </w:rPr>
        <w:t>，主要原因系电力板块放弃了一些低毛利、回款周期较</w:t>
      </w:r>
      <w:r>
        <w:rPr>
          <w:w w:val="101"/>
        </w:rPr>
        <w:t> </w:t>
      </w:r>
      <w:r>
        <w:rPr>
          <w:spacing w:val="-3"/>
        </w:rPr>
        <w:t>长的合同，同时加强了费用的管控，运费有所减少。</w:t>
      </w:r>
    </w:p>
    <w:p>
      <w:pPr>
        <w:pStyle w:val="BodyText"/>
        <w:spacing w:line="240" w:lineRule="auto" w:before="31"/>
        <w:ind w:left="580" w:right="0"/>
        <w:jc w:val="left"/>
      </w:pPr>
      <w:r>
        <w:rPr>
          <w:rFonts w:ascii="Times New Roman" w:hAnsi="Times New Roman" w:cs="Times New Roman" w:eastAsia="Times New Roman" w:hint="default"/>
          <w:spacing w:val="-3"/>
        </w:rPr>
        <w:t>4</w:t>
      </w:r>
      <w:r>
        <w:rPr>
          <w:spacing w:val="-3"/>
        </w:rPr>
        <w:t>、管理费用：本期较上年同期增加</w:t>
      </w:r>
      <w:r>
        <w:rPr>
          <w:rFonts w:ascii="Times New Roman" w:hAnsi="Times New Roman" w:cs="Times New Roman" w:eastAsia="Times New Roman" w:hint="default"/>
          <w:spacing w:val="-3"/>
        </w:rPr>
        <w:t>1,215.28</w:t>
      </w:r>
      <w:r>
        <w:rPr>
          <w:spacing w:val="-3"/>
        </w:rPr>
        <w:t>万元，增幅</w:t>
      </w:r>
      <w:r>
        <w:rPr>
          <w:rFonts w:ascii="Times New Roman" w:hAnsi="Times New Roman" w:cs="Times New Roman" w:eastAsia="Times New Roman" w:hint="default"/>
          <w:spacing w:val="-3"/>
        </w:rPr>
        <w:t>12.4%</w:t>
      </w:r>
      <w:r>
        <w:rPr>
          <w:spacing w:val="-3"/>
        </w:rPr>
        <w:t>，主要原因系公司股权激励计划，费用摊销增加</w:t>
      </w:r>
      <w:r>
        <w:rPr>
          <w:rFonts w:ascii="Times New Roman" w:hAnsi="Times New Roman" w:cs="Times New Roman" w:eastAsia="Times New Roman" w:hint="default"/>
          <w:spacing w:val="-3"/>
        </w:rPr>
        <w:t>294.75</w:t>
      </w:r>
      <w:r>
        <w:rPr>
          <w:spacing w:val="-3"/>
        </w:rPr>
        <w:t>万</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240" w:lineRule="auto" w:before="46"/>
        <w:ind w:right="0"/>
        <w:jc w:val="left"/>
      </w:pPr>
      <w:r>
        <w:rPr/>
        <w:t>元，折旧摊销费增加</w:t>
      </w:r>
      <w:r>
        <w:rPr>
          <w:rFonts w:ascii="Times New Roman" w:hAnsi="Times New Roman" w:cs="Times New Roman" w:eastAsia="Times New Roman" w:hint="default"/>
        </w:rPr>
        <w:t>464.44</w:t>
      </w:r>
      <w:r>
        <w:rPr/>
        <w:t>万元。</w:t>
      </w:r>
    </w:p>
    <w:p>
      <w:pPr>
        <w:pStyle w:val="BodyText"/>
        <w:spacing w:line="240" w:lineRule="auto" w:before="63"/>
        <w:ind w:left="580" w:right="0"/>
        <w:jc w:val="left"/>
      </w:pPr>
      <w:r>
        <w:rPr>
          <w:rFonts w:ascii="Times New Roman" w:hAnsi="Times New Roman" w:cs="Times New Roman" w:eastAsia="Times New Roman" w:hint="default"/>
        </w:rPr>
        <w:t>5</w:t>
      </w:r>
      <w:r>
        <w:rPr/>
        <w:t>、财务费用：本期较上年同期增加</w:t>
      </w:r>
      <w:r>
        <w:rPr>
          <w:rFonts w:ascii="Times New Roman" w:hAnsi="Times New Roman" w:cs="Times New Roman" w:eastAsia="Times New Roman" w:hint="default"/>
        </w:rPr>
        <w:t>899.21  </w:t>
      </w:r>
      <w:r>
        <w:rPr>
          <w:rFonts w:ascii="Times New Roman" w:hAnsi="Times New Roman" w:cs="Times New Roman" w:eastAsia="Times New Roman" w:hint="default"/>
          <w:spacing w:val="32"/>
        </w:rPr>
        <w:t> </w:t>
      </w:r>
      <w:r>
        <w:rPr>
          <w:spacing w:val="-3"/>
        </w:rPr>
        <w:t>万元，增幅</w:t>
      </w:r>
      <w:r>
        <w:rPr>
          <w:rFonts w:ascii="Times New Roman" w:hAnsi="Times New Roman" w:cs="Times New Roman" w:eastAsia="Times New Roman" w:hint="default"/>
          <w:spacing w:val="-3"/>
        </w:rPr>
        <w:t>16.99%</w:t>
      </w:r>
      <w:r>
        <w:rPr>
          <w:spacing w:val="-3"/>
        </w:rPr>
        <w:t>，主要原因系公司融资规模增加导致利息支出增加。</w:t>
      </w:r>
    </w:p>
    <w:p>
      <w:pPr>
        <w:pStyle w:val="BodyText"/>
        <w:spacing w:line="240" w:lineRule="auto" w:before="106"/>
        <w:ind w:left="580" w:right="0"/>
        <w:jc w:val="left"/>
      </w:pPr>
      <w:r>
        <w:rPr>
          <w:rFonts w:ascii="Times New Roman" w:hAnsi="Times New Roman" w:cs="Times New Roman" w:eastAsia="Times New Roman" w:hint="default"/>
          <w:spacing w:val="-3"/>
        </w:rPr>
        <w:t>6</w:t>
      </w:r>
      <w:r>
        <w:rPr>
          <w:spacing w:val="-3"/>
        </w:rPr>
        <w:t>、其他收益：本期较上年同期减少</w:t>
      </w:r>
      <w:r>
        <w:rPr>
          <w:rFonts w:ascii="Times New Roman" w:hAnsi="Times New Roman" w:cs="Times New Roman" w:eastAsia="Times New Roman" w:hint="default"/>
          <w:spacing w:val="-3"/>
        </w:rPr>
        <w:t>675.46</w:t>
      </w:r>
      <w:r>
        <w:rPr>
          <w:spacing w:val="-3"/>
        </w:rPr>
        <w:t>万元，减少</w:t>
      </w:r>
      <w:r>
        <w:rPr>
          <w:rFonts w:ascii="Times New Roman" w:hAnsi="Times New Roman" w:cs="Times New Roman" w:eastAsia="Times New Roman" w:hint="default"/>
          <w:spacing w:val="-3"/>
        </w:rPr>
        <w:t>30.15%</w:t>
      </w:r>
      <w:r>
        <w:rPr>
          <w:spacing w:val="-3"/>
        </w:rPr>
        <w:t>，主要原因系软件退税、政府补助项目减少。</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收入与成本" w:id="27"/>
      <w:bookmarkEnd w:id="27"/>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2783" w:right="3752"/>
        <w:jc w:val="center"/>
      </w:pPr>
      <w:r>
        <w:rPr/>
        <w:t>营业收入整体情况</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02"/>
        <w:gridCol w:w="1594"/>
        <w:gridCol w:w="1592"/>
        <w:gridCol w:w="1597"/>
        <w:gridCol w:w="1588"/>
        <w:gridCol w:w="1597"/>
      </w:tblGrid>
      <w:tr>
        <w:trPr>
          <w:trHeight w:val="206" w:hRule="exact"/>
        </w:trPr>
        <w:tc>
          <w:tcPr>
            <w:tcW w:w="1602"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02"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602"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60" w:right="0"/>
              <w:jc w:val="left"/>
              <w:rPr>
                <w:rFonts w:ascii="宋体" w:hAnsi="宋体" w:cs="宋体" w:eastAsia="宋体" w:hint="default"/>
                <w:sz w:val="18"/>
                <w:szCs w:val="18"/>
              </w:rPr>
            </w:pPr>
            <w:r>
              <w:rPr>
                <w:rFonts w:ascii="宋体" w:hAnsi="宋体" w:cs="宋体" w:eastAsia="宋体" w:hint="default"/>
                <w:spacing w:val="-3"/>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6"/>
              <w:ind w:right="8"/>
              <w:jc w:val="right"/>
              <w:rPr>
                <w:rFonts w:ascii="Times New Roman" w:hAnsi="Times New Roman" w:cs="Times New Roman" w:eastAsia="Times New Roman" w:hint="default"/>
                <w:sz w:val="18"/>
                <w:szCs w:val="18"/>
              </w:rPr>
            </w:pPr>
            <w:r>
              <w:rPr>
                <w:rFonts w:ascii="Times New Roman"/>
                <w:spacing w:val="-2"/>
                <w:sz w:val="18"/>
              </w:rPr>
              <w:t>1,894,304,152.76</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2,007,514,867.20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2"/>
                <w:sz w:val="18"/>
              </w:rPr>
              <w:t>100%</w:t>
            </w:r>
          </w:p>
        </w:tc>
        <w:tc>
          <w:tcPr>
            <w:tcW w:w="15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-5.64%</w:t>
            </w:r>
          </w:p>
        </w:tc>
      </w:tr>
      <w:tr>
        <w:trPr>
          <w:trHeight w:val="399"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输配电设备制造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1,101,325,051.06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58.14%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1,491,722,706.28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74.23%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-26.17%</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电力工程设计服务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57,818,813.76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49,598,604.87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16.57%</w:t>
            </w:r>
          </w:p>
        </w:tc>
      </w:tr>
      <w:tr>
        <w:trPr>
          <w:trHeight w:val="39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锂电池材料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735,160,287.94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466,193,556.05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23.22%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57.69%</w:t>
            </w:r>
          </w:p>
        </w:tc>
      </w:tr>
      <w:tr>
        <w:trPr>
          <w:trHeight w:val="40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339,828,454.29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17.94%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858,485,278.51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42.76%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-60.42%</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柱上开关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71,712,903.61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80,769,501.41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-11.21%</w:t>
            </w:r>
          </w:p>
        </w:tc>
      </w:tr>
      <w:tr>
        <w:trPr>
          <w:trHeight w:val="39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191,194,812.80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179,670,166.67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8.95%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6.41%</w:t>
            </w:r>
          </w:p>
        </w:tc>
      </w:tr>
      <w:tr>
        <w:trPr>
          <w:trHeight w:val="404"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电缆附件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7,835,613.62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1,047,342.01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648.14%</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343,273,933.22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241,568,322.18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12.03%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42.10%</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变压器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124,560,376.74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128,583,914.99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-3.13%</w:t>
            </w:r>
          </w:p>
        </w:tc>
      </w:tr>
      <w:tr>
        <w:trPr>
          <w:trHeight w:val="39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四氧化三钴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460,990,915.25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243,900,231.64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12.15%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89.01%</w:t>
            </w:r>
          </w:p>
        </w:tc>
      </w:tr>
      <w:tr>
        <w:trPr>
          <w:trHeight w:val="404"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氢氧化亚钴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132,664,132.77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208,585,381.61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10.39%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-36.40%</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磷酸铁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102,952,418.50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13,707,942.80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0.68%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651.04%</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电力工程设计服务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57,818,813.76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49,598,604.87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16.57%</w:t>
            </w:r>
          </w:p>
        </w:tc>
      </w:tr>
      <w:tr>
        <w:trPr>
          <w:trHeight w:val="398"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61,471,778.20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1,598,180.51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0.08%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3,746.36%</w:t>
            </w:r>
          </w:p>
        </w:tc>
      </w:tr>
      <w:tr>
        <w:trPr>
          <w:trHeight w:val="404" w:hRule="exact"/>
        </w:trPr>
        <w:tc>
          <w:tcPr>
            <w:tcW w:w="957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1,828,049,605.78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1,872,621,225.07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93.28%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-2.38%</w:t>
            </w:r>
          </w:p>
        </w:tc>
      </w:tr>
      <w:tr>
        <w:trPr>
          <w:trHeight w:val="403" w:hRule="exact"/>
        </w:trPr>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国外地区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66,254,546.98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134,893,642.13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6.72%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-50.88%</w:t>
            </w:r>
          </w:p>
        </w:tc>
      </w:tr>
    </w:tbl>
    <w:p>
      <w:pPr>
        <w:pStyle w:val="BodyText"/>
        <w:spacing w:line="338" w:lineRule="auto" w:before="53"/>
        <w:ind w:right="0"/>
        <w:jc w:val="left"/>
      </w:pPr>
      <w:r>
        <w:rPr>
          <w:spacing w:val="-3"/>
        </w:rPr>
        <w:t>公司需遵守《深圳证券交易所创业板行业信息披露指引第 </w:t>
      </w:r>
      <w:r>
        <w:rPr>
          <w:rFonts w:ascii="Times New Roman" w:hAnsi="Times New Roman" w:cs="Times New Roman" w:eastAsia="Times New Roman" w:hint="default"/>
        </w:rPr>
        <w:t>13 </w:t>
      </w:r>
      <w:r>
        <w:rPr>
          <w:spacing w:val="-3"/>
        </w:rPr>
        <w:t>号</w:t>
      </w:r>
      <w:r>
        <w:rPr>
          <w:rFonts w:ascii="Times New Roman" w:hAnsi="Times New Roman" w:cs="Times New Roman" w:eastAsia="Times New Roman" w:hint="default"/>
          <w:spacing w:val="-3"/>
        </w:rPr>
        <w:t>——</w:t>
      </w:r>
      <w:r>
        <w:rPr>
          <w:spacing w:val="-3"/>
        </w:rPr>
        <w:t>上市公司从事锂离子电池产业链相关业务》的披露要求</w:t>
      </w:r>
      <w:r>
        <w:rPr>
          <w:spacing w:val="-67"/>
        </w:rPr>
        <w:t> </w:t>
      </w:r>
      <w:r>
        <w:rPr>
          <w:spacing w:val="-67"/>
        </w:rPr>
      </w:r>
      <w:r>
        <w:rPr>
          <w:spacing w:val="-3"/>
        </w:rPr>
        <w:t>报告期内上市公司从事锂离子电池产业链相关业务的海外销售收入占同期营业收入</w:t>
      </w:r>
      <w:r>
        <w:rPr>
          <w:spacing w:val="63"/>
        </w:rPr>
        <w:t> </w:t>
      </w:r>
      <w:r>
        <w:rPr>
          <w:rFonts w:ascii="Times New Roman" w:hAnsi="Times New Roman" w:cs="Times New Roman" w:eastAsia="Times New Roman" w:hint="default"/>
        </w:rPr>
        <w:t>30%</w:t>
      </w:r>
      <w:r>
        <w:rPr/>
        <w:t>以上</w:t>
      </w:r>
    </w:p>
    <w:p>
      <w:pPr>
        <w:pStyle w:val="BodyText"/>
        <w:spacing w:line="240" w:lineRule="auto" w:before="2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1"/>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2"/>
        <w:ind w:right="0"/>
        <w:jc w:val="left"/>
      </w:pPr>
      <w:r>
        <w:rPr>
          <w:spacing w:val="-3"/>
        </w:rPr>
        <w:t>公司需遵守《深圳证券交易所创业板行业信息披露指引第 </w:t>
      </w:r>
      <w:r>
        <w:rPr>
          <w:rFonts w:ascii="Times New Roman" w:hAnsi="Times New Roman" w:cs="Times New Roman" w:eastAsia="Times New Roman" w:hint="default"/>
        </w:rPr>
        <w:t>13  </w:t>
      </w:r>
      <w:r>
        <w:rPr>
          <w:rFonts w:ascii="Times New Roman" w:hAnsi="Times New Roman" w:cs="Times New Roman" w:eastAsia="Times New Roman" w:hint="default"/>
          <w:spacing w:val="23"/>
        </w:rPr>
        <w:t> </w:t>
      </w:r>
      <w:r>
        <w:rPr>
          <w:spacing w:val="-3"/>
        </w:rPr>
        <w:t>号</w:t>
      </w:r>
      <w:r>
        <w:rPr>
          <w:rFonts w:ascii="Times New Roman" w:hAnsi="Times New Roman" w:cs="Times New Roman" w:eastAsia="Times New Roman" w:hint="default"/>
          <w:spacing w:val="-3"/>
        </w:rPr>
        <w:t>——</w:t>
      </w:r>
      <w:r>
        <w:rPr>
          <w:spacing w:val="-3"/>
        </w:rPr>
        <w:t>上市公司从事锂离子电池产业链相关业务》的披露要求</w:t>
      </w:r>
    </w:p>
    <w:p>
      <w:pPr>
        <w:pStyle w:val="BodyText"/>
        <w:spacing w:line="240" w:lineRule="auto" w:before="101"/>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4"/>
        <w:gridCol w:w="1369"/>
        <w:gridCol w:w="1368"/>
        <w:gridCol w:w="1368"/>
        <w:gridCol w:w="1364"/>
        <w:gridCol w:w="1373"/>
      </w:tblGrid>
      <w:tr>
        <w:trPr>
          <w:trHeight w:val="715"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6" w:right="46" w:hanging="269"/>
              <w:jc w:val="left"/>
              <w:rPr>
                <w:rFonts w:ascii="宋体" w:hAnsi="宋体" w:cs="宋体" w:eastAsia="宋体" w:hint="default"/>
                <w:sz w:val="18"/>
                <w:szCs w:val="18"/>
              </w:rPr>
            </w:pPr>
            <w:r>
              <w:rPr>
                <w:rFonts w:ascii="宋体" w:hAnsi="宋体" w:cs="宋体" w:eastAsia="宋体" w:hint="default"/>
                <w:spacing w:val="-3"/>
                <w:sz w:val="18"/>
                <w:szCs w:val="18"/>
              </w:rPr>
              <w:t>营业收入比上年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17" w:right="41" w:hanging="270"/>
              <w:jc w:val="left"/>
              <w:rPr>
                <w:rFonts w:ascii="宋体" w:hAnsi="宋体" w:cs="宋体" w:eastAsia="宋体" w:hint="default"/>
                <w:sz w:val="18"/>
                <w:szCs w:val="18"/>
              </w:rPr>
            </w:pPr>
            <w:r>
              <w:rPr>
                <w:rFonts w:ascii="宋体" w:hAnsi="宋体" w:cs="宋体" w:eastAsia="宋体" w:hint="default"/>
                <w:spacing w:val="-3"/>
                <w:sz w:val="18"/>
                <w:szCs w:val="18"/>
              </w:rPr>
              <w:t>营业成本比上年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同期增减</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13" w:right="46" w:hanging="361"/>
              <w:jc w:val="left"/>
              <w:rPr>
                <w:rFonts w:ascii="宋体" w:hAnsi="宋体" w:cs="宋体" w:eastAsia="宋体" w:hint="default"/>
                <w:sz w:val="18"/>
                <w:szCs w:val="18"/>
              </w:rPr>
            </w:pPr>
            <w:r>
              <w:rPr>
                <w:rFonts w:ascii="宋体" w:hAnsi="宋体" w:cs="宋体" w:eastAsia="宋体" w:hint="default"/>
                <w:spacing w:val="-3"/>
                <w:sz w:val="18"/>
                <w:szCs w:val="18"/>
              </w:rPr>
              <w:t>毛利率比上年同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期增减</w:t>
            </w:r>
          </w:p>
        </w:tc>
      </w:tr>
      <w:tr>
        <w:trPr>
          <w:trHeight w:val="399"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分业务</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输配电设备制造</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1,101,325,051.06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806,973,237.21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-32.67%</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7.16%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锂电池材料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735,160,287.94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655,836,175.37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71.54%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-7.20%</w:t>
            </w:r>
          </w:p>
        </w:tc>
      </w:tr>
      <w:tr>
        <w:trPr>
          <w:trHeight w:val="403"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环网柜</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339,828,454.29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243,145,952.27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-60.42%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-61.18%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1.41%</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箱式变电站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191,194,812.80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141,822,771.68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6.41%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-2.10%</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6.45%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其他开关</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343,273,933.22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262,430,953.18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20.64%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13.60%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四氧化三钴</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460,990,915.25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415,930,408.76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89.01%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132.34%</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-12.91%</w:t>
            </w:r>
          </w:p>
        </w:tc>
      </w:tr>
      <w:tr>
        <w:trPr>
          <w:trHeight w:val="398" w:hRule="exact"/>
        </w:trPr>
        <w:tc>
          <w:tcPr>
            <w:tcW w:w="957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中国大陆</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1,828,049,605.78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1,419,314,809.08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-2.99%</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0.49%</w:t>
            </w:r>
          </w:p>
        </w:tc>
      </w:tr>
    </w:tbl>
    <w:p>
      <w:pPr>
        <w:pStyle w:val="BodyText"/>
        <w:spacing w:line="240" w:lineRule="auto" w:before="53"/>
        <w:ind w:right="0"/>
        <w:jc w:val="left"/>
      </w:pPr>
      <w:r>
        <w:rPr>
          <w:spacing w:val="-3"/>
        </w:rPr>
        <w:t>公司主营业务数据统计口径在报告期发生调整的情况下，公司最近 </w:t>
      </w:r>
      <w:r>
        <w:rPr>
          <w:rFonts w:ascii="Times New Roman" w:hAnsi="Times New Roman" w:cs="Times New Roman" w:eastAsia="Times New Roman" w:hint="default"/>
        </w:rPr>
        <w:t>1  </w:t>
      </w:r>
      <w:r>
        <w:rPr>
          <w:rFonts w:ascii="Times New Roman" w:hAnsi="Times New Roman" w:cs="Times New Roman" w:eastAsia="Times New Roman" w:hint="default"/>
          <w:spacing w:val="5"/>
        </w:rPr>
        <w:t> </w:t>
      </w:r>
      <w:r>
        <w:rPr>
          <w:spacing w:val="-3"/>
        </w:rPr>
        <w:t>年按报告期末口径调整后的主营业务数据</w:t>
      </w:r>
    </w:p>
    <w:p>
      <w:pPr>
        <w:pStyle w:val="BodyText"/>
        <w:spacing w:line="338" w:lineRule="auto" w:before="106"/>
        <w:ind w:right="42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锂离子电池产业链各环节主要产品或业务相关的关键技术或性能指标</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9" w:lineRule="auto" w:before="101"/>
        <w:ind w:right="1124" w:firstLine="427"/>
        <w:jc w:val="both"/>
      </w:pPr>
      <w:r>
        <w:rPr>
          <w:rFonts w:ascii="Times New Roman" w:hAnsi="Times New Roman" w:cs="Times New Roman" w:eastAsia="Times New Roman" w:hint="default"/>
          <w:spacing w:val="-4"/>
        </w:rPr>
        <w:t>1</w:t>
      </w:r>
      <w:r>
        <w:rPr>
          <w:spacing w:val="-4"/>
        </w:rPr>
        <w:t>、公司具备成熟稳定的磷酸铁制备路线，从源头实现了定制化磷酸铁的合成，完全可以满足下游不同客户对不同型号</w:t>
      </w:r>
      <w:r>
        <w:rPr>
          <w:w w:val="101"/>
        </w:rPr>
        <w:t> </w:t>
      </w:r>
      <w:r>
        <w:rPr>
          <w:spacing w:val="-4"/>
        </w:rPr>
        <w:t>磷酸铁的需求。我司磷酸铁工艺优势：极片压实高、倍率性能好、循环寿命好、品质稳定。磷酸铁产品特点：粒径范围分布</w:t>
      </w:r>
      <w:r>
        <w:rPr>
          <w:spacing w:val="40"/>
        </w:rPr>
        <w:t> </w:t>
      </w:r>
      <w:r>
        <w:rPr>
          <w:spacing w:val="40"/>
        </w:rPr>
      </w:r>
      <w:r>
        <w:rPr>
          <w:spacing w:val="-4"/>
        </w:rPr>
        <w:t>较窄，单分散性好，孔隙分散均匀，振实密度高，铁磷比稳定可控。高压实磷酸铁产品已经批量供货给国轩、贝特瑞、比亚</w:t>
      </w:r>
      <w:r>
        <w:rPr>
          <w:spacing w:val="40"/>
        </w:rPr>
        <w:t> </w:t>
      </w:r>
      <w:r>
        <w:rPr>
          <w:spacing w:val="40"/>
        </w:rPr>
      </w:r>
      <w:r>
        <w:rPr>
          <w:spacing w:val="-3"/>
        </w:rPr>
        <w:t>迪及北大先行等国内磷酸铁锂厂商，材料的倍率性能及循环性能优异。我司新厂具有</w:t>
      </w:r>
      <w:r>
        <w:rPr>
          <w:rFonts w:ascii="Times New Roman" w:hAnsi="Times New Roman" w:cs="Times New Roman" w:eastAsia="Times New Roman" w:hint="default"/>
          <w:spacing w:val="-3"/>
        </w:rPr>
        <w:t>4</w:t>
      </w:r>
      <w:r>
        <w:rPr>
          <w:spacing w:val="-3"/>
        </w:rPr>
        <w:t>条全国最先进的智能产线（项目分为</w:t>
      </w:r>
      <w:r>
        <w:rPr>
          <w:spacing w:val="76"/>
        </w:rPr>
        <w:t> </w:t>
      </w:r>
      <w:r>
        <w:rPr>
          <w:spacing w:val="76"/>
        </w:rPr>
      </w:r>
      <w:r>
        <w:rPr>
          <w:spacing w:val="-3"/>
        </w:rPr>
        <w:t>三期），总年产磷酸铁</w:t>
      </w:r>
      <w:r>
        <w:rPr>
          <w:rFonts w:ascii="Times New Roman" w:hAnsi="Times New Roman" w:cs="Times New Roman" w:eastAsia="Times New Roman" w:hint="default"/>
          <w:spacing w:val="-3"/>
        </w:rPr>
        <w:t>12</w:t>
      </w:r>
      <w:r>
        <w:rPr>
          <w:spacing w:val="-3"/>
        </w:rPr>
        <w:t>万吨，全部投产后将成为国内最大的磷酸铁生产基地。</w:t>
      </w:r>
    </w:p>
    <w:p>
      <w:pPr>
        <w:pStyle w:val="BodyText"/>
        <w:spacing w:line="300" w:lineRule="auto" w:before="5"/>
        <w:ind w:right="1122" w:firstLine="427"/>
        <w:jc w:val="both"/>
      </w:pPr>
      <w:r>
        <w:rPr>
          <w:rFonts w:ascii="Times New Roman" w:hAnsi="Times New Roman" w:cs="Times New Roman" w:eastAsia="Times New Roman" w:hint="default"/>
          <w:spacing w:val="-4"/>
        </w:rPr>
        <w:t>2</w:t>
      </w:r>
      <w:r>
        <w:rPr>
          <w:spacing w:val="-4"/>
        </w:rPr>
        <w:t>、磷酸铁锂正极材料广泛应用在电动大巴、乘用车、电动汽车及储能等领域。湖南雅城自主研发的动力型高压实磷酸</w:t>
      </w:r>
      <w:r>
        <w:rPr>
          <w:w w:val="101"/>
        </w:rPr>
        <w:t> </w:t>
      </w:r>
      <w:r>
        <w:rPr>
          <w:spacing w:val="-3"/>
        </w:rPr>
        <w:t>铁产品性能领先，磷酸铁锂极片压实达到</w:t>
      </w:r>
      <w:r>
        <w:rPr>
          <w:rFonts w:ascii="Times New Roman" w:hAnsi="Times New Roman" w:cs="Times New Roman" w:eastAsia="Times New Roman" w:hint="default"/>
          <w:spacing w:val="-3"/>
        </w:rPr>
        <w:t>2.60g/cm³</w:t>
      </w:r>
      <w:r>
        <w:rPr>
          <w:spacing w:val="-3"/>
        </w:rPr>
        <w:t>，</w:t>
      </w:r>
      <w:r>
        <w:rPr>
          <w:rFonts w:ascii="Times New Roman" w:hAnsi="Times New Roman" w:cs="Times New Roman" w:eastAsia="Times New Roman" w:hint="default"/>
          <w:spacing w:val="-3"/>
        </w:rPr>
        <w:t>1C</w:t>
      </w:r>
      <w:r>
        <w:rPr>
          <w:spacing w:val="-3"/>
        </w:rPr>
        <w:t>放电容量</w:t>
      </w:r>
      <w:r>
        <w:rPr>
          <w:rFonts w:ascii="Times New Roman" w:hAnsi="Times New Roman" w:cs="Times New Roman" w:eastAsia="Times New Roman" w:hint="default"/>
          <w:spacing w:val="-3"/>
        </w:rPr>
        <w:t>145mAh/g</w:t>
      </w:r>
      <w:r>
        <w:rPr>
          <w:spacing w:val="-3"/>
        </w:rPr>
        <w:t>，高容量高压实的磷酸铁锂极大的提升了电动车</w:t>
      </w:r>
      <w:r>
        <w:rPr>
          <w:spacing w:val="13"/>
        </w:rPr>
        <w:t> </w:t>
      </w:r>
      <w:r>
        <w:rPr>
          <w:spacing w:val="13"/>
        </w:rPr>
      </w:r>
      <w:r>
        <w:rPr/>
        <w:t>的续航能力。</w:t>
      </w:r>
    </w:p>
    <w:p>
      <w:pPr>
        <w:pStyle w:val="BodyText"/>
        <w:spacing w:line="240" w:lineRule="auto" w:before="74"/>
        <w:ind w:left="580" w:right="0"/>
        <w:jc w:val="left"/>
      </w:pPr>
      <w:r>
        <w:rPr/>
        <w:t>占公司最近一个会计年度销售收入 </w:t>
      </w:r>
      <w:r>
        <w:rPr>
          <w:rFonts w:ascii="Times New Roman" w:hAnsi="Times New Roman" w:cs="Times New Roman" w:eastAsia="Times New Roman" w:hint="default"/>
          <w:spacing w:val="-3"/>
        </w:rPr>
        <w:t>30%</w:t>
      </w:r>
      <w:r>
        <w:rPr>
          <w:spacing w:val="-3"/>
        </w:rPr>
        <w:t>以上产品的销售均价较期初变动幅度超过</w:t>
      </w:r>
      <w:r>
        <w:rPr>
          <w:spacing w:val="-27"/>
        </w:rPr>
        <w:t> </w:t>
      </w:r>
      <w:r>
        <w:rPr>
          <w:rFonts w:ascii="Times New Roman" w:hAnsi="Times New Roman" w:cs="Times New Roman" w:eastAsia="Times New Roman" w:hint="default"/>
        </w:rPr>
        <w:t>30%</w:t>
      </w:r>
      <w:r>
        <w:rPr/>
        <w:t>的</w:t>
      </w:r>
    </w:p>
    <w:p>
      <w:pPr>
        <w:pStyle w:val="BodyText"/>
        <w:spacing w:line="240" w:lineRule="auto" w:before="101"/>
        <w:ind w:left="580"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1"/>
        </w:rPr>
        <w:t> </w:t>
      </w:r>
      <w:r>
        <w:rPr/>
        <w:t>不适用</w:t>
      </w:r>
    </w:p>
    <w:p>
      <w:pPr>
        <w:pStyle w:val="BodyText"/>
        <w:spacing w:line="240" w:lineRule="auto" w:before="106"/>
        <w:ind w:left="580" w:right="0"/>
        <w:jc w:val="left"/>
      </w:pPr>
      <w:r>
        <w:rPr>
          <w:rFonts w:ascii="Times New Roman" w:hAnsi="Times New Roman" w:cs="Times New Roman" w:eastAsia="Times New Roman" w:hint="default"/>
          <w:spacing w:val="-3"/>
        </w:rPr>
        <w:t>1</w:t>
      </w:r>
      <w:r>
        <w:rPr>
          <w:spacing w:val="-3"/>
        </w:rPr>
        <w:t>、输配电设备制造业主要是由于环网柜订单减少，使得销量、产量及库存的波动；</w:t>
      </w:r>
    </w:p>
    <w:p>
      <w:pPr>
        <w:pStyle w:val="BodyText"/>
        <w:spacing w:line="302" w:lineRule="auto" w:before="96"/>
        <w:ind w:right="0" w:firstLine="427"/>
        <w:jc w:val="left"/>
      </w:pPr>
      <w:r>
        <w:rPr>
          <w:rFonts w:ascii="Times New Roman" w:hAnsi="Times New Roman" w:cs="Times New Roman" w:eastAsia="Times New Roman" w:hint="default"/>
          <w:spacing w:val="-4"/>
        </w:rPr>
        <w:t>2</w:t>
      </w:r>
      <w:r>
        <w:rPr>
          <w:spacing w:val="-4"/>
        </w:rPr>
        <w:t>、锂电池材料生产量的变化是因为四氧化三钴增加了</w:t>
      </w:r>
      <w:r>
        <w:rPr>
          <w:rFonts w:ascii="Times New Roman" w:hAnsi="Times New Roman" w:cs="Times New Roman" w:eastAsia="Times New Roman" w:hint="default"/>
          <w:spacing w:val="-4"/>
        </w:rPr>
        <w:t>1157</w:t>
      </w:r>
      <w:r>
        <w:rPr>
          <w:spacing w:val="-4"/>
        </w:rPr>
        <w:t>吨，磷酸铁增加了</w:t>
      </w:r>
      <w:r>
        <w:rPr>
          <w:rFonts w:ascii="Times New Roman" w:hAnsi="Times New Roman" w:cs="Times New Roman" w:eastAsia="Times New Roman" w:hint="default"/>
          <w:spacing w:val="-4"/>
        </w:rPr>
        <w:t>5416</w:t>
      </w:r>
      <w:r>
        <w:rPr>
          <w:spacing w:val="-4"/>
        </w:rPr>
        <w:t>吨。销量的增加也主要是四氧化三钴</w:t>
      </w:r>
      <w:r>
        <w:rPr>
          <w:w w:val="101"/>
        </w:rPr>
        <w:t> </w:t>
      </w:r>
      <w:r>
        <w:rPr>
          <w:spacing w:val="-6"/>
        </w:rPr>
        <w:t>增加</w:t>
      </w:r>
      <w:r>
        <w:rPr>
          <w:rFonts w:ascii="Times New Roman" w:hAnsi="Times New Roman" w:cs="Times New Roman" w:eastAsia="Times New Roman" w:hint="default"/>
          <w:spacing w:val="-6"/>
        </w:rPr>
        <w:t>1800</w:t>
      </w:r>
      <w:r>
        <w:rPr>
          <w:spacing w:val="-6"/>
        </w:rPr>
        <w:t>吨，磷酸铁增加</w:t>
      </w:r>
      <w:r>
        <w:rPr>
          <w:rFonts w:ascii="Times New Roman" w:hAnsi="Times New Roman" w:cs="Times New Roman" w:eastAsia="Times New Roman" w:hint="default"/>
          <w:spacing w:val="-6"/>
        </w:rPr>
        <w:t>6685</w:t>
      </w:r>
      <w:r>
        <w:rPr>
          <w:spacing w:val="-6"/>
        </w:rPr>
        <w:t>吨，四氧化三钴的增加是</w:t>
      </w:r>
      <w:r>
        <w:rPr>
          <w:rFonts w:ascii="Times New Roman" w:hAnsi="Times New Roman" w:cs="Times New Roman" w:eastAsia="Times New Roman" w:hint="default"/>
          <w:spacing w:val="-6"/>
        </w:rPr>
        <w:t>18</w:t>
      </w:r>
      <w:r>
        <w:rPr>
          <w:spacing w:val="-6"/>
        </w:rPr>
        <w:t>年是境外销售向境内销售的一个转型，</w:t>
      </w:r>
      <w:r>
        <w:rPr>
          <w:rFonts w:ascii="Times New Roman" w:hAnsi="Times New Roman" w:cs="Times New Roman" w:eastAsia="Times New Roman" w:hint="default"/>
          <w:spacing w:val="-6"/>
        </w:rPr>
        <w:t>19</w:t>
      </w:r>
      <w:r>
        <w:rPr>
          <w:spacing w:val="-6"/>
        </w:rPr>
        <w:t>年开始国内客户开发完成，</w:t>
      </w:r>
      <w:r>
        <w:rPr>
          <w:spacing w:val="16"/>
        </w:rPr>
        <w:t> </w:t>
      </w:r>
      <w:r>
        <w:rPr>
          <w:spacing w:val="16"/>
        </w:rPr>
      </w:r>
      <w:r>
        <w:rPr>
          <w:spacing w:val="-3"/>
        </w:rPr>
        <w:t>实现陆续供货状态；磷酸铁增加是因为新产品的开发认证基本完成，国内大客户的开发及合同签订。</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11"/>
        <w:gridCol w:w="1570"/>
        <w:gridCol w:w="1607"/>
        <w:gridCol w:w="1594"/>
        <w:gridCol w:w="1594"/>
        <w:gridCol w:w="1594"/>
      </w:tblGrid>
      <w:tr>
        <w:trPr>
          <w:trHeight w:val="403"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输配电设备制造业</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38,061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55,033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-30.84%</w:t>
            </w:r>
          </w:p>
        </w:tc>
      </w:tr>
      <w:tr>
        <w:trPr>
          <w:trHeight w:val="404"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56,236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-30.17%</w:t>
            </w:r>
          </w:p>
        </w:tc>
      </w:tr>
      <w:tr>
        <w:trPr>
          <w:trHeight w:val="403"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台</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-40.43%</w:t>
            </w:r>
          </w:p>
        </w:tc>
      </w:tr>
      <w:tr>
        <w:trPr>
          <w:trHeight w:val="403" w:hRule="exact"/>
        </w:trPr>
        <w:tc>
          <w:tcPr>
            <w:tcW w:w="1611" w:type="dxa"/>
            <w:vMerge w:val="restart"/>
            <w:tcBorders>
              <w:top w:val="single" w:sz="4" w:space="0" w:color="000000"/>
              <w:left w:val="single" w:sz="4" w:space="0" w:color="000000"/>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锂电池材料</w:t>
            </w: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11,152,638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2,320,680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380.58%</w:t>
            </w:r>
          </w:p>
        </w:tc>
      </w:tr>
      <w:tr>
        <w:trPr>
          <w:trHeight w:val="398" w:hRule="exact"/>
        </w:trPr>
        <w:tc>
          <w:tcPr>
            <w:tcW w:w="1611" w:type="dxa"/>
            <w:vMerge/>
            <w:tcBorders>
              <w:left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11,140,980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146.05%</w:t>
            </w:r>
          </w:p>
        </w:tc>
      </w:tr>
      <w:tr>
        <w:trPr>
          <w:trHeight w:val="404" w:hRule="exact"/>
        </w:trPr>
        <w:tc>
          <w:tcPr>
            <w:tcW w:w="1611" w:type="dxa"/>
            <w:vMerge/>
            <w:tcBorders>
              <w:left w:val="single" w:sz="4" w:space="0" w:color="000000"/>
              <w:bottom w:val="single" w:sz="4" w:space="0" w:color="000000"/>
              <w:right w:val="single" w:sz="10" w:space="0" w:color="D2D2D2"/>
            </w:tcBorders>
          </w:tcPr>
          <w:p>
            <w:pPr/>
          </w:p>
        </w:tc>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公斤</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1,634,916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2,179,000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-24.97%</w:t>
            </w:r>
          </w:p>
        </w:tc>
      </w:tr>
    </w:tbl>
    <w:p>
      <w:pPr>
        <w:pStyle w:val="BodyText"/>
        <w:spacing w:line="240" w:lineRule="auto" w:before="53"/>
        <w:ind w:right="0"/>
        <w:jc w:val="left"/>
      </w:pPr>
      <w:r>
        <w:rPr>
          <w:spacing w:val="-2"/>
        </w:rPr>
        <w:t>相关数据同比发生变动</w:t>
      </w:r>
      <w:r>
        <w:rPr/>
        <w:t> </w:t>
      </w:r>
      <w:r>
        <w:rPr>
          <w:rFonts w:ascii="Times New Roman" w:hAnsi="Times New Roman" w:cs="Times New Roman" w:eastAsia="Times New Roman" w:hint="default"/>
          <w:spacing w:val="-2"/>
        </w:rPr>
        <w:t>30%</w:t>
      </w:r>
      <w:r>
        <w:rPr>
          <w:spacing w:val="-2"/>
        </w:rPr>
        <w:t>以上的原因说明</w:t>
      </w:r>
    </w:p>
    <w:p>
      <w:pPr>
        <w:pStyle w:val="BodyText"/>
        <w:spacing w:line="240" w:lineRule="auto" w:before="10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580" w:right="0"/>
        <w:jc w:val="left"/>
      </w:pPr>
      <w:r>
        <w:rPr>
          <w:rFonts w:ascii="Times New Roman" w:hAnsi="Times New Roman" w:cs="Times New Roman" w:eastAsia="Times New Roman" w:hint="default"/>
          <w:spacing w:val="-3"/>
        </w:rPr>
        <w:t>1</w:t>
      </w:r>
      <w:r>
        <w:rPr>
          <w:spacing w:val="-3"/>
        </w:rPr>
        <w:t>、输配电设备制造业主要是由于环网柜订单减少，使得销量、产量及库存的波动；</w:t>
      </w:r>
    </w:p>
    <w:p>
      <w:pPr>
        <w:pStyle w:val="BodyText"/>
        <w:tabs>
          <w:tab w:pos="7375" w:val="left" w:leader="none"/>
        </w:tabs>
        <w:spacing w:line="302" w:lineRule="auto" w:before="101"/>
        <w:ind w:right="1140" w:firstLine="427"/>
        <w:jc w:val="left"/>
      </w:pPr>
      <w:r>
        <w:rPr>
          <w:rFonts w:ascii="Times New Roman" w:hAnsi="Times New Roman" w:cs="Times New Roman" w:eastAsia="Times New Roman" w:hint="default"/>
          <w:spacing w:val="-3"/>
        </w:rPr>
        <w:t>2</w:t>
      </w:r>
      <w:r>
        <w:rPr>
          <w:spacing w:val="-3"/>
        </w:rPr>
        <w:t>、锂电池材料生产量的变化是因为四氧化三钴增加了</w:t>
      </w:r>
      <w:r>
        <w:rPr>
          <w:rFonts w:ascii="Times New Roman" w:hAnsi="Times New Roman" w:cs="Times New Roman" w:eastAsia="Times New Roman" w:hint="default"/>
          <w:spacing w:val="-3"/>
        </w:rPr>
        <w:t>1157</w:t>
      </w:r>
      <w:r>
        <w:rPr>
          <w:spacing w:val="-3"/>
        </w:rPr>
        <w:t>吨，磷酸铁增加了</w:t>
      </w:r>
      <w:r>
        <w:rPr>
          <w:rFonts w:ascii="Times New Roman" w:hAnsi="Times New Roman" w:cs="Times New Roman" w:eastAsia="Times New Roman" w:hint="default"/>
          <w:spacing w:val="-3"/>
        </w:rPr>
        <w:t>5416</w:t>
      </w:r>
      <w:r>
        <w:rPr>
          <w:spacing w:val="-3"/>
        </w:rPr>
        <w:t>吨</w:t>
        <w:tab/>
        <w:t>销量的增加也主要是四氧化三</w:t>
      </w:r>
      <w:r>
        <w:rPr>
          <w:w w:val="101"/>
        </w:rPr>
        <w:t> </w:t>
      </w:r>
      <w:r>
        <w:rPr>
          <w:spacing w:val="-4"/>
        </w:rPr>
        <w:t>钴增加</w:t>
      </w:r>
      <w:r>
        <w:rPr>
          <w:rFonts w:ascii="Times New Roman" w:hAnsi="Times New Roman" w:cs="Times New Roman" w:eastAsia="Times New Roman" w:hint="default"/>
          <w:spacing w:val="-4"/>
        </w:rPr>
        <w:t>1800</w:t>
      </w:r>
      <w:r>
        <w:rPr>
          <w:spacing w:val="-4"/>
        </w:rPr>
        <w:t>吨，磷酸铁增加</w:t>
      </w:r>
      <w:r>
        <w:rPr>
          <w:rFonts w:ascii="Times New Roman" w:hAnsi="Times New Roman" w:cs="Times New Roman" w:eastAsia="Times New Roman" w:hint="default"/>
          <w:spacing w:val="-4"/>
        </w:rPr>
        <w:t>6685</w:t>
      </w:r>
      <w:r>
        <w:rPr>
          <w:spacing w:val="-4"/>
        </w:rPr>
        <w:t>吨，四氧化三钴的增加是</w:t>
      </w:r>
      <w:r>
        <w:rPr>
          <w:rFonts w:ascii="Times New Roman" w:hAnsi="Times New Roman" w:cs="Times New Roman" w:eastAsia="Times New Roman" w:hint="default"/>
          <w:spacing w:val="-4"/>
        </w:rPr>
        <w:t>18</w:t>
      </w:r>
      <w:r>
        <w:rPr>
          <w:spacing w:val="-4"/>
        </w:rPr>
        <w:t>年是境外销售向境内销售的一个转型，</w:t>
      </w:r>
      <w:r>
        <w:rPr>
          <w:rFonts w:ascii="Times New Roman" w:hAnsi="Times New Roman" w:cs="Times New Roman" w:eastAsia="Times New Roman" w:hint="default"/>
          <w:spacing w:val="-4"/>
        </w:rPr>
        <w:t>19</w:t>
      </w:r>
      <w:r>
        <w:rPr>
          <w:spacing w:val="-4"/>
        </w:rPr>
        <w:t>年开始国内客户开发完</w:t>
      </w:r>
      <w:r>
        <w:rPr>
          <w:spacing w:val="65"/>
        </w:rPr>
        <w:t> </w:t>
      </w:r>
      <w:r>
        <w:rPr>
          <w:spacing w:val="65"/>
        </w:rPr>
      </w:r>
      <w:r>
        <w:rPr>
          <w:spacing w:val="-3"/>
        </w:rPr>
        <w:t>成，实现陆续供货状态；磷酸铁增加是因为新产品的开发认证基本完成，国内大客户的开发及合同签订。</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2783" w:right="3752"/>
        <w:jc w:val="center"/>
      </w:pPr>
      <w:r>
        <w:rPr/>
        <w:t>行业分类</w:t>
      </w:r>
    </w:p>
    <w:p>
      <w:pPr>
        <w:pStyle w:val="BodyText"/>
        <w:spacing w:line="240" w:lineRule="auto" w:before="119"/>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4"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8"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占营业成本比重</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电力配电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763,449,792.85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1,143,039,843.36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-0.76%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电力配电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16,677,243.76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20,494,894.96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电力配电</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26,846,200.60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34,997,130.57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0.41%</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590,364,162.78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362,064,583.51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-0.70%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11,936,308.39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7,191,679.05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0.02%</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25,757,297.04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13,074,003.02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2783" w:right="3756"/>
        <w:jc w:val="center"/>
      </w:pPr>
      <w:r>
        <w:rPr/>
        <w:t>公司主要销售客户情况</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526"/>
        <w:gridCol w:w="4977"/>
      </w:tblGrid>
      <w:tr>
        <w:trPr>
          <w:trHeight w:val="404"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前五名客户合计销售金额（元）</w:t>
            </w:r>
          </w:p>
        </w:tc>
        <w:tc>
          <w:tcPr>
            <w:tcW w:w="49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449,213,715.32</w:t>
            </w:r>
          </w:p>
        </w:tc>
      </w:tr>
      <w:tr>
        <w:trPr>
          <w:trHeight w:val="403"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前五名客户合计销售金额占年度销售总额比例</w:t>
            </w:r>
          </w:p>
        </w:tc>
        <w:tc>
          <w:tcPr>
            <w:tcW w:w="49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23.71%</w:t>
            </w:r>
          </w:p>
        </w:tc>
      </w:tr>
      <w:tr>
        <w:trPr>
          <w:trHeight w:val="398" w:hRule="exact"/>
        </w:trPr>
        <w:tc>
          <w:tcPr>
            <w:tcW w:w="4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前五名客户销售额中关联方销售额占年度销售总额比例</w:t>
            </w:r>
          </w:p>
        </w:tc>
        <w:tc>
          <w:tcPr>
            <w:tcW w:w="497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left="2783" w:right="3756"/>
        <w:jc w:val="center"/>
      </w:pPr>
      <w:r>
        <w:rPr/>
        <w:t>公司前</w:t>
      </w:r>
      <w:r>
        <w:rPr>
          <w:spacing w:val="-42"/>
        </w:rPr>
        <w:t> </w:t>
      </w:r>
      <w:r>
        <w:rPr>
          <w:rFonts w:ascii="Times New Roman" w:hAnsi="Times New Roman" w:cs="Times New Roman" w:eastAsia="Times New Roman" w:hint="default"/>
        </w:rPr>
        <w:t>5</w:t>
      </w:r>
      <w:r>
        <w:rPr>
          <w:rFonts w:ascii="Times New Roman" w:hAnsi="Times New Roman" w:cs="Times New Roman" w:eastAsia="Times New Roman" w:hint="default"/>
          <w:spacing w:val="-3"/>
        </w:rPr>
        <w:t> </w:t>
      </w:r>
      <w:r>
        <w:rPr/>
        <w:t>大客户资料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3"/>
        <w:gridCol w:w="3320"/>
        <w:gridCol w:w="2324"/>
        <w:gridCol w:w="3140"/>
      </w:tblGrid>
      <w:tr>
        <w:trPr>
          <w:trHeight w:val="404"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0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14"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占年度销售总额比例</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175,162,189.79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9.25%</w:t>
            </w:r>
          </w:p>
        </w:tc>
      </w:tr>
      <w:tr>
        <w:trPr>
          <w:trHeight w:val="398"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94,740,474.48</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5.00%</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62,758,620.84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3.31%</w:t>
            </w:r>
          </w:p>
        </w:tc>
      </w:tr>
      <w:tr>
        <w:trPr>
          <w:trHeight w:val="404"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59,213,443.30</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3.13%</w:t>
            </w:r>
          </w:p>
        </w:tc>
      </w:tr>
      <w:tr>
        <w:trPr>
          <w:trHeight w:val="403"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3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57,338,986.91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3.03%</w:t>
            </w:r>
          </w:p>
        </w:tc>
      </w:tr>
      <w:tr>
        <w:trPr>
          <w:trHeight w:val="398" w:hRule="exact"/>
        </w:trPr>
        <w:tc>
          <w:tcPr>
            <w:tcW w:w="7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7"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449,213,715.32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23.71%</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pStyle w:val="BodyText"/>
        <w:spacing w:line="240" w:lineRule="auto" w:before="53"/>
        <w:ind w:right="0"/>
        <w:jc w:val="left"/>
      </w:pPr>
      <w:r>
        <w:rPr>
          <w:spacing w:val="-2"/>
        </w:rPr>
        <w:t>主要客户其他情况说明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spacing w:val="-3"/>
        </w:rPr>
        <w:t>公司主要供应商情况</w:t>
      </w:r>
    </w:p>
    <w:p>
      <w:pPr>
        <w:spacing w:after="0" w:line="240" w:lineRule="auto"/>
        <w:jc w:val="left"/>
        <w:sectPr>
          <w:type w:val="continuous"/>
          <w:pgSz w:w="11910" w:h="16840"/>
          <w:pgMar w:top="1060" w:bottom="1160" w:left="980" w:right="0"/>
          <w:cols w:num="2" w:equalWidth="0">
            <w:col w:w="1959" w:space="2051"/>
            <w:col w:w="692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247"/>
        <w:gridCol w:w="5323"/>
      </w:tblGrid>
      <w:tr>
        <w:trPr>
          <w:trHeight w:val="403"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前五名供应商合计采购金额（元）</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372,736,675.11</w:t>
            </w:r>
          </w:p>
        </w:tc>
      </w:tr>
      <w:tr>
        <w:trPr>
          <w:trHeight w:val="398"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前五名供应商合计采购金额占年度采购总额比例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27.86%</w:t>
            </w:r>
          </w:p>
        </w:tc>
      </w:tr>
      <w:tr>
        <w:trPr>
          <w:trHeight w:val="716" w:hRule="exact"/>
        </w:trPr>
        <w:tc>
          <w:tcPr>
            <w:tcW w:w="4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68"/>
              <w:jc w:val="left"/>
              <w:rPr>
                <w:rFonts w:ascii="宋体" w:hAnsi="宋体" w:cs="宋体" w:eastAsia="宋体" w:hint="default"/>
                <w:sz w:val="18"/>
                <w:szCs w:val="18"/>
              </w:rPr>
            </w:pPr>
            <w:r>
              <w:rPr>
                <w:rFonts w:ascii="宋体" w:hAnsi="宋体" w:cs="宋体" w:eastAsia="宋体" w:hint="default"/>
                <w:spacing w:val="-3"/>
                <w:sz w:val="18"/>
                <w:szCs w:val="18"/>
              </w:rPr>
              <w:t>前五名供应商采购额中关联方采购额占年度采购总额</w:t>
            </w:r>
            <w:r>
              <w:rPr>
                <w:rFonts w:ascii="宋体" w:hAnsi="宋体" w:cs="宋体" w:eastAsia="宋体" w:hint="default"/>
                <w:spacing w:val="-21"/>
                <w:sz w:val="18"/>
                <w:szCs w:val="18"/>
              </w:rPr>
              <w:t> </w:t>
            </w:r>
            <w:r>
              <w:rPr>
                <w:rFonts w:ascii="宋体" w:hAnsi="宋体" w:cs="宋体" w:eastAsia="宋体" w:hint="default"/>
                <w:spacing w:val="-21"/>
                <w:sz w:val="18"/>
                <w:szCs w:val="18"/>
              </w:rPr>
            </w:r>
            <w:r>
              <w:rPr>
                <w:rFonts w:ascii="宋体" w:hAnsi="宋体" w:cs="宋体" w:eastAsia="宋体" w:hint="default"/>
                <w:sz w:val="18"/>
                <w:szCs w:val="18"/>
              </w:rPr>
              <w:t>比例</w:t>
            </w:r>
          </w:p>
        </w:tc>
        <w:tc>
          <w:tcPr>
            <w:tcW w:w="53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3"/>
        <w:ind w:left="2783" w:right="3756"/>
        <w:jc w:val="center"/>
      </w:pPr>
      <w:r>
        <w:rPr/>
        <w:t>公司前</w:t>
      </w:r>
      <w:r>
        <w:rPr>
          <w:spacing w:val="-4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3"/>
        <w:gridCol w:w="3181"/>
        <w:gridCol w:w="2324"/>
        <w:gridCol w:w="3140"/>
      </w:tblGrid>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4"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58" w:right="0"/>
              <w:jc w:val="left"/>
              <w:rPr>
                <w:rFonts w:ascii="宋体" w:hAnsi="宋体" w:cs="宋体" w:eastAsia="宋体" w:hint="default"/>
                <w:sz w:val="18"/>
                <w:szCs w:val="18"/>
              </w:rPr>
            </w:pPr>
            <w:r>
              <w:rPr>
                <w:rFonts w:ascii="宋体" w:hAnsi="宋体" w:cs="宋体" w:eastAsia="宋体" w:hint="default"/>
                <w:spacing w:val="-3"/>
                <w:sz w:val="18"/>
                <w:szCs w:val="18"/>
              </w:rPr>
              <w:t>占年度采购总额比例</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97,825,319.31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7.31%</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85,090,433.74</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6.36%</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79,498,269.85</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5.94%</w:t>
            </w:r>
          </w:p>
        </w:tc>
      </w:tr>
      <w:tr>
        <w:trPr>
          <w:trHeight w:val="403"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55,923,130.92</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4.18%</w:t>
            </w:r>
          </w:p>
        </w:tc>
      </w:tr>
      <w:tr>
        <w:trPr>
          <w:trHeight w:val="398"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1"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54,399,521.29</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4.07%</w:t>
            </w:r>
          </w:p>
        </w:tc>
      </w:tr>
      <w:tr>
        <w:trPr>
          <w:trHeight w:val="404" w:hRule="exact"/>
        </w:trPr>
        <w:tc>
          <w:tcPr>
            <w:tcW w:w="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2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372,736,675.11</w:t>
            </w:r>
          </w:p>
        </w:tc>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27.86%</w:t>
            </w:r>
          </w:p>
        </w:tc>
      </w:tr>
    </w:tbl>
    <w:p>
      <w:pPr>
        <w:pStyle w:val="BodyText"/>
        <w:spacing w:line="240" w:lineRule="auto" w:before="53"/>
        <w:ind w:right="0"/>
        <w:jc w:val="left"/>
      </w:pPr>
      <w:r>
        <w:rPr>
          <w:spacing w:val="-3"/>
        </w:rPr>
        <w:t>主要供应商其他情况说明</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8"/>
        <w:gridCol w:w="1637"/>
        <w:gridCol w:w="1460"/>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2"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04"/>
        <w:gridCol w:w="1650"/>
        <w:gridCol w:w="1637"/>
        <w:gridCol w:w="1460"/>
        <w:gridCol w:w="2919"/>
      </w:tblGrid>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139,478,340.28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168,594,156.31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-17.27%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110,131,335.15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97,978,573.65</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12.40%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61,929,836.25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52,937,786.18</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16.99%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34,324,047.25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30,355,098.04</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13.08%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101"/>
        <w:ind w:right="1122" w:firstLine="427"/>
        <w:jc w:val="both"/>
      </w:pPr>
      <w:r>
        <w:rPr>
          <w:spacing w:val="-3"/>
        </w:rPr>
        <w:t>公司自成立至今，在长期的发展过程中明确了</w:t>
      </w:r>
      <w:r>
        <w:rPr>
          <w:rFonts w:ascii="Times New Roman" w:hAnsi="Times New Roman" w:cs="Times New Roman" w:eastAsia="Times New Roman" w:hint="default"/>
          <w:spacing w:val="-3"/>
        </w:rPr>
        <w:t>“</w:t>
      </w:r>
      <w:r>
        <w:rPr>
          <w:spacing w:val="-3"/>
        </w:rPr>
        <w:t>专注户外、领先半步</w:t>
      </w:r>
      <w:r>
        <w:rPr>
          <w:rFonts w:ascii="Times New Roman" w:hAnsi="Times New Roman" w:cs="Times New Roman" w:eastAsia="Times New Roman" w:hint="default"/>
          <w:spacing w:val="-3"/>
        </w:rPr>
        <w:t>”</w:t>
      </w:r>
      <w:r>
        <w:rPr>
          <w:spacing w:val="-3"/>
        </w:rPr>
        <w:t>的研发战略，本着</w:t>
      </w:r>
      <w:r>
        <w:rPr>
          <w:rFonts w:ascii="Times New Roman" w:hAnsi="Times New Roman" w:cs="Times New Roman" w:eastAsia="Times New Roman" w:hint="default"/>
          <w:spacing w:val="-3"/>
        </w:rPr>
        <w:t>“</w:t>
      </w:r>
      <w:r>
        <w:rPr>
          <w:spacing w:val="-3"/>
        </w:rPr>
        <w:t>生产一代、储备一代、研发一</w:t>
      </w:r>
      <w:r>
        <w:rPr>
          <w:w w:val="101"/>
        </w:rPr>
        <w:t> </w:t>
      </w:r>
      <w:r>
        <w:rPr>
          <w:spacing w:val="-3"/>
        </w:rPr>
        <w:t>代</w:t>
      </w:r>
      <w:r>
        <w:rPr>
          <w:rFonts w:ascii="Times New Roman" w:hAnsi="Times New Roman" w:cs="Times New Roman" w:eastAsia="Times New Roman" w:hint="default"/>
          <w:spacing w:val="-3"/>
        </w:rPr>
        <w:t>”</w:t>
      </w:r>
      <w:r>
        <w:rPr>
          <w:spacing w:val="-3"/>
        </w:rPr>
        <w:t>的原则，进行适度前瞻性的技术研究和产品研发，使公司在相关研究领域内的技术处于国内领先水平，巩固公司在行业</w:t>
      </w:r>
      <w:r>
        <w:rPr>
          <w:spacing w:val="65"/>
        </w:rPr>
        <w:t> </w:t>
      </w:r>
      <w:r>
        <w:rPr>
          <w:spacing w:val="65"/>
        </w:rPr>
      </w:r>
      <w:r>
        <w:rPr>
          <w:spacing w:val="-3"/>
        </w:rPr>
        <w:t>内的领先地位。</w:t>
      </w:r>
    </w:p>
    <w:p>
      <w:pPr>
        <w:pStyle w:val="BodyText"/>
        <w:spacing w:line="240" w:lineRule="auto" w:before="74"/>
        <w:ind w:left="3173" w:right="0"/>
        <w:jc w:val="left"/>
      </w:pPr>
      <w:r>
        <w:rPr>
          <w:spacing w:val="-3"/>
        </w:rPr>
        <w:t>近三年公司研发投入金额及占营业收入的比例</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097"/>
        <w:gridCol w:w="2139"/>
        <w:gridCol w:w="2022"/>
        <w:gridCol w:w="2036"/>
      </w:tblGrid>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研发人员数量（人）</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332</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312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323</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19.89%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19.99%</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19.80%</w:t>
            </w:r>
          </w:p>
        </w:tc>
      </w:tr>
      <w:tr>
        <w:trPr>
          <w:trHeight w:val="398"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研发投入金额（元）</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146,024,544.57</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116,492,362.67</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142,599,684.36</w:t>
            </w:r>
          </w:p>
        </w:tc>
      </w:tr>
      <w:tr>
        <w:trPr>
          <w:trHeight w:val="404"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研发投入占营业收入比例</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7.71%</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6.76%</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研发支出资本化的金额（元）</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12,922,381.69</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17,678,831.66</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20,908,897.78</w:t>
            </w:r>
          </w:p>
        </w:tc>
      </w:tr>
      <w:tr>
        <w:trPr>
          <w:trHeight w:val="403"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资本化研发支出占研发投入的比例</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8.85%</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15.18%</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14.66%</w:t>
            </w:r>
          </w:p>
        </w:tc>
      </w:tr>
      <w:tr>
        <w:trPr>
          <w:trHeight w:val="398" w:hRule="exact"/>
        </w:trPr>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资本化研发支出占当期净利润的比重</w:t>
            </w:r>
          </w:p>
        </w:tc>
        <w:tc>
          <w:tcPr>
            <w:tcW w:w="213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20.65%</w:t>
            </w:r>
          </w:p>
        </w:tc>
        <w:tc>
          <w:tcPr>
            <w:tcW w:w="2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31.90%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14.83%</w:t>
            </w:r>
          </w:p>
        </w:tc>
      </w:tr>
    </w:tbl>
    <w:p>
      <w:pPr>
        <w:pStyle w:val="BodyText"/>
        <w:spacing w:line="240" w:lineRule="auto" w:before="53"/>
        <w:ind w:right="0"/>
        <w:jc w:val="left"/>
      </w:pPr>
      <w:r>
        <w:rPr>
          <w:spacing w:val="-3"/>
        </w:rPr>
        <w:t>研发投入总额占营业收入的比重较上年发生显著变化的原因</w:t>
      </w:r>
    </w:p>
    <w:p>
      <w:pPr>
        <w:pStyle w:val="BodyText"/>
        <w:spacing w:line="338" w:lineRule="auto" w:before="120"/>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研发投入资本化率大幅变动的原因及其合理性说明</w: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2406"/>
        <w:gridCol w:w="2391"/>
        <w:gridCol w:w="2161"/>
      </w:tblGrid>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1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1,680,808,068.81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2,069,820,901.42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-18.79%</w:t>
            </w: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1,471,918,337.29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2,251,704,139.86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-34.63%</w:t>
            </w:r>
          </w:p>
        </w:tc>
      </w:tr>
      <w:tr>
        <w:trPr>
          <w:trHeight w:val="398"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24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208,889,731.52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-181,883,238.44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214.85%</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131,329,873.17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222,476,237.04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-40.97%</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345,084,221.77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593,556,870.74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-41.86%</w:t>
            </w: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24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-213,754,348.60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-371,080,633.70</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42.40%</w:t>
            </w:r>
          </w:p>
        </w:tc>
      </w:tr>
      <w:tr>
        <w:trPr>
          <w:trHeight w:val="398"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1,051,075,285.14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1,207,332,789.53</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-12.94%</w:t>
            </w:r>
          </w:p>
        </w:tc>
      </w:tr>
      <w:tr>
        <w:trPr>
          <w:trHeight w:val="403"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1,218,663,175.13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644,150,572.75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89.19%</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94"/>
        <w:gridCol w:w="2396"/>
        <w:gridCol w:w="2391"/>
        <w:gridCol w:w="2161"/>
      </w:tblGrid>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-167,587,889.99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563,182,216.78</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-129.76%</w:t>
            </w:r>
          </w:p>
        </w:tc>
      </w:tr>
      <w:tr>
        <w:trPr>
          <w:trHeight w:val="403" w:hRule="exact"/>
        </w:trPr>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-172,174,713.66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10,734,788.45</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-1,703.89%</w:t>
            </w:r>
          </w:p>
        </w:tc>
      </w:tr>
    </w:tbl>
    <w:p>
      <w:pPr>
        <w:pStyle w:val="BodyText"/>
        <w:spacing w:line="240" w:lineRule="auto" w:before="53"/>
        <w:ind w:right="0"/>
        <w:jc w:val="left"/>
      </w:pPr>
      <w:r>
        <w:rPr>
          <w:spacing w:val="-3"/>
        </w:rPr>
        <w:t>相关数据同比发生重大变动的主要影响因素说明</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right="0"/>
        <w:jc w:val="left"/>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   </w:t>
      </w:r>
      <w:r>
        <w:rPr>
          <w:rFonts w:ascii="Times New Roman" w:hAnsi="Times New Roman" w:cs="Times New Roman" w:eastAsia="Times New Roman" w:hint="default"/>
          <w:spacing w:val="8"/>
        </w:rPr>
        <w:t> </w:t>
      </w:r>
      <w:r>
        <w:rPr>
          <w:spacing w:val="-3"/>
        </w:rPr>
        <w:t>年经营活动产生的现金流量净额变动原因：报告期内公司销售规模减少、税率调整所致。</w:t>
      </w:r>
    </w:p>
    <w:p>
      <w:pPr>
        <w:pStyle w:val="BodyText"/>
        <w:spacing w:line="240" w:lineRule="auto" w:before="63"/>
        <w:ind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   </w:t>
      </w:r>
      <w:r>
        <w:rPr>
          <w:rFonts w:ascii="Times New Roman" w:hAnsi="Times New Roman" w:cs="Times New Roman" w:eastAsia="Times New Roman" w:hint="default"/>
          <w:spacing w:val="31"/>
        </w:rPr>
        <w:t> </w:t>
      </w:r>
      <w:r>
        <w:rPr>
          <w:spacing w:val="-3"/>
        </w:rPr>
        <w:t>年投资活动产生的现金流量净额变动原因：购建固定资产、无形资产和其他长期资产支付的现金减少所致。</w:t>
      </w:r>
    </w:p>
    <w:p>
      <w:pPr>
        <w:pStyle w:val="BodyText"/>
        <w:spacing w:line="343" w:lineRule="auto" w:before="63"/>
        <w:ind w:right="0"/>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 </w:t>
      </w:r>
      <w:r>
        <w:rPr>
          <w:spacing w:val="-3"/>
        </w:rPr>
        <w:t>年筹资活动产生的现金流量净额变动原因：报告期内公司偿还到期贷款所致。</w:t>
      </w:r>
      <w:r>
        <w:rPr>
          <w:spacing w:val="-49"/>
        </w:rPr>
        <w:t> </w:t>
      </w:r>
      <w:r>
        <w:rPr>
          <w:spacing w:val="-49"/>
        </w:rPr>
      </w:r>
      <w:r>
        <w:rPr>
          <w:spacing w:val="-3"/>
        </w:rPr>
        <w:t>报告期内公司经营活动产生的现金净流量与本年度净利润存在重大差异的原因说明</w:t>
      </w:r>
    </w:p>
    <w:p>
      <w:pPr>
        <w:pStyle w:val="BodyText"/>
        <w:spacing w:line="343" w:lineRule="auto" w:before="38"/>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主要是由于当年收回历史欠款所致</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7"/>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1" w:footer="979" w:top="1060" w:bottom="1160" w:left="980" w:right="0"/>
        </w:sectPr>
      </w:pPr>
    </w:p>
    <w:p>
      <w:pPr>
        <w:pStyle w:val="BodyText"/>
        <w:spacing w:line="240" w:lineRule="auto" w:before="46"/>
        <w:ind w:right="-14"/>
        <w:jc w:val="left"/>
      </w:pPr>
      <w:r>
        <w:rPr/>
        <w:t>公司 </w:t>
      </w:r>
      <w:r>
        <w:rPr>
          <w:rFonts w:ascii="Times New Roman" w:hAnsi="Times New Roman" w:cs="Times New Roman" w:eastAsia="Times New Roman" w:hint="default"/>
        </w:rPr>
        <w:t>2019 </w:t>
      </w:r>
      <w:r>
        <w:rPr>
          <w:rFonts w:ascii="Times New Roman" w:hAnsi="Times New Roman" w:cs="Times New Roman" w:eastAsia="Times New Roman" w:hint="default"/>
          <w:spacing w:val="37"/>
        </w:rPr>
        <w:t> </w:t>
      </w:r>
      <w:r>
        <w:rPr>
          <w:spacing w:val="-3"/>
        </w:rPr>
        <w:t>年起首次执行新金融工具准则、新收入准则或新租赁准则且调整执行当年年初财务报表相关项目</w:t>
      </w:r>
    </w:p>
    <w:p>
      <w:pPr>
        <w:pStyle w:val="BodyText"/>
        <w:spacing w:line="240" w:lineRule="auto" w:before="101"/>
        <w:ind w:right="-1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31" w:space="390"/>
            <w:col w:w="2009"/>
          </w:cols>
        </w:sectPr>
      </w:pPr>
    </w:p>
    <w:p>
      <w:pPr>
        <w:spacing w:line="240" w:lineRule="auto" w:before="8"/>
        <w:rPr>
          <w:rFonts w:ascii="宋体" w:hAnsi="宋体" w:cs="宋体" w:eastAsia="宋体" w:hint="default"/>
          <w:sz w:val="7"/>
          <w:szCs w:val="7"/>
        </w:rPr>
      </w:pPr>
    </w:p>
    <w:tbl>
      <w:tblPr>
        <w:tblW w:w="0" w:type="auto"/>
        <w:jc w:val="left"/>
        <w:tblInd w:w="755" w:type="dxa"/>
        <w:tblLayout w:type="fixed"/>
        <w:tblCellMar>
          <w:top w:w="0" w:type="dxa"/>
          <w:left w:w="0" w:type="dxa"/>
          <w:bottom w:w="0" w:type="dxa"/>
          <w:right w:w="0" w:type="dxa"/>
        </w:tblCellMar>
        <w:tblLook w:val="01E0"/>
      </w:tblPr>
      <w:tblGrid>
        <w:gridCol w:w="1345"/>
        <w:gridCol w:w="1703"/>
        <w:gridCol w:w="1172"/>
        <w:gridCol w:w="1748"/>
        <w:gridCol w:w="1258"/>
        <w:gridCol w:w="1215"/>
      </w:tblGrid>
      <w:tr>
        <w:trPr>
          <w:trHeight w:val="206"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7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年末</w:t>
            </w:r>
            <w:r>
              <w:rPr>
                <w:rFonts w:ascii="宋体" w:hAnsi="宋体" w:cs="宋体" w:eastAsia="宋体" w:hint="default"/>
                <w:sz w:val="18"/>
                <w:szCs w:val="18"/>
              </w:rPr>
            </w:r>
          </w:p>
        </w:tc>
        <w:tc>
          <w:tcPr>
            <w:tcW w:w="300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年初</w:t>
            </w:r>
            <w:r>
              <w:rPr>
                <w:rFonts w:ascii="宋体" w:hAnsi="宋体" w:cs="宋体" w:eastAsia="宋体" w:hint="default"/>
                <w:sz w:val="18"/>
                <w:szCs w:val="18"/>
              </w:rPr>
            </w:r>
          </w:p>
        </w:tc>
        <w:tc>
          <w:tcPr>
            <w:tcW w:w="121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345" w:type="dxa"/>
            <w:vMerge w:val="restart"/>
            <w:tcBorders>
              <w:top w:val="nil" w:sz="6" w:space="0" w:color="auto"/>
              <w:left w:val="single" w:sz="4" w:space="0" w:color="000000"/>
              <w:right w:val="single" w:sz="4" w:space="0" w:color="000000"/>
            </w:tcBorders>
            <w:shd w:val="clear" w:color="auto" w:fill="D2D2D2"/>
          </w:tcPr>
          <w:p>
            <w:pPr/>
          </w:p>
        </w:tc>
        <w:tc>
          <w:tcPr>
            <w:tcW w:w="2874" w:type="dxa"/>
            <w:gridSpan w:val="2"/>
            <w:vMerge/>
            <w:tcBorders>
              <w:left w:val="single" w:sz="4" w:space="0" w:color="000000"/>
              <w:bottom w:val="single" w:sz="4" w:space="0" w:color="000000"/>
              <w:right w:val="single" w:sz="4" w:space="0" w:color="000000"/>
            </w:tcBorders>
            <w:shd w:val="clear" w:color="auto" w:fill="D2D2D2"/>
          </w:tcPr>
          <w:p>
            <w:pPr/>
          </w:p>
        </w:tc>
        <w:tc>
          <w:tcPr>
            <w:tcW w:w="3006" w:type="dxa"/>
            <w:gridSpan w:val="2"/>
            <w:vMerge/>
            <w:tcBorders>
              <w:left w:val="single" w:sz="4" w:space="0" w:color="000000"/>
              <w:bottom w:val="single" w:sz="4" w:space="0" w:color="000000"/>
              <w:right w:val="single" w:sz="4" w:space="0" w:color="000000"/>
            </w:tcBorders>
            <w:shd w:val="clear" w:color="auto" w:fill="D2D2D2"/>
          </w:tcPr>
          <w:p>
            <w:pPr/>
          </w:p>
        </w:tc>
        <w:tc>
          <w:tcPr>
            <w:tcW w:w="12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44" w:right="0"/>
              <w:jc w:val="left"/>
              <w:rPr>
                <w:rFonts w:ascii="宋体" w:hAnsi="宋体" w:cs="宋体" w:eastAsia="宋体" w:hint="default"/>
                <w:sz w:val="18"/>
                <w:szCs w:val="18"/>
              </w:rPr>
            </w:pPr>
            <w:r>
              <w:rPr>
                <w:rFonts w:ascii="宋体" w:hAnsi="宋体" w:cs="宋体" w:eastAsia="宋体" w:hint="default"/>
                <w:sz w:val="18"/>
                <w:szCs w:val="18"/>
              </w:rPr>
              <w:t>比重增减</w:t>
            </w:r>
          </w:p>
        </w:tc>
      </w:tr>
      <w:tr>
        <w:trPr>
          <w:trHeight w:val="197"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7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38"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86"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21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3" w:type="dxa"/>
            <w:vMerge/>
            <w:tcBorders>
              <w:left w:val="single" w:sz="4" w:space="0" w:color="000000"/>
              <w:bottom w:val="single" w:sz="4" w:space="0" w:color="000000"/>
              <w:right w:val="single" w:sz="4" w:space="0" w:color="000000"/>
            </w:tcBorders>
            <w:shd w:val="clear" w:color="auto" w:fill="D2D2D2"/>
          </w:tcPr>
          <w:p>
            <w:pPr/>
          </w:p>
        </w:tc>
        <w:tc>
          <w:tcPr>
            <w:tcW w:w="1172" w:type="dxa"/>
            <w:vMerge/>
            <w:tcBorders>
              <w:left w:val="single" w:sz="4" w:space="0" w:color="000000"/>
              <w:bottom w:val="single" w:sz="4" w:space="0" w:color="000000"/>
              <w:right w:val="single" w:sz="4" w:space="0" w:color="000000"/>
            </w:tcBorders>
            <w:shd w:val="clear" w:color="auto" w:fill="D2D2D2"/>
          </w:tcPr>
          <w:p>
            <w:pPr/>
          </w:p>
        </w:tc>
        <w:tc>
          <w:tcPr>
            <w:tcW w:w="1748" w:type="dxa"/>
            <w:vMerge/>
            <w:tcBorders>
              <w:left w:val="single" w:sz="4" w:space="0" w:color="000000"/>
              <w:bottom w:val="single" w:sz="4" w:space="0" w:color="000000"/>
              <w:right w:val="single" w:sz="4" w:space="0" w:color="000000"/>
            </w:tcBorders>
            <w:shd w:val="clear" w:color="auto" w:fill="D2D2D2"/>
          </w:tcPr>
          <w:p>
            <w:pPr/>
          </w:p>
        </w:tc>
        <w:tc>
          <w:tcPr>
            <w:tcW w:w="1258" w:type="dxa"/>
            <w:vMerge/>
            <w:tcBorders>
              <w:left w:val="single" w:sz="4" w:space="0" w:color="000000"/>
              <w:bottom w:val="single" w:sz="4" w:space="0" w:color="000000"/>
              <w:right w:val="single" w:sz="4" w:space="0" w:color="000000"/>
            </w:tcBorders>
            <w:shd w:val="clear" w:color="auto" w:fill="D2D2D2"/>
          </w:tcPr>
          <w:p>
            <w:pPr/>
          </w:p>
        </w:tc>
        <w:tc>
          <w:tcPr>
            <w:tcW w:w="121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161,104,760.68</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302,221,818.23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6.46%</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-2.97%</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1,275,235,940.31</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27.59%</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1,222,601,969.89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26.12%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1.47%</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673,524,632.04</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14.57%</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754,796,963.10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16.13%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-1.56%</w:t>
            </w:r>
          </w:p>
        </w:tc>
      </w:tr>
      <w:tr>
        <w:trPr>
          <w:trHeight w:val="399"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617,521,390.36</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13.36%</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488,863,273.83</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10.44%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2.92%</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626,189,690.73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13.55%</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647,397,311.81</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13.83%</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-0.28%</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293,218,557.03</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6.34%</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151,863,447.60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3.24%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909,492,953.95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19.68%</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1,063,499,715.00</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22.72%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-3.04%</w:t>
            </w:r>
          </w:p>
        </w:tc>
      </w:tr>
      <w:tr>
        <w:trPr>
          <w:trHeight w:val="399"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7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5,321,373.25</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0.12%</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40,676,232.49</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0.87%</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-0.75%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6"/>
          <w:szCs w:val="26"/>
        </w:rPr>
      </w:pPr>
    </w:p>
    <w:tbl>
      <w:tblPr>
        <w:tblW w:w="0" w:type="auto"/>
        <w:jc w:val="left"/>
        <w:tblInd w:w="570" w:type="dxa"/>
        <w:tblLayout w:type="fixed"/>
        <w:tblCellMar>
          <w:top w:w="0" w:type="dxa"/>
          <w:left w:w="0" w:type="dxa"/>
          <w:bottom w:w="0" w:type="dxa"/>
          <w:right w:w="0" w:type="dxa"/>
        </w:tblCellMar>
        <w:tblLook w:val="01E0"/>
      </w:tblPr>
      <w:tblGrid>
        <w:gridCol w:w="2406"/>
        <w:gridCol w:w="2555"/>
        <w:gridCol w:w="3827"/>
      </w:tblGrid>
      <w:tr>
        <w:trPr>
          <w:trHeight w:val="415" w:hRule="exact"/>
        </w:trPr>
        <w:tc>
          <w:tcPr>
            <w:tcW w:w="2406"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555"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pacing w:val="-3"/>
                <w:sz w:val="18"/>
                <w:szCs w:val="18"/>
              </w:rPr>
              <w:t>期末账面价值（元）</w:t>
            </w:r>
          </w:p>
        </w:tc>
        <w:tc>
          <w:tcPr>
            <w:tcW w:w="3827"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8"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96,673,340.62</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银行承兑票据保证金、保函保证金等</w:t>
            </w:r>
          </w:p>
        </w:tc>
      </w:tr>
      <w:tr>
        <w:trPr>
          <w:trHeight w:val="427"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22,100,000.00</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商业承兑票据质押</w:t>
            </w:r>
          </w:p>
        </w:tc>
      </w:tr>
      <w:tr>
        <w:trPr>
          <w:trHeight w:val="427"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10,000,000.00</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银行承兑票据质押</w:t>
            </w:r>
          </w:p>
        </w:tc>
      </w:tr>
      <w:tr>
        <w:trPr>
          <w:trHeight w:val="427"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1,811,928.43</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应收账款质押</w:t>
            </w:r>
          </w:p>
        </w:tc>
      </w:tr>
      <w:tr>
        <w:trPr>
          <w:trHeight w:val="428"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10,000,000.00</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银行承兑票据保证金</w:t>
            </w:r>
          </w:p>
        </w:tc>
      </w:tr>
      <w:tr>
        <w:trPr>
          <w:trHeight w:val="422"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72,313,828.41</w:t>
            </w:r>
          </w:p>
        </w:tc>
        <w:tc>
          <w:tcPr>
            <w:tcW w:w="3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固定资产抵押</w:t>
            </w:r>
          </w:p>
        </w:tc>
      </w:tr>
      <w:tr>
        <w:trPr>
          <w:trHeight w:val="432" w:hRule="exact"/>
        </w:trPr>
        <w:tc>
          <w:tcPr>
            <w:tcW w:w="2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Times New Roman" w:hAnsi="Times New Roman" w:cs="Times New Roman" w:eastAsia="Times New Roman" w:hint="default"/>
                <w:sz w:val="18"/>
                <w:szCs w:val="18"/>
              </w:rPr>
            </w:pPr>
            <w:r>
              <w:rPr>
                <w:rFonts w:ascii="Times New Roman"/>
                <w:sz w:val="18"/>
              </w:rPr>
              <w:t>212,899,097.46</w:t>
            </w:r>
          </w:p>
        </w:tc>
        <w:tc>
          <w:tcPr>
            <w:tcW w:w="382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报告期投资额（元）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124,083,528.38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36" w:right="0"/>
              <w:jc w:val="left"/>
              <w:rPr>
                <w:rFonts w:ascii="Times New Roman" w:hAnsi="Times New Roman" w:cs="Times New Roman" w:eastAsia="Times New Roman" w:hint="default"/>
                <w:sz w:val="18"/>
                <w:szCs w:val="18"/>
              </w:rPr>
            </w:pPr>
            <w:r>
              <w:rPr>
                <w:rFonts w:ascii="Times New Roman"/>
                <w:sz w:val="18"/>
              </w:rPr>
              <w:t>334,494,412.50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-62.90%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0"/>
        <w:gridCol w:w="734"/>
        <w:gridCol w:w="735"/>
        <w:gridCol w:w="725"/>
      </w:tblGrid>
      <w:tr>
        <w:trPr>
          <w:trHeight w:val="1025"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71" w:right="69"/>
              <w:jc w:val="center"/>
              <w:rPr>
                <w:rFonts w:ascii="宋体" w:hAnsi="宋体" w:cs="宋体" w:eastAsia="宋体" w:hint="default"/>
                <w:sz w:val="18"/>
                <w:szCs w:val="18"/>
              </w:rPr>
            </w:pPr>
            <w:r>
              <w:rPr>
                <w:rFonts w:ascii="宋体" w:hAnsi="宋体" w:cs="宋体" w:eastAsia="宋体" w:hint="default"/>
                <w:spacing w:val="-2"/>
                <w:sz w:val="18"/>
                <w:szCs w:val="18"/>
              </w:rPr>
              <w:t>被投资</w:t>
            </w:r>
            <w:r>
              <w:rPr>
                <w:rFonts w:ascii="宋体" w:hAnsi="宋体" w:cs="宋体" w:eastAsia="宋体" w:hint="default"/>
                <w:w w:val="101"/>
                <w:sz w:val="18"/>
                <w:szCs w:val="18"/>
              </w:rPr>
              <w:t> </w:t>
            </w:r>
            <w:r>
              <w:rPr>
                <w:rFonts w:ascii="宋体" w:hAnsi="宋体" w:cs="宋体" w:eastAsia="宋体" w:hint="default"/>
                <w:spacing w:val="-2"/>
                <w:sz w:val="18"/>
                <w:szCs w:val="18"/>
              </w:rPr>
              <w:t>公司名</w:t>
            </w:r>
            <w:r>
              <w:rPr>
                <w:rFonts w:ascii="宋体" w:hAnsi="宋体" w:cs="宋体" w:eastAsia="宋体" w:hint="default"/>
                <w:w w:val="101"/>
                <w:sz w:val="18"/>
                <w:szCs w:val="18"/>
              </w:rPr>
              <w:t> </w:t>
            </w:r>
            <w:r>
              <w:rPr>
                <w:rFonts w:ascii="宋体" w:hAnsi="宋体" w:cs="宋体" w:eastAsia="宋体" w:hint="default"/>
                <w:sz w:val="18"/>
                <w:szCs w:val="18"/>
              </w:rPr>
              <w:t>称</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54" w:right="65" w:hanging="183"/>
              <w:jc w:val="left"/>
              <w:rPr>
                <w:rFonts w:ascii="宋体" w:hAnsi="宋体" w:cs="宋体" w:eastAsia="宋体" w:hint="default"/>
                <w:sz w:val="18"/>
                <w:szCs w:val="18"/>
              </w:rPr>
            </w:pPr>
            <w:r>
              <w:rPr>
                <w:rFonts w:ascii="宋体" w:hAnsi="宋体" w:cs="宋体" w:eastAsia="宋体" w:hint="default"/>
                <w:sz w:val="18"/>
                <w:szCs w:val="18"/>
              </w:rPr>
              <w:t>主要业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投资方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式</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投资金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1" w:hanging="178"/>
              <w:jc w:val="left"/>
              <w:rPr>
                <w:rFonts w:ascii="宋体" w:hAnsi="宋体" w:cs="宋体" w:eastAsia="宋体" w:hint="default"/>
                <w:sz w:val="18"/>
                <w:szCs w:val="18"/>
              </w:rPr>
            </w:pPr>
            <w:r>
              <w:rPr>
                <w:rFonts w:ascii="宋体" w:hAnsi="宋体" w:cs="宋体" w:eastAsia="宋体" w:hint="default"/>
                <w:sz w:val="18"/>
                <w:szCs w:val="18"/>
              </w:rPr>
              <w:t>持股比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0"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52"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45" w:hanging="183"/>
              <w:jc w:val="left"/>
              <w:rPr>
                <w:rFonts w:ascii="宋体" w:hAnsi="宋体" w:cs="宋体" w:eastAsia="宋体" w:hint="default"/>
                <w:sz w:val="18"/>
                <w:szCs w:val="18"/>
              </w:rPr>
            </w:pPr>
            <w:r>
              <w:rPr>
                <w:rFonts w:ascii="宋体" w:hAnsi="宋体" w:cs="宋体" w:eastAsia="宋体" w:hint="default"/>
                <w:sz w:val="18"/>
                <w:szCs w:val="18"/>
              </w:rPr>
              <w:t>投资期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35" w:right="51" w:hanging="183"/>
              <w:jc w:val="left"/>
              <w:rPr>
                <w:rFonts w:ascii="宋体" w:hAnsi="宋体" w:cs="宋体" w:eastAsia="宋体" w:hint="default"/>
                <w:sz w:val="18"/>
                <w:szCs w:val="18"/>
              </w:rPr>
            </w:pPr>
            <w:r>
              <w:rPr>
                <w:rFonts w:ascii="宋体" w:hAnsi="宋体" w:cs="宋体" w:eastAsia="宋体" w:hint="default"/>
                <w:sz w:val="18"/>
                <w:szCs w:val="18"/>
              </w:rPr>
              <w:t>产品类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型</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20" w:right="36" w:hanging="183"/>
              <w:jc w:val="left"/>
              <w:rPr>
                <w:rFonts w:ascii="宋体" w:hAnsi="宋体" w:cs="宋体" w:eastAsia="宋体" w:hint="default"/>
                <w:sz w:val="18"/>
                <w:szCs w:val="18"/>
              </w:rPr>
            </w:pPr>
            <w:r>
              <w:rPr>
                <w:rFonts w:ascii="宋体" w:hAnsi="宋体" w:cs="宋体" w:eastAsia="宋体" w:hint="default"/>
                <w:sz w:val="18"/>
                <w:szCs w:val="18"/>
              </w:rPr>
              <w:t>预计收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益</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95" w:right="89"/>
              <w:jc w:val="left"/>
              <w:rPr>
                <w:rFonts w:ascii="宋体" w:hAnsi="宋体" w:cs="宋体" w:eastAsia="宋体" w:hint="default"/>
                <w:sz w:val="18"/>
                <w:szCs w:val="18"/>
              </w:rPr>
            </w:pPr>
            <w:r>
              <w:rPr>
                <w:rFonts w:ascii="宋体" w:hAnsi="宋体" w:cs="宋体" w:eastAsia="宋体" w:hint="default"/>
                <w:sz w:val="18"/>
                <w:szCs w:val="18"/>
              </w:rPr>
              <w:t>本期投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资盈亏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73" w:right="89" w:hanging="183"/>
              <w:jc w:val="left"/>
              <w:rPr>
                <w:rFonts w:ascii="宋体" w:hAnsi="宋体" w:cs="宋体" w:eastAsia="宋体" w:hint="default"/>
                <w:sz w:val="18"/>
                <w:szCs w:val="18"/>
              </w:rPr>
            </w:pPr>
            <w:r>
              <w:rPr>
                <w:rFonts w:ascii="宋体" w:hAnsi="宋体" w:cs="宋体" w:eastAsia="宋体" w:hint="default"/>
                <w:sz w:val="18"/>
                <w:szCs w:val="18"/>
              </w:rPr>
              <w:t>是否涉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诉</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91" w:right="89"/>
              <w:jc w:val="both"/>
              <w:rPr>
                <w:rFonts w:ascii="宋体" w:hAnsi="宋体" w:cs="宋体" w:eastAsia="宋体" w:hint="default"/>
                <w:sz w:val="18"/>
                <w:szCs w:val="18"/>
              </w:rPr>
            </w:pPr>
            <w:r>
              <w:rPr>
                <w:rFonts w:ascii="宋体" w:hAnsi="宋体" w:cs="宋体" w:eastAsia="宋体" w:hint="default"/>
                <w:sz w:val="18"/>
                <w:szCs w:val="18"/>
              </w:rPr>
              <w:t>披露日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86" w:right="84"/>
              <w:jc w:val="both"/>
              <w:rPr>
                <w:rFonts w:ascii="宋体" w:hAnsi="宋体" w:cs="宋体" w:eastAsia="宋体" w:hint="default"/>
                <w:sz w:val="18"/>
                <w:szCs w:val="18"/>
              </w:rPr>
            </w:pPr>
            <w:r>
              <w:rPr>
                <w:rFonts w:ascii="宋体" w:hAnsi="宋体" w:cs="宋体" w:eastAsia="宋体" w:hint="default"/>
                <w:sz w:val="18"/>
                <w:szCs w:val="18"/>
              </w:rPr>
              <w:t>披露索</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引（如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w:t>
            </w:r>
          </w:p>
        </w:tc>
      </w:tr>
      <w:tr>
        <w:trPr>
          <w:trHeight w:val="3836"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319" w:lineRule="auto"/>
              <w:ind w:left="24" w:right="117"/>
              <w:jc w:val="both"/>
              <w:rPr>
                <w:rFonts w:ascii="宋体" w:hAnsi="宋体" w:cs="宋体" w:eastAsia="宋体" w:hint="default"/>
                <w:sz w:val="18"/>
                <w:szCs w:val="18"/>
              </w:rPr>
            </w:pPr>
            <w:r>
              <w:rPr>
                <w:rFonts w:ascii="宋体" w:hAnsi="宋体" w:cs="宋体" w:eastAsia="宋体" w:hint="default"/>
                <w:sz w:val="18"/>
                <w:szCs w:val="18"/>
              </w:rPr>
              <w:t>上海合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纵电力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物联网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科技有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9" w:lineRule="auto"/>
              <w:ind w:left="23" w:right="12"/>
              <w:jc w:val="left"/>
              <w:rPr>
                <w:rFonts w:ascii="宋体" w:hAnsi="宋体" w:cs="宋体" w:eastAsia="宋体" w:hint="default"/>
                <w:sz w:val="18"/>
                <w:szCs w:val="18"/>
              </w:rPr>
            </w:pPr>
            <w:r>
              <w:rPr>
                <w:rFonts w:ascii="宋体" w:hAnsi="宋体" w:cs="宋体" w:eastAsia="宋体" w:hint="default"/>
                <w:sz w:val="18"/>
                <w:szCs w:val="18"/>
              </w:rPr>
              <w:t>自动化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w w:val="101"/>
                <w:sz w:val="18"/>
                <w:szCs w:val="18"/>
              </w:rPr>
              <w:t>科技、安</w:t>
            </w:r>
            <w:r>
              <w:rPr>
                <w:rFonts w:ascii="宋体" w:hAnsi="宋体" w:cs="宋体" w:eastAsia="宋体" w:hint="default"/>
                <w:w w:val="101"/>
                <w:sz w:val="18"/>
                <w:szCs w:val="18"/>
              </w:rPr>
              <w:t> </w:t>
            </w:r>
            <w:r>
              <w:rPr>
                <w:rFonts w:ascii="宋体" w:hAnsi="宋体" w:cs="宋体" w:eastAsia="宋体" w:hint="default"/>
                <w:sz w:val="18"/>
                <w:szCs w:val="18"/>
              </w:rPr>
              <w:t>防设备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2"/>
                <w:w w:val="101"/>
                <w:sz w:val="18"/>
                <w:szCs w:val="18"/>
              </w:rPr>
              <w:t>科技、物</w:t>
            </w:r>
            <w:r>
              <w:rPr>
                <w:rFonts w:ascii="宋体" w:hAnsi="宋体" w:cs="宋体" w:eastAsia="宋体" w:hint="default"/>
                <w:w w:val="101"/>
                <w:sz w:val="18"/>
                <w:szCs w:val="18"/>
              </w:rPr>
              <w:t> </w:t>
            </w:r>
            <w:r>
              <w:rPr>
                <w:rFonts w:ascii="宋体" w:hAnsi="宋体" w:cs="宋体" w:eastAsia="宋体" w:hint="default"/>
                <w:sz w:val="18"/>
                <w:szCs w:val="18"/>
              </w:rPr>
              <w:t>联网科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技领域</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4" w:right="84"/>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79"/>
              <w:jc w:val="left"/>
              <w:rPr>
                <w:rFonts w:ascii="宋体" w:hAnsi="宋体" w:cs="宋体" w:eastAsia="宋体" w:hint="default"/>
                <w:sz w:val="18"/>
                <w:szCs w:val="18"/>
              </w:rPr>
            </w:pPr>
            <w:r>
              <w:rPr>
                <w:rFonts w:ascii="宋体" w:hAnsi="宋体" w:cs="宋体" w:eastAsia="宋体" w:hint="default"/>
                <w:sz w:val="18"/>
                <w:szCs w:val="18"/>
              </w:rPr>
              <w:t>电子产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品、电</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气设</w:t>
            </w:r>
            <w:r>
              <w:rPr>
                <w:rFonts w:ascii="宋体" w:hAnsi="宋体" w:cs="宋体" w:eastAsia="宋体" w:hint="default"/>
                <w:spacing w:val="-86"/>
                <w:sz w:val="18"/>
                <w:szCs w:val="18"/>
              </w:rPr>
              <w:t> </w:t>
            </w:r>
            <w:r>
              <w:rPr>
                <w:rFonts w:ascii="宋体" w:hAnsi="宋体" w:cs="宋体" w:eastAsia="宋体" w:hint="default"/>
                <w:sz w:val="18"/>
                <w:szCs w:val="18"/>
              </w:rPr>
              <w:t>备、机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电设</w:t>
            </w:r>
            <w:r>
              <w:rPr>
                <w:rFonts w:ascii="宋体" w:hAnsi="宋体" w:cs="宋体" w:eastAsia="宋体" w:hint="default"/>
                <w:spacing w:val="-86"/>
                <w:sz w:val="18"/>
                <w:szCs w:val="18"/>
              </w:rPr>
              <w:t> </w:t>
            </w:r>
            <w:r>
              <w:rPr>
                <w:rFonts w:ascii="宋体" w:hAnsi="宋体" w:cs="宋体" w:eastAsia="宋体" w:hint="default"/>
                <w:sz w:val="18"/>
                <w:szCs w:val="18"/>
              </w:rPr>
              <w:t>备、通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信设</w:t>
            </w:r>
            <w:r>
              <w:rPr>
                <w:rFonts w:ascii="宋体" w:hAnsi="宋体" w:cs="宋体" w:eastAsia="宋体" w:hint="default"/>
                <w:spacing w:val="-86"/>
                <w:sz w:val="18"/>
                <w:szCs w:val="18"/>
              </w:rPr>
              <w:t> </w:t>
            </w:r>
            <w:r>
              <w:rPr>
                <w:rFonts w:ascii="宋体" w:hAnsi="宋体" w:cs="宋体" w:eastAsia="宋体" w:hint="default"/>
                <w:sz w:val="18"/>
                <w:szCs w:val="18"/>
              </w:rPr>
              <w:t>备、计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算机软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硬件及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辅助设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备等</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28</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21" w:lineRule="auto"/>
              <w:ind w:left="23" w:right="146"/>
              <w:jc w:val="left"/>
              <w:rPr>
                <w:rFonts w:ascii="宋体" w:hAnsi="宋体" w:cs="宋体" w:eastAsia="宋体" w:hint="default"/>
                <w:sz w:val="18"/>
                <w:szCs w:val="18"/>
              </w:rPr>
            </w:pPr>
            <w:r>
              <w:rPr>
                <w:rFonts w:ascii="宋体" w:hAnsi="宋体" w:cs="宋体" w:eastAsia="宋体" w:hint="default"/>
                <w:sz w:val="18"/>
                <w:szCs w:val="18"/>
              </w:rPr>
              <w:t>巨潮资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讯网</w:t>
            </w:r>
          </w:p>
        </w:tc>
      </w:tr>
      <w:tr>
        <w:trPr>
          <w:trHeight w:val="403"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43" w:right="0"/>
              <w:jc w:val="left"/>
              <w:rPr>
                <w:rFonts w:ascii="Times New Roman" w:hAnsi="Times New Roman" w:cs="Times New Roman" w:eastAsia="Times New Roman" w:hint="default"/>
                <w:sz w:val="18"/>
                <w:szCs w:val="18"/>
              </w:rPr>
            </w:pPr>
            <w:r>
              <w:rPr>
                <w:rFonts w:ascii="Times New Roman"/>
                <w:sz w:val="18"/>
              </w:rPr>
              <w:t>121,000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21.33%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自有资</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钴、铜</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巨潮资</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696"/>
        <w:gridCol w:w="692"/>
        <w:gridCol w:w="663"/>
        <w:gridCol w:w="662"/>
        <w:gridCol w:w="663"/>
        <w:gridCol w:w="662"/>
        <w:gridCol w:w="658"/>
        <w:gridCol w:w="653"/>
        <w:gridCol w:w="658"/>
        <w:gridCol w:w="629"/>
        <w:gridCol w:w="740"/>
        <w:gridCol w:w="734"/>
        <w:gridCol w:w="735"/>
        <w:gridCol w:w="725"/>
      </w:tblGrid>
      <w:tr>
        <w:trPr>
          <w:trHeight w:val="1297"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117"/>
              <w:jc w:val="both"/>
              <w:rPr>
                <w:rFonts w:ascii="宋体" w:hAnsi="宋体" w:cs="宋体" w:eastAsia="宋体" w:hint="default"/>
                <w:sz w:val="18"/>
                <w:szCs w:val="18"/>
              </w:rPr>
            </w:pPr>
            <w:r>
              <w:rPr>
                <w:rFonts w:ascii="宋体" w:hAnsi="宋体" w:cs="宋体" w:eastAsia="宋体" w:hint="default"/>
                <w:sz w:val="18"/>
                <w:szCs w:val="18"/>
              </w:rPr>
              <w:t>茂联科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692" w:type="dxa"/>
            <w:tcBorders>
              <w:top w:val="single" w:sz="4" w:space="0" w:color="000000"/>
              <w:left w:val="single" w:sz="4" w:space="0" w:color="000000"/>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91" w:right="0"/>
              <w:jc w:val="left"/>
              <w:rPr>
                <w:rFonts w:ascii="Times New Roman" w:hAnsi="Times New Roman" w:cs="Times New Roman" w:eastAsia="Times New Roman" w:hint="default"/>
                <w:sz w:val="18"/>
                <w:szCs w:val="18"/>
              </w:rPr>
            </w:pPr>
            <w:r>
              <w:rPr>
                <w:rFonts w:ascii="Times New Roman"/>
                <w:sz w:val="18"/>
              </w:rPr>
              <w:t>,000.00</w:t>
            </w:r>
          </w:p>
        </w:tc>
        <w:tc>
          <w:tcPr>
            <w:tcW w:w="66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658"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79"/>
              <w:jc w:val="both"/>
              <w:rPr>
                <w:rFonts w:ascii="宋体" w:hAnsi="宋体" w:cs="宋体" w:eastAsia="宋体" w:hint="default"/>
                <w:sz w:val="18"/>
                <w:szCs w:val="18"/>
              </w:rPr>
            </w:pPr>
            <w:r>
              <w:rPr>
                <w:rFonts w:ascii="宋体" w:hAnsi="宋体" w:cs="宋体" w:eastAsia="宋体" w:hint="default"/>
                <w:sz w:val="18"/>
                <w:szCs w:val="18"/>
              </w:rPr>
              <w:t>（副产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品）及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锂等系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列产品</w:t>
            </w:r>
          </w:p>
        </w:tc>
        <w:tc>
          <w:tcPr>
            <w:tcW w:w="629"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29</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24"/>
              <w:jc w:val="right"/>
              <w:rPr>
                <w:rFonts w:ascii="宋体" w:hAnsi="宋体" w:cs="宋体" w:eastAsia="宋体" w:hint="default"/>
                <w:sz w:val="18"/>
                <w:szCs w:val="18"/>
              </w:rPr>
            </w:pPr>
            <w:r>
              <w:rPr>
                <w:rFonts w:ascii="宋体" w:hAnsi="宋体" w:cs="宋体" w:eastAsia="宋体" w:hint="default"/>
                <w:sz w:val="18"/>
                <w:szCs w:val="18"/>
              </w:rPr>
              <w:t>讯网</w:t>
            </w:r>
          </w:p>
        </w:tc>
      </w:tr>
      <w:tr>
        <w:trPr>
          <w:trHeight w:val="2276" w:hRule="exact"/>
        </w:trPr>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4" w:right="117"/>
              <w:jc w:val="both"/>
              <w:rPr>
                <w:rFonts w:ascii="宋体" w:hAnsi="宋体" w:cs="宋体" w:eastAsia="宋体" w:hint="default"/>
                <w:sz w:val="18"/>
                <w:szCs w:val="18"/>
              </w:rPr>
            </w:pPr>
            <w:r>
              <w:rPr>
                <w:rFonts w:ascii="宋体" w:hAnsi="宋体" w:cs="宋体" w:eastAsia="宋体" w:hint="default"/>
                <w:sz w:val="18"/>
                <w:szCs w:val="18"/>
              </w:rPr>
              <w:t>合纵智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豐科技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4"/>
              <w:jc w:val="left"/>
              <w:rPr>
                <w:rFonts w:ascii="宋体" w:hAnsi="宋体" w:cs="宋体" w:eastAsia="宋体" w:hint="default"/>
                <w:sz w:val="18"/>
                <w:szCs w:val="18"/>
              </w:rPr>
            </w:pPr>
            <w:r>
              <w:rPr>
                <w:rFonts w:ascii="宋体" w:hAnsi="宋体" w:cs="宋体" w:eastAsia="宋体" w:hint="default"/>
                <w:sz w:val="18"/>
                <w:szCs w:val="18"/>
              </w:rPr>
              <w:t>电力系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统输配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电设备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0"/>
                <w:sz w:val="18"/>
                <w:szCs w:val="18"/>
              </w:rPr>
              <w:t>的研发、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2"/>
                <w:w w:val="101"/>
                <w:sz w:val="18"/>
                <w:szCs w:val="18"/>
              </w:rPr>
              <w:t>生产、销</w:t>
            </w:r>
            <w:r>
              <w:rPr>
                <w:rFonts w:ascii="宋体" w:hAnsi="宋体" w:cs="宋体" w:eastAsia="宋体" w:hint="default"/>
                <w:w w:val="101"/>
                <w:sz w:val="18"/>
                <w:szCs w:val="18"/>
              </w:rPr>
              <w:t> </w:t>
            </w:r>
            <w:r>
              <w:rPr>
                <w:rFonts w:ascii="宋体" w:hAnsi="宋体" w:cs="宋体" w:eastAsia="宋体" w:hint="default"/>
                <w:sz w:val="18"/>
                <w:szCs w:val="18"/>
              </w:rPr>
              <w:t>售等业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务</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62"/>
              <w:jc w:val="right"/>
              <w:rPr>
                <w:rFonts w:ascii="宋体" w:hAnsi="宋体" w:cs="宋体" w:eastAsia="宋体" w:hint="default"/>
                <w:sz w:val="18"/>
                <w:szCs w:val="18"/>
              </w:rPr>
            </w:pPr>
            <w:r>
              <w:rPr>
                <w:rFonts w:ascii="宋体" w:hAnsi="宋体" w:cs="宋体" w:eastAsia="宋体" w:hint="default"/>
                <w:sz w:val="18"/>
                <w:szCs w:val="18"/>
              </w:rPr>
              <w:t>新设</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0"/>
                <w:szCs w:val="10"/>
              </w:rPr>
            </w:pPr>
          </w:p>
          <w:p>
            <w:pPr>
              <w:pStyle w:val="TableParagraph"/>
              <w:spacing w:line="417" w:lineRule="exact"/>
              <w:ind w:right="-13"/>
              <w:jc w:val="left"/>
              <w:rPr>
                <w:rFonts w:ascii="宋体" w:hAnsi="宋体" w:cs="宋体" w:eastAsia="宋体" w:hint="default"/>
                <w:sz w:val="20"/>
                <w:szCs w:val="20"/>
              </w:rPr>
            </w:pPr>
            <w:r>
              <w:rPr>
                <w:rFonts w:ascii="宋体" w:hAnsi="宋体" w:cs="宋体" w:eastAsia="宋体" w:hint="default"/>
                <w:position w:val="-7"/>
                <w:sz w:val="20"/>
                <w:szCs w:val="20"/>
              </w:rPr>
              <w:pict>
                <v:group style="width:31.5pt;height:20.9pt;mso-position-horizontal-relative:char;mso-position-vertical-relative:line" coordorigin="0,0" coordsize="630,418">
                  <v:group style="position:absolute;left:12;top:12;width:2;height:394" coordorigin="12,12" coordsize="2,394">
                    <v:shape style="position:absolute;left:12;top:12;width:2;height:394" coordorigin="12,12" coordsize="0,394" path="m12,12l12,406e" filled="false" stroked="true" strokeweight="1.2pt" strokecolor="#ffffff">
                      <v:path arrowok="t"/>
                    </v:shape>
                  </v:group>
                  <v:group style="position:absolute;left:24;top:12;width:606;height:394" coordorigin="24,12" coordsize="606,394">
                    <v:shape style="position:absolute;left:24;top:12;width:606;height:394" coordorigin="24,12" coordsize="606,394" path="m24,406l629,406,629,12,24,12,24,406xe" filled="true" fillcolor="#ffffff" stroked="false">
                      <v:path arrowok="t"/>
                      <v:fill type="solid"/>
                    </v:shape>
                  </v:group>
                </v:group>
              </w:pict>
            </w:r>
            <w:r>
              <w:rPr>
                <w:rFonts w:ascii="宋体" w:hAnsi="宋体" w:cs="宋体" w:eastAsia="宋体" w:hint="default"/>
                <w:position w:val="-7"/>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1,083,5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28.38</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51.00%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4" w:right="84"/>
              <w:jc w:val="left"/>
              <w:rPr>
                <w:rFonts w:ascii="宋体" w:hAnsi="宋体" w:cs="宋体" w:eastAsia="宋体" w:hint="default"/>
                <w:sz w:val="18"/>
                <w:szCs w:val="18"/>
              </w:rPr>
            </w:pPr>
            <w:r>
              <w:rPr>
                <w:rFonts w:ascii="宋体" w:hAnsi="宋体" w:cs="宋体" w:eastAsia="宋体" w:hint="default"/>
                <w:sz w:val="18"/>
                <w:szCs w:val="18"/>
              </w:rPr>
              <w:t>自有资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6"/>
              <w:ind w:left="23" w:right="62"/>
              <w:jc w:val="left"/>
              <w:rPr>
                <w:rFonts w:ascii="Times New Roman" w:hAnsi="Times New Roman" w:cs="Times New Roman" w:eastAsia="Times New Roman" w:hint="default"/>
                <w:sz w:val="18"/>
                <w:szCs w:val="18"/>
              </w:rPr>
            </w:pPr>
            <w:r>
              <w:rPr>
                <w:rFonts w:ascii="Times New Roman"/>
                <w:spacing w:val="-3"/>
                <w:sz w:val="18"/>
              </w:rPr>
              <w:t>CHAR</w:t>
            </w:r>
            <w:r>
              <w:rPr>
                <w:rFonts w:ascii="Times New Roman"/>
                <w:spacing w:val="-38"/>
                <w:sz w:val="18"/>
              </w:rPr>
              <w:t> </w:t>
            </w:r>
            <w:r>
              <w:rPr>
                <w:rFonts w:ascii="Times New Roman"/>
                <w:spacing w:val="-38"/>
                <w:sz w:val="18"/>
              </w:rPr>
            </w:r>
            <w:r>
              <w:rPr>
                <w:rFonts w:ascii="Times New Roman"/>
                <w:sz w:val="18"/>
              </w:rPr>
              <w:t>OENC</w:t>
            </w:r>
            <w:r>
              <w:rPr>
                <w:rFonts w:ascii="Times New Roman"/>
                <w:w w:val="101"/>
                <w:sz w:val="18"/>
              </w:rPr>
              <w:t> </w:t>
            </w:r>
            <w:r>
              <w:rPr>
                <w:rFonts w:ascii="Times New Roman"/>
                <w:sz w:val="18"/>
              </w:rPr>
              <w:t>HAI</w:t>
            </w:r>
            <w:r>
              <w:rPr>
                <w:rFonts w:ascii="Times New Roman"/>
                <w:w w:val="101"/>
                <w:sz w:val="18"/>
              </w:rPr>
              <w:t> </w:t>
            </w:r>
            <w:r>
              <w:rPr>
                <w:rFonts w:ascii="Times New Roman"/>
                <w:sz w:val="18"/>
              </w:rPr>
              <w:t>HOLDI</w:t>
            </w:r>
            <w:r>
              <w:rPr>
                <w:rFonts w:ascii="Times New Roman"/>
                <w:w w:val="101"/>
                <w:sz w:val="18"/>
              </w:rPr>
              <w:t> </w:t>
            </w:r>
            <w:r>
              <w:rPr>
                <w:rFonts w:ascii="Times New Roman"/>
                <w:spacing w:val="-3"/>
                <w:sz w:val="18"/>
              </w:rPr>
              <w:t>NG</w:t>
            </w:r>
            <w:r>
              <w:rPr>
                <w:rFonts w:ascii="Times New Roman"/>
                <w:spacing w:val="-42"/>
                <w:sz w:val="18"/>
              </w:rPr>
              <w:t> </w:t>
            </w:r>
            <w:r>
              <w:rPr>
                <w:rFonts w:ascii="Times New Roman"/>
                <w:spacing w:val="-42"/>
                <w:sz w:val="18"/>
              </w:rPr>
            </w:r>
            <w:r>
              <w:rPr>
                <w:rFonts w:ascii="Times New Roman"/>
                <w:sz w:val="18"/>
              </w:rPr>
              <w:t>CO.,</w:t>
            </w:r>
            <w:r>
              <w:rPr>
                <w:rFonts w:ascii="Times New Roman"/>
                <w:spacing w:val="-43"/>
                <w:sz w:val="18"/>
              </w:rPr>
              <w:t> </w:t>
            </w:r>
            <w:r>
              <w:rPr>
                <w:rFonts w:ascii="Times New Roman"/>
                <w:spacing w:val="-43"/>
                <w:sz w:val="18"/>
              </w:rPr>
            </w:r>
            <w:r>
              <w:rPr>
                <w:rFonts w:ascii="Times New Roman"/>
                <w:spacing w:val="-7"/>
                <w:sz w:val="18"/>
              </w:rPr>
              <w:t>LTD.</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52"/>
              <w:jc w:val="right"/>
              <w:rPr>
                <w:rFonts w:ascii="宋体" w:hAnsi="宋体" w:cs="宋体" w:eastAsia="宋体" w:hint="default"/>
                <w:sz w:val="18"/>
                <w:szCs w:val="18"/>
              </w:rPr>
            </w:pPr>
            <w:r>
              <w:rPr>
                <w:rFonts w:ascii="宋体" w:hAnsi="宋体" w:cs="宋体" w:eastAsia="宋体" w:hint="default"/>
                <w:sz w:val="18"/>
                <w:szCs w:val="18"/>
              </w:rPr>
              <w:t>长期</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3" w:right="79"/>
              <w:jc w:val="left"/>
              <w:rPr>
                <w:rFonts w:ascii="宋体" w:hAnsi="宋体" w:cs="宋体" w:eastAsia="宋体" w:hint="default"/>
                <w:sz w:val="18"/>
                <w:szCs w:val="18"/>
              </w:rPr>
            </w:pPr>
            <w:r>
              <w:rPr>
                <w:rFonts w:ascii="宋体" w:hAnsi="宋体" w:cs="宋体" w:eastAsia="宋体" w:hint="default"/>
                <w:sz w:val="18"/>
                <w:szCs w:val="18"/>
              </w:rPr>
              <w:t>配电设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3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7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124,083</w:t>
            </w:r>
          </w:p>
          <w:p>
            <w:pPr>
              <w:pStyle w:val="TableParagraph"/>
              <w:spacing w:line="240" w:lineRule="auto" w:before="110"/>
              <w:ind w:left="91" w:right="0"/>
              <w:jc w:val="left"/>
              <w:rPr>
                <w:rFonts w:ascii="Times New Roman" w:hAnsi="Times New Roman" w:cs="Times New Roman" w:eastAsia="Times New Roman" w:hint="default"/>
                <w:sz w:val="18"/>
                <w:szCs w:val="18"/>
              </w:rPr>
            </w:pPr>
            <w:r>
              <w:rPr>
                <w:rFonts w:ascii="Times New Roman"/>
                <w:sz w:val="18"/>
              </w:rPr>
              <w:t>,528.38</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62"/>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40" w:lineRule="auto" w:before="46"/>
        <w:ind w:left="0" w:right="1137"/>
        <w:jc w:val="right"/>
      </w:pPr>
      <w:r>
        <w:rPr/>
        <w:pict>
          <v:shape style="position:absolute;margin-left:56.424pt;margin-top:-190.274323pt;width:479pt;height:208.1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69"/>
                    <w:gridCol w:w="874"/>
                    <w:gridCol w:w="869"/>
                    <w:gridCol w:w="869"/>
                    <w:gridCol w:w="869"/>
                    <w:gridCol w:w="874"/>
                    <w:gridCol w:w="869"/>
                    <w:gridCol w:w="869"/>
                    <w:gridCol w:w="869"/>
                    <w:gridCol w:w="869"/>
                  </w:tblGrid>
                  <w:tr>
                    <w:trPr>
                      <w:trHeight w:val="133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54" w:right="60" w:hanging="178"/>
                          <w:jc w:val="left"/>
                          <w:rPr>
                            <w:rFonts w:ascii="宋体" w:hAnsi="宋体" w:cs="宋体" w:eastAsia="宋体" w:hint="default"/>
                            <w:sz w:val="18"/>
                            <w:szCs w:val="18"/>
                          </w:rPr>
                        </w:pPr>
                        <w:r>
                          <w:rPr>
                            <w:rFonts w:ascii="宋体" w:hAnsi="宋体" w:cs="宋体" w:eastAsia="宋体" w:hint="default"/>
                            <w:sz w:val="18"/>
                            <w:szCs w:val="18"/>
                          </w:rPr>
                          <w:t>募集资金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both"/>
                          <w:rPr>
                            <w:rFonts w:ascii="宋体" w:hAnsi="宋体" w:cs="宋体" w:eastAsia="宋体" w:hint="default"/>
                            <w:sz w:val="18"/>
                            <w:szCs w:val="18"/>
                          </w:rPr>
                        </w:pPr>
                        <w:r>
                          <w:rPr>
                            <w:rFonts w:ascii="宋体" w:hAnsi="宋体" w:cs="宋体" w:eastAsia="宋体" w:hint="default"/>
                            <w:sz w:val="18"/>
                            <w:szCs w:val="18"/>
                          </w:rPr>
                          <w:t>本期已使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1" w:right="60"/>
                          <w:jc w:val="both"/>
                          <w:rPr>
                            <w:rFonts w:ascii="宋体" w:hAnsi="宋体" w:cs="宋体" w:eastAsia="宋体" w:hint="default"/>
                            <w:sz w:val="18"/>
                            <w:szCs w:val="18"/>
                          </w:rPr>
                        </w:pPr>
                        <w:r>
                          <w:rPr>
                            <w:rFonts w:ascii="宋体" w:hAnsi="宋体" w:cs="宋体" w:eastAsia="宋体" w:hint="default"/>
                            <w:sz w:val="18"/>
                            <w:szCs w:val="18"/>
                          </w:rPr>
                          <w:t>已累计使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变更用途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的募集资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金总额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65"/>
                          <w:jc w:val="center"/>
                          <w:rPr>
                            <w:rFonts w:ascii="宋体" w:hAnsi="宋体" w:cs="宋体" w:eastAsia="宋体" w:hint="default"/>
                            <w:sz w:val="18"/>
                            <w:szCs w:val="18"/>
                          </w:rPr>
                        </w:pPr>
                        <w:r>
                          <w:rPr>
                            <w:rFonts w:ascii="宋体" w:hAnsi="宋体" w:cs="宋体" w:eastAsia="宋体" w:hint="default"/>
                            <w:spacing w:val="-2"/>
                            <w:sz w:val="18"/>
                            <w:szCs w:val="18"/>
                          </w:rPr>
                          <w:t>累计变更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用途的募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集资金总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2" w:right="60"/>
                          <w:jc w:val="both"/>
                          <w:rPr>
                            <w:rFonts w:ascii="宋体" w:hAnsi="宋体" w:cs="宋体" w:eastAsia="宋体" w:hint="default"/>
                            <w:sz w:val="18"/>
                            <w:szCs w:val="18"/>
                          </w:rPr>
                        </w:pPr>
                        <w:r>
                          <w:rPr>
                            <w:rFonts w:ascii="宋体" w:hAnsi="宋体" w:cs="宋体" w:eastAsia="宋体" w:hint="default"/>
                            <w:sz w:val="18"/>
                            <w:szCs w:val="18"/>
                          </w:rPr>
                          <w:t>累计变更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用途的募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集资金总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2"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募集资金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71" w:right="60"/>
                          <w:jc w:val="center"/>
                          <w:rPr>
                            <w:rFonts w:ascii="宋体" w:hAnsi="宋体" w:cs="宋体" w:eastAsia="宋体" w:hint="default"/>
                            <w:sz w:val="18"/>
                            <w:szCs w:val="18"/>
                          </w:rPr>
                        </w:pPr>
                        <w:r>
                          <w:rPr>
                            <w:rFonts w:ascii="宋体" w:hAnsi="宋体" w:cs="宋体" w:eastAsia="宋体" w:hint="default"/>
                            <w:spacing w:val="-2"/>
                            <w:sz w:val="18"/>
                            <w:szCs w:val="18"/>
                          </w:rPr>
                          <w:t>尚未使用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用途及去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7" w:right="65"/>
                          <w:jc w:val="both"/>
                          <w:rPr>
                            <w:rFonts w:ascii="宋体" w:hAnsi="宋体" w:cs="宋体" w:eastAsia="宋体" w:hint="default"/>
                            <w:sz w:val="18"/>
                            <w:szCs w:val="18"/>
                          </w:rPr>
                        </w:pPr>
                        <w:r>
                          <w:rPr>
                            <w:rFonts w:ascii="宋体" w:hAnsi="宋体" w:cs="宋体" w:eastAsia="宋体" w:hint="default"/>
                            <w:sz w:val="18"/>
                            <w:szCs w:val="18"/>
                          </w:rPr>
                          <w:t>闲置两年</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以上募集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资金金额</w:t>
                        </w:r>
                      </w:p>
                    </w:tc>
                  </w:tr>
                  <w:tr>
                    <w:trPr>
                      <w:trHeight w:val="1340"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9"/>
                          <w:ind w:left="24" w:right="108"/>
                          <w:jc w:val="both"/>
                          <w:rPr>
                            <w:rFonts w:ascii="宋体" w:hAnsi="宋体" w:cs="宋体" w:eastAsia="宋体" w:hint="default"/>
                            <w:sz w:val="18"/>
                            <w:szCs w:val="18"/>
                          </w:rPr>
                        </w:pPr>
                        <w:r>
                          <w:rPr>
                            <w:rFonts w:ascii="宋体" w:hAnsi="宋体" w:cs="宋体" w:eastAsia="宋体" w:hint="default"/>
                            <w:sz w:val="18"/>
                            <w:szCs w:val="18"/>
                          </w:rPr>
                          <w:t>非公开发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行购买资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产并募集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配套资金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46,764.91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3,430.79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31,504.82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15,680.91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详见（</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46,764.91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3,430.79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31,504.82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8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15,680.91</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pacing w:val="-3"/>
                            <w:sz w:val="18"/>
                            <w:szCs w:val="18"/>
                          </w:rPr>
                          <w:t>募集资金总体使用情况说明</w:t>
                        </w:r>
                      </w:p>
                    </w:tc>
                  </w:tr>
                  <w:tr>
                    <w:trPr>
                      <w:trHeight w:val="67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年非公开发行购买资产并募集配套资金本公司已累计使用人民币</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31,504.82</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万元（包含</w:t>
                        </w:r>
                        <w:r>
                          <w:rPr>
                            <w:rFonts w:ascii="宋体" w:hAnsi="宋体" w:cs="宋体" w:eastAsia="宋体" w:hint="default"/>
                            <w:sz w:val="18"/>
                            <w:szCs w:val="18"/>
                          </w:rPr>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与发行有关的费用 </w:t>
                        </w:r>
                        <w:r>
                          <w:rPr>
                            <w:rFonts w:ascii="Times New Roman" w:hAnsi="Times New Roman" w:cs="Times New Roman" w:eastAsia="Times New Roman" w:hint="default"/>
                            <w:sz w:val="18"/>
                            <w:szCs w:val="18"/>
                          </w:rPr>
                          <w:t>1,947.92 </w:t>
                        </w:r>
                        <w:r>
                          <w:rPr>
                            <w:rFonts w:ascii="宋体" w:hAnsi="宋体" w:cs="宋体" w:eastAsia="宋体" w:hint="default"/>
                            <w:spacing w:val="-6"/>
                            <w:sz w:val="18"/>
                            <w:szCs w:val="18"/>
                          </w:rPr>
                          <w:t>万元）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尚未使用的募集资金余额人民币 </w:t>
                        </w:r>
                        <w:r>
                          <w:rPr>
                            <w:rFonts w:ascii="Times New Roman" w:hAnsi="Times New Roman" w:cs="Times New Roman" w:eastAsia="Times New Roman" w:hint="default"/>
                            <w:sz w:val="18"/>
                            <w:szCs w:val="18"/>
                          </w:rPr>
                          <w:t>15,680.91 </w:t>
                        </w:r>
                        <w:r>
                          <w:rPr>
                            <w:rFonts w:ascii="Times New Roman" w:hAnsi="Times New Roman" w:cs="Times New Roman" w:eastAsia="Times New Roman" w:hint="default"/>
                            <w:spacing w:val="7"/>
                            <w:sz w:val="18"/>
                            <w:szCs w:val="18"/>
                          </w:rPr>
                          <w:t> </w:t>
                        </w:r>
                        <w:r>
                          <w:rPr>
                            <w:rFonts w:ascii="宋体" w:hAnsi="宋体" w:cs="宋体" w:eastAsia="宋体" w:hint="default"/>
                            <w:spacing w:val="-6"/>
                            <w:sz w:val="18"/>
                            <w:szCs w:val="18"/>
                          </w:rPr>
                          <w:t>万元，包含募集资金账户累计取得利息收入</w:t>
                        </w:r>
                      </w:p>
                    </w:tc>
                  </w:tr>
                </w:tbl>
                <w:p>
                  <w:pPr/>
                </w:p>
              </w:txbxContent>
            </v:textbox>
            <w10:wrap type="none"/>
          </v:shape>
        </w:pict>
      </w:r>
      <w:r>
        <w:rPr>
          <w:w w:val="101"/>
        </w:rPr>
        <w:t>、</w:t>
      </w:r>
      <w:r>
        <w:rPr/>
      </w:r>
    </w:p>
    <w:p>
      <w:pPr>
        <w:spacing w:after="0" w:line="240" w:lineRule="auto"/>
        <w:jc w:val="right"/>
        <w:sectPr>
          <w:pgSz w:w="11910" w:h="16840"/>
          <w:pgMar w:header="741" w:footer="979" w:top="1060" w:bottom="1160" w:left="980" w:right="0"/>
        </w:sectPr>
      </w:pPr>
    </w:p>
    <w:p>
      <w:pPr>
        <w:spacing w:line="240" w:lineRule="auto" w:before="2"/>
        <w:rPr>
          <w:rFonts w:ascii="宋体" w:hAnsi="宋体" w:cs="宋体" w:eastAsia="宋体" w:hint="default"/>
          <w:sz w:val="29"/>
          <w:szCs w:val="29"/>
        </w:rPr>
      </w:pPr>
      <w:r>
        <w:rPr/>
        <w:pict>
          <v:group style="position:absolute;margin-left:116.209999pt;margin-top:644.829956pt;width:433.85pt;height:15.6pt;mso-position-horizontal-relative:page;mso-position-vertical-relative:page;z-index:-1057912" coordorigin="2324,12897" coordsize="8677,312">
            <v:shape style="position:absolute;left:2324;top:12897;width:8677;height:312" coordorigin="2324,12897" coordsize="8677,312" path="m2324,13209l11001,13209,11001,12897,2324,12897,2324,13209xe" filled="true" fillcolor="#ffffff" stroked="false">
              <v:path arrowok="t"/>
              <v:fill type="solid"/>
            </v:shape>
            <w10:wrap type="none"/>
          </v:group>
        </w:pict>
      </w:r>
    </w:p>
    <w:p>
      <w:pPr>
        <w:spacing w:line="1339" w:lineRule="exact"/>
        <w:ind w:left="353" w:right="0" w:firstLine="0"/>
        <w:rPr>
          <w:rFonts w:ascii="宋体" w:hAnsi="宋体" w:cs="宋体" w:eastAsia="宋体" w:hint="default"/>
          <w:sz w:val="20"/>
          <w:szCs w:val="20"/>
        </w:rPr>
      </w:pPr>
      <w:r>
        <w:rPr>
          <w:rFonts w:ascii="宋体" w:hAnsi="宋体" w:cs="宋体" w:eastAsia="宋体" w:hint="default"/>
          <w:position w:val="-26"/>
          <w:sz w:val="20"/>
          <w:szCs w:val="20"/>
        </w:rPr>
        <w:pict>
          <v:shape style="width:478.25pt;height:67pt;mso-position-horizontal-relative:char;mso-position-vertical-relative:line" type="#_x0000_t202" filled="false" stroked="true" strokeweight=".47998pt" strokecolor="#000000">
            <w10:anchorlock/>
            <v:textbox inset="0,0,0,0">
              <w:txbxContent>
                <w:p>
                  <w:pPr>
                    <w:pStyle w:val="BodyText"/>
                    <w:spacing w:line="240" w:lineRule="auto" w:before="15"/>
                    <w:ind w:left="24" w:right="0"/>
                    <w:jc w:val="left"/>
                  </w:pPr>
                  <w:r>
                    <w:rPr/>
                    <w:t>理财产品收益共计人民币</w:t>
                  </w:r>
                  <w:r>
                    <w:rPr>
                      <w:spacing w:val="-44"/>
                    </w:rPr>
                    <w:t> </w:t>
                  </w:r>
                  <w:r>
                    <w:rPr>
                      <w:rFonts w:ascii="Times New Roman" w:hAnsi="Times New Roman" w:cs="Times New Roman" w:eastAsia="Times New Roman" w:hint="default"/>
                    </w:rPr>
                    <w:t>420.82</w:t>
                  </w:r>
                  <w:r>
                    <w:rPr>
                      <w:rFonts w:ascii="Times New Roman" w:hAnsi="Times New Roman" w:cs="Times New Roman" w:eastAsia="Times New Roman" w:hint="default"/>
                      <w:spacing w:val="1"/>
                    </w:rPr>
                    <w:t> </w:t>
                  </w:r>
                  <w:r>
                    <w:rPr/>
                    <w:t>万元。</w:t>
                  </w:r>
                </w:p>
                <w:p>
                  <w:pPr>
                    <w:pStyle w:val="BodyText"/>
                    <w:spacing w:line="240" w:lineRule="auto" w:before="96"/>
                    <w:ind w:left="24" w:right="0"/>
                    <w:jc w:val="left"/>
                  </w:pPr>
                  <w:r>
                    <w:rPr>
                      <w:rFonts w:ascii="Times New Roman" w:hAnsi="Times New Roman" w:cs="Times New Roman" w:eastAsia="Times New Roman" w:hint="default"/>
                      <w:w w:val="101"/>
                    </w:rPr>
                    <w:t>2</w:t>
                  </w:r>
                  <w:r>
                    <w:rPr>
                      <w:spacing w:val="-20"/>
                      <w:w w:val="101"/>
                    </w:rPr>
                    <w:t>、</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w w:val="101"/>
                    </w:rPr>
                    <w:t>19</w:t>
                  </w:r>
                  <w:r>
                    <w:rPr>
                      <w:rFonts w:ascii="Times New Roman" w:hAnsi="Times New Roman" w:cs="Times New Roman" w:eastAsia="Times New Roman" w:hint="default"/>
                      <w:spacing w:val="-2"/>
                    </w:rPr>
                    <w:t> </w:t>
                  </w:r>
                  <w:r>
                    <w:rPr>
                      <w:w w:val="101"/>
                    </w:rPr>
                    <w:t>年</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2"/>
                    </w:rPr>
                    <w:t> </w:t>
                  </w:r>
                  <w:r>
                    <w:rPr>
                      <w:w w:val="101"/>
                    </w:rPr>
                    <w:t>月</w:t>
                  </w:r>
                  <w:r>
                    <w:rPr>
                      <w:spacing w:val="-47"/>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2"/>
                    </w:rPr>
                    <w:t> </w:t>
                  </w:r>
                  <w:r>
                    <w:rPr>
                      <w:w w:val="101"/>
                    </w:rPr>
                    <w:t>日</w:t>
                  </w:r>
                  <w:r>
                    <w:rPr>
                      <w:spacing w:val="-5"/>
                      <w:w w:val="101"/>
                    </w:rPr>
                    <w:t>经董</w:t>
                  </w:r>
                  <w:r>
                    <w:rPr>
                      <w:w w:val="101"/>
                    </w:rPr>
                    <w:t>事</w:t>
                  </w:r>
                  <w:r>
                    <w:rPr>
                      <w:spacing w:val="-5"/>
                      <w:w w:val="101"/>
                    </w:rPr>
                    <w:t>会</w:t>
                  </w:r>
                  <w:r>
                    <w:rPr>
                      <w:spacing w:val="-20"/>
                      <w:w w:val="101"/>
                    </w:rPr>
                    <w:t>、</w:t>
                  </w:r>
                  <w:r>
                    <w:rPr>
                      <w:spacing w:val="-5"/>
                      <w:w w:val="101"/>
                    </w:rPr>
                    <w:t>监</w:t>
                  </w:r>
                  <w:r>
                    <w:rPr>
                      <w:w w:val="101"/>
                    </w:rPr>
                    <w:t>事</w:t>
                  </w:r>
                  <w:r>
                    <w:rPr>
                      <w:spacing w:val="-5"/>
                      <w:w w:val="101"/>
                    </w:rPr>
                    <w:t>会</w:t>
                  </w:r>
                  <w:r>
                    <w:rPr>
                      <w:w w:val="101"/>
                    </w:rPr>
                    <w:t>审</w:t>
                  </w:r>
                  <w:r>
                    <w:rPr>
                      <w:spacing w:val="-5"/>
                      <w:w w:val="101"/>
                    </w:rPr>
                    <w:t>议</w:t>
                  </w:r>
                  <w:r>
                    <w:rPr>
                      <w:w w:val="101"/>
                    </w:rPr>
                    <w:t>并</w:t>
                  </w:r>
                  <w:r>
                    <w:rPr>
                      <w:spacing w:val="-5"/>
                      <w:w w:val="101"/>
                    </w:rPr>
                    <w:t>通</w:t>
                  </w:r>
                  <w:r>
                    <w:rPr>
                      <w:spacing w:val="-20"/>
                      <w:w w:val="101"/>
                    </w:rPr>
                    <w:t>过</w:t>
                  </w:r>
                  <w:r>
                    <w:rPr>
                      <w:spacing w:val="-5"/>
                      <w:w w:val="101"/>
                    </w:rPr>
                    <w:t>《</w:t>
                  </w:r>
                  <w:r>
                    <w:rPr>
                      <w:w w:val="101"/>
                    </w:rPr>
                    <w:t>关</w:t>
                  </w:r>
                  <w:r>
                    <w:rPr>
                      <w:spacing w:val="-5"/>
                      <w:w w:val="101"/>
                    </w:rPr>
                    <w:t>于</w:t>
                  </w:r>
                  <w:r>
                    <w:rPr>
                      <w:w w:val="101"/>
                    </w:rPr>
                    <w:t>使</w:t>
                  </w:r>
                  <w:r>
                    <w:rPr>
                      <w:spacing w:val="-5"/>
                      <w:w w:val="101"/>
                    </w:rPr>
                    <w:t>用</w:t>
                  </w:r>
                  <w:r>
                    <w:rPr>
                      <w:w w:val="101"/>
                    </w:rPr>
                    <w:t>部</w:t>
                  </w:r>
                  <w:r>
                    <w:rPr>
                      <w:spacing w:val="-5"/>
                      <w:w w:val="101"/>
                    </w:rPr>
                    <w:t>分</w:t>
                  </w:r>
                  <w:r>
                    <w:rPr>
                      <w:w w:val="101"/>
                    </w:rPr>
                    <w:t>闲</w:t>
                  </w:r>
                  <w:r>
                    <w:rPr>
                      <w:spacing w:val="-5"/>
                      <w:w w:val="101"/>
                    </w:rPr>
                    <w:t>置</w:t>
                  </w:r>
                  <w:r>
                    <w:rPr>
                      <w:w w:val="101"/>
                    </w:rPr>
                    <w:t>募</w:t>
                  </w:r>
                  <w:r>
                    <w:rPr>
                      <w:spacing w:val="-5"/>
                      <w:w w:val="101"/>
                    </w:rPr>
                    <w:t>集</w:t>
                  </w:r>
                  <w:r>
                    <w:rPr>
                      <w:w w:val="101"/>
                    </w:rPr>
                    <w:t>资</w:t>
                  </w:r>
                  <w:r>
                    <w:rPr>
                      <w:spacing w:val="-5"/>
                      <w:w w:val="101"/>
                    </w:rPr>
                    <w:t>金</w:t>
                  </w:r>
                  <w:r>
                    <w:rPr>
                      <w:w w:val="101"/>
                    </w:rPr>
                    <w:t>暂</w:t>
                  </w:r>
                  <w:r>
                    <w:rPr>
                      <w:spacing w:val="-5"/>
                      <w:w w:val="101"/>
                    </w:rPr>
                    <w:t>时</w:t>
                  </w:r>
                  <w:r>
                    <w:rPr>
                      <w:w w:val="101"/>
                    </w:rPr>
                    <w:t>补</w:t>
                  </w:r>
                  <w:r>
                    <w:rPr>
                      <w:spacing w:val="-5"/>
                      <w:w w:val="101"/>
                    </w:rPr>
                    <w:t>充</w:t>
                  </w:r>
                  <w:r>
                    <w:rPr>
                      <w:w w:val="101"/>
                    </w:rPr>
                    <w:t>流</w:t>
                  </w:r>
                  <w:r>
                    <w:rPr>
                      <w:spacing w:val="-5"/>
                      <w:w w:val="101"/>
                    </w:rPr>
                    <w:t>动</w:t>
                  </w:r>
                  <w:r>
                    <w:rPr>
                      <w:w w:val="101"/>
                    </w:rPr>
                    <w:t>资</w:t>
                  </w:r>
                  <w:r>
                    <w:rPr>
                      <w:spacing w:val="-5"/>
                      <w:w w:val="101"/>
                    </w:rPr>
                    <w:t>金</w:t>
                  </w:r>
                  <w:r>
                    <w:rPr>
                      <w:w w:val="101"/>
                    </w:rPr>
                    <w:t>的</w:t>
                  </w:r>
                  <w:r>
                    <w:rPr>
                      <w:spacing w:val="-5"/>
                      <w:w w:val="101"/>
                    </w:rPr>
                    <w:t>议</w:t>
                  </w:r>
                  <w:r>
                    <w:rPr>
                      <w:w w:val="101"/>
                    </w:rPr>
                    <w:t>案</w:t>
                  </w:r>
                  <w:r>
                    <w:rPr>
                      <w:spacing w:val="-92"/>
                      <w:w w:val="101"/>
                    </w:rPr>
                    <w:t>》</w:t>
                  </w:r>
                  <w:r>
                    <w:rPr>
                      <w:spacing w:val="-25"/>
                      <w:w w:val="101"/>
                    </w:rPr>
                    <w:t>，</w:t>
                  </w:r>
                  <w:r>
                    <w:rPr>
                      <w:w w:val="101"/>
                    </w:rPr>
                    <w:t>同</w:t>
                  </w:r>
                  <w:r>
                    <w:rPr>
                      <w:spacing w:val="-5"/>
                      <w:w w:val="101"/>
                    </w:rPr>
                    <w:t>意</w:t>
                  </w:r>
                  <w:r>
                    <w:rPr>
                      <w:w w:val="101"/>
                    </w:rPr>
                    <w:t>将</w:t>
                  </w:r>
                  <w:r>
                    <w:rPr>
                      <w:spacing w:val="-5"/>
                      <w:w w:val="101"/>
                    </w:rPr>
                    <w:t>暂</w:t>
                  </w:r>
                  <w:r>
                    <w:rPr>
                      <w:w w:val="101"/>
                    </w:rPr>
                    <w:t>时闲</w:t>
                  </w:r>
                  <w:r>
                    <w:rPr/>
                  </w:r>
                </w:p>
                <w:p>
                  <w:pPr>
                    <w:pStyle w:val="BodyText"/>
                    <w:spacing w:line="240" w:lineRule="auto" w:before="63"/>
                    <w:ind w:left="24" w:right="0"/>
                    <w:jc w:val="left"/>
                  </w:pPr>
                  <w:r>
                    <w:rPr/>
                    <w:t>置的</w:t>
                  </w:r>
                  <w:r>
                    <w:rPr>
                      <w:spacing w:val="-33"/>
                    </w:rPr>
                    <w:t> </w:t>
                  </w:r>
                  <w:r>
                    <w:rPr>
                      <w:rFonts w:ascii="Times New Roman" w:hAnsi="Times New Roman" w:cs="Times New Roman" w:eastAsia="Times New Roman" w:hint="default"/>
                    </w:rPr>
                    <w:t>18,000</w:t>
                  </w:r>
                  <w:r>
                    <w:rPr>
                      <w:rFonts w:ascii="Times New Roman" w:hAnsi="Times New Roman" w:cs="Times New Roman" w:eastAsia="Times New Roman" w:hint="default"/>
                      <w:spacing w:val="6"/>
                    </w:rPr>
                    <w:t> </w:t>
                  </w:r>
                  <w:r>
                    <w:rPr>
                      <w:spacing w:val="-3"/>
                    </w:rPr>
                    <w:t>万元募集资金，用于暂时补充流动资金。截至</w:t>
                  </w:r>
                  <w:r>
                    <w:rPr>
                      <w:spacing w:val="-32"/>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12"/>
                    </w:rPr>
                    <w:t> </w:t>
                  </w:r>
                  <w:r>
                    <w:rPr/>
                    <w:t>年</w:t>
                  </w:r>
                  <w:r>
                    <w:rPr>
                      <w:spacing w:val="-33"/>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月</w:t>
                  </w:r>
                  <w:r>
                    <w:rPr>
                      <w:spacing w:val="-33"/>
                    </w:rPr>
                    <w:t> </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spacing w:val="-3"/>
                    </w:rPr>
                    <w:t>日，公司已还款</w:t>
                  </w:r>
                  <w:r>
                    <w:rPr>
                      <w:spacing w:val="-33"/>
                    </w:rPr>
                    <w:t> </w:t>
                  </w:r>
                  <w:r>
                    <w:rPr>
                      <w:rFonts w:ascii="Times New Roman" w:hAnsi="Times New Roman" w:cs="Times New Roman" w:eastAsia="Times New Roman" w:hint="default"/>
                    </w:rPr>
                    <w:t>2,321</w:t>
                  </w:r>
                  <w:r>
                    <w:rPr>
                      <w:rFonts w:ascii="Times New Roman" w:hAnsi="Times New Roman" w:cs="Times New Roman" w:eastAsia="Times New Roman" w:hint="default"/>
                      <w:spacing w:val="12"/>
                    </w:rPr>
                    <w:t> </w:t>
                  </w:r>
                  <w:r>
                    <w:rPr>
                      <w:spacing w:val="-3"/>
                    </w:rPr>
                    <w:t>万元，本公司募集资金</w:t>
                  </w:r>
                </w:p>
                <w:p>
                  <w:pPr>
                    <w:pStyle w:val="BodyText"/>
                    <w:spacing w:line="240" w:lineRule="auto" w:before="68"/>
                    <w:ind w:left="24" w:right="0"/>
                    <w:jc w:val="left"/>
                  </w:pPr>
                  <w:r>
                    <w:rPr/>
                    <w:t>账户余额为人民币</w:t>
                  </w:r>
                  <w:r>
                    <w:rPr>
                      <w:spacing w:val="-39"/>
                    </w:rPr>
                    <w:t> </w:t>
                  </w:r>
                  <w:r>
                    <w:rPr>
                      <w:rFonts w:ascii="Times New Roman" w:hAnsi="Times New Roman" w:cs="Times New Roman" w:eastAsia="Times New Roman" w:hint="default"/>
                    </w:rPr>
                    <w:t>1.91</w:t>
                  </w:r>
                  <w:r>
                    <w:rPr>
                      <w:rFonts w:ascii="Times New Roman" w:hAnsi="Times New Roman" w:cs="Times New Roman" w:eastAsia="Times New Roman" w:hint="default"/>
                      <w:spacing w:val="6"/>
                    </w:rPr>
                    <w:t> </w:t>
                  </w:r>
                  <w:r>
                    <w:rPr/>
                    <w:t>万元。截至</w:t>
                  </w:r>
                  <w:r>
                    <w:rPr>
                      <w:spacing w:val="-39"/>
                    </w:rPr>
                    <w:t> </w:t>
                  </w:r>
                  <w:r>
                    <w:rPr>
                      <w:rFonts w:ascii="Times New Roman" w:hAnsi="Times New Roman" w:cs="Times New Roman" w:eastAsia="Times New Roman" w:hint="default"/>
                    </w:rPr>
                    <w:t>2020</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20</w:t>
                  </w:r>
                  <w:r>
                    <w:rPr>
                      <w:rFonts w:ascii="Times New Roman" w:hAnsi="Times New Roman" w:cs="Times New Roman" w:eastAsia="Times New Roman" w:hint="default"/>
                      <w:spacing w:val="6"/>
                    </w:rPr>
                    <w:t> </w:t>
                  </w:r>
                  <w:r>
                    <w:rPr/>
                    <w:t>日，上述</w:t>
                  </w:r>
                  <w:r>
                    <w:rPr>
                      <w:spacing w:val="-45"/>
                    </w:rPr>
                    <w:t> </w:t>
                  </w:r>
                  <w:r>
                    <w:rPr>
                      <w:rFonts w:ascii="Times New Roman" w:hAnsi="Times New Roman" w:cs="Times New Roman" w:eastAsia="Times New Roman" w:hint="default"/>
                    </w:rPr>
                    <w:t>18,000 </w:t>
                  </w:r>
                  <w:r>
                    <w:rPr>
                      <w:spacing w:val="-3"/>
                    </w:rPr>
                    <w:t>万元募集资金已全部归还至募集资金专户。</w:t>
                  </w:r>
                </w:p>
              </w:txbxContent>
            </v:textbox>
          </v:shape>
        </w:pict>
      </w:r>
      <w:r>
        <w:rPr>
          <w:rFonts w:ascii="宋体" w:hAnsi="宋体" w:cs="宋体" w:eastAsia="宋体" w:hint="default"/>
          <w:position w:val="-26"/>
          <w:sz w:val="20"/>
          <w:szCs w:val="20"/>
        </w:rPr>
      </w:r>
    </w:p>
    <w:p>
      <w:pPr>
        <w:spacing w:line="240" w:lineRule="auto" w:before="8"/>
        <w:rPr>
          <w:rFonts w:ascii="宋体" w:hAnsi="宋体" w:cs="宋体" w:eastAsia="宋体" w:hint="default"/>
          <w:sz w:val="19"/>
          <w:szCs w:val="19"/>
        </w:rPr>
      </w:pPr>
    </w:p>
    <w:p>
      <w:pPr>
        <w:pStyle w:val="Heading3"/>
        <w:spacing w:line="240" w:lineRule="auto" w:before="36"/>
        <w:ind w:left="353" w:right="7211"/>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35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18" w:type="dxa"/>
        <w:tblLayout w:type="fixed"/>
        <w:tblCellMar>
          <w:top w:w="0" w:type="dxa"/>
          <w:left w:w="0" w:type="dxa"/>
          <w:bottom w:w="0" w:type="dxa"/>
          <w:right w:w="0" w:type="dxa"/>
        </w:tblCellMar>
        <w:tblLook w:val="01E0"/>
      </w:tblPr>
      <w:tblGrid>
        <w:gridCol w:w="1413"/>
        <w:gridCol w:w="729"/>
        <w:gridCol w:w="898"/>
        <w:gridCol w:w="898"/>
        <w:gridCol w:w="725"/>
        <w:gridCol w:w="898"/>
        <w:gridCol w:w="898"/>
        <w:gridCol w:w="730"/>
        <w:gridCol w:w="725"/>
        <w:gridCol w:w="735"/>
        <w:gridCol w:w="730"/>
        <w:gridCol w:w="725"/>
      </w:tblGrid>
      <w:tr>
        <w:trPr>
          <w:trHeight w:val="1652"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163" w:right="61" w:hanging="87"/>
              <w:jc w:val="left"/>
              <w:rPr>
                <w:rFonts w:ascii="宋体" w:hAnsi="宋体" w:cs="宋体" w:eastAsia="宋体" w:hint="default"/>
                <w:sz w:val="18"/>
                <w:szCs w:val="18"/>
              </w:rPr>
            </w:pPr>
            <w:r>
              <w:rPr>
                <w:rFonts w:ascii="宋体" w:hAnsi="宋体" w:cs="宋体" w:eastAsia="宋体" w:hint="default"/>
                <w:spacing w:val="-3"/>
                <w:sz w:val="18"/>
                <w:szCs w:val="18"/>
              </w:rPr>
              <w:t>承诺投资项目和</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超募资金投向</w:t>
            </w:r>
          </w:p>
        </w:tc>
        <w:tc>
          <w:tcPr>
            <w:tcW w:w="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61" w:right="50" w:firstLine="33"/>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w:t>
            </w:r>
            <w:r>
              <w:rPr>
                <w:rFonts w:ascii="宋体" w:hAnsi="宋体" w:cs="宋体" w:eastAsia="宋体" w:hint="default"/>
                <w:w w:val="101"/>
                <w:sz w:val="18"/>
                <w:szCs w:val="18"/>
              </w:rPr>
              <w:t> </w:t>
            </w:r>
            <w:r>
              <w:rPr>
                <w:rFonts w:ascii="宋体" w:hAnsi="宋体" w:cs="宋体" w:eastAsia="宋体" w:hint="default"/>
                <w:sz w:val="18"/>
                <w:szCs w:val="18"/>
              </w:rPr>
              <w:t>变更项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w:t>
            </w:r>
            <w:r>
              <w:rPr>
                <w:rFonts w:ascii="宋体" w:hAnsi="宋体" w:cs="宋体" w:eastAsia="宋体" w:hint="default"/>
                <w:spacing w:val="-86"/>
                <w:sz w:val="18"/>
                <w:szCs w:val="18"/>
              </w:rPr>
              <w:t> </w:t>
            </w:r>
            <w:r>
              <w:rPr>
                <w:rFonts w:ascii="宋体" w:hAnsi="宋体" w:cs="宋体" w:eastAsia="宋体" w:hint="default"/>
                <w:sz w:val="18"/>
                <w:szCs w:val="18"/>
              </w:rPr>
              <w:t>分变更</w:t>
            </w:r>
            <w:r>
              <w:rPr>
                <w:rFonts w:ascii="Times New Roman" w:hAnsi="Times New Roman" w:cs="Times New Roman" w:eastAsia="Times New Roman" w:hint="default"/>
                <w:sz w:val="18"/>
                <w:szCs w:val="18"/>
              </w:rPr>
              <w:t>)</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79"/>
              <w:jc w:val="center"/>
              <w:rPr>
                <w:rFonts w:ascii="宋体" w:hAnsi="宋体" w:cs="宋体" w:eastAsia="宋体" w:hint="default"/>
                <w:sz w:val="18"/>
                <w:szCs w:val="18"/>
              </w:rPr>
            </w:pPr>
            <w:r>
              <w:rPr>
                <w:rFonts w:ascii="宋体" w:hAnsi="宋体" w:cs="宋体" w:eastAsia="宋体" w:hint="default"/>
                <w:spacing w:val="-2"/>
                <w:sz w:val="18"/>
                <w:szCs w:val="18"/>
              </w:rPr>
              <w:t>募集资金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承诺投资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21" w:lineRule="auto"/>
              <w:ind w:left="67" w:right="67" w:firstLine="14"/>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w:t>
            </w:r>
            <w:r>
              <w:rPr>
                <w:rFonts w:ascii="宋体" w:hAnsi="宋体" w:cs="宋体" w:eastAsia="宋体" w:hint="default"/>
                <w:w w:val="101"/>
                <w:sz w:val="18"/>
                <w:szCs w:val="18"/>
              </w:rPr>
              <w:t> </w:t>
            </w:r>
            <w:r>
              <w:rPr>
                <w:rFonts w:ascii="宋体" w:hAnsi="宋体" w:cs="宋体" w:eastAsia="宋体" w:hint="default"/>
                <w:spacing w:val="-2"/>
                <w:sz w:val="18"/>
                <w:szCs w:val="18"/>
              </w:rPr>
              <w:t>资总额</w:t>
            </w:r>
            <w:r>
              <w:rPr>
                <w:rFonts w:ascii="Times New Roman" w:hAnsi="Times New Roman" w:cs="Times New Roman" w:eastAsia="Times New Roman" w:hint="default"/>
                <w:spacing w:val="-2"/>
                <w:sz w:val="18"/>
                <w:szCs w:val="18"/>
              </w:rPr>
              <w:t>(1)</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79"/>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81"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累计投入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金额</w:t>
            </w:r>
            <w:r>
              <w:rPr>
                <w:rFonts w:ascii="Times New Roman" w:hAnsi="Times New Roman" w:cs="Times New Roman" w:eastAsia="Times New Roman" w:hint="default"/>
                <w:sz w:val="18"/>
                <w:szCs w:val="18"/>
              </w:rPr>
              <w:t>(2)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81" w:right="79"/>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截至期末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投资进度</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(2)/(1)</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4"/>
              <w:jc w:val="center"/>
              <w:rPr>
                <w:rFonts w:ascii="宋体" w:hAnsi="宋体" w:cs="宋体" w:eastAsia="宋体" w:hint="default"/>
                <w:sz w:val="18"/>
                <w:szCs w:val="18"/>
              </w:rPr>
            </w:pPr>
            <w:r>
              <w:rPr>
                <w:rFonts w:ascii="宋体" w:hAnsi="宋体" w:cs="宋体" w:eastAsia="宋体" w:hint="default"/>
                <w:spacing w:val="-2"/>
                <w:sz w:val="18"/>
                <w:szCs w:val="18"/>
              </w:rPr>
              <w:t>项目达</w:t>
            </w:r>
            <w:r>
              <w:rPr>
                <w:rFonts w:ascii="宋体" w:hAnsi="宋体" w:cs="宋体" w:eastAsia="宋体" w:hint="default"/>
                <w:w w:val="101"/>
                <w:sz w:val="18"/>
                <w:szCs w:val="18"/>
              </w:rPr>
              <w:t> </w:t>
            </w:r>
            <w:r>
              <w:rPr>
                <w:rFonts w:ascii="宋体" w:hAnsi="宋体" w:cs="宋体" w:eastAsia="宋体" w:hint="default"/>
                <w:spacing w:val="-2"/>
                <w:sz w:val="18"/>
                <w:szCs w:val="18"/>
              </w:rPr>
              <w:t>到预定</w:t>
            </w:r>
            <w:r>
              <w:rPr>
                <w:rFonts w:ascii="宋体" w:hAnsi="宋体" w:cs="宋体" w:eastAsia="宋体" w:hint="default"/>
                <w:w w:val="101"/>
                <w:sz w:val="18"/>
                <w:szCs w:val="18"/>
              </w:rPr>
              <w:t> </w:t>
            </w:r>
            <w:r>
              <w:rPr>
                <w:rFonts w:ascii="宋体" w:hAnsi="宋体" w:cs="宋体" w:eastAsia="宋体" w:hint="default"/>
                <w:spacing w:val="-2"/>
                <w:sz w:val="18"/>
                <w:szCs w:val="18"/>
              </w:rPr>
              <w:t>可使用</w:t>
            </w:r>
            <w:r>
              <w:rPr>
                <w:rFonts w:ascii="宋体" w:hAnsi="宋体" w:cs="宋体" w:eastAsia="宋体" w:hint="default"/>
                <w:w w:val="101"/>
                <w:sz w:val="18"/>
                <w:szCs w:val="18"/>
              </w:rPr>
              <w:t> </w:t>
            </w:r>
            <w:r>
              <w:rPr>
                <w:rFonts w:ascii="宋体" w:hAnsi="宋体" w:cs="宋体" w:eastAsia="宋体" w:hint="default"/>
                <w:spacing w:val="-2"/>
                <w:sz w:val="18"/>
                <w:szCs w:val="18"/>
              </w:rPr>
              <w:t>状态日</w:t>
            </w:r>
            <w:r>
              <w:rPr>
                <w:rFonts w:ascii="宋体" w:hAnsi="宋体" w:cs="宋体" w:eastAsia="宋体" w:hint="default"/>
                <w:w w:val="101"/>
                <w:sz w:val="18"/>
                <w:szCs w:val="18"/>
              </w:rPr>
              <w:t> </w:t>
            </w:r>
            <w:r>
              <w:rPr>
                <w:rFonts w:ascii="宋体" w:hAnsi="宋体" w:cs="宋体" w:eastAsia="宋体" w:hint="default"/>
                <w:sz w:val="18"/>
                <w:szCs w:val="18"/>
              </w:rPr>
              <w:t>期</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80"/>
              <w:jc w:val="both"/>
              <w:rPr>
                <w:rFonts w:ascii="宋体" w:hAnsi="宋体" w:cs="宋体" w:eastAsia="宋体" w:hint="default"/>
                <w:sz w:val="18"/>
                <w:szCs w:val="18"/>
              </w:rPr>
            </w:pPr>
            <w:r>
              <w:rPr>
                <w:rFonts w:ascii="宋体" w:hAnsi="宋体" w:cs="宋体" w:eastAsia="宋体" w:hint="default"/>
                <w:sz w:val="18"/>
                <w:szCs w:val="18"/>
              </w:rPr>
              <w:t>本报告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期实现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的效益</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9"/>
              <w:jc w:val="center"/>
              <w:rPr>
                <w:rFonts w:ascii="宋体" w:hAnsi="宋体" w:cs="宋体" w:eastAsia="宋体" w:hint="default"/>
                <w:sz w:val="18"/>
                <w:szCs w:val="18"/>
              </w:rPr>
            </w:pPr>
            <w:r>
              <w:rPr>
                <w:rFonts w:ascii="宋体" w:hAnsi="宋体" w:cs="宋体" w:eastAsia="宋体" w:hint="default"/>
                <w:spacing w:val="-2"/>
                <w:sz w:val="18"/>
                <w:szCs w:val="18"/>
              </w:rPr>
              <w:t>截止报</w:t>
            </w:r>
            <w:r>
              <w:rPr>
                <w:rFonts w:ascii="宋体" w:hAnsi="宋体" w:cs="宋体" w:eastAsia="宋体" w:hint="default"/>
                <w:w w:val="101"/>
                <w:sz w:val="18"/>
                <w:szCs w:val="18"/>
              </w:rPr>
              <w:t> </w:t>
            </w:r>
            <w:r>
              <w:rPr>
                <w:rFonts w:ascii="宋体" w:hAnsi="宋体" w:cs="宋体" w:eastAsia="宋体" w:hint="default"/>
                <w:spacing w:val="-2"/>
                <w:sz w:val="18"/>
                <w:szCs w:val="18"/>
              </w:rPr>
              <w:t>告期末</w:t>
            </w:r>
            <w:r>
              <w:rPr>
                <w:rFonts w:ascii="宋体" w:hAnsi="宋体" w:cs="宋体" w:eastAsia="宋体" w:hint="default"/>
                <w:w w:val="101"/>
                <w:sz w:val="18"/>
                <w:szCs w:val="18"/>
              </w:rPr>
              <w:t> </w:t>
            </w:r>
            <w:r>
              <w:rPr>
                <w:rFonts w:ascii="宋体" w:hAnsi="宋体" w:cs="宋体" w:eastAsia="宋体" w:hint="default"/>
                <w:spacing w:val="-2"/>
                <w:sz w:val="18"/>
                <w:szCs w:val="18"/>
              </w:rPr>
              <w:t>累计实</w:t>
            </w:r>
            <w:r>
              <w:rPr>
                <w:rFonts w:ascii="宋体" w:hAnsi="宋体" w:cs="宋体" w:eastAsia="宋体" w:hint="default"/>
                <w:w w:val="101"/>
                <w:sz w:val="18"/>
                <w:szCs w:val="18"/>
              </w:rPr>
              <w:t> </w:t>
            </w:r>
            <w:r>
              <w:rPr>
                <w:rFonts w:ascii="宋体" w:hAnsi="宋体" w:cs="宋体" w:eastAsia="宋体" w:hint="default"/>
                <w:spacing w:val="-2"/>
                <w:sz w:val="18"/>
                <w:szCs w:val="18"/>
              </w:rPr>
              <w:t>现的效</w:t>
            </w:r>
            <w:r>
              <w:rPr>
                <w:rFonts w:ascii="宋体" w:hAnsi="宋体" w:cs="宋体" w:eastAsia="宋体" w:hint="default"/>
                <w:w w:val="101"/>
                <w:sz w:val="18"/>
                <w:szCs w:val="18"/>
              </w:rPr>
              <w:t> </w:t>
            </w:r>
            <w:r>
              <w:rPr>
                <w:rFonts w:ascii="宋体" w:hAnsi="宋体" w:cs="宋体" w:eastAsia="宋体" w:hint="default"/>
                <w:sz w:val="18"/>
                <w:szCs w:val="18"/>
              </w:rPr>
              <w:t>益</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91" w:right="84"/>
              <w:jc w:val="both"/>
              <w:rPr>
                <w:rFonts w:ascii="宋体" w:hAnsi="宋体" w:cs="宋体" w:eastAsia="宋体" w:hint="default"/>
                <w:sz w:val="18"/>
                <w:szCs w:val="18"/>
              </w:rPr>
            </w:pPr>
            <w:r>
              <w:rPr>
                <w:rFonts w:ascii="宋体" w:hAnsi="宋体" w:cs="宋体" w:eastAsia="宋体" w:hint="default"/>
                <w:sz w:val="18"/>
                <w:szCs w:val="18"/>
              </w:rPr>
              <w:t>是否达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到预计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效益</w:t>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1" w:right="80"/>
              <w:jc w:val="center"/>
              <w:rPr>
                <w:rFonts w:ascii="宋体" w:hAnsi="宋体" w:cs="宋体" w:eastAsia="宋体" w:hint="default"/>
                <w:sz w:val="18"/>
                <w:szCs w:val="18"/>
              </w:rPr>
            </w:pPr>
            <w:r>
              <w:rPr>
                <w:rFonts w:ascii="宋体" w:hAnsi="宋体" w:cs="宋体" w:eastAsia="宋体" w:hint="default"/>
                <w:spacing w:val="-2"/>
                <w:sz w:val="18"/>
                <w:szCs w:val="18"/>
              </w:rPr>
              <w:t>项目可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行性是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否发生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重大变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w:t>
            </w:r>
          </w:p>
        </w:tc>
      </w:tr>
      <w:tr>
        <w:trPr>
          <w:trHeight w:val="398" w:hRule="exact"/>
        </w:trPr>
        <w:tc>
          <w:tcPr>
            <w:tcW w:w="1010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5"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14"/>
              <w:jc w:val="left"/>
              <w:rPr>
                <w:rFonts w:ascii="宋体" w:hAnsi="宋体" w:cs="宋体" w:eastAsia="宋体" w:hint="default"/>
                <w:sz w:val="18"/>
                <w:szCs w:val="18"/>
              </w:rPr>
            </w:pPr>
            <w:r>
              <w:rPr>
                <w:rFonts w:ascii="宋体" w:hAnsi="宋体" w:cs="宋体" w:eastAsia="宋体" w:hint="default"/>
                <w:spacing w:val="-3"/>
                <w:sz w:val="18"/>
                <w:szCs w:val="18"/>
              </w:rPr>
              <w:t>支付购买资产现</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金对价</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21,366.81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21,366.81</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21,366.81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100.00%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支付交易税费</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2,133.19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2,133.19</w:t>
            </w: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2,065.01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96.80%</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027"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114"/>
              <w:jc w:val="left"/>
              <w:rPr>
                <w:rFonts w:ascii="宋体" w:hAnsi="宋体" w:cs="宋体" w:eastAsia="宋体" w:hint="default"/>
                <w:sz w:val="18"/>
                <w:szCs w:val="18"/>
              </w:rPr>
            </w:pPr>
            <w:r>
              <w:rPr>
                <w:rFonts w:ascii="宋体" w:hAnsi="宋体" w:cs="宋体" w:eastAsia="宋体" w:hint="default"/>
                <w:sz w:val="18"/>
                <w:szCs w:val="18"/>
              </w:rPr>
              <w:t>湖南雅城年产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吨电池用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磷酸铁项目</w:t>
            </w:r>
          </w:p>
        </w:tc>
        <w:tc>
          <w:tcPr>
            <w:tcW w:w="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23,264.91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23,264.91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3,430.79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8,073</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34.70%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27"/>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158" w:hRule="exact"/>
        </w:trPr>
        <w:tc>
          <w:tcPr>
            <w:tcW w:w="14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14"/>
              <w:jc w:val="left"/>
              <w:rPr>
                <w:rFonts w:ascii="宋体" w:hAnsi="宋体" w:cs="宋体" w:eastAsia="宋体" w:hint="default"/>
                <w:sz w:val="18"/>
                <w:szCs w:val="18"/>
              </w:rPr>
            </w:pPr>
            <w:r>
              <w:rPr>
                <w:rFonts w:ascii="宋体" w:hAnsi="宋体" w:cs="宋体" w:eastAsia="宋体" w:hint="default"/>
                <w:spacing w:val="-3"/>
                <w:sz w:val="18"/>
                <w:szCs w:val="18"/>
              </w:rPr>
              <w:t>承诺投资项目小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w:t>
            </w:r>
          </w:p>
        </w:tc>
        <w:tc>
          <w:tcPr>
            <w:tcW w:w="729" w:type="dxa"/>
            <w:tcBorders>
              <w:top w:val="single" w:sz="4" w:space="0" w:color="000000"/>
              <w:left w:val="single" w:sz="4" w:space="0" w:color="000000"/>
              <w:bottom w:val="nil" w:sz="6" w:space="0" w:color="auto"/>
              <w:right w:val="single" w:sz="4" w:space="0" w:color="000000"/>
            </w:tcBorders>
            <w:shd w:val="clear" w:color="auto" w:fill="D2D2D2"/>
          </w:tcPr>
          <w:p>
            <w:pPr/>
          </w:p>
        </w:tc>
        <w:tc>
          <w:tcPr>
            <w:tcW w:w="898" w:type="dxa"/>
            <w:vMerge w:val="restart"/>
            <w:tcBorders>
              <w:top w:val="single" w:sz="4" w:space="0" w:color="000000"/>
              <w:left w:val="single" w:sz="10" w:space="0" w:color="D2D2D2"/>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46,764.91</w:t>
            </w:r>
          </w:p>
        </w:tc>
        <w:tc>
          <w:tcPr>
            <w:tcW w:w="89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46,764.91</w:t>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3,430.79</w:t>
            </w:r>
          </w:p>
        </w:tc>
        <w:tc>
          <w:tcPr>
            <w:tcW w:w="898" w:type="dxa"/>
            <w:vMerge w:val="restart"/>
            <w:tcBorders>
              <w:top w:val="single" w:sz="4" w:space="0" w:color="000000"/>
              <w:left w:val="single" w:sz="4" w:space="0" w:color="000000"/>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z w:val="18"/>
              </w:rPr>
              <w:t>31,504.82</w:t>
            </w:r>
          </w:p>
        </w:tc>
        <w:tc>
          <w:tcPr>
            <w:tcW w:w="8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vMerge w:val="restart"/>
            <w:tcBorders>
              <w:top w:val="single" w:sz="4" w:space="0" w:color="000000"/>
              <w:left w:val="single" w:sz="10" w:space="0" w:color="D2D2D2"/>
              <w:right w:val="single" w:sz="4" w:space="0" w:color="000000"/>
            </w:tcBorders>
          </w:tcPr>
          <w:p>
            <w:pPr/>
          </w:p>
        </w:tc>
        <w:tc>
          <w:tcPr>
            <w:tcW w:w="735" w:type="dxa"/>
            <w:vMerge w:val="restart"/>
            <w:tcBorders>
              <w:top w:val="single" w:sz="4" w:space="0" w:color="000000"/>
              <w:left w:val="single" w:sz="4" w:space="0" w:color="000000"/>
              <w:right w:val="single" w:sz="8" w:space="0" w:color="D2D2D2"/>
            </w:tcBorders>
          </w:tcPr>
          <w:p>
            <w:pPr/>
          </w:p>
        </w:tc>
        <w:tc>
          <w:tcPr>
            <w:tcW w:w="7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2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413" w:type="dxa"/>
            <w:vMerge/>
            <w:tcBorders>
              <w:left w:val="single" w:sz="4" w:space="0" w:color="000000"/>
              <w:right w:val="single" w:sz="4" w:space="0" w:color="000000"/>
            </w:tcBorders>
            <w:shd w:val="clear" w:color="auto" w:fill="D2D2D2"/>
          </w:tcPr>
          <w:p>
            <w:pPr/>
          </w:p>
        </w:tc>
        <w:tc>
          <w:tcPr>
            <w:tcW w:w="7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8" w:type="dxa"/>
            <w:vMerge/>
            <w:tcBorders>
              <w:left w:val="single" w:sz="10" w:space="0" w:color="D2D2D2"/>
              <w:right w:val="single" w:sz="4" w:space="0" w:color="000000"/>
            </w:tcBorders>
          </w:tcPr>
          <w:p>
            <w:pPr/>
          </w:p>
        </w:tc>
        <w:tc>
          <w:tcPr>
            <w:tcW w:w="898"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898" w:type="dxa"/>
            <w:vMerge/>
            <w:tcBorders>
              <w:left w:val="single" w:sz="4" w:space="0" w:color="000000"/>
              <w:right w:val="single" w:sz="10" w:space="0" w:color="D2D2D2"/>
            </w:tcBorders>
          </w:tcPr>
          <w:p>
            <w:pPr/>
          </w:p>
        </w:tc>
        <w:tc>
          <w:tcPr>
            <w:tcW w:w="8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vMerge/>
            <w:tcBorders>
              <w:left w:val="single" w:sz="10" w:space="0" w:color="D2D2D2"/>
              <w:right w:val="single" w:sz="4" w:space="0" w:color="000000"/>
            </w:tcBorders>
          </w:tcPr>
          <w:p>
            <w:pPr/>
          </w:p>
        </w:tc>
        <w:tc>
          <w:tcPr>
            <w:tcW w:w="735" w:type="dxa"/>
            <w:vMerge/>
            <w:tcBorders>
              <w:left w:val="single" w:sz="4" w:space="0" w:color="000000"/>
              <w:right w:val="single" w:sz="8" w:space="0" w:color="D2D2D2"/>
            </w:tcBorders>
          </w:tcPr>
          <w:p>
            <w:pPr/>
          </w:p>
        </w:tc>
        <w:tc>
          <w:tcPr>
            <w:tcW w:w="7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0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64" w:hRule="exact"/>
        </w:trPr>
        <w:tc>
          <w:tcPr>
            <w:tcW w:w="1413" w:type="dxa"/>
            <w:vMerge/>
            <w:tcBorders>
              <w:left w:val="single" w:sz="4" w:space="0" w:color="000000"/>
              <w:bottom w:val="single" w:sz="4" w:space="0" w:color="000000"/>
              <w:right w:val="single" w:sz="4" w:space="0" w:color="000000"/>
            </w:tcBorders>
            <w:shd w:val="clear" w:color="auto" w:fill="D2D2D2"/>
          </w:tcPr>
          <w:p>
            <w:pPr/>
          </w:p>
        </w:tc>
        <w:tc>
          <w:tcPr>
            <w:tcW w:w="729" w:type="dxa"/>
            <w:tcBorders>
              <w:top w:val="nil" w:sz="6" w:space="0" w:color="auto"/>
              <w:left w:val="single" w:sz="4" w:space="0" w:color="000000"/>
              <w:bottom w:val="single" w:sz="4" w:space="0" w:color="000000"/>
              <w:right w:val="single" w:sz="4" w:space="0" w:color="000000"/>
            </w:tcBorders>
            <w:shd w:val="clear" w:color="auto" w:fill="D2D2D2"/>
          </w:tcPr>
          <w:p>
            <w:pPr/>
          </w:p>
        </w:tc>
        <w:tc>
          <w:tcPr>
            <w:tcW w:w="898" w:type="dxa"/>
            <w:vMerge/>
            <w:tcBorders>
              <w:left w:val="single" w:sz="10" w:space="0" w:color="D2D2D2"/>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898" w:type="dxa"/>
            <w:vMerge/>
            <w:tcBorders>
              <w:left w:val="single" w:sz="4" w:space="0" w:color="000000"/>
              <w:bottom w:val="single" w:sz="4" w:space="0" w:color="000000"/>
              <w:right w:val="single" w:sz="10" w:space="0" w:color="D2D2D2"/>
            </w:tcBorders>
          </w:tcPr>
          <w:p>
            <w:pPr/>
          </w:p>
        </w:tc>
        <w:tc>
          <w:tcPr>
            <w:tcW w:w="8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vMerge/>
            <w:tcBorders>
              <w:left w:val="single" w:sz="10" w:space="0" w:color="D2D2D2"/>
              <w:bottom w:val="single" w:sz="4" w:space="0" w:color="000000"/>
              <w:right w:val="single" w:sz="4" w:space="0" w:color="000000"/>
            </w:tcBorders>
          </w:tcPr>
          <w:p>
            <w:pPr/>
          </w:p>
        </w:tc>
        <w:tc>
          <w:tcPr>
            <w:tcW w:w="735" w:type="dxa"/>
            <w:vMerge/>
            <w:tcBorders>
              <w:left w:val="single" w:sz="4" w:space="0" w:color="000000"/>
              <w:bottom w:val="single" w:sz="4" w:space="0" w:color="000000"/>
              <w:right w:val="single" w:sz="8" w:space="0" w:color="D2D2D2"/>
            </w:tcBorders>
          </w:tcPr>
          <w:p>
            <w:pPr/>
          </w:p>
        </w:tc>
        <w:tc>
          <w:tcPr>
            <w:tcW w:w="7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2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010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c>
          <w:tcPr>
            <w:tcW w:w="729"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46,764.91</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46,764.91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3,430.79</w:t>
            </w:r>
          </w:p>
        </w:tc>
        <w:tc>
          <w:tcPr>
            <w:tcW w:w="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31,504.82</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1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01"/>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335"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8"/>
              <w:jc w:val="left"/>
              <w:rPr>
                <w:rFonts w:ascii="宋体" w:hAnsi="宋体" w:cs="宋体" w:eastAsia="宋体" w:hint="default"/>
                <w:sz w:val="18"/>
                <w:szCs w:val="18"/>
              </w:rPr>
            </w:pPr>
            <w:r>
              <w:rPr>
                <w:rFonts w:ascii="宋体" w:hAnsi="宋体" w:cs="宋体" w:eastAsia="宋体" w:hint="default"/>
                <w:spacing w:val="-3"/>
                <w:sz w:val="18"/>
                <w:szCs w:val="18"/>
              </w:rPr>
              <w:t>未达到计划进度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或预计收益的情</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w w:val="101"/>
                <w:sz w:val="18"/>
                <w:szCs w:val="18"/>
              </w:rPr>
              <w:t>况和原因（分具体</w:t>
            </w:r>
            <w:r>
              <w:rPr>
                <w:rFonts w:ascii="宋体" w:hAnsi="宋体" w:cs="宋体" w:eastAsia="宋体" w:hint="default"/>
                <w:spacing w:val="-88"/>
                <w:w w:val="101"/>
                <w:sz w:val="18"/>
                <w:szCs w:val="18"/>
              </w:rPr>
              <w:t> </w:t>
            </w:r>
            <w:r>
              <w:rPr>
                <w:rFonts w:ascii="宋体" w:hAnsi="宋体" w:cs="宋体" w:eastAsia="宋体" w:hint="default"/>
                <w:spacing w:val="-88"/>
                <w:w w:val="101"/>
                <w:sz w:val="18"/>
                <w:szCs w:val="18"/>
              </w:rPr>
            </w:r>
            <w:r>
              <w:rPr>
                <w:rFonts w:ascii="宋体" w:hAnsi="宋体" w:cs="宋体" w:eastAsia="宋体" w:hint="default"/>
                <w:sz w:val="18"/>
                <w:szCs w:val="18"/>
              </w:rPr>
              <w:t>项目）</w:t>
            </w:r>
          </w:p>
        </w:tc>
        <w:tc>
          <w:tcPr>
            <w:tcW w:w="8691"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028"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14"/>
              <w:jc w:val="both"/>
              <w:rPr>
                <w:rFonts w:ascii="宋体" w:hAnsi="宋体" w:cs="宋体" w:eastAsia="宋体" w:hint="default"/>
                <w:sz w:val="18"/>
                <w:szCs w:val="18"/>
              </w:rPr>
            </w:pPr>
            <w:r>
              <w:rPr>
                <w:rFonts w:ascii="宋体" w:hAnsi="宋体" w:cs="宋体" w:eastAsia="宋体" w:hint="default"/>
                <w:spacing w:val="-3"/>
                <w:sz w:val="18"/>
                <w:szCs w:val="18"/>
              </w:rPr>
              <w:t>项目可行性发生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重大变化的情况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说明</w:t>
            </w:r>
          </w:p>
        </w:tc>
        <w:tc>
          <w:tcPr>
            <w:tcW w:w="8691"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1027" w:hRule="exact"/>
        </w:trPr>
        <w:tc>
          <w:tcPr>
            <w:tcW w:w="14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14"/>
              <w:jc w:val="both"/>
              <w:rPr>
                <w:rFonts w:ascii="宋体" w:hAnsi="宋体" w:cs="宋体" w:eastAsia="宋体" w:hint="default"/>
                <w:sz w:val="18"/>
                <w:szCs w:val="18"/>
              </w:rPr>
            </w:pPr>
            <w:r>
              <w:rPr>
                <w:rFonts w:ascii="宋体" w:hAnsi="宋体" w:cs="宋体" w:eastAsia="宋体" w:hint="default"/>
                <w:spacing w:val="-3"/>
                <w:sz w:val="18"/>
                <w:szCs w:val="18"/>
              </w:rPr>
              <w:t>超募资金的金额</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用途及使用进展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情况</w:t>
            </w:r>
          </w:p>
        </w:tc>
        <w:tc>
          <w:tcPr>
            <w:tcW w:w="729"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3"/>
              <w:ind w:left="-138"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898" w:type="dxa"/>
            <w:tcBorders>
              <w:top w:val="single" w:sz="4" w:space="0" w:color="000000"/>
              <w:left w:val="nil" w:sz="6" w:space="0" w:color="auto"/>
              <w:bottom w:val="single" w:sz="4" w:space="0" w:color="000000"/>
              <w:right w:val="nil" w:sz="6" w:space="0" w:color="auto"/>
            </w:tcBorders>
          </w:tcPr>
          <w:p>
            <w:pPr/>
          </w:p>
        </w:tc>
        <w:tc>
          <w:tcPr>
            <w:tcW w:w="898" w:type="dxa"/>
            <w:tcBorders>
              <w:top w:val="single" w:sz="4" w:space="0" w:color="000000"/>
              <w:left w:val="nil" w:sz="6" w:space="0" w:color="auto"/>
              <w:bottom w:val="single" w:sz="4" w:space="0" w:color="000000"/>
              <w:right w:val="nil" w:sz="6" w:space="0" w:color="auto"/>
            </w:tcBorders>
          </w:tcPr>
          <w:p>
            <w:pPr/>
          </w:p>
        </w:tc>
        <w:tc>
          <w:tcPr>
            <w:tcW w:w="725" w:type="dxa"/>
            <w:tcBorders>
              <w:top w:val="single" w:sz="4" w:space="0" w:color="000000"/>
              <w:left w:val="nil" w:sz="6" w:space="0" w:color="auto"/>
              <w:bottom w:val="single" w:sz="4" w:space="0" w:color="000000"/>
              <w:right w:val="nil" w:sz="6" w:space="0" w:color="auto"/>
            </w:tcBorders>
          </w:tcPr>
          <w:p>
            <w:pPr/>
          </w:p>
        </w:tc>
        <w:tc>
          <w:tcPr>
            <w:tcW w:w="898" w:type="dxa"/>
            <w:tcBorders>
              <w:top w:val="single" w:sz="4" w:space="0" w:color="000000"/>
              <w:left w:val="nil" w:sz="6" w:space="0" w:color="auto"/>
              <w:bottom w:val="single" w:sz="4" w:space="0" w:color="000000"/>
              <w:right w:val="nil" w:sz="6" w:space="0" w:color="auto"/>
            </w:tcBorders>
          </w:tcPr>
          <w:p>
            <w:pPr/>
          </w:p>
        </w:tc>
        <w:tc>
          <w:tcPr>
            <w:tcW w:w="898" w:type="dxa"/>
            <w:tcBorders>
              <w:top w:val="single" w:sz="4" w:space="0" w:color="000000"/>
              <w:left w:val="nil" w:sz="6" w:space="0" w:color="auto"/>
              <w:bottom w:val="single" w:sz="4" w:space="0" w:color="000000"/>
              <w:right w:val="nil" w:sz="6" w:space="0" w:color="auto"/>
            </w:tcBorders>
          </w:tcPr>
          <w:p>
            <w:pPr/>
          </w:p>
        </w:tc>
        <w:tc>
          <w:tcPr>
            <w:tcW w:w="730" w:type="dxa"/>
            <w:tcBorders>
              <w:top w:val="single" w:sz="4" w:space="0" w:color="000000"/>
              <w:left w:val="nil" w:sz="6" w:space="0" w:color="auto"/>
              <w:bottom w:val="single" w:sz="4" w:space="0" w:color="000000"/>
              <w:right w:val="nil" w:sz="6" w:space="0" w:color="auto"/>
            </w:tcBorders>
          </w:tcPr>
          <w:p>
            <w:pPr/>
          </w:p>
        </w:tc>
        <w:tc>
          <w:tcPr>
            <w:tcW w:w="725" w:type="dxa"/>
            <w:tcBorders>
              <w:top w:val="single" w:sz="4" w:space="0" w:color="000000"/>
              <w:left w:val="nil" w:sz="6" w:space="0" w:color="auto"/>
              <w:bottom w:val="single" w:sz="4" w:space="0" w:color="000000"/>
              <w:right w:val="nil" w:sz="6" w:space="0" w:color="auto"/>
            </w:tcBorders>
          </w:tcPr>
          <w:p>
            <w:pPr/>
          </w:p>
        </w:tc>
        <w:tc>
          <w:tcPr>
            <w:tcW w:w="735" w:type="dxa"/>
            <w:tcBorders>
              <w:top w:val="single" w:sz="4" w:space="0" w:color="000000"/>
              <w:left w:val="nil" w:sz="6" w:space="0" w:color="auto"/>
              <w:bottom w:val="single" w:sz="4" w:space="0" w:color="000000"/>
              <w:right w:val="nil" w:sz="6" w:space="0" w:color="auto"/>
            </w:tcBorders>
          </w:tcPr>
          <w:p>
            <w:pPr/>
          </w:p>
        </w:tc>
        <w:tc>
          <w:tcPr>
            <w:tcW w:w="730" w:type="dxa"/>
            <w:tcBorders>
              <w:top w:val="single" w:sz="4" w:space="0" w:color="000000"/>
              <w:left w:val="nil" w:sz="6" w:space="0" w:color="auto"/>
              <w:bottom w:val="single" w:sz="4" w:space="0" w:color="000000"/>
              <w:right w:val="nil" w:sz="6" w:space="0" w:color="auto"/>
            </w:tcBorders>
          </w:tcPr>
          <w:p>
            <w:pPr/>
          </w:p>
        </w:tc>
        <w:tc>
          <w:tcPr>
            <w:tcW w:w="725" w:type="dxa"/>
            <w:tcBorders>
              <w:top w:val="single" w:sz="4" w:space="0" w:color="000000"/>
              <w:left w:val="nil" w:sz="6" w:space="0" w:color="auto"/>
              <w:bottom w:val="single" w:sz="4" w:space="0" w:color="000000"/>
              <w:right w:val="single" w:sz="4" w:space="0" w:color="000000"/>
            </w:tcBorders>
          </w:tcPr>
          <w:p>
            <w:pPr/>
          </w:p>
        </w:tc>
      </w:tr>
      <w:tr>
        <w:trPr>
          <w:trHeight w:val="230" w:hRule="exact"/>
        </w:trPr>
        <w:tc>
          <w:tcPr>
            <w:tcW w:w="1413"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1"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9" w:hRule="exact"/>
        </w:trPr>
        <w:tc>
          <w:tcPr>
            <w:tcW w:w="141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4"/>
              <w:ind w:left="24" w:right="114"/>
              <w:jc w:val="both"/>
              <w:rPr>
                <w:rFonts w:ascii="宋体" w:hAnsi="宋体" w:cs="宋体" w:eastAsia="宋体" w:hint="default"/>
                <w:sz w:val="18"/>
                <w:szCs w:val="18"/>
              </w:rPr>
            </w:pPr>
            <w:r>
              <w:rPr>
                <w:rFonts w:ascii="宋体" w:hAnsi="宋体" w:cs="宋体" w:eastAsia="宋体" w:hint="default"/>
                <w:spacing w:val="-3"/>
                <w:sz w:val="18"/>
                <w:szCs w:val="18"/>
              </w:rPr>
              <w:t>募集资金投资项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目实施地点变更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情况</w:t>
            </w:r>
          </w:p>
        </w:tc>
        <w:tc>
          <w:tcPr>
            <w:tcW w:w="8691" w:type="dxa"/>
            <w:gridSpan w:val="11"/>
            <w:vMerge/>
            <w:tcBorders>
              <w:left w:val="single" w:sz="10" w:space="0" w:color="D2D2D2"/>
              <w:bottom w:val="single" w:sz="4" w:space="0" w:color="000000"/>
              <w:right w:val="single" w:sz="4" w:space="0" w:color="000000"/>
            </w:tcBorders>
          </w:tcPr>
          <w:p>
            <w:pPr/>
          </w:p>
        </w:tc>
      </w:tr>
      <w:tr>
        <w:trPr>
          <w:trHeight w:val="403" w:hRule="exact"/>
        </w:trPr>
        <w:tc>
          <w:tcPr>
            <w:tcW w:w="1413" w:type="dxa"/>
            <w:vMerge/>
            <w:tcBorders>
              <w:left w:val="single" w:sz="4" w:space="0" w:color="000000"/>
              <w:right w:val="single" w:sz="4" w:space="0" w:color="000000"/>
            </w:tcBorders>
            <w:shd w:val="clear" w:color="auto" w:fill="D2D2D2"/>
          </w:tcPr>
          <w:p>
            <w:pPr/>
          </w:p>
        </w:tc>
        <w:tc>
          <w:tcPr>
            <w:tcW w:w="8691"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58"/>
              <w:ind w:left="16"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446" w:hRule="exact"/>
        </w:trPr>
        <w:tc>
          <w:tcPr>
            <w:tcW w:w="1413" w:type="dxa"/>
            <w:vMerge/>
            <w:tcBorders>
              <w:left w:val="single" w:sz="4" w:space="0" w:color="000000"/>
              <w:bottom w:val="nil" w:sz="6" w:space="0" w:color="auto"/>
              <w:right w:val="single" w:sz="4" w:space="0" w:color="000000"/>
            </w:tcBorders>
            <w:shd w:val="clear" w:color="auto" w:fill="D2D2D2"/>
          </w:tcPr>
          <w:p>
            <w:pPr/>
          </w:p>
        </w:tc>
        <w:tc>
          <w:tcPr>
            <w:tcW w:w="8691" w:type="dxa"/>
            <w:gridSpan w:val="11"/>
            <w:vMerge w:val="restart"/>
            <w:tcBorders>
              <w:top w:val="single" w:sz="4" w:space="0" w:color="000000"/>
              <w:left w:val="single" w:sz="10" w:space="0" w:color="D2D2D2"/>
              <w:right w:val="single" w:sz="4" w:space="0" w:color="000000"/>
            </w:tcBorders>
          </w:tcPr>
          <w:p>
            <w:pPr>
              <w:pStyle w:val="TableParagraph"/>
              <w:spacing w:line="240" w:lineRule="auto" w:before="53"/>
              <w:ind w:left="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pacing w:val="-4"/>
                <w:sz w:val="18"/>
                <w:szCs w:val="18"/>
              </w:rPr>
              <w:t>日召开了第五届董事会第四次会议、第五届监事会第三次会议第审议通过了《关于募投项目变更</w:t>
            </w:r>
          </w:p>
          <w:p>
            <w:pPr>
              <w:pStyle w:val="TableParagraph"/>
              <w:spacing w:line="240" w:lineRule="auto" w:before="63"/>
              <w:ind w:left="20" w:right="0"/>
              <w:jc w:val="left"/>
              <w:rPr>
                <w:rFonts w:ascii="宋体" w:hAnsi="宋体" w:cs="宋体" w:eastAsia="宋体" w:hint="default"/>
                <w:sz w:val="18"/>
                <w:szCs w:val="18"/>
              </w:rPr>
            </w:pPr>
            <w:r>
              <w:rPr>
                <w:rFonts w:ascii="宋体" w:hAnsi="宋体" w:cs="宋体" w:eastAsia="宋体" w:hint="default"/>
                <w:w w:val="101"/>
                <w:sz w:val="18"/>
                <w:szCs w:val="18"/>
              </w:rPr>
              <w:t>实</w:t>
            </w:r>
            <w:r>
              <w:rPr>
                <w:rFonts w:ascii="宋体" w:hAnsi="宋体" w:cs="宋体" w:eastAsia="宋体" w:hint="default"/>
                <w:spacing w:val="-5"/>
                <w:w w:val="101"/>
                <w:sz w:val="18"/>
                <w:szCs w:val="18"/>
              </w:rPr>
              <w:t>施</w:t>
            </w:r>
            <w:r>
              <w:rPr>
                <w:rFonts w:ascii="宋体" w:hAnsi="宋体" w:cs="宋体" w:eastAsia="宋体" w:hint="default"/>
                <w:w w:val="101"/>
                <w:sz w:val="18"/>
                <w:szCs w:val="18"/>
              </w:rPr>
              <w:t>地</w:t>
            </w:r>
            <w:r>
              <w:rPr>
                <w:rFonts w:ascii="宋体" w:hAnsi="宋体" w:cs="宋体" w:eastAsia="宋体" w:hint="default"/>
                <w:spacing w:val="-5"/>
                <w:w w:val="101"/>
                <w:sz w:val="18"/>
                <w:szCs w:val="18"/>
              </w:rPr>
              <w:t>点</w:t>
            </w:r>
            <w:r>
              <w:rPr>
                <w:rFonts w:ascii="宋体" w:hAnsi="宋体" w:cs="宋体" w:eastAsia="宋体" w:hint="default"/>
                <w:w w:val="101"/>
                <w:sz w:val="18"/>
                <w:szCs w:val="18"/>
              </w:rPr>
              <w:t>及</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宋体" w:hAnsi="宋体" w:cs="宋体" w:eastAsia="宋体" w:hint="default"/>
                <w:spacing w:val="-5"/>
                <w:w w:val="101"/>
                <w:sz w:val="18"/>
                <w:szCs w:val="18"/>
              </w:rPr>
              <w:t>延</w:t>
            </w:r>
            <w:r>
              <w:rPr>
                <w:rFonts w:ascii="宋体" w:hAnsi="宋体" w:cs="宋体" w:eastAsia="宋体" w:hint="default"/>
                <w:w w:val="101"/>
                <w:sz w:val="18"/>
                <w:szCs w:val="18"/>
              </w:rPr>
              <w:t>期</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意</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湖</w:t>
            </w:r>
            <w:r>
              <w:rPr>
                <w:rFonts w:ascii="宋体" w:hAnsi="宋体" w:cs="宋体" w:eastAsia="宋体" w:hint="default"/>
                <w:spacing w:val="-5"/>
                <w:w w:val="101"/>
                <w:sz w:val="18"/>
                <w:szCs w:val="18"/>
              </w:rPr>
              <w:t>南</w:t>
            </w:r>
            <w:r>
              <w:rPr>
                <w:rFonts w:ascii="宋体" w:hAnsi="宋体" w:cs="宋体" w:eastAsia="宋体" w:hint="default"/>
                <w:w w:val="101"/>
                <w:sz w:val="18"/>
                <w:szCs w:val="18"/>
              </w:rPr>
              <w:t>雅</w:t>
            </w:r>
            <w:r>
              <w:rPr>
                <w:rFonts w:ascii="宋体" w:hAnsi="宋体" w:cs="宋体" w:eastAsia="宋体" w:hint="default"/>
                <w:spacing w:val="-5"/>
                <w:w w:val="101"/>
                <w:sz w:val="18"/>
                <w:szCs w:val="18"/>
              </w:rPr>
              <w:t>城</w:t>
            </w:r>
            <w:r>
              <w:rPr>
                <w:rFonts w:ascii="宋体" w:hAnsi="宋体" w:cs="宋体" w:eastAsia="宋体" w:hint="default"/>
                <w:w w:val="101"/>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000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吨</w:t>
            </w:r>
            <w:r>
              <w:rPr>
                <w:rFonts w:ascii="宋体" w:hAnsi="宋体" w:cs="宋体" w:eastAsia="宋体" w:hint="default"/>
                <w:spacing w:val="-5"/>
                <w:w w:val="101"/>
                <w:sz w:val="18"/>
                <w:szCs w:val="18"/>
              </w:rPr>
              <w:t>电</w:t>
            </w:r>
            <w:r>
              <w:rPr>
                <w:rFonts w:ascii="宋体" w:hAnsi="宋体" w:cs="宋体" w:eastAsia="宋体" w:hint="default"/>
                <w:w w:val="101"/>
                <w:sz w:val="18"/>
                <w:szCs w:val="18"/>
              </w:rPr>
              <w:t>池</w:t>
            </w:r>
            <w:r>
              <w:rPr>
                <w:rFonts w:ascii="宋体" w:hAnsi="宋体" w:cs="宋体" w:eastAsia="宋体" w:hint="default"/>
                <w:spacing w:val="-5"/>
                <w:w w:val="101"/>
                <w:sz w:val="18"/>
                <w:szCs w:val="18"/>
              </w:rPr>
              <w:t>用</w:t>
            </w:r>
            <w:r>
              <w:rPr>
                <w:rFonts w:ascii="宋体" w:hAnsi="宋体" w:cs="宋体" w:eastAsia="宋体" w:hint="default"/>
                <w:w w:val="101"/>
                <w:sz w:val="18"/>
                <w:szCs w:val="18"/>
              </w:rPr>
              <w:t>磷</w:t>
            </w:r>
            <w:r>
              <w:rPr>
                <w:rFonts w:ascii="宋体" w:hAnsi="宋体" w:cs="宋体" w:eastAsia="宋体" w:hint="default"/>
                <w:spacing w:val="-5"/>
                <w:w w:val="101"/>
                <w:sz w:val="18"/>
                <w:szCs w:val="18"/>
              </w:rPr>
              <w:t>酸</w:t>
            </w:r>
            <w:r>
              <w:rPr>
                <w:rFonts w:ascii="宋体" w:hAnsi="宋体" w:cs="宋体" w:eastAsia="宋体" w:hint="default"/>
                <w:w w:val="101"/>
                <w:sz w:val="18"/>
                <w:szCs w:val="18"/>
              </w:rPr>
              <w:t>铁</w:t>
            </w:r>
            <w:r>
              <w:rPr>
                <w:rFonts w:ascii="宋体" w:hAnsi="宋体" w:cs="宋体" w:eastAsia="宋体" w:hint="default"/>
                <w:spacing w:val="-5"/>
                <w:w w:val="101"/>
                <w:sz w:val="18"/>
                <w:szCs w:val="18"/>
              </w:rPr>
              <w:t>项</w:t>
            </w:r>
            <w:r>
              <w:rPr>
                <w:rFonts w:ascii="宋体" w:hAnsi="宋体" w:cs="宋体" w:eastAsia="宋体" w:hint="default"/>
                <w:w w:val="101"/>
                <w:sz w:val="18"/>
                <w:szCs w:val="18"/>
              </w:rPr>
              <w:t>目</w:t>
            </w:r>
            <w:r>
              <w:rPr>
                <w:rFonts w:ascii="Times New Roman" w:hAnsi="Times New Roman" w:cs="Times New Roman" w:eastAsia="Times New Roman" w:hint="default"/>
                <w:w w:val="101"/>
                <w:sz w:val="18"/>
                <w:szCs w:val="18"/>
              </w:rPr>
              <w:t>”</w:t>
            </w:r>
            <w:r>
              <w:rPr>
                <w:rFonts w:ascii="宋体" w:hAnsi="宋体" w:cs="宋体" w:eastAsia="宋体" w:hint="default"/>
                <w:spacing w:val="-5"/>
                <w:w w:val="101"/>
                <w:sz w:val="18"/>
                <w:szCs w:val="18"/>
              </w:rPr>
              <w:t>的</w:t>
            </w:r>
            <w:r>
              <w:rPr>
                <w:rFonts w:ascii="宋体" w:hAnsi="宋体" w:cs="宋体" w:eastAsia="宋体" w:hint="default"/>
                <w:w w:val="101"/>
                <w:sz w:val="18"/>
                <w:szCs w:val="18"/>
              </w:rPr>
              <w:t>实</w:t>
            </w:r>
            <w:r>
              <w:rPr>
                <w:rFonts w:ascii="宋体" w:hAnsi="宋体" w:cs="宋体" w:eastAsia="宋体" w:hint="default"/>
                <w:spacing w:val="-5"/>
                <w:w w:val="101"/>
                <w:sz w:val="18"/>
                <w:szCs w:val="18"/>
              </w:rPr>
              <w:t>施</w:t>
            </w:r>
            <w:r>
              <w:rPr>
                <w:rFonts w:ascii="宋体" w:hAnsi="宋体" w:cs="宋体" w:eastAsia="宋体" w:hint="default"/>
                <w:w w:val="101"/>
                <w:sz w:val="18"/>
                <w:szCs w:val="18"/>
              </w:rPr>
              <w:t>地</w:t>
            </w:r>
            <w:r>
              <w:rPr>
                <w:rFonts w:ascii="宋体" w:hAnsi="宋体" w:cs="宋体" w:eastAsia="宋体" w:hint="default"/>
                <w:spacing w:val="-5"/>
                <w:w w:val="101"/>
                <w:sz w:val="18"/>
                <w:szCs w:val="18"/>
              </w:rPr>
              <w:t>点</w:t>
            </w:r>
            <w:r>
              <w:rPr>
                <w:rFonts w:ascii="宋体" w:hAnsi="宋体" w:cs="宋体" w:eastAsia="宋体" w:hint="default"/>
                <w:w w:val="101"/>
                <w:sz w:val="18"/>
                <w:szCs w:val="18"/>
              </w:rPr>
              <w:t>由</w:t>
            </w:r>
            <w:r>
              <w:rPr>
                <w:rFonts w:ascii="宋体" w:hAnsi="宋体" w:cs="宋体" w:eastAsia="宋体" w:hint="default"/>
                <w:spacing w:val="-5"/>
                <w:w w:val="101"/>
                <w:sz w:val="18"/>
                <w:szCs w:val="18"/>
              </w:rPr>
              <w:t>宁</w:t>
            </w:r>
            <w:r>
              <w:rPr>
                <w:rFonts w:ascii="宋体" w:hAnsi="宋体" w:cs="宋体" w:eastAsia="宋体" w:hint="default"/>
                <w:w w:val="101"/>
                <w:sz w:val="18"/>
                <w:szCs w:val="18"/>
              </w:rPr>
              <w:t>乡</w:t>
            </w:r>
            <w:r>
              <w:rPr>
                <w:rFonts w:ascii="宋体" w:hAnsi="宋体" w:cs="宋体" w:eastAsia="宋体" w:hint="default"/>
                <w:spacing w:val="-5"/>
                <w:w w:val="101"/>
                <w:sz w:val="18"/>
                <w:szCs w:val="18"/>
              </w:rPr>
              <w:t>经</w:t>
            </w:r>
            <w:r>
              <w:rPr>
                <w:rFonts w:ascii="宋体" w:hAnsi="宋体" w:cs="宋体" w:eastAsia="宋体" w:hint="default"/>
                <w:w w:val="101"/>
                <w:sz w:val="18"/>
                <w:szCs w:val="18"/>
              </w:rPr>
              <w:t>济</w:t>
            </w:r>
            <w:r>
              <w:rPr>
                <w:rFonts w:ascii="宋体" w:hAnsi="宋体" w:cs="宋体" w:eastAsia="宋体" w:hint="default"/>
                <w:spacing w:val="-5"/>
                <w:w w:val="101"/>
                <w:sz w:val="18"/>
                <w:szCs w:val="18"/>
              </w:rPr>
              <w:t>技</w:t>
            </w:r>
            <w:r>
              <w:rPr>
                <w:rFonts w:ascii="宋体" w:hAnsi="宋体" w:cs="宋体" w:eastAsia="宋体" w:hint="default"/>
                <w:w w:val="101"/>
                <w:sz w:val="18"/>
                <w:szCs w:val="18"/>
              </w:rPr>
              <w:t>术开</w:t>
            </w:r>
            <w:r>
              <w:rPr>
                <w:rFonts w:ascii="宋体" w:hAnsi="宋体" w:cs="宋体" w:eastAsia="宋体" w:hint="default"/>
                <w:sz w:val="18"/>
                <w:szCs w:val="18"/>
              </w:rPr>
            </w:r>
          </w:p>
        </w:tc>
      </w:tr>
      <w:tr>
        <w:trPr>
          <w:trHeight w:val="230" w:hRule="exact"/>
        </w:trPr>
        <w:tc>
          <w:tcPr>
            <w:tcW w:w="1413"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1" w:type="dxa"/>
            <w:gridSpan w:val="11"/>
            <w:vMerge/>
            <w:tcBorders>
              <w:left w:val="single" w:sz="10" w:space="0" w:color="D2D2D2"/>
              <w:bottom w:val="single" w:sz="4" w:space="0" w:color="000000"/>
              <w:right w:val="single" w:sz="4" w:space="0" w:color="000000"/>
            </w:tcBorders>
          </w:tcPr>
          <w:p>
            <w:pPr/>
          </w:p>
        </w:tc>
      </w:tr>
    </w:tbl>
    <w:p>
      <w:pPr>
        <w:spacing w:after="0"/>
        <w:sectPr>
          <w:pgSz w:w="11910" w:h="16840"/>
          <w:pgMar w:header="741" w:footer="979" w:top="1060" w:bottom="1160" w:left="780" w:right="0"/>
        </w:sectPr>
      </w:pPr>
    </w:p>
    <w:p>
      <w:pPr>
        <w:spacing w:line="240" w:lineRule="auto" w:before="11"/>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417"/>
        <w:gridCol w:w="8687"/>
      </w:tblGrid>
      <w:tr>
        <w:trPr>
          <w:trHeight w:val="984"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4"/>
              <w:jc w:val="both"/>
              <w:rPr>
                <w:rFonts w:ascii="宋体" w:hAnsi="宋体" w:cs="宋体" w:eastAsia="宋体" w:hint="default"/>
                <w:sz w:val="18"/>
                <w:szCs w:val="18"/>
              </w:rPr>
            </w:pPr>
            <w:r>
              <w:rPr>
                <w:rFonts w:ascii="宋体" w:hAnsi="宋体" w:cs="宋体" w:eastAsia="宋体" w:hint="default"/>
                <w:spacing w:val="-3"/>
                <w:sz w:val="18"/>
                <w:szCs w:val="18"/>
              </w:rPr>
              <w:t>发区新康路湖南雅城厂区内变更为宁乡经济技术开发区檀金路以南、发展北路以西；同时由于新基地土地招拍</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挂程序的影响，结合当前募集资金投资项目的实施进度、实际建设情况，上述募集项目达到预计可使用状态时</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间调整为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w:t>
            </w:r>
            <w:r>
              <w:rPr>
                <w:rFonts w:ascii="宋体" w:hAnsi="宋体" w:cs="宋体" w:eastAsia="宋体" w:hint="default"/>
                <w:sz w:val="18"/>
                <w:szCs w:val="18"/>
              </w:rPr>
            </w:r>
          </w:p>
        </w:tc>
      </w:tr>
      <w:tr>
        <w:trPr>
          <w:trHeight w:val="1028"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24" w:right="118"/>
              <w:jc w:val="both"/>
              <w:rPr>
                <w:rFonts w:ascii="宋体" w:hAnsi="宋体" w:cs="宋体" w:eastAsia="宋体" w:hint="default"/>
                <w:sz w:val="18"/>
                <w:szCs w:val="18"/>
              </w:rPr>
            </w:pPr>
            <w:r>
              <w:rPr>
                <w:rFonts w:ascii="宋体" w:hAnsi="宋体" w:cs="宋体" w:eastAsia="宋体" w:hint="default"/>
                <w:spacing w:val="-3"/>
                <w:sz w:val="18"/>
                <w:szCs w:val="18"/>
              </w:rPr>
              <w:t>募集资金投资项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目实施方式调整</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情况</w:t>
            </w:r>
          </w:p>
        </w:tc>
        <w:tc>
          <w:tcPr>
            <w:tcW w:w="8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4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319" w:lineRule="auto"/>
              <w:ind w:left="24" w:right="118"/>
              <w:jc w:val="both"/>
              <w:rPr>
                <w:rFonts w:ascii="宋体" w:hAnsi="宋体" w:cs="宋体" w:eastAsia="宋体" w:hint="default"/>
                <w:sz w:val="18"/>
                <w:szCs w:val="18"/>
              </w:rPr>
            </w:pPr>
            <w:r>
              <w:rPr>
                <w:rFonts w:ascii="宋体" w:hAnsi="宋体" w:cs="宋体" w:eastAsia="宋体" w:hint="default"/>
                <w:spacing w:val="-3"/>
                <w:sz w:val="18"/>
                <w:szCs w:val="18"/>
              </w:rPr>
              <w:t>用闲置募集资金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暂时补充流动资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金情况</w:t>
            </w:r>
          </w:p>
        </w:tc>
        <w:tc>
          <w:tcPr>
            <w:tcW w:w="8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40"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8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3 </w:t>
            </w:r>
            <w:r>
              <w:rPr>
                <w:rFonts w:ascii="宋体" w:hAnsi="宋体" w:cs="宋体" w:eastAsia="宋体" w:hint="default"/>
                <w:sz w:val="18"/>
                <w:szCs w:val="18"/>
              </w:rPr>
              <w:t>月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pacing w:val="-4"/>
                <w:sz w:val="18"/>
                <w:szCs w:val="18"/>
              </w:rPr>
              <w:t>日，公司召开了第五届董事会第二次会议、第五届监事会第二次会议，审议通过了《关于使用部</w:t>
            </w:r>
          </w:p>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分</w:t>
            </w:r>
            <w:r>
              <w:rPr>
                <w:rFonts w:ascii="宋体" w:hAnsi="宋体" w:cs="宋体" w:eastAsia="宋体" w:hint="default"/>
                <w:spacing w:val="-5"/>
                <w:w w:val="101"/>
                <w:sz w:val="18"/>
                <w:szCs w:val="18"/>
              </w:rPr>
              <w:t>闲</w:t>
            </w:r>
            <w:r>
              <w:rPr>
                <w:rFonts w:ascii="宋体" w:hAnsi="宋体" w:cs="宋体" w:eastAsia="宋体" w:hint="default"/>
                <w:w w:val="101"/>
                <w:sz w:val="18"/>
                <w:szCs w:val="18"/>
              </w:rPr>
              <w:t>置</w:t>
            </w:r>
            <w:r>
              <w:rPr>
                <w:rFonts w:ascii="宋体" w:hAnsi="宋体" w:cs="宋体" w:eastAsia="宋体" w:hint="default"/>
                <w:spacing w:val="-5"/>
                <w:w w:val="101"/>
                <w:sz w:val="18"/>
                <w:szCs w:val="18"/>
              </w:rPr>
              <w:t>募</w:t>
            </w:r>
            <w:r>
              <w:rPr>
                <w:rFonts w:ascii="宋体" w:hAnsi="宋体" w:cs="宋体" w:eastAsia="宋体" w:hint="default"/>
                <w:w w:val="101"/>
                <w:sz w:val="18"/>
                <w:szCs w:val="18"/>
              </w:rPr>
              <w:t>集</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暂</w:t>
            </w:r>
            <w:r>
              <w:rPr>
                <w:rFonts w:ascii="宋体" w:hAnsi="宋体" w:cs="宋体" w:eastAsia="宋体" w:hint="default"/>
                <w:w w:val="101"/>
                <w:sz w:val="18"/>
                <w:szCs w:val="18"/>
              </w:rPr>
              <w:t>时</w:t>
            </w:r>
            <w:r>
              <w:rPr>
                <w:rFonts w:ascii="宋体" w:hAnsi="宋体" w:cs="宋体" w:eastAsia="宋体" w:hint="default"/>
                <w:spacing w:val="-5"/>
                <w:w w:val="101"/>
                <w:sz w:val="18"/>
                <w:szCs w:val="18"/>
              </w:rPr>
              <w:t>补</w:t>
            </w:r>
            <w:r>
              <w:rPr>
                <w:rFonts w:ascii="宋体" w:hAnsi="宋体" w:cs="宋体" w:eastAsia="宋体" w:hint="default"/>
                <w:w w:val="101"/>
                <w:sz w:val="18"/>
                <w:szCs w:val="18"/>
              </w:rPr>
              <w:t>充</w:t>
            </w:r>
            <w:r>
              <w:rPr>
                <w:rFonts w:ascii="宋体" w:hAnsi="宋体" w:cs="宋体" w:eastAsia="宋体" w:hint="default"/>
                <w:spacing w:val="-5"/>
                <w:w w:val="101"/>
                <w:sz w:val="18"/>
                <w:szCs w:val="18"/>
              </w:rPr>
              <w:t>流</w:t>
            </w:r>
            <w:r>
              <w:rPr>
                <w:rFonts w:ascii="宋体" w:hAnsi="宋体" w:cs="宋体" w:eastAsia="宋体" w:hint="default"/>
                <w:w w:val="101"/>
                <w:sz w:val="18"/>
                <w:szCs w:val="18"/>
              </w:rPr>
              <w:t>动</w:t>
            </w:r>
            <w:r>
              <w:rPr>
                <w:rFonts w:ascii="宋体" w:hAnsi="宋体" w:cs="宋体" w:eastAsia="宋体" w:hint="default"/>
                <w:spacing w:val="-5"/>
                <w:w w:val="101"/>
                <w:sz w:val="18"/>
                <w:szCs w:val="18"/>
              </w:rPr>
              <w:t>资</w:t>
            </w:r>
            <w:r>
              <w:rPr>
                <w:rFonts w:ascii="宋体" w:hAnsi="宋体" w:cs="宋体" w:eastAsia="宋体" w:hint="default"/>
                <w:w w:val="101"/>
                <w:sz w:val="18"/>
                <w:szCs w:val="18"/>
              </w:rPr>
              <w:t>金</w:t>
            </w:r>
            <w:r>
              <w:rPr>
                <w:rFonts w:ascii="宋体" w:hAnsi="宋体" w:cs="宋体" w:eastAsia="宋体" w:hint="default"/>
                <w:spacing w:val="-5"/>
                <w:w w:val="101"/>
                <w:sz w:val="18"/>
                <w:szCs w:val="18"/>
              </w:rPr>
              <w:t>的</w:t>
            </w:r>
            <w:r>
              <w:rPr>
                <w:rFonts w:ascii="宋体" w:hAnsi="宋体" w:cs="宋体" w:eastAsia="宋体" w:hint="default"/>
                <w:w w:val="101"/>
                <w:sz w:val="18"/>
                <w:szCs w:val="18"/>
              </w:rPr>
              <w:t>议案</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同</w:t>
            </w:r>
            <w:r>
              <w:rPr>
                <w:rFonts w:ascii="宋体" w:hAnsi="宋体" w:cs="宋体" w:eastAsia="宋体" w:hint="default"/>
                <w:w w:val="101"/>
                <w:sz w:val="18"/>
                <w:szCs w:val="18"/>
              </w:rPr>
              <w:t>意</w:t>
            </w:r>
            <w:r>
              <w:rPr>
                <w:rFonts w:ascii="宋体" w:hAnsi="宋体" w:cs="宋体" w:eastAsia="宋体" w:hint="default"/>
                <w:spacing w:val="-5"/>
                <w:w w:val="101"/>
                <w:sz w:val="18"/>
                <w:szCs w:val="18"/>
              </w:rPr>
              <w:t>公</w:t>
            </w:r>
            <w:r>
              <w:rPr>
                <w:rFonts w:ascii="宋体" w:hAnsi="宋体" w:cs="宋体" w:eastAsia="宋体" w:hint="default"/>
                <w:w w:val="101"/>
                <w:sz w:val="18"/>
                <w:szCs w:val="18"/>
              </w:rPr>
              <w:t>司</w:t>
            </w:r>
            <w:r>
              <w:rPr>
                <w:rFonts w:ascii="宋体" w:hAnsi="宋体" w:cs="宋体" w:eastAsia="宋体" w:hint="default"/>
                <w:spacing w:val="-5"/>
                <w:w w:val="101"/>
                <w:sz w:val="18"/>
                <w:szCs w:val="18"/>
              </w:rPr>
              <w:t>使</w:t>
            </w:r>
            <w:r>
              <w:rPr>
                <w:rFonts w:ascii="宋体" w:hAnsi="宋体" w:cs="宋体" w:eastAsia="宋体" w:hint="default"/>
                <w:w w:val="101"/>
                <w:sz w:val="18"/>
                <w:szCs w:val="18"/>
              </w:rPr>
              <w:t>用</w:t>
            </w:r>
            <w:r>
              <w:rPr>
                <w:rFonts w:ascii="宋体" w:hAnsi="宋体" w:cs="宋体" w:eastAsia="宋体" w:hint="default"/>
                <w:spacing w:val="-5"/>
                <w:w w:val="101"/>
                <w:sz w:val="18"/>
                <w:szCs w:val="18"/>
              </w:rPr>
              <w:t>不</w:t>
            </w:r>
            <w:r>
              <w:rPr>
                <w:rFonts w:ascii="宋体" w:hAnsi="宋体" w:cs="宋体" w:eastAsia="宋体" w:hint="default"/>
                <w:w w:val="101"/>
                <w:sz w:val="18"/>
                <w:szCs w:val="18"/>
              </w:rPr>
              <w:t>超</w:t>
            </w:r>
            <w:r>
              <w:rPr>
                <w:rFonts w:ascii="宋体" w:hAnsi="宋体" w:cs="宋体" w:eastAsia="宋体" w:hint="default"/>
                <w:spacing w:val="-5"/>
                <w:w w:val="101"/>
                <w:sz w:val="18"/>
                <w:szCs w:val="18"/>
              </w:rPr>
              <w:t>过</w:t>
            </w:r>
            <w:r>
              <w:rPr>
                <w:rFonts w:ascii="宋体" w:hAnsi="宋体" w:cs="宋体" w:eastAsia="宋体" w:hint="default"/>
                <w:w w:val="101"/>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pacing w:val="-5"/>
                <w:w w:val="101"/>
                <w:sz w:val="18"/>
                <w:szCs w:val="18"/>
              </w:rPr>
              <w:t>1</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80</w:t>
            </w:r>
            <w:r>
              <w:rPr>
                <w:rFonts w:ascii="Times New Roman" w:hAnsi="Times New Roman" w:cs="Times New Roman" w:eastAsia="Times New Roman" w:hint="default"/>
                <w:spacing w:val="-6"/>
                <w:sz w:val="18"/>
                <w:szCs w:val="18"/>
              </w:rPr>
              <w:t> </w:t>
            </w:r>
            <w:r>
              <w:rPr>
                <w:rFonts w:ascii="宋体" w:hAnsi="宋体" w:cs="宋体" w:eastAsia="宋体" w:hint="default"/>
                <w:w w:val="101"/>
                <w:sz w:val="18"/>
                <w:szCs w:val="18"/>
              </w:rPr>
              <w:t>亿</w:t>
            </w:r>
            <w:r>
              <w:rPr>
                <w:rFonts w:ascii="宋体" w:hAnsi="宋体" w:cs="宋体" w:eastAsia="宋体" w:hint="default"/>
                <w:spacing w:val="-5"/>
                <w:w w:val="101"/>
                <w:sz w:val="18"/>
                <w:szCs w:val="18"/>
              </w:rPr>
              <w:t>元</w:t>
            </w:r>
            <w:r>
              <w:rPr>
                <w:rFonts w:ascii="宋体" w:hAnsi="宋体" w:cs="宋体" w:eastAsia="宋体" w:hint="default"/>
                <w:w w:val="101"/>
                <w:sz w:val="18"/>
                <w:szCs w:val="18"/>
              </w:rPr>
              <w:t>的</w:t>
            </w:r>
            <w:r>
              <w:rPr>
                <w:rFonts w:ascii="宋体" w:hAnsi="宋体" w:cs="宋体" w:eastAsia="宋体" w:hint="default"/>
                <w:spacing w:val="-5"/>
                <w:w w:val="101"/>
                <w:sz w:val="18"/>
                <w:szCs w:val="18"/>
              </w:rPr>
              <w:t>闲</w:t>
            </w:r>
            <w:r>
              <w:rPr>
                <w:rFonts w:ascii="宋体" w:hAnsi="宋体" w:cs="宋体" w:eastAsia="宋体" w:hint="default"/>
                <w:w w:val="101"/>
                <w:sz w:val="18"/>
                <w:szCs w:val="18"/>
              </w:rPr>
              <w:t>置</w:t>
            </w:r>
            <w:r>
              <w:rPr>
                <w:rFonts w:ascii="宋体" w:hAnsi="宋体" w:cs="宋体" w:eastAsia="宋体" w:hint="default"/>
                <w:spacing w:val="-5"/>
                <w:w w:val="101"/>
                <w:sz w:val="18"/>
                <w:szCs w:val="18"/>
              </w:rPr>
              <w:t>集</w:t>
            </w:r>
            <w:r>
              <w:rPr>
                <w:rFonts w:ascii="宋体" w:hAnsi="宋体" w:cs="宋体" w:eastAsia="宋体" w:hint="default"/>
                <w:w w:val="101"/>
                <w:sz w:val="18"/>
                <w:szCs w:val="18"/>
              </w:rPr>
              <w:t>资</w:t>
            </w:r>
            <w:r>
              <w:rPr>
                <w:rFonts w:ascii="宋体" w:hAnsi="宋体" w:cs="宋体" w:eastAsia="宋体" w:hint="default"/>
                <w:spacing w:val="-5"/>
                <w:w w:val="101"/>
                <w:sz w:val="18"/>
                <w:szCs w:val="18"/>
              </w:rPr>
              <w:t>金</w:t>
            </w:r>
            <w:r>
              <w:rPr>
                <w:rFonts w:ascii="宋体" w:hAnsi="宋体" w:cs="宋体" w:eastAsia="宋体" w:hint="default"/>
                <w:w w:val="101"/>
                <w:sz w:val="18"/>
                <w:szCs w:val="18"/>
              </w:rPr>
              <w:t>暂</w:t>
            </w:r>
            <w:r>
              <w:rPr>
                <w:rFonts w:ascii="宋体" w:hAnsi="宋体" w:cs="宋体" w:eastAsia="宋体" w:hint="default"/>
                <w:spacing w:val="-5"/>
                <w:w w:val="101"/>
                <w:sz w:val="18"/>
                <w:szCs w:val="18"/>
              </w:rPr>
              <w:t>时</w:t>
            </w:r>
            <w:r>
              <w:rPr>
                <w:rFonts w:ascii="宋体" w:hAnsi="宋体" w:cs="宋体" w:eastAsia="宋体" w:hint="default"/>
                <w:w w:val="101"/>
                <w:sz w:val="18"/>
                <w:szCs w:val="18"/>
              </w:rPr>
              <w:t>补</w:t>
            </w:r>
            <w:r>
              <w:rPr>
                <w:rFonts w:ascii="宋体" w:hAnsi="宋体" w:cs="宋体" w:eastAsia="宋体" w:hint="default"/>
                <w:spacing w:val="-5"/>
                <w:w w:val="101"/>
                <w:sz w:val="18"/>
                <w:szCs w:val="18"/>
              </w:rPr>
              <w:t>充</w:t>
            </w:r>
            <w:r>
              <w:rPr>
                <w:rFonts w:ascii="宋体" w:hAnsi="宋体" w:cs="宋体" w:eastAsia="宋体" w:hint="default"/>
                <w:w w:val="101"/>
                <w:sz w:val="18"/>
                <w:szCs w:val="18"/>
              </w:rPr>
              <w:t>流动</w:t>
            </w:r>
            <w:r>
              <w:rPr>
                <w:rFonts w:ascii="宋体" w:hAnsi="宋体" w:cs="宋体" w:eastAsia="宋体"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pacing w:val="-3"/>
                <w:sz w:val="18"/>
                <w:szCs w:val="18"/>
              </w:rPr>
              <w:t>资金，使用期限自董事会审议通过之日起不超过</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个月。截至</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月</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日，公司使用暂时闲置募集资</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金补充流动资金金额为</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15,679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日，上述资金已全部归还至募集资金专户。</w:t>
            </w:r>
          </w:p>
        </w:tc>
      </w:tr>
      <w:tr>
        <w:trPr>
          <w:trHeight w:val="711"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18"/>
              <w:jc w:val="left"/>
              <w:rPr>
                <w:rFonts w:ascii="宋体" w:hAnsi="宋体" w:cs="宋体" w:eastAsia="宋体" w:hint="default"/>
                <w:sz w:val="18"/>
                <w:szCs w:val="18"/>
              </w:rPr>
            </w:pPr>
            <w:r>
              <w:rPr>
                <w:rFonts w:ascii="宋体" w:hAnsi="宋体" w:cs="宋体" w:eastAsia="宋体" w:hint="default"/>
                <w:spacing w:val="-3"/>
                <w:sz w:val="18"/>
                <w:szCs w:val="18"/>
              </w:rPr>
              <w:t>尚未使用的募集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资金用途及去向</w:t>
            </w:r>
          </w:p>
        </w:tc>
        <w:tc>
          <w:tcPr>
            <w:tcW w:w="8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日尚未使用的募集资金用于公司暂时补充流动资金。</w:t>
            </w:r>
          </w:p>
        </w:tc>
      </w:tr>
      <w:tr>
        <w:trPr>
          <w:trHeight w:val="1027" w:hRule="exact"/>
        </w:trPr>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18"/>
              <w:jc w:val="both"/>
              <w:rPr>
                <w:rFonts w:ascii="宋体" w:hAnsi="宋体" w:cs="宋体" w:eastAsia="宋体" w:hint="default"/>
                <w:sz w:val="18"/>
                <w:szCs w:val="18"/>
              </w:rPr>
            </w:pPr>
            <w:r>
              <w:rPr>
                <w:rFonts w:ascii="宋体" w:hAnsi="宋体" w:cs="宋体" w:eastAsia="宋体" w:hint="default"/>
                <w:spacing w:val="-3"/>
                <w:sz w:val="18"/>
                <w:szCs w:val="18"/>
              </w:rPr>
              <w:t>募集资金使用及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披露中存在的问</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题或其他情况</w:t>
            </w:r>
          </w:p>
        </w:tc>
        <w:tc>
          <w:tcPr>
            <w:tcW w:w="8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left="353" w:right="7211"/>
        <w:jc w:val="left"/>
        <w:rPr>
          <w:b w:val="0"/>
          <w:bCs w:val="0"/>
        </w:rPr>
      </w:pPr>
      <w:bookmarkStart w:name="（3）募集资金变更项目情况" w:id="52"/>
      <w:bookmarkEnd w:id="52"/>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35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公司报告期不存在募集资金变更项目情况。</w:t>
      </w:r>
    </w:p>
    <w:p>
      <w:pPr>
        <w:spacing w:line="240" w:lineRule="auto" w:before="4"/>
        <w:rPr>
          <w:rFonts w:ascii="宋体" w:hAnsi="宋体" w:cs="宋体" w:eastAsia="宋体" w:hint="default"/>
          <w:sz w:val="18"/>
          <w:szCs w:val="18"/>
        </w:rPr>
      </w:pPr>
    </w:p>
    <w:p>
      <w:pPr>
        <w:pStyle w:val="Heading2"/>
        <w:spacing w:line="240" w:lineRule="auto"/>
        <w:ind w:left="353" w:right="7211"/>
        <w:jc w:val="left"/>
        <w:rPr>
          <w:b w:val="0"/>
          <w:bCs w:val="0"/>
        </w:rPr>
      </w:pPr>
      <w:bookmarkStart w:name="六、重大资产和股权出售" w:id="53"/>
      <w:bookmarkEnd w:id="53"/>
      <w:r>
        <w:rPr>
          <w:b w:val="0"/>
          <w:bCs w:val="0"/>
        </w:rPr>
      </w:r>
      <w:r>
        <w:rPr/>
        <w:t>六、重大资产和股权出售</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left="353" w:right="7211"/>
        <w:jc w:val="left"/>
        <w:rPr>
          <w:b w:val="0"/>
          <w:bCs w:val="0"/>
        </w:rPr>
      </w:pPr>
      <w:bookmarkStart w:name="1、出售重大资产情况" w:id="54"/>
      <w:bookmarkEnd w:id="54"/>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35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公司报告期未出售重大资产。</w:t>
      </w:r>
    </w:p>
    <w:p>
      <w:pPr>
        <w:spacing w:line="240" w:lineRule="auto" w:before="1"/>
        <w:rPr>
          <w:rFonts w:ascii="宋体" w:hAnsi="宋体" w:cs="宋体" w:eastAsia="宋体" w:hint="default"/>
          <w:sz w:val="21"/>
          <w:szCs w:val="21"/>
        </w:rPr>
      </w:pPr>
    </w:p>
    <w:p>
      <w:pPr>
        <w:pStyle w:val="Heading3"/>
        <w:spacing w:line="240" w:lineRule="auto"/>
        <w:ind w:left="353" w:right="7211"/>
        <w:jc w:val="left"/>
        <w:rPr>
          <w:b w:val="0"/>
          <w:bCs w:val="0"/>
        </w:rPr>
      </w:pPr>
      <w:bookmarkStart w:name="2、出售重大股权情况" w:id="55"/>
      <w:bookmarkEnd w:id="55"/>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353" w:right="7211"/>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left="353" w:right="7211"/>
        <w:jc w:val="left"/>
        <w:rPr>
          <w:b w:val="0"/>
          <w:bCs w:val="0"/>
        </w:rPr>
      </w:pPr>
      <w:bookmarkStart w:name="七、主要控股参股公司分析" w:id="56"/>
      <w:bookmarkEnd w:id="56"/>
      <w:r>
        <w:rPr>
          <w:b w:val="0"/>
          <w:bCs w:val="0"/>
        </w:rPr>
      </w:r>
      <w:r>
        <w:rPr/>
        <w:t>七、主要控股参股公司分析</w:t>
      </w:r>
      <w:r>
        <w:rPr>
          <w:b w:val="0"/>
          <w:bCs w:val="0"/>
        </w:rPr>
      </w:r>
    </w:p>
    <w:p>
      <w:pPr>
        <w:spacing w:line="240" w:lineRule="auto" w:before="1"/>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10" w:h="16840"/>
          <w:pgMar w:header="741" w:footer="979" w:top="1060" w:bottom="1160" w:left="780" w:right="0"/>
        </w:sectPr>
      </w:pPr>
    </w:p>
    <w:p>
      <w:pPr>
        <w:pStyle w:val="BodyText"/>
        <w:spacing w:line="240" w:lineRule="auto" w:before="46"/>
        <w:ind w:left="353" w:right="-16"/>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353" w:right="-16"/>
        <w:jc w:val="left"/>
      </w:pPr>
      <w:r>
        <w:rPr/>
        <w:t>主要子公司及对公司净利润影响达</w:t>
      </w:r>
      <w:r>
        <w:rPr>
          <w:spacing w:val="-8"/>
        </w:rPr>
        <w:t> </w:t>
      </w:r>
      <w:r>
        <w:rPr>
          <w:rFonts w:ascii="Times New Roman" w:hAnsi="Times New Roman" w:cs="Times New Roman" w:eastAsia="Times New Roman" w:hint="default"/>
          <w:spacing w:val="-3"/>
        </w:rPr>
        <w:t>10%</w:t>
      </w:r>
      <w:r>
        <w:rPr>
          <w:spacing w:val="-3"/>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left="353" w:right="0"/>
        <w:jc w:val="left"/>
      </w:pPr>
      <w:r>
        <w:rPr/>
        <w:t>单位：元</w:t>
      </w:r>
    </w:p>
    <w:p>
      <w:pPr>
        <w:spacing w:after="0" w:line="240" w:lineRule="auto"/>
        <w:jc w:val="left"/>
        <w:sectPr>
          <w:type w:val="continuous"/>
          <w:pgSz w:w="11910" w:h="16840"/>
          <w:pgMar w:top="1060" w:bottom="1160" w:left="780" w:right="0"/>
          <w:cols w:num="2" w:equalWidth="0">
            <w:col w:w="5054" w:space="3868"/>
            <w:col w:w="2208"/>
          </w:cols>
        </w:sectPr>
      </w:pPr>
    </w:p>
    <w:p>
      <w:pPr>
        <w:spacing w:line="240" w:lineRule="auto" w:before="13"/>
        <w:rPr>
          <w:rFonts w:ascii="宋体" w:hAnsi="宋体" w:cs="宋体" w:eastAsia="宋体" w:hint="default"/>
          <w:sz w:val="7"/>
          <w:szCs w:val="7"/>
        </w:rPr>
      </w:pPr>
    </w:p>
    <w:tbl>
      <w:tblPr>
        <w:tblW w:w="0" w:type="auto"/>
        <w:jc w:val="left"/>
        <w:tblInd w:w="3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404" w:hRule="exact"/>
        </w:trPr>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47"/>
              <w:jc w:val="right"/>
              <w:rPr>
                <w:rFonts w:ascii="宋体" w:hAnsi="宋体" w:cs="宋体" w:eastAsia="宋体" w:hint="default"/>
                <w:sz w:val="18"/>
                <w:szCs w:val="18"/>
              </w:rPr>
            </w:pPr>
            <w:r>
              <w:rPr>
                <w:rFonts w:ascii="宋体" w:hAnsi="宋体" w:cs="宋体" w:eastAsia="宋体" w:hint="default"/>
                <w:spacing w:val="-2"/>
                <w:sz w:val="18"/>
                <w:szCs w:val="18"/>
              </w:rPr>
              <w:t>主要业务</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2"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北京合纵实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科电力科技</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104"/>
              <w:jc w:val="right"/>
              <w:rPr>
                <w:rFonts w:ascii="宋体" w:hAnsi="宋体" w:cs="宋体" w:eastAsia="宋体" w:hint="default"/>
                <w:sz w:val="18"/>
                <w:szCs w:val="18"/>
              </w:rPr>
            </w:pPr>
            <w:r>
              <w:rPr>
                <w:rFonts w:ascii="宋体" w:hAnsi="宋体" w:cs="宋体" w:eastAsia="宋体" w:hint="default"/>
                <w:spacing w:val="-2"/>
                <w:sz w:val="18"/>
                <w:szCs w:val="18"/>
              </w:rPr>
              <w:t>输配电设备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871,369,755.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287,310,349.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59</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488,032,836.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5,228,327.28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5,356,266.33</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7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7"/>
        <w:gridCol w:w="1196"/>
        <w:gridCol w:w="1042"/>
        <w:gridCol w:w="1046"/>
        <w:gridCol w:w="1047"/>
        <w:gridCol w:w="1047"/>
        <w:gridCol w:w="1047"/>
        <w:gridCol w:w="1042"/>
        <w:gridCol w:w="1046"/>
      </w:tblGrid>
      <w:tr>
        <w:trPr>
          <w:trHeight w:val="1027"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pacing w:val="-2"/>
                <w:sz w:val="18"/>
                <w:szCs w:val="18"/>
              </w:rPr>
              <w:t>天津合纵电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力设备有限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输配电设备</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80,000,000.0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665,167,857.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127,425,351.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585,690,459.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14,318,898.4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14,420,456.3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r>
      <w:tr>
        <w:trPr>
          <w:trHeight w:val="1023"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18"/>
              <w:jc w:val="both"/>
              <w:rPr>
                <w:rFonts w:ascii="宋体" w:hAnsi="宋体" w:cs="宋体" w:eastAsia="宋体" w:hint="default"/>
                <w:sz w:val="18"/>
                <w:szCs w:val="18"/>
              </w:rPr>
            </w:pPr>
            <w:r>
              <w:rPr>
                <w:rFonts w:ascii="宋体" w:hAnsi="宋体" w:cs="宋体" w:eastAsia="宋体" w:hint="default"/>
                <w:spacing w:val="-2"/>
                <w:sz w:val="18"/>
                <w:szCs w:val="18"/>
              </w:rPr>
              <w:t>湖南雅城新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材料有限公</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76,679,495.0</w:t>
            </w:r>
          </w:p>
          <w:p>
            <w:pPr>
              <w:pStyle w:val="TableParagraph"/>
              <w:spacing w:line="240" w:lineRule="auto" w:before="110"/>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1,331,105,09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3.23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562,732,043.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735,160,287.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94</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22,558,011.1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20,338,451.9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r>
      <w:tr>
        <w:trPr>
          <w:trHeight w:val="1028" w:hRule="exact"/>
        </w:trPr>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118"/>
              <w:jc w:val="both"/>
              <w:rPr>
                <w:rFonts w:ascii="宋体" w:hAnsi="宋体" w:cs="宋体" w:eastAsia="宋体" w:hint="default"/>
                <w:sz w:val="18"/>
                <w:szCs w:val="18"/>
              </w:rPr>
            </w:pPr>
            <w:r>
              <w:rPr>
                <w:rFonts w:ascii="宋体" w:hAnsi="宋体" w:cs="宋体" w:eastAsia="宋体" w:hint="default"/>
                <w:spacing w:val="-2"/>
                <w:sz w:val="18"/>
                <w:szCs w:val="18"/>
              </w:rPr>
              <w:t>江苏鹏创电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力设计有限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104"/>
              <w:jc w:val="left"/>
              <w:rPr>
                <w:rFonts w:ascii="宋体" w:hAnsi="宋体" w:cs="宋体" w:eastAsia="宋体" w:hint="default"/>
                <w:sz w:val="18"/>
                <w:szCs w:val="18"/>
              </w:rPr>
            </w:pPr>
            <w:r>
              <w:rPr>
                <w:rFonts w:ascii="宋体" w:hAnsi="宋体" w:cs="宋体" w:eastAsia="宋体" w:hint="default"/>
                <w:spacing w:val="-2"/>
                <w:sz w:val="18"/>
                <w:szCs w:val="18"/>
              </w:rPr>
              <w:t>电力工程服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务</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8" w:right="0"/>
              <w:jc w:val="lef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110,685,102.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91,992,317.0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57,818,813.7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29,350,907.8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22,823,714.0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bl>
    <w:p>
      <w:pPr>
        <w:pStyle w:val="BodyText"/>
        <w:spacing w:line="240" w:lineRule="auto" w:before="53"/>
        <w:ind w:right="0"/>
        <w:jc w:val="both"/>
      </w:pPr>
      <w:r>
        <w:rPr>
          <w:spacing w:val="-3"/>
        </w:rPr>
        <w:t>报告期内取得和处置子公司的情况</w:t>
      </w:r>
    </w:p>
    <w:p>
      <w:pPr>
        <w:pStyle w:val="BodyText"/>
        <w:spacing w:line="338" w:lineRule="auto" w:before="119"/>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主要控股参股公司情况说明</w:t>
      </w:r>
    </w:p>
    <w:p>
      <w:pPr>
        <w:spacing w:line="240" w:lineRule="auto" w:before="10"/>
        <w:rPr>
          <w:rFonts w:ascii="宋体" w:hAnsi="宋体" w:cs="宋体" w:eastAsia="宋体" w:hint="default"/>
          <w:sz w:val="18"/>
          <w:szCs w:val="18"/>
        </w:rPr>
      </w:pPr>
    </w:p>
    <w:p>
      <w:pPr>
        <w:pStyle w:val="Heading2"/>
        <w:spacing w:line="240" w:lineRule="auto"/>
        <w:ind w:right="0"/>
        <w:jc w:val="both"/>
        <w:rPr>
          <w:b w:val="0"/>
          <w:bCs w:val="0"/>
        </w:rPr>
      </w:pPr>
      <w:bookmarkStart w:name="八、公司控制的结构化主体情况" w:id="57"/>
      <w:bookmarkEnd w:id="57"/>
      <w:r>
        <w:rPr>
          <w:b w:val="0"/>
          <w:bCs w:val="0"/>
        </w:rPr>
      </w:r>
      <w:r>
        <w:rPr/>
        <w:t>八、公司控制的结构化主体情况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九、公司未来发展的展望" w:id="58"/>
      <w:bookmarkEnd w:id="58"/>
      <w:r>
        <w:rPr>
          <w:b w:val="0"/>
          <w:bCs w:val="0"/>
        </w:rPr>
      </w:r>
      <w:r>
        <w:rPr/>
        <w:t>九、公司未来发展的展望</w:t>
      </w:r>
      <w:r>
        <w:rPr>
          <w:b w:val="0"/>
          <w:bCs w:val="0"/>
        </w:rPr>
      </w:r>
    </w:p>
    <w:p>
      <w:pPr>
        <w:spacing w:line="240" w:lineRule="auto" w:before="3"/>
        <w:rPr>
          <w:rFonts w:ascii="宋体" w:hAnsi="宋体" w:cs="宋体" w:eastAsia="宋体" w:hint="default"/>
          <w:b/>
          <w:bCs/>
          <w:sz w:val="27"/>
          <w:szCs w:val="27"/>
        </w:rPr>
      </w:pPr>
    </w:p>
    <w:p>
      <w:pPr>
        <w:pStyle w:val="BodyText"/>
        <w:spacing w:line="300" w:lineRule="auto"/>
        <w:ind w:left="513" w:right="0"/>
        <w:jc w:val="left"/>
      </w:pPr>
      <w:r>
        <w:rPr>
          <w:rFonts w:ascii="Times New Roman" w:hAnsi="Times New Roman" w:cs="Times New Roman" w:eastAsia="Times New Roman" w:hint="default"/>
        </w:rPr>
        <w:t>1</w:t>
      </w:r>
      <w:r>
        <w:rPr/>
        <w:t>、行业竞争格局和趋势</w:t>
      </w:r>
      <w:r>
        <w:rPr>
          <w:spacing w:val="-85"/>
        </w:rPr>
        <w:t> </w:t>
      </w:r>
      <w:r>
        <w:rPr>
          <w:spacing w:val="-85"/>
        </w:rPr>
      </w:r>
      <w:r>
        <w:rPr>
          <w:spacing w:val="-4"/>
        </w:rPr>
        <w:t>公司目前所属的电力配电设备制造行业，属于与国民经济密切相关的基础工业，行业总体规模较大；但是由于从业企业</w:t>
      </w:r>
    </w:p>
    <w:p>
      <w:pPr>
        <w:pStyle w:val="BodyText"/>
        <w:spacing w:line="312" w:lineRule="auto" w:before="31"/>
        <w:ind w:right="1123"/>
        <w:jc w:val="both"/>
      </w:pPr>
      <w:r>
        <w:rPr>
          <w:spacing w:val="-4"/>
        </w:rPr>
        <w:t>的数量较多，市场较为分散，龙头企业的规模并不大。电网市场的未来增长将趋于平稳，因为经过十年的高速发展，我国的</w:t>
      </w:r>
      <w:r>
        <w:rPr>
          <w:spacing w:val="40"/>
        </w:rPr>
        <w:t> </w:t>
      </w:r>
      <w:r>
        <w:rPr>
          <w:spacing w:val="40"/>
        </w:rPr>
      </w:r>
      <w:r>
        <w:rPr>
          <w:spacing w:val="-4"/>
        </w:rPr>
        <w:t>骨干电力网络已经是一个投资比较充分的领域，下一步的工作重点将主要是电网的智能化和物联化。新增业务需要大量的研</w:t>
      </w:r>
      <w:r>
        <w:rPr>
          <w:spacing w:val="44"/>
        </w:rPr>
        <w:t> </w:t>
      </w:r>
      <w:r>
        <w:rPr>
          <w:spacing w:val="44"/>
        </w:rPr>
      </w:r>
      <w:r>
        <w:rPr>
          <w:spacing w:val="-3"/>
        </w:rPr>
        <w:t>发投入，对学科和行业融合创新要求较高，有利于规模较大、综合实力较强的企业，预计未来</w:t>
      </w:r>
      <w:r>
        <w:rPr>
          <w:rFonts w:ascii="Times New Roman" w:hAnsi="Times New Roman" w:cs="Times New Roman" w:eastAsia="Times New Roman" w:hint="default"/>
          <w:spacing w:val="-3"/>
        </w:rPr>
        <w:t>3-5</w:t>
      </w:r>
      <w:r>
        <w:rPr>
          <w:spacing w:val="-3"/>
        </w:rPr>
        <w:t>年行业企业将进入优胜劣</w:t>
      </w:r>
      <w:r>
        <w:rPr>
          <w:spacing w:val="69"/>
        </w:rPr>
        <w:t> </w:t>
      </w:r>
      <w:r>
        <w:rPr>
          <w:spacing w:val="69"/>
        </w:rPr>
      </w:r>
      <w:r>
        <w:rPr>
          <w:spacing w:val="-3"/>
        </w:rPr>
        <w:t>汰的洗牌阶段，行业的集中度会有所提高，优势企业的规模效应将逐步体现。</w:t>
      </w:r>
    </w:p>
    <w:p>
      <w:pPr>
        <w:pStyle w:val="BodyText"/>
        <w:spacing w:line="300" w:lineRule="auto" w:before="22"/>
        <w:ind w:right="1122" w:firstLine="360"/>
        <w:jc w:val="left"/>
      </w:pPr>
      <w:r>
        <w:rPr>
          <w:spacing w:val="-3"/>
        </w:rPr>
        <w:t>在锂电材料领域，随着新能源汽车行业的持续高速发展，以及</w:t>
      </w:r>
      <w:r>
        <w:rPr>
          <w:rFonts w:ascii="Times New Roman" w:hAnsi="Times New Roman" w:cs="Times New Roman" w:eastAsia="Times New Roman" w:hint="default"/>
          <w:spacing w:val="-3"/>
        </w:rPr>
        <w:t>5G</w:t>
      </w:r>
      <w:r>
        <w:rPr>
          <w:spacing w:val="-3"/>
        </w:rPr>
        <w:t>基站和新能源发电站对锂电池储能技术应用的需求，</w:t>
      </w:r>
      <w:r>
        <w:rPr>
          <w:w w:val="101"/>
        </w:rPr>
        <w:t> </w:t>
      </w:r>
      <w:r>
        <w:rPr>
          <w:spacing w:val="-4"/>
        </w:rPr>
        <w:t>整个产业链将迎来历史性机遇。我国新能源汽车领域近</w:t>
      </w:r>
      <w:r>
        <w:rPr>
          <w:rFonts w:ascii="Times New Roman" w:hAnsi="Times New Roman" w:cs="Times New Roman" w:eastAsia="Times New Roman" w:hint="default"/>
          <w:spacing w:val="-4"/>
        </w:rPr>
        <w:t>3</w:t>
      </w:r>
      <w:r>
        <w:rPr>
          <w:spacing w:val="-4"/>
        </w:rPr>
        <w:t>年的复合增长在</w:t>
      </w:r>
      <w:r>
        <w:rPr>
          <w:rFonts w:ascii="Times New Roman" w:hAnsi="Times New Roman" w:cs="Times New Roman" w:eastAsia="Times New Roman" w:hint="default"/>
          <w:spacing w:val="-4"/>
        </w:rPr>
        <w:t>40%</w:t>
      </w:r>
      <w:r>
        <w:rPr>
          <w:spacing w:val="-4"/>
        </w:rPr>
        <w:t>左右，预计未来</w:t>
      </w:r>
      <w:r>
        <w:rPr>
          <w:rFonts w:ascii="Times New Roman" w:hAnsi="Times New Roman" w:cs="Times New Roman" w:eastAsia="Times New Roman" w:hint="default"/>
          <w:spacing w:val="-4"/>
        </w:rPr>
        <w:t>3</w:t>
      </w:r>
      <w:r>
        <w:rPr>
          <w:spacing w:val="-4"/>
        </w:rPr>
        <w:t>年依然会保持这个趋势，其中</w:t>
      </w:r>
      <w:r>
        <w:rPr>
          <w:spacing w:val="80"/>
        </w:rPr>
        <w:t> </w:t>
      </w:r>
      <w:r>
        <w:rPr>
          <w:spacing w:val="80"/>
        </w:rPr>
      </w:r>
      <w:r>
        <w:rPr>
          <w:spacing w:val="-4"/>
        </w:rPr>
        <w:t>用于三元前驱体的复合增长应保持在</w:t>
      </w:r>
      <w:r>
        <w:rPr>
          <w:rFonts w:ascii="Times New Roman" w:hAnsi="Times New Roman" w:cs="Times New Roman" w:eastAsia="Times New Roman" w:hint="default"/>
          <w:spacing w:val="-4"/>
        </w:rPr>
        <w:t>70%</w:t>
      </w:r>
      <w:r>
        <w:rPr>
          <w:spacing w:val="-4"/>
        </w:rPr>
        <w:t>左右；国际市场近年来的增速也在加快，这充分表明新能源汽车的快速发展已经不</w:t>
      </w:r>
      <w:r>
        <w:rPr>
          <w:spacing w:val="76"/>
        </w:rPr>
        <w:t> </w:t>
      </w:r>
      <w:r>
        <w:rPr>
          <w:spacing w:val="76"/>
        </w:rPr>
      </w:r>
      <w:r>
        <w:rPr>
          <w:spacing w:val="-3"/>
        </w:rPr>
        <w:t>是局限在中国，而且成为了全球的行业发展趋势。同时，随着</w:t>
      </w:r>
      <w:r>
        <w:rPr>
          <w:rFonts w:ascii="Times New Roman" w:hAnsi="Times New Roman" w:cs="Times New Roman" w:eastAsia="Times New Roman" w:hint="default"/>
          <w:spacing w:val="-3"/>
        </w:rPr>
        <w:t>5G</w:t>
      </w:r>
      <w:r>
        <w:rPr>
          <w:spacing w:val="-3"/>
        </w:rPr>
        <w:t>基站建设对储能电池的需求，以及新能源发电配置储能平</w:t>
      </w:r>
      <w:r>
        <w:rPr>
          <w:spacing w:val="67"/>
        </w:rPr>
        <w:t> </w:t>
      </w:r>
      <w:r>
        <w:rPr>
          <w:spacing w:val="67"/>
        </w:rPr>
      </w:r>
      <w:r>
        <w:rPr>
          <w:spacing w:val="-3"/>
        </w:rPr>
        <w:t>滑处理的要求，预计未来</w:t>
      </w:r>
      <w:r>
        <w:rPr>
          <w:rFonts w:ascii="Times New Roman" w:hAnsi="Times New Roman" w:cs="Times New Roman" w:eastAsia="Times New Roman" w:hint="default"/>
          <w:spacing w:val="-3"/>
        </w:rPr>
        <w:t>3-5</w:t>
      </w:r>
      <w:r>
        <w:rPr>
          <w:spacing w:val="-3"/>
        </w:rPr>
        <w:t>年磷酸铁锂电池的需求将重回高速增长。</w:t>
      </w:r>
    </w:p>
    <w:p>
      <w:pPr>
        <w:pStyle w:val="BodyText"/>
        <w:spacing w:line="300" w:lineRule="auto" w:before="13"/>
        <w:ind w:left="513" w:right="0"/>
        <w:jc w:val="left"/>
      </w:pPr>
      <w:r>
        <w:rPr>
          <w:rFonts w:ascii="Times New Roman" w:hAnsi="Times New Roman" w:cs="Times New Roman" w:eastAsia="Times New Roman" w:hint="default"/>
        </w:rPr>
        <w:t>2</w:t>
      </w:r>
      <w:r>
        <w:rPr/>
        <w:t>、公司未来发展战略</w:t>
      </w:r>
      <w:r>
        <w:rPr>
          <w:spacing w:val="-88"/>
        </w:rPr>
        <w:t> </w:t>
      </w:r>
      <w:r>
        <w:rPr>
          <w:spacing w:val="-88"/>
        </w:rPr>
      </w:r>
      <w:r>
        <w:rPr>
          <w:spacing w:val="-5"/>
        </w:rPr>
        <w:t>公司将继续专注于电力配电领域，打造行业产业链，使公司由一家专业提供电力设备的公司转型为配电领域的综合服务</w:t>
      </w:r>
    </w:p>
    <w:p>
      <w:pPr>
        <w:pStyle w:val="BodyText"/>
        <w:spacing w:line="309" w:lineRule="auto" w:before="31"/>
        <w:ind w:right="1079"/>
        <w:jc w:val="both"/>
      </w:pPr>
      <w:r>
        <w:rPr>
          <w:spacing w:val="-4"/>
        </w:rPr>
        <w:t>商。公司将通过整合设计咨询公司、电力工程公司、设备制造公司、运维服务公司，暨全行业产业链，形成为客户提供一体</w:t>
      </w:r>
      <w:r>
        <w:rPr>
          <w:spacing w:val="40"/>
        </w:rPr>
        <w:t> </w:t>
      </w:r>
      <w:r>
        <w:rPr>
          <w:spacing w:val="40"/>
        </w:rPr>
      </w:r>
      <w:r>
        <w:rPr>
          <w:spacing w:val="-3"/>
        </w:rPr>
        <w:t>化解决方案的能力。依托上述能力，在继续开拓配电设备制造业务的同时，快速进入电力工程总包业务领域（例如</w:t>
      </w:r>
      <w:r>
        <w:rPr>
          <w:rFonts w:ascii="Times New Roman" w:hAnsi="Times New Roman" w:cs="Times New Roman" w:eastAsia="Times New Roman" w:hint="default"/>
          <w:spacing w:val="-3"/>
        </w:rPr>
        <w:t>EPC</w:t>
      </w:r>
      <w:r>
        <w:rPr>
          <w:spacing w:val="-3"/>
        </w:rPr>
        <w:t>），</w:t>
      </w:r>
      <w:r>
        <w:rPr>
          <w:spacing w:val="65"/>
        </w:rPr>
        <w:t> </w:t>
      </w:r>
      <w:r>
        <w:rPr/>
        <w:t>从而成为综合服务商。</w:t>
      </w:r>
    </w:p>
    <w:p>
      <w:pPr>
        <w:pStyle w:val="BodyText"/>
        <w:spacing w:line="307" w:lineRule="auto" w:before="24"/>
        <w:ind w:right="0" w:firstLine="360"/>
        <w:jc w:val="left"/>
      </w:pPr>
      <w:r>
        <w:rPr>
          <w:spacing w:val="-5"/>
        </w:rPr>
        <w:t>在锂电材料领域，公司将依托湖南雅城，聚焦锂电池正极材料前驱体领域，并逐步向上游冶炼和稀缺钴资源延伸，打造</w:t>
      </w:r>
      <w:r>
        <w:rPr>
          <w:w w:val="101"/>
        </w:rPr>
        <w:t> </w:t>
      </w:r>
      <w:r>
        <w:rPr>
          <w:rFonts w:ascii="Times New Roman" w:hAnsi="Times New Roman" w:cs="Times New Roman" w:eastAsia="Times New Roman" w:hint="default"/>
          <w:spacing w:val="-3"/>
        </w:rPr>
        <w:t>“</w:t>
      </w:r>
      <w:r>
        <w:rPr>
          <w:spacing w:val="-3"/>
        </w:rPr>
        <w:t>资源冶炼</w:t>
      </w:r>
      <w:r>
        <w:rPr>
          <w:rFonts w:ascii="Times New Roman" w:hAnsi="Times New Roman" w:cs="Times New Roman" w:eastAsia="Times New Roman" w:hint="default"/>
          <w:spacing w:val="-3"/>
        </w:rPr>
        <w:t>+</w:t>
      </w:r>
      <w:r>
        <w:rPr>
          <w:spacing w:val="-3"/>
        </w:rPr>
        <w:t>材料</w:t>
      </w:r>
      <w:r>
        <w:rPr>
          <w:rFonts w:ascii="Times New Roman" w:hAnsi="Times New Roman" w:cs="Times New Roman" w:eastAsia="Times New Roman" w:hint="default"/>
          <w:spacing w:val="-3"/>
        </w:rPr>
        <w:t>+</w:t>
      </w:r>
      <w:r>
        <w:rPr>
          <w:spacing w:val="-3"/>
        </w:rPr>
        <w:t>前驱体</w:t>
      </w:r>
      <w:r>
        <w:rPr>
          <w:rFonts w:ascii="Times New Roman" w:hAnsi="Times New Roman" w:cs="Times New Roman" w:eastAsia="Times New Roman" w:hint="default"/>
          <w:spacing w:val="-3"/>
        </w:rPr>
        <w:t>”</w:t>
      </w:r>
      <w:r>
        <w:rPr>
          <w:spacing w:val="-3"/>
        </w:rPr>
        <w:t>的战略布局。公司力争在未来的</w:t>
      </w:r>
      <w:r>
        <w:rPr>
          <w:rFonts w:ascii="Times New Roman" w:hAnsi="Times New Roman" w:cs="Times New Roman" w:eastAsia="Times New Roman" w:hint="default"/>
          <w:spacing w:val="-3"/>
        </w:rPr>
        <w:t>5</w:t>
      </w:r>
      <w:r>
        <w:rPr>
          <w:spacing w:val="-3"/>
        </w:rPr>
        <w:t>年内，成为锂电池正极材料前驱体细分市场的龙头企业。随着湖</w:t>
      </w:r>
      <w:r>
        <w:rPr>
          <w:spacing w:val="71"/>
        </w:rPr>
        <w:t> </w:t>
      </w:r>
      <w:r>
        <w:rPr>
          <w:spacing w:val="71"/>
        </w:rPr>
      </w:r>
      <w:r>
        <w:rPr>
          <w:spacing w:val="-4"/>
        </w:rPr>
        <w:t>南雅城磷酸铁自动化智能工厂的投产，以及参股公司天津茂联的硫酸镍</w:t>
      </w:r>
      <w:r>
        <w:rPr>
          <w:rFonts w:ascii="Times New Roman" w:hAnsi="Times New Roman" w:cs="Times New Roman" w:eastAsia="Times New Roman" w:hint="default"/>
          <w:spacing w:val="-4"/>
        </w:rPr>
        <w:t>/</w:t>
      </w:r>
      <w:r>
        <w:rPr>
          <w:spacing w:val="-4"/>
        </w:rPr>
        <w:t>硫酸钴、三元前驱体、赞比亚矿山开发的陆续投产，</w:t>
      </w:r>
      <w:r>
        <w:rPr>
          <w:spacing w:val="-3"/>
        </w:rPr>
        <w:t> </w:t>
      </w:r>
      <w:r>
        <w:rPr>
          <w:spacing w:val="-3"/>
        </w:rPr>
        <w:t>公司将成为行业中规模较大、产品线最为齐全，且拥有上游稀缺钴资源的企业，具备较强的业绩增长能力。</w:t>
      </w:r>
    </w:p>
    <w:p>
      <w:pPr>
        <w:pStyle w:val="BodyText"/>
        <w:spacing w:line="300" w:lineRule="auto" w:before="26"/>
        <w:ind w:left="513"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年度经营计划</w:t>
      </w:r>
      <w:r>
        <w:rPr>
          <w:spacing w:val="-88"/>
        </w:rPr>
        <w:t> </w:t>
      </w:r>
      <w:r>
        <w:rPr>
          <w:spacing w:val="-88"/>
        </w:rPr>
      </w:r>
      <w:r>
        <w:rPr>
          <w:spacing w:val="-6"/>
          <w:w w:val="101"/>
        </w:rPr>
        <w:t>面对国内外依然复杂的经济形势，以及新冠肺炎疫情的严峻影响，</w:t>
      </w:r>
      <w:r>
        <w:rPr>
          <w:rFonts w:ascii="Times New Roman" w:hAnsi="Times New Roman" w:cs="Times New Roman" w:eastAsia="Times New Roman" w:hint="default"/>
          <w:spacing w:val="-6"/>
          <w:w w:val="101"/>
        </w:rPr>
        <w:t>2020</w:t>
      </w:r>
      <w:r>
        <w:rPr>
          <w:spacing w:val="-6"/>
          <w:w w:val="101"/>
        </w:rPr>
        <w:t>年公司将密切跟踪国家相关行业政策和市场需求，</w:t>
      </w:r>
      <w:r>
        <w:rPr>
          <w:spacing w:val="-6"/>
        </w:rPr>
      </w:r>
    </w:p>
    <w:p>
      <w:pPr>
        <w:pStyle w:val="BodyText"/>
        <w:spacing w:line="240" w:lineRule="auto" w:before="13"/>
        <w:ind w:right="0"/>
        <w:jc w:val="both"/>
      </w:pPr>
      <w:r>
        <w:rPr>
          <w:spacing w:val="-3"/>
        </w:rPr>
        <w:t>挖掘传统电网与</w:t>
      </w:r>
      <w:r>
        <w:rPr>
          <w:rFonts w:ascii="Times New Roman" w:hAnsi="Times New Roman" w:cs="Times New Roman" w:eastAsia="Times New Roman" w:hint="default"/>
          <w:spacing w:val="-3"/>
        </w:rPr>
        <w:t>“</w:t>
      </w:r>
      <w:r>
        <w:rPr>
          <w:spacing w:val="-3"/>
        </w:rPr>
        <w:t>新基建</w:t>
      </w:r>
      <w:r>
        <w:rPr>
          <w:rFonts w:ascii="Times New Roman" w:hAnsi="Times New Roman" w:cs="Times New Roman" w:eastAsia="Times New Roman" w:hint="default"/>
          <w:spacing w:val="-3"/>
        </w:rPr>
        <w:t>”</w:t>
      </w:r>
      <w:r>
        <w:rPr>
          <w:spacing w:val="-3"/>
        </w:rPr>
        <w:t>投资的新机遇，为了实现公司未来发展战略目标，将重点做好以下几方面工作：</w:t>
      </w:r>
    </w:p>
    <w:p>
      <w:pPr>
        <w:pStyle w:val="BodyText"/>
        <w:spacing w:line="240" w:lineRule="auto" w:before="62"/>
        <w:ind w:left="513" w:right="0"/>
        <w:jc w:val="left"/>
      </w:pPr>
      <w:r>
        <w:rPr>
          <w:spacing w:val="-3"/>
        </w:rPr>
        <w:t>（</w:t>
      </w:r>
      <w:r>
        <w:rPr>
          <w:rFonts w:ascii="Times New Roman" w:hAnsi="Times New Roman" w:cs="Times New Roman" w:eastAsia="Times New Roman" w:hint="default"/>
          <w:spacing w:val="-3"/>
        </w:rPr>
        <w:t>1</w:t>
      </w:r>
      <w:r>
        <w:rPr>
          <w:spacing w:val="-3"/>
        </w:rPr>
        <w:t>）精耕细作两网市场，加快用户市场延伸</w:t>
      </w:r>
    </w:p>
    <w:p>
      <w:pPr>
        <w:spacing w:after="0" w:line="240" w:lineRule="auto"/>
        <w:jc w:val="left"/>
        <w:sectPr>
          <w:pgSz w:w="11910" w:h="16840"/>
          <w:pgMar w:header="741" w:footer="979" w:top="1060" w:bottom="1160" w:left="980" w:right="0"/>
        </w:sectPr>
      </w:pPr>
    </w:p>
    <w:p>
      <w:pPr>
        <w:spacing w:line="240" w:lineRule="auto" w:before="1"/>
        <w:rPr>
          <w:rFonts w:ascii="宋体" w:hAnsi="宋体" w:cs="宋体" w:eastAsia="宋体" w:hint="default"/>
          <w:sz w:val="26"/>
          <w:szCs w:val="26"/>
        </w:rPr>
      </w:pPr>
    </w:p>
    <w:p>
      <w:pPr>
        <w:pStyle w:val="BodyText"/>
        <w:spacing w:line="309" w:lineRule="auto" w:before="46"/>
        <w:ind w:right="1047" w:firstLine="360"/>
        <w:jc w:val="both"/>
      </w:pPr>
      <w:r>
        <w:rPr>
          <w:spacing w:val="-3"/>
        </w:rPr>
        <w:t>精耕细作国家电网和南方电网市场，重点关注一次设备棚户区改造、三供一业等与民生紧密相关的传统电网建设项目；</w:t>
      </w:r>
      <w:r>
        <w:rPr>
          <w:w w:val="101"/>
        </w:rPr>
        <w:t> </w:t>
      </w:r>
      <w:r>
        <w:rPr>
          <w:spacing w:val="-3"/>
        </w:rPr>
        <w:t>同时，树立大市场的意识，积极开拓终端用户市场、行业客户市场，推动</w:t>
      </w:r>
      <w:r>
        <w:rPr>
          <w:rFonts w:ascii="Times New Roman" w:hAnsi="Times New Roman" w:cs="Times New Roman" w:eastAsia="Times New Roman" w:hint="default"/>
          <w:spacing w:val="-3"/>
        </w:rPr>
        <w:t>EPC</w:t>
      </w:r>
      <w:r>
        <w:rPr>
          <w:spacing w:val="-3"/>
        </w:rPr>
        <w:t>部、行业大客户部和国际部</w:t>
      </w:r>
      <w:r>
        <w:rPr>
          <w:rFonts w:ascii="Times New Roman" w:hAnsi="Times New Roman" w:cs="Times New Roman" w:eastAsia="Times New Roman" w:hint="default"/>
          <w:spacing w:val="-3"/>
        </w:rPr>
        <w:t>“</w:t>
      </w:r>
      <w:r>
        <w:rPr>
          <w:spacing w:val="-3"/>
        </w:rPr>
        <w:t>三驾马车</w:t>
      </w:r>
      <w:r>
        <w:rPr>
          <w:rFonts w:ascii="Times New Roman" w:hAnsi="Times New Roman" w:cs="Times New Roman" w:eastAsia="Times New Roman" w:hint="default"/>
          <w:spacing w:val="-3"/>
        </w:rPr>
        <w:t>”</w:t>
      </w:r>
      <w:r>
        <w:rPr>
          <w:spacing w:val="-3"/>
        </w:rPr>
        <w:t>启航，</w:t>
      </w:r>
      <w:r>
        <w:rPr>
          <w:spacing w:val="73"/>
        </w:rPr>
        <w:t> </w:t>
      </w:r>
      <w:r>
        <w:rPr>
          <w:spacing w:val="73"/>
        </w:rPr>
      </w:r>
      <w:r>
        <w:rPr>
          <w:spacing w:val="-3"/>
        </w:rPr>
        <w:t>实现电力板块收入稳中有增。</w:t>
      </w:r>
    </w:p>
    <w:p>
      <w:pPr>
        <w:pStyle w:val="BodyText"/>
        <w:spacing w:line="300" w:lineRule="auto" w:before="25"/>
        <w:ind w:left="513" w:right="0"/>
        <w:jc w:val="left"/>
      </w:pPr>
      <w:r>
        <w:rPr>
          <w:spacing w:val="-3"/>
        </w:rPr>
        <w:t>（</w:t>
      </w:r>
      <w:r>
        <w:rPr>
          <w:rFonts w:ascii="Times New Roman" w:hAnsi="Times New Roman" w:cs="Times New Roman" w:eastAsia="Times New Roman" w:hint="default"/>
          <w:spacing w:val="-3"/>
        </w:rPr>
        <w:t>2</w:t>
      </w:r>
      <w:r>
        <w:rPr>
          <w:spacing w:val="-3"/>
        </w:rPr>
        <w:t>）持续强化研发投入，推动产品降成本和智能化</w:t>
      </w:r>
      <w:r>
        <w:rPr>
          <w:spacing w:val="-17"/>
        </w:rPr>
        <w:t> </w:t>
      </w:r>
      <w:r>
        <w:rPr>
          <w:spacing w:val="-17"/>
        </w:rPr>
      </w:r>
      <w:r>
        <w:rPr>
          <w:spacing w:val="-5"/>
        </w:rPr>
        <w:t>在电力板块，加快研发团队的人才储备，完善配电终端、微机保护、故障指示器、一二次融合设备等系列智能化产品的</w:t>
      </w:r>
    </w:p>
    <w:p>
      <w:pPr>
        <w:pStyle w:val="BodyText"/>
        <w:spacing w:line="316" w:lineRule="auto" w:before="31"/>
        <w:ind w:right="0"/>
        <w:jc w:val="left"/>
      </w:pPr>
      <w:r>
        <w:rPr>
          <w:spacing w:val="-4"/>
        </w:rPr>
        <w:t>研发与生产，从产品设计和工艺流程推动配电一次设备产品的降本增效；在锂电材料板块，引进和推行新技术、新工艺、新</w:t>
      </w:r>
      <w:r>
        <w:rPr>
          <w:spacing w:val="40"/>
        </w:rPr>
        <w:t> </w:t>
      </w:r>
      <w:r>
        <w:rPr>
          <w:spacing w:val="40"/>
        </w:rPr>
      </w:r>
      <w:r>
        <w:rPr>
          <w:spacing w:val="-3"/>
        </w:rPr>
        <w:t>标准降低原辅料采购成本，进一步降低磷酸铁单耗成本，提高前驱体系列产品的综合竞争力。</w:t>
      </w:r>
    </w:p>
    <w:p>
      <w:pPr>
        <w:pStyle w:val="BodyText"/>
        <w:spacing w:line="300" w:lineRule="auto" w:before="19"/>
        <w:ind w:left="513" w:right="0"/>
        <w:jc w:val="left"/>
      </w:pPr>
      <w:r>
        <w:rPr>
          <w:spacing w:val="-3"/>
        </w:rPr>
        <w:t>（</w:t>
      </w:r>
      <w:r>
        <w:rPr>
          <w:rFonts w:ascii="Times New Roman" w:hAnsi="Times New Roman" w:cs="Times New Roman" w:eastAsia="Times New Roman" w:hint="default"/>
          <w:spacing w:val="-3"/>
        </w:rPr>
        <w:t>3</w:t>
      </w:r>
      <w:r>
        <w:rPr>
          <w:spacing w:val="-3"/>
        </w:rPr>
        <w:t>）提升经营管理效益，推动企业高质量发展</w:t>
      </w:r>
      <w:r>
        <w:rPr>
          <w:spacing w:val="-23"/>
        </w:rPr>
        <w:t> </w:t>
      </w:r>
      <w:r>
        <w:rPr>
          <w:spacing w:val="-23"/>
        </w:rPr>
      </w:r>
      <w:r>
        <w:rPr>
          <w:spacing w:val="-6"/>
        </w:rPr>
        <w:t>继续推进阿米巴经营管理模式，充分调动员工的积极性，培养员工成本和经营意识，培养一批有经营能力的人才。同时，</w:t>
      </w:r>
    </w:p>
    <w:p>
      <w:pPr>
        <w:pStyle w:val="BodyText"/>
        <w:spacing w:line="240" w:lineRule="auto" w:before="32"/>
        <w:ind w:right="0"/>
        <w:jc w:val="both"/>
      </w:pPr>
      <w:r>
        <w:rPr>
          <w:spacing w:val="-3"/>
        </w:rPr>
        <w:t>加强经营管理模式的培训和督导，及时调整经营不善的负责人，形成优胜劣汰、能上能下的人才管理机制。</w:t>
      </w:r>
    </w:p>
    <w:p>
      <w:pPr>
        <w:pStyle w:val="BodyText"/>
        <w:spacing w:line="300" w:lineRule="auto" w:before="76"/>
        <w:ind w:left="513" w:right="0"/>
        <w:jc w:val="left"/>
      </w:pPr>
      <w:r>
        <w:rPr>
          <w:spacing w:val="-3"/>
        </w:rPr>
        <w:t>（</w:t>
      </w:r>
      <w:r>
        <w:rPr>
          <w:rFonts w:ascii="Times New Roman" w:hAnsi="Times New Roman" w:cs="Times New Roman" w:eastAsia="Times New Roman" w:hint="default"/>
          <w:spacing w:val="-3"/>
        </w:rPr>
        <w:t>4</w:t>
      </w:r>
      <w:r>
        <w:rPr>
          <w:spacing w:val="-3"/>
        </w:rPr>
        <w:t>）加强外部战略合作，推动产业合作共赢发展</w:t>
      </w:r>
      <w:r>
        <w:rPr>
          <w:spacing w:val="-23"/>
        </w:rPr>
        <w:t> </w:t>
      </w:r>
      <w:r>
        <w:rPr>
          <w:spacing w:val="-23"/>
        </w:rPr>
      </w:r>
      <w:r>
        <w:rPr>
          <w:spacing w:val="-5"/>
        </w:rPr>
        <w:t>在锂电材料板块，湖南雅城制订以战略客户为目标，建立从产品设计、品质设计与管理、成本到商务、服务全面满足战</w:t>
      </w:r>
    </w:p>
    <w:p>
      <w:pPr>
        <w:pStyle w:val="BodyText"/>
        <w:spacing w:line="240" w:lineRule="auto" w:before="31"/>
        <w:ind w:right="0"/>
        <w:jc w:val="both"/>
      </w:pPr>
      <w:r>
        <w:rPr>
          <w:spacing w:val="-3"/>
        </w:rPr>
        <w:t>略客户需求的运营管理体系，并建立与战略客户战略合作关系的</w:t>
      </w:r>
      <w:r>
        <w:rPr>
          <w:rFonts w:ascii="Times New Roman" w:hAnsi="Times New Roman" w:cs="Times New Roman" w:eastAsia="Times New Roman" w:hint="default"/>
          <w:spacing w:val="-3"/>
        </w:rPr>
        <w:t>2020</w:t>
      </w:r>
      <w:r>
        <w:rPr>
          <w:spacing w:val="-3"/>
        </w:rPr>
        <w:t>年公司经营战略，集中精力满足战略客户的需求。</w:t>
      </w:r>
    </w:p>
    <w:p>
      <w:pPr>
        <w:pStyle w:val="BodyText"/>
        <w:spacing w:line="240" w:lineRule="auto" w:before="63"/>
        <w:ind w:left="513" w:right="0"/>
        <w:jc w:val="left"/>
      </w:pPr>
      <w:r>
        <w:rPr>
          <w:spacing w:val="-3"/>
        </w:rPr>
        <w:t>（</w:t>
      </w:r>
      <w:r>
        <w:rPr>
          <w:rFonts w:ascii="Times New Roman" w:hAnsi="Times New Roman" w:cs="Times New Roman" w:eastAsia="Times New Roman" w:hint="default"/>
          <w:spacing w:val="-3"/>
        </w:rPr>
        <w:t>5</w:t>
      </w:r>
      <w:r>
        <w:rPr>
          <w:spacing w:val="-3"/>
        </w:rPr>
        <w:t>）多措并举，应对疫情带来的冲击</w:t>
      </w:r>
    </w:p>
    <w:p>
      <w:pPr>
        <w:pStyle w:val="BodyText"/>
        <w:spacing w:line="312" w:lineRule="auto" w:before="63"/>
        <w:ind w:right="0" w:firstLine="360"/>
        <w:jc w:val="left"/>
      </w:pPr>
      <w:r>
        <w:rPr>
          <w:rFonts w:ascii="Times New Roman" w:hAnsi="Times New Roman" w:cs="Times New Roman" w:eastAsia="Times New Roman" w:hint="default"/>
          <w:spacing w:val="-4"/>
        </w:rPr>
        <w:t>2020</w:t>
      </w:r>
      <w:r>
        <w:rPr>
          <w:spacing w:val="-4"/>
        </w:rPr>
        <w:t>年新冠疫情在全球爆发蔓延，受到复工延期、物流受阻、出行管制等不可控因素影响，行业发展面临巨大的不确定</w:t>
      </w:r>
      <w:r>
        <w:rPr>
          <w:w w:val="101"/>
        </w:rPr>
        <w:t> </w:t>
      </w:r>
      <w:r>
        <w:rPr>
          <w:spacing w:val="-4"/>
        </w:rPr>
        <w:t>性，公司将通过多种措施来应对此次危机。公司通过加强内部管理、费用管控等方式降低运营成本，并向金融机构申请集团</w:t>
      </w:r>
      <w:r>
        <w:rPr>
          <w:spacing w:val="40"/>
        </w:rPr>
        <w:t> </w:t>
      </w:r>
      <w:r>
        <w:rPr>
          <w:spacing w:val="40"/>
        </w:rPr>
      </w:r>
      <w:r>
        <w:rPr>
          <w:spacing w:val="-6"/>
        </w:rPr>
        <w:t>授信，增加公司授信规模、保证资金充裕；抓住电网逆周期投资机遇，加快用户市场开拓，以及智能化的新产品研发与生产，</w:t>
      </w:r>
      <w:r>
        <w:rPr>
          <w:spacing w:val="67"/>
        </w:rPr>
        <w:t> </w:t>
      </w:r>
      <w:r>
        <w:rPr>
          <w:spacing w:val="67"/>
        </w:rPr>
      </w:r>
      <w:r>
        <w:rPr>
          <w:spacing w:val="-3"/>
        </w:rPr>
        <w:t>对冲部分疫情影响。</w:t>
      </w:r>
    </w:p>
    <w:p>
      <w:pPr>
        <w:pStyle w:val="BodyText"/>
        <w:spacing w:line="300" w:lineRule="auto" w:before="22"/>
        <w:ind w:left="513" w:right="0"/>
        <w:jc w:val="left"/>
      </w:pPr>
      <w:r>
        <w:rPr>
          <w:rFonts w:ascii="Times New Roman" w:hAnsi="Times New Roman" w:cs="Times New Roman" w:eastAsia="Times New Roman" w:hint="default"/>
        </w:rPr>
        <w:t>4</w:t>
      </w:r>
      <w:r>
        <w:rPr/>
        <w:t>、风险因素及对策</w:t>
      </w:r>
      <w:r>
        <w:rPr>
          <w:spacing w:val="-85"/>
        </w:rPr>
        <w:t> </w:t>
      </w:r>
      <w:r>
        <w:rPr>
          <w:spacing w:val="-85"/>
        </w:rPr>
      </w:r>
      <w:r>
        <w:rPr>
          <w:spacing w:val="-4"/>
        </w:rPr>
        <w:t>电网市场在</w:t>
      </w:r>
      <w:r>
        <w:rPr>
          <w:rFonts w:ascii="Times New Roman" w:hAnsi="Times New Roman" w:cs="Times New Roman" w:eastAsia="Times New Roman" w:hint="default"/>
          <w:spacing w:val="-4"/>
        </w:rPr>
        <w:t>2018</w:t>
      </w:r>
      <w:r>
        <w:rPr>
          <w:spacing w:val="-4"/>
        </w:rPr>
        <w:t>年后出现停滞甚至下滑，或者产品的利润率出现较大下降；电网市场是公司传统优势市场，公司在该领</w:t>
      </w:r>
    </w:p>
    <w:p>
      <w:pPr>
        <w:pStyle w:val="BodyText"/>
        <w:spacing w:line="316" w:lineRule="auto" w:before="13"/>
        <w:ind w:right="1123"/>
        <w:jc w:val="both"/>
      </w:pPr>
      <w:r>
        <w:rPr>
          <w:spacing w:val="-4"/>
        </w:rPr>
        <w:t>域的业务拓展一直保持最大的力度，公司未来依然会专注于此，随着国家电网、南方电网对产品品质要求的不断提升，公司</w:t>
      </w:r>
      <w:r>
        <w:rPr>
          <w:spacing w:val="40"/>
        </w:rPr>
        <w:t> </w:t>
      </w:r>
      <w:r>
        <w:rPr>
          <w:spacing w:val="40"/>
        </w:rPr>
      </w:r>
      <w:r>
        <w:rPr>
          <w:spacing w:val="-4"/>
        </w:rPr>
        <w:t>正在积极改进产品设计工艺，满足客户需求；同时利用公司具备从设计咨询、工程、设备提供的综合服务能力提升来赢得更</w:t>
      </w:r>
      <w:r>
        <w:rPr>
          <w:spacing w:val="40"/>
        </w:rPr>
        <w:t> </w:t>
      </w:r>
      <w:r>
        <w:rPr>
          <w:spacing w:val="40"/>
        </w:rPr>
      </w:r>
      <w:r>
        <w:rPr>
          <w:spacing w:val="-4"/>
        </w:rPr>
        <w:t>多市场，从而保证业务持续增长。有序开放配售电业务作为本次电改的核心，有可能遭遇改革过程中的各种困难，导致项目</w:t>
      </w:r>
      <w:r>
        <w:rPr>
          <w:spacing w:val="40"/>
        </w:rPr>
        <w:t> </w:t>
      </w:r>
      <w:r>
        <w:rPr>
          <w:spacing w:val="40"/>
        </w:rPr>
      </w:r>
      <w:r>
        <w:rPr>
          <w:spacing w:val="-3"/>
        </w:rPr>
        <w:t>推进的周期不如预期，公司前期已经介入一些项目，公司会视政策进展情况，谨慎推进保证该业务探索不造成公司风险。</w:t>
      </w:r>
    </w:p>
    <w:p>
      <w:pPr>
        <w:pStyle w:val="BodyText"/>
        <w:spacing w:line="307" w:lineRule="auto" w:before="19"/>
        <w:ind w:right="0" w:firstLine="360"/>
        <w:jc w:val="left"/>
      </w:pPr>
      <w:r>
        <w:rPr>
          <w:spacing w:val="-5"/>
        </w:rPr>
        <w:t>新能源汽车产业受各方面因素影响，增长低于预期；钴材料价格出现大幅波动，快速下跌。新能源汽车产业目前的复合</w:t>
      </w:r>
      <w:r>
        <w:rPr>
          <w:w w:val="101"/>
        </w:rPr>
        <w:t> </w:t>
      </w:r>
      <w:r>
        <w:rPr>
          <w:spacing w:val="-5"/>
        </w:rPr>
        <w:t>增长率为</w:t>
      </w:r>
      <w:r>
        <w:rPr>
          <w:rFonts w:ascii="Times New Roman" w:hAnsi="Times New Roman" w:cs="Times New Roman" w:eastAsia="Times New Roman" w:hint="default"/>
          <w:spacing w:val="-5"/>
        </w:rPr>
        <w:t>40%</w:t>
      </w:r>
      <w:r>
        <w:rPr>
          <w:spacing w:val="-5"/>
        </w:rPr>
        <w:t>，其中三元材料的增长率约</w:t>
      </w:r>
      <w:r>
        <w:rPr>
          <w:rFonts w:ascii="Times New Roman" w:hAnsi="Times New Roman" w:cs="Times New Roman" w:eastAsia="Times New Roman" w:hint="default"/>
          <w:spacing w:val="-5"/>
        </w:rPr>
        <w:t>70%</w:t>
      </w:r>
      <w:r>
        <w:rPr>
          <w:spacing w:val="-5"/>
        </w:rPr>
        <w:t>。我国电动汽车</w:t>
      </w:r>
      <w:r>
        <w:rPr>
          <w:rFonts w:ascii="Times New Roman" w:hAnsi="Times New Roman" w:cs="Times New Roman" w:eastAsia="Times New Roman" w:hint="default"/>
          <w:spacing w:val="-5"/>
        </w:rPr>
        <w:t>2019</w:t>
      </w:r>
      <w:r>
        <w:rPr>
          <w:spacing w:val="-5"/>
        </w:rPr>
        <w:t>年产销量超过</w:t>
      </w:r>
      <w:r>
        <w:rPr>
          <w:rFonts w:ascii="Times New Roman" w:hAnsi="Times New Roman" w:cs="Times New Roman" w:eastAsia="Times New Roman" w:hint="default"/>
          <w:spacing w:val="-5"/>
        </w:rPr>
        <w:t>120</w:t>
      </w:r>
      <w:r>
        <w:rPr>
          <w:spacing w:val="-5"/>
        </w:rPr>
        <w:t>万辆，仅占我国年新增汽车产量的</w:t>
      </w:r>
      <w:r>
        <w:rPr>
          <w:rFonts w:ascii="Times New Roman" w:hAnsi="Times New Roman" w:cs="Times New Roman" w:eastAsia="Times New Roman" w:hint="default"/>
          <w:spacing w:val="-5"/>
        </w:rPr>
        <w:t>4.68%</w:t>
      </w:r>
      <w:r>
        <w:rPr>
          <w:spacing w:val="-5"/>
        </w:rPr>
        <w:t>，</w:t>
      </w:r>
      <w:r>
        <w:rPr>
          <w:spacing w:val="8"/>
        </w:rPr>
        <w:t> </w:t>
      </w:r>
      <w:r>
        <w:rPr>
          <w:spacing w:val="-4"/>
        </w:rPr>
        <w:t>未来拥有的市场空间及其巨大；新能源汽车已经不是我国独立发展的产业，国际新能源汽车的增长率也已经达到</w:t>
      </w:r>
      <w:r>
        <w:rPr>
          <w:rFonts w:ascii="Times New Roman" w:hAnsi="Times New Roman" w:cs="Times New Roman" w:eastAsia="Times New Roman" w:hint="default"/>
          <w:spacing w:val="-4"/>
        </w:rPr>
        <w:t>40%</w:t>
      </w:r>
      <w:r>
        <w:rPr>
          <w:spacing w:val="-4"/>
        </w:rPr>
        <w:t>，国际</w:t>
      </w:r>
      <w:r>
        <w:rPr>
          <w:spacing w:val="76"/>
        </w:rPr>
        <w:t> </w:t>
      </w:r>
      <w:r>
        <w:rPr>
          <w:spacing w:val="76"/>
        </w:rPr>
      </w:r>
      <w:r>
        <w:rPr>
          <w:spacing w:val="-4"/>
        </w:rPr>
        <w:t>大型汽车企业全面转入电动汽车领域，因此预计未来全球的新能源汽车应该可以保持稳定的增长。由于钴作为锂电池正极材</w:t>
      </w:r>
      <w:r>
        <w:rPr>
          <w:spacing w:val="43"/>
        </w:rPr>
        <w:t> </w:t>
      </w:r>
      <w:r>
        <w:rPr>
          <w:spacing w:val="43"/>
        </w:rPr>
      </w:r>
      <w:r>
        <w:rPr>
          <w:spacing w:val="-3"/>
        </w:rPr>
        <w:t>料中的核心材料，短期内无法替代，而全球钴资源及其有限，产能扩充非常困难，因此预计未来</w:t>
      </w:r>
      <w:r>
        <w:rPr>
          <w:rFonts w:ascii="Times New Roman" w:hAnsi="Times New Roman" w:cs="Times New Roman" w:eastAsia="Times New Roman" w:hint="default"/>
          <w:spacing w:val="-3"/>
        </w:rPr>
        <w:t>3</w:t>
      </w:r>
      <w:r>
        <w:rPr>
          <w:spacing w:val="-3"/>
        </w:rPr>
        <w:t>年钴价仍将保持较高的价</w:t>
      </w:r>
      <w:r>
        <w:rPr>
          <w:spacing w:val="71"/>
        </w:rPr>
        <w:t> </w:t>
      </w:r>
      <w:r>
        <w:rPr>
          <w:spacing w:val="71"/>
        </w:rPr>
      </w:r>
      <w:r>
        <w:rPr>
          <w:spacing w:val="-6"/>
        </w:rPr>
        <w:t>位。公司为了应对行业波动及提升公司竞争力，公司已经参与控制上游的钴资源企业，从而保证公司相关产业的可持续发展。</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bookmarkStart w:name="十、接待调研、沟通、采访等活动登记表" w:id="59"/>
      <w:bookmarkEnd w:id="59"/>
      <w:r>
        <w:rPr>
          <w:b w:val="0"/>
          <w:bCs w:val="0"/>
        </w:rPr>
      </w:r>
      <w:r>
        <w:rPr/>
        <w:t>十、接待调研、沟通、采访等活动登记表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0"/>
      <w:bookmarkEnd w:id="60"/>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6"/>
          <w:szCs w:val="6"/>
        </w:rPr>
      </w:pPr>
    </w:p>
    <w:tbl>
      <w:tblPr>
        <w:tblW w:w="0" w:type="auto"/>
        <w:jc w:val="left"/>
        <w:tblInd w:w="244" w:type="dxa"/>
        <w:tblLayout w:type="fixed"/>
        <w:tblCellMar>
          <w:top w:w="0" w:type="dxa"/>
          <w:left w:w="0" w:type="dxa"/>
          <w:bottom w:w="0" w:type="dxa"/>
          <w:right w:w="0" w:type="dxa"/>
        </w:tblCellMar>
        <w:tblLook w:val="01E0"/>
      </w:tblPr>
      <w:tblGrid>
        <w:gridCol w:w="2180"/>
        <w:gridCol w:w="1791"/>
        <w:gridCol w:w="1599"/>
        <w:gridCol w:w="3880"/>
      </w:tblGrid>
      <w:tr>
        <w:trPr>
          <w:trHeight w:val="403"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718"/>
              <w:jc w:val="right"/>
              <w:rPr>
                <w:rFonts w:ascii="宋体" w:hAnsi="宋体" w:cs="宋体" w:eastAsia="宋体" w:hint="default"/>
                <w:sz w:val="18"/>
                <w:szCs w:val="18"/>
              </w:rPr>
            </w:pPr>
            <w:r>
              <w:rPr>
                <w:rFonts w:ascii="宋体" w:hAnsi="宋体" w:cs="宋体" w:eastAsia="宋体" w:hint="default"/>
                <w:spacing w:val="-2"/>
                <w:sz w:val="18"/>
                <w:szCs w:val="18"/>
              </w:rPr>
              <w:t>接待时间</w:t>
            </w:r>
          </w:p>
        </w:tc>
        <w:tc>
          <w:tcPr>
            <w:tcW w:w="1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7"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23" w:right="0"/>
              <w:jc w:val="left"/>
              <w:rPr>
                <w:rFonts w:ascii="宋体" w:hAnsi="宋体" w:cs="宋体" w:eastAsia="宋体" w:hint="default"/>
                <w:sz w:val="18"/>
                <w:szCs w:val="18"/>
              </w:rPr>
            </w:pPr>
            <w:r>
              <w:rPr>
                <w:rFonts w:ascii="宋体" w:hAnsi="宋体" w:cs="宋体" w:eastAsia="宋体" w:hint="default"/>
                <w:spacing w:val="-3"/>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60"/>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80"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公司在巨潮资讯网投资者关系信息中披露的投资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pacing w:val="-3"/>
                <w:sz w:val="18"/>
                <w:szCs w:val="18"/>
              </w:rPr>
              <w:t>者关系活动记录表（编号：</w:t>
            </w:r>
            <w:r>
              <w:rPr>
                <w:rFonts w:ascii="Times New Roman" w:hAnsi="Times New Roman" w:cs="Times New Roman" w:eastAsia="Times New Roman" w:hint="default"/>
                <w:spacing w:val="-3"/>
                <w:sz w:val="18"/>
                <w:szCs w:val="18"/>
              </w:rPr>
              <w:t>20191120-01</w:t>
            </w:r>
            <w:r>
              <w:rPr>
                <w:rFonts w:ascii="宋体" w:hAnsi="宋体" w:cs="宋体" w:eastAsia="宋体" w:hint="default"/>
                <w:spacing w:val="-3"/>
                <w:sz w:val="18"/>
                <w:szCs w:val="18"/>
              </w:rPr>
              <w:t>）</w:t>
            </w:r>
          </w:p>
        </w:tc>
      </w:tr>
      <w:tr>
        <w:trPr>
          <w:trHeight w:val="716"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657"/>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88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61"/>
              <w:jc w:val="left"/>
              <w:rPr>
                <w:rFonts w:ascii="宋体" w:hAnsi="宋体" w:cs="宋体" w:eastAsia="宋体" w:hint="default"/>
                <w:sz w:val="18"/>
                <w:szCs w:val="18"/>
              </w:rPr>
            </w:pPr>
            <w:r>
              <w:rPr>
                <w:rFonts w:ascii="宋体" w:hAnsi="宋体" w:cs="宋体" w:eastAsia="宋体" w:hint="default"/>
                <w:spacing w:val="-3"/>
                <w:sz w:val="18"/>
                <w:szCs w:val="18"/>
              </w:rPr>
              <w:t>公司在巨潮资讯网投资者关系信息中披露的投资</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者关系活动记录表（编号：</w:t>
            </w:r>
            <w:r>
              <w:rPr>
                <w:rFonts w:ascii="Times New Roman" w:hAnsi="Times New Roman" w:cs="Times New Roman" w:eastAsia="Times New Roman" w:hint="default"/>
                <w:sz w:val="18"/>
                <w:szCs w:val="18"/>
              </w:rPr>
              <w:t>20191226-01</w:t>
            </w:r>
            <w:r>
              <w:rPr>
                <w:rFonts w:ascii="宋体" w:hAnsi="宋体" w:cs="宋体" w:eastAsia="宋体" w:hint="default"/>
                <w:sz w:val="18"/>
                <w:szCs w:val="18"/>
              </w:rPr>
              <w:t>）</w:t>
            </w:r>
          </w:p>
        </w:tc>
      </w:tr>
    </w:tbl>
    <w:p>
      <w:pPr>
        <w:spacing w:after="0" w:line="31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宋体" w:hAnsi="宋体" w:cs="宋体" w:eastAsia="宋体" w:hint="default"/>
          <w:sz w:val="20"/>
          <w:szCs w:val="20"/>
        </w:rPr>
      </w:pPr>
      <w:r>
        <w:rPr/>
        <w:pict>
          <v:group style="position:absolute;margin-left:242.979996pt;margin-top:661.630005pt;width:291pt;height:20.65pt;mso-position-horizontal-relative:page;mso-position-vertical-relative:page;z-index:-1057888" coordorigin="4860,13233" coordsize="5820,413">
            <v:group style="position:absolute;left:4869;top:13242;width:2;height:394" coordorigin="4869,13242" coordsize="2,394">
              <v:shape style="position:absolute;left:4869;top:13242;width:2;height:394" coordorigin="4869,13242" coordsize="0,394" path="m4869,13242l4869,13636e" filled="false" stroked="true" strokeweight=".96001pt" strokecolor="#ffffff">
                <v:path arrowok="t"/>
              </v:shape>
            </v:group>
            <v:group style="position:absolute;left:4879;top:13242;width:5801;height:394" coordorigin="4879,13242" coordsize="5801,394">
              <v:shape style="position:absolute;left:4879;top:13242;width:5801;height:394" coordorigin="4879,13242" coordsize="5801,394" path="m4879,13636l10679,13636,10679,13242,4879,13242,4879,1363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pStyle w:val="Heading1"/>
        <w:spacing w:line="240" w:lineRule="auto"/>
        <w:ind w:right="3752"/>
        <w:jc w:val="center"/>
        <w:rPr>
          <w:b w:val="0"/>
          <w:bCs w:val="0"/>
        </w:rPr>
      </w:pPr>
      <w:bookmarkStart w:name="_TOC_250008" w:id="61"/>
      <w:bookmarkStart w:name="第五节重要事项" w:id="62"/>
      <w:r>
        <w:rPr>
          <w:b w:val="0"/>
          <w:bCs w:val="0"/>
        </w:rPr>
      </w:r>
      <w:r>
        <w:rPr/>
        <w:t>第五节重要事项</w:t>
      </w:r>
      <w:bookmarkEnd w:id="61"/>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3"/>
      <w:bookmarkEnd w:id="63"/>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spacing w:val="-3"/>
        </w:rPr>
        <w:t>报告期内普通股利润分配政策，特别是现金分红政策的制定、执行或调整情况</w:t>
      </w:r>
    </w:p>
    <w:p>
      <w:pPr>
        <w:pStyle w:val="BodyText"/>
        <w:spacing w:line="333" w:lineRule="auto" w:before="115"/>
        <w:ind w:left="518" w:right="1037" w:hanging="365"/>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4"/>
          <w:w w:val="101"/>
        </w:rPr>
        <w:t>根据公司</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4</w:t>
      </w:r>
      <w:r>
        <w:rPr>
          <w:spacing w:val="-4"/>
          <w:w w:val="101"/>
        </w:rPr>
        <w:t>月</w:t>
      </w:r>
      <w:r>
        <w:rPr>
          <w:rFonts w:ascii="Times New Roman" w:hAnsi="Times New Roman" w:cs="Times New Roman" w:eastAsia="Times New Roman" w:hint="default"/>
          <w:spacing w:val="-4"/>
          <w:w w:val="101"/>
        </w:rPr>
        <w:t>24</w:t>
      </w:r>
      <w:r>
        <w:rPr>
          <w:spacing w:val="-4"/>
          <w:w w:val="101"/>
        </w:rPr>
        <w:t>日召开第五届董事会第六次会议决议及</w:t>
      </w:r>
      <w:r>
        <w:rPr>
          <w:rFonts w:ascii="Times New Roman" w:hAnsi="Times New Roman" w:cs="Times New Roman" w:eastAsia="Times New Roman" w:hint="default"/>
          <w:spacing w:val="-4"/>
          <w:w w:val="101"/>
        </w:rPr>
        <w:t>2019</w:t>
      </w:r>
      <w:r>
        <w:rPr>
          <w:spacing w:val="-4"/>
          <w:w w:val="101"/>
        </w:rPr>
        <w:t>年</w:t>
      </w:r>
      <w:r>
        <w:rPr>
          <w:rFonts w:ascii="Times New Roman" w:hAnsi="Times New Roman" w:cs="Times New Roman" w:eastAsia="Times New Roman" w:hint="default"/>
          <w:spacing w:val="-4"/>
          <w:w w:val="101"/>
        </w:rPr>
        <w:t>5</w:t>
      </w:r>
      <w:r>
        <w:rPr>
          <w:spacing w:val="-4"/>
          <w:w w:val="101"/>
        </w:rPr>
        <w:t>月</w:t>
      </w:r>
      <w:r>
        <w:rPr>
          <w:rFonts w:ascii="Times New Roman" w:hAnsi="Times New Roman" w:cs="Times New Roman" w:eastAsia="Times New Roman" w:hint="default"/>
          <w:spacing w:val="-4"/>
          <w:w w:val="101"/>
        </w:rPr>
        <w:t>15</w:t>
      </w:r>
      <w:r>
        <w:rPr>
          <w:spacing w:val="-4"/>
          <w:w w:val="101"/>
        </w:rPr>
        <w:t>日公司</w:t>
      </w:r>
      <w:r>
        <w:rPr>
          <w:rFonts w:ascii="Times New Roman" w:hAnsi="Times New Roman" w:cs="Times New Roman" w:eastAsia="Times New Roman" w:hint="default"/>
          <w:spacing w:val="-4"/>
          <w:w w:val="101"/>
        </w:rPr>
        <w:t>2018</w:t>
      </w:r>
      <w:r>
        <w:rPr>
          <w:spacing w:val="-4"/>
          <w:w w:val="101"/>
        </w:rPr>
        <w:t>年度股东大会审议批准，</w:t>
      </w:r>
      <w:r>
        <w:rPr>
          <w:rFonts w:ascii="Times New Roman" w:hAnsi="Times New Roman" w:cs="Times New Roman" w:eastAsia="Times New Roman" w:hint="default"/>
          <w:spacing w:val="-4"/>
          <w:w w:val="101"/>
        </w:rPr>
        <w:t>2018</w:t>
      </w:r>
      <w:r>
        <w:rPr>
          <w:spacing w:val="-4"/>
          <w:w w:val="101"/>
        </w:rPr>
        <w:t>年度</w:t>
      </w:r>
      <w:r>
        <w:rPr>
          <w:spacing w:val="-4"/>
        </w:rPr>
      </w:r>
    </w:p>
    <w:p>
      <w:pPr>
        <w:pStyle w:val="BodyText"/>
        <w:spacing w:line="234" w:lineRule="exact"/>
        <w:ind w:right="0"/>
        <w:jc w:val="left"/>
      </w:pPr>
      <w:r>
        <w:rPr>
          <w:spacing w:val="-3"/>
        </w:rPr>
        <w:t>利润分配方案如下：以 </w:t>
      </w:r>
      <w:r>
        <w:rPr>
          <w:spacing w:val="75"/>
        </w:rPr>
        <w:t> </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日的总股本</w:t>
      </w:r>
      <w:r>
        <w:rPr>
          <w:rFonts w:ascii="Times New Roman" w:hAnsi="Times New Roman" w:cs="Times New Roman" w:eastAsia="Times New Roman" w:hint="default"/>
          <w:spacing w:val="-3"/>
        </w:rPr>
        <w:t>582,194,642</w:t>
      </w:r>
      <w:r>
        <w:rPr>
          <w:spacing w:val="-3"/>
        </w:rPr>
        <w:t>股为基数，向全体股东按每</w:t>
      </w:r>
      <w:r>
        <w:rPr>
          <w:rFonts w:ascii="Times New Roman" w:hAnsi="Times New Roman" w:cs="Times New Roman" w:eastAsia="Times New Roman" w:hint="default"/>
          <w:spacing w:val="-3"/>
        </w:rPr>
        <w:t>10</w:t>
      </w:r>
      <w:r>
        <w:rPr>
          <w:spacing w:val="-3"/>
        </w:rPr>
        <w:t>股分配现金股利</w:t>
      </w:r>
      <w:r>
        <w:rPr>
          <w:rFonts w:ascii="Times New Roman" w:hAnsi="Times New Roman" w:cs="Times New Roman" w:eastAsia="Times New Roman" w:hint="default"/>
          <w:spacing w:val="-3"/>
        </w:rPr>
        <w:t>0.20</w:t>
      </w:r>
      <w:r>
        <w:rPr>
          <w:spacing w:val="-3"/>
        </w:rPr>
        <w:t>元（含税），</w:t>
      </w:r>
    </w:p>
    <w:p>
      <w:pPr>
        <w:pStyle w:val="BodyText"/>
        <w:spacing w:line="300" w:lineRule="auto" w:before="63"/>
        <w:ind w:left="518" w:right="0" w:hanging="365"/>
        <w:jc w:val="left"/>
      </w:pPr>
      <w:r>
        <w:rPr/>
        <w:t>共派发现金股利</w:t>
      </w:r>
      <w:r>
        <w:rPr>
          <w:rFonts w:ascii="Times New Roman" w:hAnsi="Times New Roman" w:cs="Times New Roman" w:eastAsia="Times New Roman" w:hint="default"/>
        </w:rPr>
        <w:t>11,643,892.84</w:t>
      </w:r>
      <w:r>
        <w:rPr/>
        <w:t>元。</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年</w:t>
      </w:r>
      <w:r>
        <w:rPr>
          <w:rFonts w:ascii="Times New Roman" w:hAnsi="Times New Roman" w:cs="Times New Roman" w:eastAsia="Times New Roman" w:hint="default"/>
        </w:rPr>
        <w:t>12</w:t>
      </w:r>
      <w:r>
        <w:rPr/>
        <w:t>日上述分红方案已执行完毕。</w:t>
      </w:r>
      <w:r>
        <w:rPr>
          <w:w w:val="101"/>
        </w:rPr>
        <w:t> </w:t>
      </w:r>
      <w:r>
        <w:rPr>
          <w:spacing w:val="-3"/>
        </w:rPr>
        <w:t>根据公司</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日召开第五届董事会第十一次会议决议及</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16</w:t>
      </w:r>
      <w:r>
        <w:rPr>
          <w:spacing w:val="-3"/>
        </w:rPr>
        <w:t>日公司</w:t>
      </w:r>
      <w:r>
        <w:rPr>
          <w:rFonts w:ascii="Times New Roman" w:hAnsi="Times New Roman" w:cs="Times New Roman" w:eastAsia="Times New Roman" w:hint="default"/>
          <w:spacing w:val="-3"/>
        </w:rPr>
        <w:t>2019</w:t>
      </w:r>
      <w:r>
        <w:rPr>
          <w:spacing w:val="-3"/>
        </w:rPr>
        <w:t>年第十次临时股东大会审议批</w:t>
      </w:r>
    </w:p>
    <w:p>
      <w:pPr>
        <w:pStyle w:val="BodyText"/>
        <w:spacing w:line="300" w:lineRule="auto" w:before="13"/>
        <w:ind w:right="0"/>
        <w:jc w:val="left"/>
      </w:pPr>
      <w:r>
        <w:rPr>
          <w:spacing w:val="-3"/>
        </w:rPr>
        <w:t>准，</w:t>
      </w:r>
      <w:r>
        <w:rPr>
          <w:rFonts w:ascii="Times New Roman" w:hAnsi="Times New Roman" w:cs="Times New Roman" w:eastAsia="Times New Roman" w:hint="default"/>
          <w:spacing w:val="-3"/>
        </w:rPr>
        <w:t>2019</w:t>
      </w:r>
      <w:r>
        <w:rPr>
          <w:spacing w:val="-3"/>
        </w:rPr>
        <w:t>年半年度权益分配方案如下：以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30</w:t>
      </w:r>
      <w:r>
        <w:rPr>
          <w:spacing w:val="-3"/>
        </w:rPr>
        <w:t>日的总股本</w:t>
      </w:r>
      <w:r>
        <w:rPr>
          <w:rFonts w:ascii="Times New Roman" w:hAnsi="Times New Roman" w:cs="Times New Roman" w:eastAsia="Times New Roman" w:hint="default"/>
          <w:spacing w:val="-3"/>
        </w:rPr>
        <w:t>582,194,642</w:t>
      </w:r>
      <w:r>
        <w:rPr>
          <w:spacing w:val="-3"/>
        </w:rPr>
        <w:t>股为基数，向全体股东进行资本公积金转增股</w:t>
      </w:r>
      <w:r>
        <w:rPr>
          <w:spacing w:val="15"/>
        </w:rPr>
        <w:t> </w:t>
      </w:r>
      <w:r>
        <w:rPr>
          <w:spacing w:val="15"/>
        </w:rPr>
      </w:r>
      <w:r>
        <w:rPr/>
        <w:t>本，每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4</w:t>
      </w:r>
      <w:r>
        <w:rPr/>
        <w:t>股，共计转增</w:t>
      </w:r>
      <w:r>
        <w:rPr>
          <w:rFonts w:ascii="Times New Roman" w:hAnsi="Times New Roman" w:cs="Times New Roman" w:eastAsia="Times New Roman" w:hint="default"/>
        </w:rPr>
        <w:t>232,877,856</w:t>
      </w:r>
      <w:r>
        <w:rPr/>
        <w:t>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年</w:t>
      </w:r>
      <w:r>
        <w:rPr>
          <w:rFonts w:ascii="Times New Roman" w:hAnsi="Times New Roman" w:cs="Times New Roman" w:eastAsia="Times New Roman" w:hint="default"/>
        </w:rPr>
        <w:t>26</w:t>
      </w:r>
      <w:r>
        <w:rPr/>
        <w:t>日上述权益分配方案已执行完毕。</w:t>
      </w:r>
    </w:p>
    <w:p>
      <w:pPr>
        <w:spacing w:line="240" w:lineRule="auto" w:before="0"/>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398"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pacing w:val="-3"/>
                <w:sz w:val="18"/>
                <w:szCs w:val="18"/>
              </w:rPr>
              <w:t>现金分红政策的专项说明</w:t>
            </w:r>
          </w:p>
        </w:tc>
      </w:tr>
      <w:tr>
        <w:trPr>
          <w:trHeight w:val="40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是否符合公司章程的规定或股东大会决议的要求：</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分红标准和比例是否明确和清晰：</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相关的决策程序和机制是否完备：</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独立董事是否履职尽责并发挥了应有的作用：</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54"/>
              <w:jc w:val="left"/>
              <w:rPr>
                <w:rFonts w:ascii="宋体" w:hAnsi="宋体" w:cs="宋体" w:eastAsia="宋体" w:hint="default"/>
                <w:sz w:val="18"/>
                <w:szCs w:val="18"/>
              </w:rPr>
            </w:pPr>
            <w:r>
              <w:rPr>
                <w:rFonts w:ascii="宋体" w:hAnsi="宋体" w:cs="宋体" w:eastAsia="宋体" w:hint="default"/>
                <w:spacing w:val="-3"/>
                <w:sz w:val="18"/>
                <w:szCs w:val="18"/>
              </w:rPr>
              <w:t>中小股东是否有充分表达意见和诉求的机会，其合法权益是</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否得到了充分保护：</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4"/>
              <w:jc w:val="left"/>
              <w:rPr>
                <w:rFonts w:ascii="宋体" w:hAnsi="宋体" w:cs="宋体" w:eastAsia="宋体" w:hint="default"/>
                <w:sz w:val="18"/>
                <w:szCs w:val="18"/>
              </w:rPr>
            </w:pPr>
            <w:r>
              <w:rPr>
                <w:rFonts w:ascii="宋体" w:hAnsi="宋体" w:cs="宋体" w:eastAsia="宋体" w:hint="default"/>
                <w:spacing w:val="-3"/>
                <w:sz w:val="18"/>
                <w:szCs w:val="18"/>
              </w:rPr>
              <w:t>现金分红政策进行调整或变更的，条件及程序是否合规、透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明：</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3"/>
        <w:ind w:right="0"/>
        <w:jc w:val="left"/>
      </w:pPr>
      <w:r>
        <w:rPr>
          <w:spacing w:val="-3"/>
        </w:rPr>
        <w:t>公司报告期利润分配预案及资本公积金转增股本预案与公司章程和分红管理办法等的相关规定一致</w:t>
      </w:r>
    </w:p>
    <w:p>
      <w:pPr>
        <w:pStyle w:val="BodyText"/>
        <w:spacing w:line="350" w:lineRule="auto" w:before="115"/>
        <w:ind w:right="420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不适用</w:t>
      </w:r>
      <w:r>
        <w:rPr>
          <w:spacing w:val="-80"/>
        </w:rPr>
        <w:t> </w:t>
      </w:r>
      <w:r>
        <w:rPr>
          <w:spacing w:val="-80"/>
        </w:rPr>
      </w:r>
      <w:r>
        <w:rPr>
          <w:spacing w:val="-3"/>
        </w:rPr>
        <w:t>公司报告期利润分配预案及资本公积金转增股本预案符合公司章程等的相关规定。</w:t>
      </w:r>
      <w:r>
        <w:rPr>
          <w:spacing w:val="14"/>
        </w:rPr>
        <w:t> </w:t>
      </w:r>
      <w:r>
        <w:rPr>
          <w:spacing w:val="14"/>
        </w:rPr>
      </w:r>
      <w:r>
        <w:rPr>
          <w:spacing w:val="-3"/>
        </w:rPr>
        <w:t>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07"/>
        <w:gridCol w:w="5863"/>
      </w:tblGrid>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派</w:t>
            </w:r>
            <w:r>
              <w:rPr>
                <w:rFonts w:ascii="宋体" w:hAnsi="宋体" w:cs="宋体" w:eastAsia="宋体" w:hint="default"/>
                <w:w w:val="101"/>
                <w:sz w:val="18"/>
                <w:szCs w:val="18"/>
              </w:rPr>
              <w:t>息</w:t>
            </w:r>
            <w:r>
              <w:rPr>
                <w:rFonts w:ascii="宋体" w:hAnsi="宋体" w:cs="宋体" w:eastAsia="宋体" w:hint="default"/>
                <w:spacing w:val="-5"/>
                <w:w w:val="101"/>
                <w:sz w:val="18"/>
                <w:szCs w:val="18"/>
              </w:rPr>
              <w:t>数</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0.16</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pacing w:val="-3"/>
                <w:sz w:val="18"/>
                <w:szCs w:val="18"/>
              </w:rPr>
              <w:t>股转增数（股）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分配预案的股本基数（股）</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pacing w:val="-1"/>
                <w:sz w:val="18"/>
              </w:rPr>
              <w:t>832,975,698</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金</w:t>
            </w:r>
            <w:r>
              <w:rPr>
                <w:rFonts w:ascii="宋体" w:hAnsi="宋体" w:cs="宋体" w:eastAsia="宋体" w:hint="default"/>
                <w:spacing w:val="-5"/>
                <w:w w:val="101"/>
                <w:sz w:val="18"/>
                <w:szCs w:val="18"/>
              </w:rPr>
              <w:t>额</w:t>
            </w:r>
            <w:r>
              <w:rPr>
                <w:rFonts w:ascii="宋体" w:hAnsi="宋体" w:cs="宋体" w:eastAsia="宋体" w:hint="default"/>
                <w:w w:val="101"/>
                <w:sz w:val="18"/>
                <w:szCs w:val="18"/>
              </w:rPr>
              <w:t>（元</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税）</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13,327,611.17</w:t>
            </w:r>
          </w:p>
        </w:tc>
      </w:tr>
      <w:tr>
        <w:trPr>
          <w:trHeight w:val="403"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以其他方式（如回购股份）现金分红金额（元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tabs>
                <w:tab w:pos="5504" w:val="left" w:leader="none"/>
              </w:tabs>
              <w:spacing w:line="240" w:lineRule="auto" w:before="53"/>
              <w:ind w:left="-114" w:right="17"/>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0.00</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现</w:t>
            </w:r>
            <w:r>
              <w:rPr>
                <w:rFonts w:ascii="宋体" w:hAnsi="宋体" w:cs="宋体" w:eastAsia="宋体" w:hint="default"/>
                <w:spacing w:val="-5"/>
                <w:w w:val="101"/>
                <w:sz w:val="18"/>
                <w:szCs w:val="18"/>
              </w:rPr>
              <w:t>金</w:t>
            </w:r>
            <w:r>
              <w:rPr>
                <w:rFonts w:ascii="宋体" w:hAnsi="宋体" w:cs="宋体" w:eastAsia="宋体" w:hint="default"/>
                <w:w w:val="101"/>
                <w:sz w:val="18"/>
                <w:szCs w:val="18"/>
              </w:rPr>
              <w:t>分</w:t>
            </w:r>
            <w:r>
              <w:rPr>
                <w:rFonts w:ascii="宋体" w:hAnsi="宋体" w:cs="宋体" w:eastAsia="宋体" w:hint="default"/>
                <w:spacing w:val="-5"/>
                <w:w w:val="101"/>
                <w:sz w:val="18"/>
                <w:szCs w:val="18"/>
              </w:rPr>
              <w:t>红</w:t>
            </w:r>
            <w:r>
              <w:rPr>
                <w:rFonts w:ascii="宋体" w:hAnsi="宋体" w:cs="宋体" w:eastAsia="宋体" w:hint="default"/>
                <w:w w:val="101"/>
                <w:sz w:val="18"/>
                <w:szCs w:val="18"/>
              </w:rPr>
              <w:t>总</w:t>
            </w:r>
            <w:r>
              <w:rPr>
                <w:rFonts w:ascii="宋体" w:hAnsi="宋体" w:cs="宋体" w:eastAsia="宋体" w:hint="default"/>
                <w:spacing w:val="-5"/>
                <w:w w:val="101"/>
                <w:sz w:val="18"/>
                <w:szCs w:val="18"/>
              </w:rPr>
              <w:t>额</w:t>
            </w:r>
            <w:r>
              <w:rPr>
                <w:rFonts w:ascii="宋体" w:hAnsi="宋体" w:cs="宋体" w:eastAsia="宋体" w:hint="default"/>
                <w:w w:val="101"/>
                <w:sz w:val="18"/>
                <w:szCs w:val="18"/>
              </w:rPr>
              <w:t>（</w:t>
            </w:r>
            <w:r>
              <w:rPr>
                <w:rFonts w:ascii="宋体" w:hAnsi="宋体" w:cs="宋体" w:eastAsia="宋体" w:hint="default"/>
                <w:spacing w:val="-5"/>
                <w:w w:val="101"/>
                <w:sz w:val="18"/>
                <w:szCs w:val="18"/>
              </w:rPr>
              <w:t>含</w:t>
            </w:r>
            <w:r>
              <w:rPr>
                <w:rFonts w:ascii="宋体" w:hAnsi="宋体" w:cs="宋体" w:eastAsia="宋体" w:hint="default"/>
                <w:w w:val="101"/>
                <w:sz w:val="18"/>
                <w:szCs w:val="18"/>
              </w:rPr>
              <w:t>其</w:t>
            </w:r>
            <w:r>
              <w:rPr>
                <w:rFonts w:ascii="宋体" w:hAnsi="宋体" w:cs="宋体" w:eastAsia="宋体" w:hint="default"/>
                <w:spacing w:val="-5"/>
                <w:w w:val="101"/>
                <w:sz w:val="18"/>
                <w:szCs w:val="18"/>
              </w:rPr>
              <w:t>他</w:t>
            </w:r>
            <w:r>
              <w:rPr>
                <w:rFonts w:ascii="宋体" w:hAnsi="宋体" w:cs="宋体" w:eastAsia="宋体" w:hint="default"/>
                <w:w w:val="101"/>
                <w:sz w:val="18"/>
                <w:szCs w:val="18"/>
              </w:rPr>
              <w:t>方式</w:t>
            </w:r>
            <w:r>
              <w:rPr>
                <w:rFonts w:ascii="宋体" w:hAnsi="宋体" w:cs="宋体" w:eastAsia="宋体" w:hint="default"/>
                <w:spacing w:val="-96"/>
                <w:w w:val="101"/>
                <w:sz w:val="18"/>
                <w:szCs w:val="18"/>
              </w:rPr>
              <w:t>）</w:t>
            </w:r>
            <w:r>
              <w:rPr>
                <w:rFonts w:ascii="宋体" w:hAnsi="宋体" w:cs="宋体" w:eastAsia="宋体" w:hint="default"/>
                <w:w w:val="101"/>
                <w:sz w:val="18"/>
                <w:szCs w:val="18"/>
              </w:rPr>
              <w:t>（</w:t>
            </w:r>
            <w:r>
              <w:rPr>
                <w:rFonts w:ascii="宋体" w:hAnsi="宋体" w:cs="宋体" w:eastAsia="宋体" w:hint="default"/>
                <w:spacing w:val="-5"/>
                <w:w w:val="101"/>
                <w:sz w:val="18"/>
                <w:szCs w:val="18"/>
              </w:rPr>
              <w:t>元</w:t>
            </w:r>
            <w:r>
              <w:rPr>
                <w:rFonts w:ascii="宋体" w:hAnsi="宋体" w:cs="宋体" w:eastAsia="宋体" w:hint="default"/>
                <w:w w:val="101"/>
                <w:sz w:val="18"/>
                <w:szCs w:val="18"/>
              </w:rPr>
              <w:t>）</w:t>
            </w:r>
            <w:r>
              <w:rPr>
                <w:rFonts w:ascii="宋体" w:hAnsi="宋体" w:cs="宋体" w:eastAsia="宋体" w:hint="default"/>
                <w:sz w:val="18"/>
                <w:szCs w:val="18"/>
              </w:rPr>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13,327,611.17</w:t>
            </w:r>
          </w:p>
        </w:tc>
      </w:tr>
      <w:tr>
        <w:trPr>
          <w:trHeight w:val="401"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9"/>
              <w:ind w:right="17"/>
              <w:jc w:val="right"/>
              <w:rPr>
                <w:rFonts w:ascii="Times New Roman" w:hAnsi="Times New Roman" w:cs="Times New Roman" w:eastAsia="Times New Roman" w:hint="default"/>
                <w:sz w:val="18"/>
                <w:szCs w:val="18"/>
              </w:rPr>
            </w:pPr>
            <w:r>
              <w:rPr>
                <w:rFonts w:ascii="Times New Roman"/>
                <w:spacing w:val="-1"/>
                <w:sz w:val="18"/>
              </w:rPr>
              <w:t>333,371,958.37</w:t>
            </w:r>
          </w:p>
        </w:tc>
      </w:tr>
      <w:tr>
        <w:trPr>
          <w:trHeight w:val="715" w:hRule="exact"/>
        </w:trPr>
        <w:tc>
          <w:tcPr>
            <w:tcW w:w="3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6"/>
              <w:jc w:val="left"/>
              <w:rPr>
                <w:rFonts w:ascii="宋体" w:hAnsi="宋体" w:cs="宋体" w:eastAsia="宋体" w:hint="default"/>
                <w:sz w:val="18"/>
                <w:szCs w:val="18"/>
              </w:rPr>
            </w:pPr>
            <w:r>
              <w:rPr>
                <w:rFonts w:ascii="宋体" w:hAnsi="宋体" w:cs="宋体" w:eastAsia="宋体" w:hint="default"/>
                <w:spacing w:val="-3"/>
                <w:sz w:val="18"/>
                <w:szCs w:val="18"/>
              </w:rPr>
              <w:t>现金分红总额（含其他方式）占利润分配总额</w:t>
            </w:r>
            <w:r>
              <w:rPr>
                <w:rFonts w:ascii="宋体" w:hAnsi="宋体" w:cs="宋体" w:eastAsia="宋体" w:hint="default"/>
                <w:spacing w:val="-27"/>
                <w:sz w:val="18"/>
                <w:szCs w:val="18"/>
              </w:rPr>
              <w:t> </w:t>
            </w:r>
            <w:r>
              <w:rPr>
                <w:rFonts w:ascii="宋体" w:hAnsi="宋体" w:cs="宋体" w:eastAsia="宋体" w:hint="default"/>
                <w:spacing w:val="-27"/>
                <w:sz w:val="18"/>
                <w:szCs w:val="18"/>
              </w:rPr>
            </w:r>
            <w:r>
              <w:rPr>
                <w:rFonts w:ascii="宋体" w:hAnsi="宋体" w:cs="宋体" w:eastAsia="宋体" w:hint="default"/>
                <w:sz w:val="18"/>
                <w:szCs w:val="18"/>
              </w:rPr>
              <w:t>的比例</w:t>
            </w:r>
          </w:p>
        </w:tc>
        <w:tc>
          <w:tcPr>
            <w:tcW w:w="5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0"/>
      </w:tblGrid>
      <w:tr>
        <w:trPr>
          <w:trHeight w:val="403"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1" w:hRule="exact"/>
        </w:trPr>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4"/>
                <w:sz w:val="18"/>
                <w:szCs w:val="18"/>
              </w:rPr>
              <w:t>公司发展阶段不易区分但有重大资金支出安排的，进行利润分配时，现金分红在本次利润分配中所占比例最低应达到 </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1" w:hRule="exact"/>
        </w:trPr>
        <w:tc>
          <w:tcPr>
            <w:tcW w:w="9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pacing w:val="-3"/>
                <w:sz w:val="18"/>
                <w:szCs w:val="18"/>
              </w:rPr>
              <w:t>利润分配或资本公积金转增预案的详细情况说明</w:t>
            </w:r>
          </w:p>
        </w:tc>
      </w:tr>
      <w:tr>
        <w:trPr>
          <w:trHeight w:val="1339" w:hRule="exact"/>
        </w:trPr>
        <w:tc>
          <w:tcPr>
            <w:tcW w:w="9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经中兴财光华会计师事务所（特殊普通合伙）审计，公司 </w:t>
            </w:r>
            <w:r>
              <w:rPr>
                <w:rFonts w:ascii="Times New Roman" w:hAnsi="Times New Roman" w:cs="Times New Roman" w:eastAsia="Times New Roman" w:hint="default"/>
                <w:sz w:val="18"/>
                <w:szCs w:val="18"/>
              </w:rPr>
              <w:t>2019  </w:t>
            </w:r>
            <w:r>
              <w:rPr>
                <w:rFonts w:ascii="宋体" w:hAnsi="宋体" w:cs="宋体" w:eastAsia="宋体" w:hint="default"/>
                <w:spacing w:val="-3"/>
                <w:sz w:val="18"/>
                <w:szCs w:val="18"/>
              </w:rPr>
              <w:t>年度实现归属于母公司股东的净利润为 </w:t>
            </w:r>
            <w:r>
              <w:rPr>
                <w:rFonts w:ascii="Times New Roman" w:hAnsi="Times New Roman" w:cs="Times New Roman" w:eastAsia="Times New Roman" w:hint="default"/>
                <w:sz w:val="18"/>
                <w:szCs w:val="18"/>
              </w:rPr>
              <w:t>62,644,830.42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日，公司可供股东分配的净利润为</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333,371,958.37</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元；资本公积金余额为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633,099,386.85</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元。本公司</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拟以</w:t>
            </w:r>
            <w:r>
              <w:rPr>
                <w:rFonts w:ascii="宋体" w:hAnsi="宋体" w:cs="宋体" w:eastAsia="宋体" w:hint="default"/>
                <w:spacing w:val="-4"/>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w:t>
            </w:r>
            <w:r>
              <w:rPr>
                <w:rFonts w:ascii="宋体" w:hAnsi="宋体" w:cs="宋体" w:eastAsia="宋体" w:hint="default"/>
                <w:spacing w:val="-5"/>
                <w:w w:val="101"/>
                <w:sz w:val="18"/>
                <w:szCs w:val="18"/>
              </w:rPr>
              <w:t>的</w:t>
            </w:r>
            <w:r>
              <w:rPr>
                <w:rFonts w:ascii="宋体" w:hAnsi="宋体" w:cs="宋体" w:eastAsia="宋体" w:hint="default"/>
                <w:w w:val="101"/>
                <w:sz w:val="18"/>
                <w:szCs w:val="18"/>
              </w:rPr>
              <w:t>总</w:t>
            </w:r>
            <w:r>
              <w:rPr>
                <w:rFonts w:ascii="宋体" w:hAnsi="宋体" w:cs="宋体" w:eastAsia="宋体" w:hint="default"/>
                <w:spacing w:val="-5"/>
                <w:w w:val="101"/>
                <w:sz w:val="18"/>
                <w:szCs w:val="18"/>
              </w:rPr>
              <w:t>股</w:t>
            </w:r>
            <w:r>
              <w:rPr>
                <w:rFonts w:ascii="宋体" w:hAnsi="宋体" w:cs="宋体" w:eastAsia="宋体" w:hint="default"/>
                <w:w w:val="101"/>
                <w:sz w:val="18"/>
                <w:szCs w:val="18"/>
              </w:rPr>
              <w:t>本</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83</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spacing w:val="2"/>
                <w:w w:val="101"/>
                <w:sz w:val="18"/>
                <w:szCs w:val="18"/>
              </w:rPr>
              <w:t>,</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pacing w:val="-5"/>
                <w:w w:val="101"/>
                <w:sz w:val="18"/>
                <w:szCs w:val="18"/>
              </w:rPr>
              <w:t>7</w:t>
            </w:r>
            <w:r>
              <w:rPr>
                <w:rFonts w:ascii="Times New Roman" w:hAnsi="Times New Roman" w:cs="Times New Roman" w:eastAsia="Times New Roman" w:hint="default"/>
                <w:w w:val="101"/>
                <w:sz w:val="18"/>
                <w:szCs w:val="18"/>
              </w:rPr>
              <w:t>5</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698</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股</w:t>
            </w:r>
            <w:r>
              <w:rPr>
                <w:rFonts w:ascii="宋体" w:hAnsi="宋体" w:cs="宋体" w:eastAsia="宋体" w:hint="default"/>
                <w:w w:val="101"/>
                <w:sz w:val="18"/>
                <w:szCs w:val="18"/>
              </w:rPr>
              <w:t>为</w:t>
            </w:r>
            <w:r>
              <w:rPr>
                <w:rFonts w:ascii="宋体" w:hAnsi="宋体" w:cs="宋体" w:eastAsia="宋体" w:hint="default"/>
                <w:spacing w:val="-5"/>
                <w:w w:val="101"/>
                <w:sz w:val="18"/>
                <w:szCs w:val="18"/>
              </w:rPr>
              <w:t>基</w:t>
            </w:r>
            <w:r>
              <w:rPr>
                <w:rFonts w:ascii="宋体" w:hAnsi="宋体" w:cs="宋体" w:eastAsia="宋体" w:hint="default"/>
                <w:w w:val="101"/>
                <w:sz w:val="18"/>
                <w:szCs w:val="18"/>
              </w:rPr>
              <w:t>数</w:t>
            </w:r>
            <w:r>
              <w:rPr>
                <w:rFonts w:ascii="宋体" w:hAnsi="宋体" w:cs="宋体" w:eastAsia="宋体" w:hint="default"/>
                <w:spacing w:val="-5"/>
                <w:w w:val="101"/>
                <w:sz w:val="18"/>
                <w:szCs w:val="18"/>
              </w:rPr>
              <w:t>，</w:t>
            </w:r>
            <w:r>
              <w:rPr>
                <w:rFonts w:ascii="宋体" w:hAnsi="宋体" w:cs="宋体" w:eastAsia="宋体" w:hint="default"/>
                <w:w w:val="101"/>
                <w:sz w:val="18"/>
                <w:szCs w:val="18"/>
              </w:rPr>
              <w:t>向</w:t>
            </w:r>
            <w:r>
              <w:rPr>
                <w:rFonts w:ascii="宋体" w:hAnsi="宋体" w:cs="宋体" w:eastAsia="宋体" w:hint="default"/>
                <w:spacing w:val="-5"/>
                <w:w w:val="101"/>
                <w:sz w:val="18"/>
                <w:szCs w:val="18"/>
              </w:rPr>
              <w:t>全</w:t>
            </w:r>
            <w:r>
              <w:rPr>
                <w:rFonts w:ascii="宋体" w:hAnsi="宋体" w:cs="宋体" w:eastAsia="宋体" w:hint="default"/>
                <w:w w:val="101"/>
                <w:sz w:val="18"/>
                <w:szCs w:val="18"/>
              </w:rPr>
              <w:t>体</w:t>
            </w:r>
            <w:r>
              <w:rPr>
                <w:rFonts w:ascii="宋体" w:hAnsi="宋体" w:cs="宋体" w:eastAsia="宋体" w:hint="default"/>
                <w:spacing w:val="-5"/>
                <w:w w:val="101"/>
                <w:sz w:val="18"/>
                <w:szCs w:val="18"/>
              </w:rPr>
              <w:t>股</w:t>
            </w:r>
            <w:r>
              <w:rPr>
                <w:rFonts w:ascii="宋体" w:hAnsi="宋体" w:cs="宋体" w:eastAsia="宋体" w:hint="default"/>
                <w:w w:val="101"/>
                <w:sz w:val="18"/>
                <w:szCs w:val="18"/>
              </w:rPr>
              <w:t>东按每</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股</w:t>
            </w:r>
            <w:r>
              <w:rPr>
                <w:rFonts w:ascii="宋体" w:hAnsi="宋体" w:cs="宋体" w:eastAsia="宋体" w:hint="default"/>
                <w:spacing w:val="-5"/>
                <w:w w:val="101"/>
                <w:sz w:val="18"/>
                <w:szCs w:val="18"/>
              </w:rPr>
              <w:t>分</w:t>
            </w:r>
            <w:r>
              <w:rPr>
                <w:rFonts w:ascii="宋体" w:hAnsi="宋体" w:cs="宋体" w:eastAsia="宋体" w:hint="default"/>
                <w:w w:val="101"/>
                <w:sz w:val="18"/>
                <w:szCs w:val="18"/>
              </w:rPr>
              <w:t>配</w:t>
            </w:r>
            <w:r>
              <w:rPr>
                <w:rFonts w:ascii="宋体" w:hAnsi="宋体" w:cs="宋体" w:eastAsia="宋体" w:hint="default"/>
                <w:spacing w:val="-5"/>
                <w:w w:val="101"/>
                <w:sz w:val="18"/>
                <w:szCs w:val="18"/>
              </w:rPr>
              <w:t>现</w:t>
            </w:r>
            <w:r>
              <w:rPr>
                <w:rFonts w:ascii="宋体" w:hAnsi="宋体" w:cs="宋体" w:eastAsia="宋体" w:hint="default"/>
                <w:w w:val="101"/>
                <w:sz w:val="18"/>
                <w:szCs w:val="18"/>
              </w:rPr>
              <w:t>金股利</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0</w:t>
            </w:r>
            <w:r>
              <w:rPr>
                <w:rFonts w:ascii="Times New Roman" w:hAnsi="Times New Roman" w:cs="Times New Roman" w:eastAsia="Times New Roman" w:hint="default"/>
                <w:spacing w:val="-3"/>
                <w:w w:val="101"/>
                <w:sz w:val="18"/>
                <w:szCs w:val="18"/>
              </w:rPr>
              <w:t>.</w:t>
            </w:r>
            <w:r>
              <w:rPr>
                <w:rFonts w:ascii="Times New Roman" w:hAnsi="Times New Roman" w:cs="Times New Roman" w:eastAsia="Times New Roman" w:hint="default"/>
                <w:w w:val="101"/>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元</w:t>
            </w:r>
            <w:r>
              <w:rPr>
                <w:rFonts w:ascii="宋体" w:hAnsi="宋体" w:cs="宋体" w:eastAsia="宋体" w:hint="default"/>
                <w:spacing w:val="-5"/>
                <w:w w:val="101"/>
                <w:sz w:val="18"/>
                <w:szCs w:val="18"/>
              </w:rPr>
              <w:t>（</w:t>
            </w:r>
            <w:r>
              <w:rPr>
                <w:rFonts w:ascii="宋体" w:hAnsi="宋体" w:cs="宋体" w:eastAsia="宋体" w:hint="default"/>
                <w:w w:val="101"/>
                <w:sz w:val="18"/>
                <w:szCs w:val="18"/>
              </w:rPr>
              <w:t>含</w:t>
            </w:r>
            <w:r>
              <w:rPr>
                <w:rFonts w:ascii="宋体" w:hAnsi="宋体" w:cs="宋体" w:eastAsia="宋体" w:hint="default"/>
                <w:spacing w:val="-5"/>
                <w:w w:val="101"/>
                <w:sz w:val="18"/>
                <w:szCs w:val="18"/>
              </w:rPr>
              <w:t>税</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共</w:t>
            </w:r>
            <w:r>
              <w:rPr>
                <w:rFonts w:ascii="宋体" w:hAnsi="宋体" w:cs="宋体" w:eastAsia="宋体" w:hint="default"/>
                <w:spacing w:val="-5"/>
                <w:w w:val="101"/>
                <w:sz w:val="18"/>
                <w:szCs w:val="18"/>
              </w:rPr>
              <w:t>派</w:t>
            </w:r>
            <w:r>
              <w:rPr>
                <w:rFonts w:ascii="宋体" w:hAnsi="宋体" w:cs="宋体" w:eastAsia="宋体" w:hint="default"/>
                <w:w w:val="101"/>
                <w:sz w:val="18"/>
                <w:szCs w:val="18"/>
              </w:rPr>
              <w:t>发现</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13,327,611.17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w:t>
            </w:r>
            <w:r>
              <w:rPr>
                <w:rFonts w:ascii="宋体" w:hAnsi="宋体" w:cs="宋体" w:eastAsia="宋体" w:hint="default"/>
                <w:sz w:val="18"/>
                <w:szCs w:val="18"/>
              </w:rPr>
            </w:r>
          </w:p>
        </w:tc>
      </w:tr>
    </w:tbl>
    <w:p>
      <w:pPr>
        <w:pStyle w:val="BodyText"/>
        <w:spacing w:line="240" w:lineRule="auto" w:before="54"/>
        <w:ind w:right="0"/>
        <w:jc w:val="left"/>
      </w:pPr>
      <w:r>
        <w:rPr>
          <w:w w:val="101"/>
        </w:rPr>
        <w:t>公司近</w:t>
      </w:r>
      <w:r>
        <w:rPr>
          <w:spacing w:val="-47"/>
        </w:rPr>
        <w:t> </w:t>
      </w:r>
      <w:r>
        <w:rPr>
          <w:rFonts w:ascii="Times New Roman" w:hAnsi="Times New Roman" w:cs="Times New Roman" w:eastAsia="Times New Roman" w:hint="default"/>
          <w:w w:val="101"/>
        </w:rPr>
        <w:t>3</w:t>
      </w:r>
      <w:r>
        <w:rPr>
          <w:rFonts w:ascii="Times New Roman" w:hAnsi="Times New Roman" w:cs="Times New Roman" w:eastAsia="Times New Roman" w:hint="default"/>
          <w:spacing w:val="-7"/>
        </w:rPr>
        <w:t> </w:t>
      </w:r>
      <w:r>
        <w:rPr>
          <w:w w:val="101"/>
        </w:rPr>
        <w:t>年</w:t>
      </w:r>
      <w:r>
        <w:rPr>
          <w:spacing w:val="-5"/>
          <w:w w:val="101"/>
        </w:rPr>
        <w:t>（</w:t>
      </w:r>
      <w:r>
        <w:rPr>
          <w:w w:val="101"/>
        </w:rPr>
        <w:t>包</w:t>
      </w:r>
      <w:r>
        <w:rPr>
          <w:spacing w:val="-5"/>
          <w:w w:val="101"/>
        </w:rPr>
        <w:t>括</w:t>
      </w:r>
      <w:r>
        <w:rPr>
          <w:w w:val="101"/>
        </w:rPr>
        <w:t>本</w:t>
      </w:r>
      <w:r>
        <w:rPr>
          <w:spacing w:val="-5"/>
          <w:w w:val="101"/>
        </w:rPr>
        <w:t>报</w:t>
      </w:r>
      <w:r>
        <w:rPr>
          <w:w w:val="101"/>
        </w:rPr>
        <w:t>告</w:t>
      </w:r>
      <w:r>
        <w:rPr>
          <w:spacing w:val="-5"/>
          <w:w w:val="101"/>
        </w:rPr>
        <w:t>期</w:t>
      </w:r>
      <w:r>
        <w:rPr>
          <w:w w:val="101"/>
        </w:rPr>
        <w:t>）</w:t>
      </w:r>
      <w:r>
        <w:rPr>
          <w:spacing w:val="-5"/>
          <w:w w:val="101"/>
        </w:rPr>
        <w:t>的</w:t>
      </w:r>
      <w:r>
        <w:rPr>
          <w:w w:val="101"/>
        </w:rPr>
        <w:t>普</w:t>
      </w:r>
      <w:r>
        <w:rPr>
          <w:spacing w:val="-5"/>
          <w:w w:val="101"/>
        </w:rPr>
        <w:t>通</w:t>
      </w:r>
      <w:r>
        <w:rPr>
          <w:w w:val="101"/>
        </w:rPr>
        <w:t>股</w:t>
      </w:r>
      <w:r>
        <w:rPr>
          <w:spacing w:val="-5"/>
          <w:w w:val="101"/>
        </w:rPr>
        <w:t>股</w:t>
      </w:r>
      <w:r>
        <w:rPr>
          <w:w w:val="101"/>
        </w:rPr>
        <w:t>利</w:t>
      </w:r>
      <w:r>
        <w:rPr>
          <w:spacing w:val="-5"/>
          <w:w w:val="101"/>
        </w:rPr>
        <w:t>分</w:t>
      </w:r>
      <w:r>
        <w:rPr>
          <w:w w:val="101"/>
        </w:rPr>
        <w:t>配</w:t>
      </w:r>
      <w:r>
        <w:rPr>
          <w:spacing w:val="-5"/>
          <w:w w:val="101"/>
        </w:rPr>
        <w:t>方</w:t>
      </w:r>
      <w:r>
        <w:rPr>
          <w:w w:val="101"/>
        </w:rPr>
        <w:t>案</w:t>
      </w:r>
      <w:r>
        <w:rPr>
          <w:spacing w:val="-5"/>
          <w:w w:val="101"/>
        </w:rPr>
        <w:t>（</w:t>
      </w:r>
      <w:r>
        <w:rPr>
          <w:w w:val="101"/>
        </w:rPr>
        <w:t>预案</w:t>
      </w:r>
      <w:r>
        <w:rPr>
          <w:spacing w:val="-96"/>
          <w:w w:val="101"/>
        </w:rPr>
        <w:t>）</w:t>
      </w:r>
      <w:r>
        <w:rPr>
          <w:w w:val="101"/>
        </w:rPr>
        <w:t>、</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spacing w:val="1"/>
          <w:w w:val="101"/>
        </w:rPr>
        <w:t>股</w:t>
      </w:r>
      <w:r>
        <w:rPr>
          <w:spacing w:val="-5"/>
          <w:w w:val="101"/>
        </w:rPr>
        <w:t>本</w:t>
      </w:r>
      <w:r>
        <w:rPr>
          <w:w w:val="101"/>
        </w:rPr>
        <w:t>方</w:t>
      </w:r>
      <w:r>
        <w:rPr>
          <w:spacing w:val="-5"/>
          <w:w w:val="101"/>
        </w:rPr>
        <w:t>案</w:t>
      </w:r>
      <w:r>
        <w:rPr>
          <w:w w:val="101"/>
        </w:rPr>
        <w:t>（</w:t>
      </w:r>
      <w:r>
        <w:rPr>
          <w:spacing w:val="-5"/>
          <w:w w:val="101"/>
        </w:rPr>
        <w:t>预</w:t>
      </w:r>
      <w:r>
        <w:rPr>
          <w:w w:val="101"/>
        </w:rPr>
        <w:t>案</w:t>
      </w:r>
      <w:r>
        <w:rPr>
          <w:spacing w:val="-5"/>
          <w:w w:val="101"/>
        </w:rPr>
        <w:t>）</w:t>
      </w:r>
      <w:r>
        <w:rPr>
          <w:w w:val="101"/>
        </w:rPr>
        <w:t>情况</w:t>
      </w:r>
      <w:r>
        <w:rPr/>
      </w:r>
    </w:p>
    <w:p>
      <w:pPr>
        <w:pStyle w:val="BodyText"/>
        <w:spacing w:line="302" w:lineRule="auto" w:before="101"/>
        <w:ind w:right="1037" w:firstLine="427"/>
        <w:jc w:val="left"/>
      </w:pPr>
      <w:r>
        <w:rPr>
          <w:rFonts w:ascii="Times New Roman" w:hAnsi="Times New Roman" w:cs="Times New Roman" w:eastAsia="Times New Roman" w:hint="default"/>
          <w:spacing w:val="-4"/>
        </w:rPr>
        <w:t>1</w:t>
      </w:r>
      <w:r>
        <w:rPr>
          <w:spacing w:val="-4"/>
        </w:rPr>
        <w:t>、根据公司召开的第四届董事会第三十七次会议决议，及公司</w:t>
      </w:r>
      <w:r>
        <w:rPr>
          <w:rFonts w:ascii="Times New Roman" w:hAnsi="Times New Roman" w:cs="Times New Roman" w:eastAsia="Times New Roman" w:hint="default"/>
          <w:spacing w:val="-4"/>
        </w:rPr>
        <w:t>2017</w:t>
      </w:r>
      <w:r>
        <w:rPr>
          <w:spacing w:val="-4"/>
        </w:rPr>
        <w:t>年度股东大会，审议通过的</w:t>
      </w:r>
      <w:r>
        <w:rPr>
          <w:rFonts w:ascii="Times New Roman" w:hAnsi="Times New Roman" w:cs="Times New Roman" w:eastAsia="Times New Roman" w:hint="default"/>
          <w:spacing w:val="-4"/>
        </w:rPr>
        <w:t>2017</w:t>
      </w:r>
      <w:r>
        <w:rPr>
          <w:spacing w:val="-4"/>
        </w:rPr>
        <w:t>年度利润分配方案</w:t>
      </w:r>
      <w:r>
        <w:rPr>
          <w:w w:val="101"/>
        </w:rPr>
        <w:t> </w:t>
      </w:r>
      <w:r>
        <w:rPr/>
        <w:t>如下：以 </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日的总股本</w:t>
      </w:r>
      <w:r>
        <w:rPr>
          <w:rFonts w:ascii="Times New Roman" w:hAnsi="Times New Roman" w:cs="Times New Roman" w:eastAsia="Times New Roman" w:hint="default"/>
          <w:spacing w:val="-3"/>
        </w:rPr>
        <w:t>323,441,468</w:t>
      </w:r>
      <w:r>
        <w:rPr>
          <w:spacing w:val="-3"/>
        </w:rPr>
        <w:t>股为基数，向全体股东按每</w:t>
      </w:r>
      <w:r>
        <w:rPr>
          <w:rFonts w:ascii="Times New Roman" w:hAnsi="Times New Roman" w:cs="Times New Roman" w:eastAsia="Times New Roman" w:hint="default"/>
          <w:spacing w:val="-3"/>
        </w:rPr>
        <w:t>10</w:t>
      </w:r>
      <w:r>
        <w:rPr>
          <w:spacing w:val="-3"/>
        </w:rPr>
        <w:t>股分配现金股利</w:t>
      </w:r>
      <w:r>
        <w:rPr>
          <w:rFonts w:ascii="Times New Roman" w:hAnsi="Times New Roman" w:cs="Times New Roman" w:eastAsia="Times New Roman" w:hint="default"/>
          <w:spacing w:val="-3"/>
        </w:rPr>
        <w:t>1.00</w:t>
      </w:r>
      <w:r>
        <w:rPr>
          <w:spacing w:val="-3"/>
        </w:rPr>
        <w:t>元（含税），共派发现金</w:t>
      </w:r>
      <w:r>
        <w:rPr>
          <w:spacing w:val="-15"/>
        </w:rPr>
        <w:t> </w:t>
      </w:r>
      <w:r>
        <w:rPr>
          <w:spacing w:val="-15"/>
        </w:rPr>
      </w:r>
      <w:r>
        <w:rPr>
          <w:spacing w:val="-3"/>
        </w:rPr>
        <w:t>股利</w:t>
      </w:r>
      <w:r>
        <w:rPr>
          <w:rFonts w:ascii="Times New Roman" w:hAnsi="Times New Roman" w:cs="Times New Roman" w:eastAsia="Times New Roman" w:hint="default"/>
          <w:spacing w:val="-3"/>
        </w:rPr>
        <w:t>32,344,146.80</w:t>
      </w:r>
      <w:r>
        <w:rPr>
          <w:spacing w:val="-3"/>
        </w:rPr>
        <w:t>元；同时进行资本公积金转增股本，向全体股东每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8</w:t>
      </w:r>
      <w:r>
        <w:rPr>
          <w:spacing w:val="-3"/>
        </w:rPr>
        <w:t>股。</w:t>
      </w:r>
      <w:r>
        <w:rPr/>
      </w:r>
    </w:p>
    <w:p>
      <w:pPr>
        <w:pStyle w:val="BodyText"/>
        <w:spacing w:line="302" w:lineRule="auto" w:before="44"/>
        <w:ind w:right="1122" w:firstLine="427"/>
        <w:jc w:val="both"/>
      </w:pPr>
      <w:r>
        <w:rPr>
          <w:rFonts w:ascii="Times New Roman" w:hAnsi="Times New Roman" w:cs="Times New Roman" w:eastAsia="Times New Roman" w:hint="default"/>
          <w:spacing w:val="-4"/>
        </w:rPr>
        <w:t>2</w:t>
      </w:r>
      <w:r>
        <w:rPr>
          <w:spacing w:val="-4"/>
        </w:rPr>
        <w:t>、根据公司召开的第五届董事会第六次会议决议，及公司</w:t>
      </w:r>
      <w:r>
        <w:rPr>
          <w:rFonts w:ascii="Times New Roman" w:hAnsi="Times New Roman" w:cs="Times New Roman" w:eastAsia="Times New Roman" w:hint="default"/>
          <w:spacing w:val="-4"/>
        </w:rPr>
        <w:t>2018</w:t>
      </w:r>
      <w:r>
        <w:rPr>
          <w:spacing w:val="-4"/>
        </w:rPr>
        <w:t>年度股东大会，审议通过的公司</w:t>
      </w:r>
      <w:r>
        <w:rPr>
          <w:rFonts w:ascii="Times New Roman" w:hAnsi="Times New Roman" w:cs="Times New Roman" w:eastAsia="Times New Roman" w:hint="default"/>
          <w:spacing w:val="-4"/>
        </w:rPr>
        <w:t>2018</w:t>
      </w:r>
      <w:r>
        <w:rPr>
          <w:spacing w:val="-4"/>
        </w:rPr>
        <w:t>年度利润分配预案</w:t>
      </w:r>
      <w:r>
        <w:rPr>
          <w:w w:val="101"/>
        </w:rPr>
        <w:t> </w:t>
      </w:r>
      <w:r>
        <w:rPr>
          <w:spacing w:val="-3"/>
        </w:rPr>
        <w:t>如下：以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日的总股本</w:t>
      </w:r>
      <w:r>
        <w:rPr>
          <w:rFonts w:ascii="Times New Roman" w:hAnsi="Times New Roman" w:cs="Times New Roman" w:eastAsia="Times New Roman" w:hint="default"/>
          <w:spacing w:val="-3"/>
        </w:rPr>
        <w:t>582,194,642</w:t>
      </w:r>
      <w:r>
        <w:rPr>
          <w:spacing w:val="-3"/>
        </w:rPr>
        <w:t>股为基数，向全体股东按每</w:t>
      </w:r>
      <w:r>
        <w:rPr>
          <w:rFonts w:ascii="Times New Roman" w:hAnsi="Times New Roman" w:cs="Times New Roman" w:eastAsia="Times New Roman" w:hint="default"/>
          <w:spacing w:val="-3"/>
        </w:rPr>
        <w:t>10</w:t>
      </w:r>
      <w:r>
        <w:rPr>
          <w:spacing w:val="-3"/>
        </w:rPr>
        <w:t>股分配现金股利</w:t>
      </w:r>
      <w:r>
        <w:rPr>
          <w:rFonts w:ascii="Times New Roman" w:hAnsi="Times New Roman" w:cs="Times New Roman" w:eastAsia="Times New Roman" w:hint="default"/>
          <w:spacing w:val="-3"/>
        </w:rPr>
        <w:t>0.20</w:t>
      </w:r>
      <w:r>
        <w:rPr>
          <w:spacing w:val="-3"/>
        </w:rPr>
        <w:t>元（含税），共派发现金股</w:t>
      </w:r>
      <w:r>
        <w:rPr>
          <w:spacing w:val="64"/>
        </w:rPr>
        <w:t> </w:t>
      </w:r>
      <w:r>
        <w:rPr>
          <w:spacing w:val="64"/>
        </w:rPr>
      </w:r>
      <w:r>
        <w:rPr/>
        <w:t>利</w:t>
      </w:r>
      <w:r>
        <w:rPr>
          <w:rFonts w:ascii="Times New Roman" w:hAnsi="Times New Roman" w:cs="Times New Roman" w:eastAsia="Times New Roman" w:hint="default"/>
        </w:rPr>
        <w:t>11,643,892.84</w:t>
      </w:r>
      <w:r>
        <w:rPr/>
        <w:t>元。</w:t>
      </w:r>
    </w:p>
    <w:p>
      <w:pPr>
        <w:pStyle w:val="BodyText"/>
        <w:spacing w:line="302" w:lineRule="auto" w:before="44"/>
        <w:ind w:right="1037" w:firstLine="427"/>
        <w:jc w:val="left"/>
      </w:pPr>
      <w:r>
        <w:rPr>
          <w:rFonts w:ascii="Times New Roman" w:hAnsi="Times New Roman" w:cs="Times New Roman" w:eastAsia="Times New Roman" w:hint="default"/>
          <w:spacing w:val="-4"/>
        </w:rPr>
        <w:t>3</w:t>
      </w:r>
      <w:r>
        <w:rPr>
          <w:spacing w:val="-4"/>
        </w:rPr>
        <w:t>、根据公司召开第五届董事会第十一次会议决议，及公司</w:t>
      </w:r>
      <w:r>
        <w:rPr>
          <w:rFonts w:ascii="Times New Roman" w:hAnsi="Times New Roman" w:cs="Times New Roman" w:eastAsia="Times New Roman" w:hint="default"/>
          <w:spacing w:val="-4"/>
        </w:rPr>
        <w:t>2019</w:t>
      </w:r>
      <w:r>
        <w:rPr>
          <w:spacing w:val="-4"/>
        </w:rPr>
        <w:t>年第十次临时股东大会，审议通过的公司</w:t>
      </w:r>
      <w:r>
        <w:rPr>
          <w:rFonts w:ascii="Times New Roman" w:hAnsi="Times New Roman" w:cs="Times New Roman" w:eastAsia="Times New Roman" w:hint="default"/>
          <w:spacing w:val="-4"/>
        </w:rPr>
        <w:t>2019</w:t>
      </w:r>
      <w:r>
        <w:rPr>
          <w:spacing w:val="-4"/>
        </w:rPr>
        <w:t>年半年度</w:t>
      </w:r>
      <w:r>
        <w:rPr>
          <w:w w:val="101"/>
        </w:rPr>
        <w:t> </w:t>
      </w:r>
      <w:r>
        <w:rPr>
          <w:spacing w:val="-2"/>
        </w:rPr>
        <w:t>权益分配方案如下：以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30</w:t>
      </w:r>
      <w:r>
        <w:rPr>
          <w:spacing w:val="-2"/>
        </w:rPr>
        <w:t>日的总股本</w:t>
      </w:r>
      <w:r>
        <w:rPr>
          <w:rFonts w:ascii="Times New Roman" w:hAnsi="Times New Roman" w:cs="Times New Roman" w:eastAsia="Times New Roman" w:hint="default"/>
          <w:spacing w:val="-2"/>
        </w:rPr>
        <w:t>582,194,642</w:t>
      </w:r>
      <w:r>
        <w:rPr>
          <w:spacing w:val="-2"/>
        </w:rPr>
        <w:t>股为基数，向全体股东进行资本公积金转增股本，每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40"/>
        </w:rPr>
        <w:t> </w:t>
      </w:r>
      <w:r>
        <w:rPr/>
        <w:t>股。</w:t>
      </w:r>
    </w:p>
    <w:p>
      <w:pPr>
        <w:pStyle w:val="BodyText"/>
        <w:spacing w:line="302" w:lineRule="auto" w:before="68"/>
        <w:ind w:right="1023" w:firstLine="427"/>
        <w:jc w:val="left"/>
      </w:pPr>
      <w:r>
        <w:rPr>
          <w:rFonts w:ascii="Times New Roman" w:hAnsi="Times New Roman" w:cs="Times New Roman" w:eastAsia="Times New Roman" w:hint="default"/>
          <w:spacing w:val="-5"/>
          <w:w w:val="101"/>
        </w:rPr>
        <w:t>4</w:t>
      </w:r>
      <w:r>
        <w:rPr>
          <w:spacing w:val="-5"/>
          <w:w w:val="101"/>
        </w:rPr>
        <w:t>、根据公司召开的第五届董事会第二十六次会议决议，经全体董事审议并全票通过的公司</w:t>
      </w:r>
      <w:r>
        <w:rPr>
          <w:rFonts w:ascii="Times New Roman" w:hAnsi="Times New Roman" w:cs="Times New Roman" w:eastAsia="Times New Roman" w:hint="default"/>
          <w:spacing w:val="-5"/>
          <w:w w:val="101"/>
        </w:rPr>
        <w:t>2019</w:t>
      </w:r>
      <w:r>
        <w:rPr>
          <w:spacing w:val="-5"/>
          <w:w w:val="101"/>
        </w:rPr>
        <w:t>年度利润分配预案如下：</w:t>
      </w:r>
      <w:r>
        <w:rPr>
          <w:w w:val="101"/>
        </w:rPr>
        <w:t> </w:t>
      </w:r>
      <w:r>
        <w:rPr>
          <w:spacing w:val="-3"/>
        </w:rPr>
        <w:t>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日的总股本</w:t>
      </w:r>
      <w:r>
        <w:rPr>
          <w:rFonts w:ascii="Times New Roman" w:hAnsi="Times New Roman" w:cs="Times New Roman" w:eastAsia="Times New Roman" w:hint="default"/>
          <w:spacing w:val="-3"/>
        </w:rPr>
        <w:t>832,975,698</w:t>
      </w:r>
      <w:r>
        <w:rPr>
          <w:spacing w:val="-3"/>
        </w:rPr>
        <w:t>股为基数，向全体股东按每</w:t>
      </w:r>
      <w:r>
        <w:rPr>
          <w:rFonts w:ascii="Times New Roman" w:hAnsi="Times New Roman" w:cs="Times New Roman" w:eastAsia="Times New Roman" w:hint="default"/>
          <w:spacing w:val="-3"/>
        </w:rPr>
        <w:t>10</w:t>
      </w:r>
      <w:r>
        <w:rPr>
          <w:spacing w:val="-3"/>
        </w:rPr>
        <w:t>股分配现金股利</w:t>
      </w:r>
      <w:r>
        <w:rPr>
          <w:rFonts w:ascii="Times New Roman" w:hAnsi="Times New Roman" w:cs="Times New Roman" w:eastAsia="Times New Roman" w:hint="default"/>
          <w:spacing w:val="-3"/>
        </w:rPr>
        <w:t>0.16</w:t>
      </w:r>
      <w:r>
        <w:rPr>
          <w:spacing w:val="-3"/>
        </w:rPr>
        <w:t>元（含税），共派发现金股利</w:t>
      </w:r>
      <w:r>
        <w:rPr>
          <w:spacing w:val="12"/>
        </w:rPr>
        <w:t> </w:t>
      </w:r>
      <w:r>
        <w:rPr>
          <w:spacing w:val="12"/>
        </w:rPr>
      </w:r>
      <w:r>
        <w:rPr>
          <w:rFonts w:ascii="Times New Roman" w:hAnsi="Times New Roman" w:cs="Times New Roman" w:eastAsia="Times New Roman" w:hint="default"/>
        </w:rPr>
        <w:t>13,327,611.17</w:t>
      </w:r>
      <w:r>
        <w:rPr/>
        <w:t>元。</w:t>
      </w:r>
    </w:p>
    <w:p>
      <w:pPr>
        <w:pStyle w:val="BodyText"/>
        <w:spacing w:line="240" w:lineRule="auto" w:before="49"/>
        <w:ind w:left="2904" w:right="0"/>
        <w:jc w:val="left"/>
      </w:pPr>
      <w:r>
        <w:rPr>
          <w:spacing w:val="-3"/>
        </w:rPr>
        <w:t>公司近三年（包括本报告期）普通股现金分红情况表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201"/>
        <w:gridCol w:w="1196"/>
        <w:gridCol w:w="1196"/>
        <w:gridCol w:w="1184"/>
        <w:gridCol w:w="1220"/>
        <w:gridCol w:w="1174"/>
      </w:tblGrid>
      <w:tr>
        <w:trPr>
          <w:trHeight w:val="158"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vMerge w:val="restart"/>
            <w:tcBorders>
              <w:top w:val="single" w:sz="4" w:space="0" w:color="000000"/>
              <w:left w:val="single" w:sz="4" w:space="0" w:color="000000"/>
              <w:right w:val="single" w:sz="4" w:space="0" w:color="000000"/>
            </w:tcBorders>
            <w:shd w:val="clear" w:color="auto" w:fill="D2D2D2"/>
          </w:tcPr>
          <w:p>
            <w:pPr/>
          </w:p>
        </w:tc>
        <w:tc>
          <w:tcPr>
            <w:tcW w:w="11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2"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1"/>
              <w:ind w:left="40" w:right="36"/>
              <w:jc w:val="center"/>
              <w:rPr>
                <w:rFonts w:ascii="宋体" w:hAnsi="宋体" w:cs="宋体" w:eastAsia="宋体" w:hint="default"/>
                <w:sz w:val="18"/>
                <w:szCs w:val="18"/>
              </w:rPr>
            </w:pPr>
            <w:r>
              <w:rPr>
                <w:rFonts w:ascii="宋体" w:hAnsi="宋体" w:cs="宋体" w:eastAsia="宋体" w:hint="default"/>
                <w:sz w:val="18"/>
                <w:szCs w:val="18"/>
              </w:rPr>
              <w:t>（含其他方</w:t>
            </w:r>
            <w:r>
              <w:rPr>
                <w:rFonts w:ascii="宋体" w:hAnsi="宋体" w:cs="宋体" w:eastAsia="宋体" w:hint="default"/>
                <w:w w:val="101"/>
                <w:sz w:val="18"/>
                <w:szCs w:val="18"/>
              </w:rPr>
              <w:t> </w:t>
            </w:r>
            <w:r>
              <w:rPr>
                <w:rFonts w:ascii="宋体" w:hAnsi="宋体" w:cs="宋体" w:eastAsia="宋体" w:hint="default"/>
                <w:spacing w:val="-2"/>
                <w:sz w:val="18"/>
                <w:szCs w:val="18"/>
              </w:rPr>
              <w:t>式）占合并报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
                <w:sz w:val="18"/>
                <w:szCs w:val="18"/>
              </w:rPr>
              <w:t>表中归属于上</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市公司普通股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股东的净利润</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的比率</w:t>
            </w:r>
          </w:p>
        </w:tc>
      </w:tr>
      <w:tr>
        <w:trPr>
          <w:trHeight w:val="159"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52" w:right="46"/>
              <w:jc w:val="center"/>
              <w:rPr>
                <w:rFonts w:ascii="宋体" w:hAnsi="宋体" w:cs="宋体" w:eastAsia="宋体" w:hint="default"/>
                <w:sz w:val="18"/>
                <w:szCs w:val="18"/>
              </w:rPr>
            </w:pPr>
            <w:r>
              <w:rPr>
                <w:rFonts w:ascii="宋体" w:hAnsi="宋体" w:cs="宋体" w:eastAsia="宋体" w:hint="default"/>
                <w:spacing w:val="-2"/>
                <w:sz w:val="18"/>
                <w:szCs w:val="18"/>
              </w:rPr>
              <w:t>现金分红金额</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占合并报表中</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归属于上市公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司普通股股东</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的净利润的比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率</w:t>
            </w:r>
          </w:p>
        </w:tc>
        <w:tc>
          <w:tcPr>
            <w:tcW w:w="1196" w:type="dxa"/>
            <w:vMerge/>
            <w:tcBorders>
              <w:left w:val="single" w:sz="4" w:space="0" w:color="000000"/>
              <w:right w:val="single" w:sz="4" w:space="0" w:color="000000"/>
            </w:tcBorders>
            <w:shd w:val="clear" w:color="auto" w:fill="D2D2D2"/>
          </w:tcPr>
          <w:p>
            <w:pPr/>
          </w:p>
        </w:tc>
        <w:tc>
          <w:tcPr>
            <w:tcW w:w="118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4"/>
              <w:ind w:left="52" w:right="34"/>
              <w:jc w:val="both"/>
              <w:rPr>
                <w:rFonts w:ascii="宋体" w:hAnsi="宋体" w:cs="宋体" w:eastAsia="宋体" w:hint="default"/>
                <w:sz w:val="18"/>
                <w:szCs w:val="18"/>
              </w:rPr>
            </w:pPr>
            <w:r>
              <w:rPr>
                <w:rFonts w:ascii="宋体" w:hAnsi="宋体" w:cs="宋体" w:eastAsia="宋体" w:hint="default"/>
                <w:spacing w:val="-2"/>
                <w:sz w:val="18"/>
                <w:szCs w:val="18"/>
              </w:rPr>
              <w:t>以其他方式现</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金分红金额占</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合并报表中归</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属于上市公司</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普通股股东的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净利润的比例</w:t>
            </w: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52" w:right="51"/>
              <w:jc w:val="center"/>
              <w:rPr>
                <w:rFonts w:ascii="宋体" w:hAnsi="宋体" w:cs="宋体" w:eastAsia="宋体" w:hint="default"/>
                <w:sz w:val="18"/>
                <w:szCs w:val="18"/>
              </w:rPr>
            </w:pPr>
            <w:r>
              <w:rPr>
                <w:rFonts w:ascii="宋体" w:hAnsi="宋体" w:cs="宋体" w:eastAsia="宋体" w:hint="default"/>
                <w:spacing w:val="-2"/>
                <w:sz w:val="18"/>
                <w:szCs w:val="18"/>
              </w:rPr>
              <w:t>分红年度合并</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报表中归属于</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上市公司普通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股股东的净利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润</w:t>
            </w: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46"/>
              <w:jc w:val="center"/>
              <w:rPr>
                <w:rFonts w:ascii="宋体" w:hAnsi="宋体" w:cs="宋体" w:eastAsia="宋体" w:hint="default"/>
                <w:sz w:val="18"/>
                <w:szCs w:val="18"/>
              </w:rPr>
            </w:pPr>
            <w:r>
              <w:rPr>
                <w:rFonts w:ascii="宋体" w:hAnsi="宋体" w:cs="宋体" w:eastAsia="宋体" w:hint="default"/>
                <w:sz w:val="18"/>
                <w:szCs w:val="18"/>
              </w:rPr>
              <w:t>（如回购股</w:t>
            </w:r>
            <w:r>
              <w:rPr>
                <w:rFonts w:ascii="宋体" w:hAnsi="宋体" w:cs="宋体" w:eastAsia="宋体" w:hint="default"/>
                <w:w w:val="101"/>
                <w:sz w:val="18"/>
                <w:szCs w:val="18"/>
              </w:rPr>
              <w:t> </w:t>
            </w:r>
            <w:r>
              <w:rPr>
                <w:rFonts w:ascii="宋体" w:hAnsi="宋体" w:cs="宋体" w:eastAsia="宋体" w:hint="default"/>
                <w:spacing w:val="-2"/>
                <w:sz w:val="18"/>
                <w:szCs w:val="18"/>
              </w:rPr>
              <w:t>份）现金分红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的金额</w:t>
            </w: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71"/>
              <w:ind w:left="424" w:right="149" w:hanging="269"/>
              <w:jc w:val="left"/>
              <w:rPr>
                <w:rFonts w:ascii="宋体" w:hAnsi="宋体" w:cs="宋体" w:eastAsia="宋体" w:hint="default"/>
                <w:sz w:val="18"/>
                <w:szCs w:val="18"/>
              </w:rPr>
            </w:pPr>
            <w:r>
              <w:rPr>
                <w:rFonts w:ascii="宋体" w:hAnsi="宋体" w:cs="宋体" w:eastAsia="宋体" w:hint="default"/>
                <w:spacing w:val="-2"/>
                <w:sz w:val="18"/>
                <w:szCs w:val="18"/>
              </w:rPr>
              <w:t>（含其他方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式）</w:t>
            </w: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81"/>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389"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bottom w:val="nil" w:sz="6" w:space="0" w:color="auto"/>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val="restart"/>
            <w:tcBorders>
              <w:top w:val="nil" w:sz="6" w:space="0" w:color="auto"/>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4"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bottom w:val="nil" w:sz="6" w:space="0" w:color="auto"/>
              <w:right w:val="single" w:sz="4" w:space="0" w:color="000000"/>
            </w:tcBorders>
            <w:shd w:val="clear" w:color="auto" w:fill="D2D2D2"/>
          </w:tcPr>
          <w:p>
            <w:pPr/>
          </w:p>
        </w:tc>
        <w:tc>
          <w:tcPr>
            <w:tcW w:w="1220" w:type="dxa"/>
            <w:vMerge/>
            <w:tcBorders>
              <w:left w:val="single" w:sz="4" w:space="0" w:color="000000"/>
              <w:right w:val="single" w:sz="4" w:space="0" w:color="000000"/>
            </w:tcBorders>
            <w:shd w:val="clear" w:color="auto" w:fill="D2D2D2"/>
          </w:tcPr>
          <w:p>
            <w:pPr/>
          </w:p>
        </w:tc>
        <w:tc>
          <w:tcPr>
            <w:tcW w:w="1174" w:type="dxa"/>
            <w:vMerge/>
            <w:tcBorders>
              <w:left w:val="single" w:sz="4" w:space="0" w:color="000000"/>
              <w:right w:val="single" w:sz="4" w:space="0" w:color="000000"/>
            </w:tcBorders>
            <w:shd w:val="clear" w:color="auto" w:fill="D2D2D2"/>
          </w:tcPr>
          <w:p>
            <w:pPr/>
          </w:p>
        </w:tc>
      </w:tr>
      <w:tr>
        <w:trPr>
          <w:trHeight w:val="158"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01"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vMerge/>
            <w:tcBorders>
              <w:left w:val="single" w:sz="4" w:space="0" w:color="000000"/>
              <w:bottom w:val="single" w:sz="4" w:space="0" w:color="000000"/>
              <w:right w:val="single" w:sz="4" w:space="0" w:color="000000"/>
            </w:tcBorders>
            <w:shd w:val="clear" w:color="auto" w:fill="D2D2D2"/>
          </w:tcPr>
          <w:p>
            <w:pPr/>
          </w:p>
        </w:tc>
        <w:tc>
          <w:tcPr>
            <w:tcW w:w="117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13,327,611.17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62,644,830.42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21.27%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5"/>
              <w:jc w:val="right"/>
              <w:rPr>
                <w:rFonts w:ascii="Times New Roman" w:hAnsi="Times New Roman" w:cs="Times New Roman" w:eastAsia="Times New Roman" w:hint="default"/>
                <w:sz w:val="18"/>
                <w:szCs w:val="18"/>
              </w:rPr>
            </w:pPr>
            <w:r>
              <w:rPr>
                <w:rFonts w:ascii="Times New Roman"/>
                <w:spacing w:val="-2"/>
                <w:sz w:val="18"/>
              </w:rPr>
              <w:t>13,327,611.17</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4"/>
              <w:jc w:val="right"/>
              <w:rPr>
                <w:rFonts w:ascii="Times New Roman" w:hAnsi="Times New Roman" w:cs="Times New Roman" w:eastAsia="Times New Roman" w:hint="default"/>
                <w:sz w:val="18"/>
                <w:szCs w:val="18"/>
              </w:rPr>
            </w:pPr>
            <w:r>
              <w:rPr>
                <w:rFonts w:ascii="Times New Roman"/>
                <w:spacing w:val="-1"/>
                <w:sz w:val="18"/>
              </w:rPr>
              <w:t>21.27%</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11,643,892.84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51,043,523.98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22.81%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4"/>
              <w:jc w:val="right"/>
              <w:rPr>
                <w:rFonts w:ascii="Times New Roman" w:hAnsi="Times New Roman" w:cs="Times New Roman" w:eastAsia="Times New Roman" w:hint="default"/>
                <w:sz w:val="18"/>
                <w:szCs w:val="18"/>
              </w:rPr>
            </w:pPr>
            <w:r>
              <w:rPr>
                <w:rFonts w:ascii="Times New Roman"/>
                <w:spacing w:val="-2"/>
                <w:sz w:val="18"/>
              </w:rPr>
              <w:t>11,643,892.84</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22.81%</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32,344,146.80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131,255,188.67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24.64%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5"/>
              <w:jc w:val="right"/>
              <w:rPr>
                <w:rFonts w:ascii="Times New Roman" w:hAnsi="Times New Roman" w:cs="Times New Roman" w:eastAsia="Times New Roman" w:hint="default"/>
                <w:sz w:val="18"/>
                <w:szCs w:val="18"/>
              </w:rPr>
            </w:pPr>
            <w:r>
              <w:rPr>
                <w:rFonts w:ascii="Times New Roman"/>
                <w:spacing w:val="-1"/>
                <w:sz w:val="18"/>
              </w:rPr>
              <w:t>32,344,146.80</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4"/>
              <w:jc w:val="right"/>
              <w:rPr>
                <w:rFonts w:ascii="Times New Roman" w:hAnsi="Times New Roman" w:cs="Times New Roman" w:eastAsia="Times New Roman" w:hint="default"/>
                <w:sz w:val="18"/>
                <w:szCs w:val="18"/>
              </w:rPr>
            </w:pPr>
            <w:r>
              <w:rPr>
                <w:rFonts w:ascii="Times New Roman"/>
                <w:spacing w:val="-1"/>
                <w:sz w:val="18"/>
              </w:rPr>
              <w:t>24.64%</w:t>
            </w:r>
          </w:p>
        </w:tc>
      </w:tr>
    </w:tbl>
    <w:p>
      <w:pPr>
        <w:pStyle w:val="BodyText"/>
        <w:spacing w:line="240" w:lineRule="auto" w:before="54"/>
        <w:ind w:right="0"/>
        <w:jc w:val="left"/>
      </w:pPr>
      <w:r>
        <w:rPr>
          <w:spacing w:val="-3"/>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4"/>
      <w:bookmarkEnd w:id="64"/>
      <w:r>
        <w:rPr>
          <w:b w:val="0"/>
          <w:bCs w:val="0"/>
        </w:rPr>
      </w:r>
      <w:r>
        <w:rPr/>
        <w:t>二、承诺事项履行情况</w:t>
      </w:r>
      <w:r>
        <w:rPr>
          <w:b w:val="0"/>
          <w:bCs w:val="0"/>
        </w:rPr>
      </w:r>
    </w:p>
    <w:p>
      <w:pPr>
        <w:spacing w:line="240" w:lineRule="auto" w:before="9"/>
        <w:rPr>
          <w:rFonts w:ascii="宋体" w:hAnsi="宋体" w:cs="宋体" w:eastAsia="宋体" w:hint="default"/>
          <w:b/>
          <w:bCs/>
          <w:sz w:val="25"/>
          <w:szCs w:val="25"/>
        </w:rPr>
      </w:pPr>
    </w:p>
    <w:p>
      <w:pPr>
        <w:pStyle w:val="Heading3"/>
        <w:spacing w:line="254" w:lineRule="auto"/>
        <w:ind w:right="0"/>
        <w:jc w:val="left"/>
        <w:rPr>
          <w:b w:val="0"/>
          <w:bCs w:val="0"/>
        </w:rPr>
      </w:pPr>
      <w:bookmarkStart w:name="1、公司实际控制人、股东、关联方、收购人以及公司等承诺相关方在报告期内履行完毕及" w:id="65"/>
      <w:bookmarkEnd w:id="65"/>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4"/>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8.730011pt;margin-top:589.846008pt;width:55.75pt;height:69.150pt;mso-position-horizontal-relative:page;mso-position-vertical-relative:page;z-index:-1057864" coordorigin="8375,11797" coordsize="1115,1383">
            <v:shape style="position:absolute;left:8375;top:11797;width:1115;height:1383" coordorigin="8375,11797" coordsize="1115,1383" path="m8375,13180l9489,13180,9489,11797,8375,11797,8375,13180xe" filled="true" fillcolor="#ffffff" stroked="false">
              <v:path arrowok="t"/>
              <v:fill type="solid"/>
            </v:shape>
            <w10:wrap type="none"/>
          </v:group>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24"/>
        <w:gridCol w:w="1129"/>
        <w:gridCol w:w="3136"/>
        <w:gridCol w:w="1134"/>
        <w:gridCol w:w="445"/>
        <w:gridCol w:w="1114"/>
      </w:tblGrid>
      <w:tr>
        <w:trPr>
          <w:trHeight w:val="163"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4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7" w:right="31"/>
              <w:jc w:val="left"/>
              <w:rPr>
                <w:rFonts w:ascii="宋体" w:hAnsi="宋体" w:cs="宋体" w:eastAsia="宋体" w:hint="default"/>
                <w:sz w:val="18"/>
                <w:szCs w:val="18"/>
              </w:rPr>
            </w:pPr>
            <w:r>
              <w:rPr>
                <w:rFonts w:ascii="宋体" w:hAnsi="宋体" w:cs="宋体" w:eastAsia="宋体" w:hint="default"/>
                <w:sz w:val="18"/>
                <w:szCs w:val="18"/>
              </w:rPr>
              <w:t>承诺</w:t>
            </w:r>
            <w:r>
              <w:rPr>
                <w:rFonts w:ascii="宋体" w:hAnsi="宋体" w:cs="宋体" w:eastAsia="宋体" w:hint="default"/>
                <w:spacing w:val="-86"/>
                <w:sz w:val="18"/>
                <w:szCs w:val="18"/>
              </w:rPr>
              <w:t> </w:t>
            </w:r>
            <w:r>
              <w:rPr>
                <w:rFonts w:ascii="宋体" w:hAnsi="宋体" w:cs="宋体" w:eastAsia="宋体" w:hint="default"/>
                <w:sz w:val="18"/>
                <w:szCs w:val="18"/>
              </w:rPr>
              <w:t>期限</w:t>
            </w:r>
          </w:p>
        </w:tc>
        <w:tc>
          <w:tcPr>
            <w:tcW w:w="11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56"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1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445" w:type="dxa"/>
            <w:vMerge/>
            <w:tcBorders>
              <w:left w:val="single" w:sz="4" w:space="0" w:color="000000"/>
              <w:right w:val="single" w:sz="4" w:space="0" w:color="000000"/>
            </w:tcBorders>
            <w:shd w:val="clear" w:color="auto" w:fill="D2D2D2"/>
          </w:tcPr>
          <w:p>
            <w:pPr/>
          </w:p>
        </w:tc>
        <w:tc>
          <w:tcPr>
            <w:tcW w:w="11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63" w:hRule="exact"/>
        </w:trPr>
        <w:tc>
          <w:tcPr>
            <w:tcW w:w="1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445" w:type="dxa"/>
            <w:vMerge/>
            <w:tcBorders>
              <w:left w:val="single" w:sz="4" w:space="0" w:color="000000"/>
              <w:bottom w:val="single" w:sz="4" w:space="0" w:color="000000"/>
              <w:right w:val="single" w:sz="4" w:space="0" w:color="000000"/>
            </w:tcBorders>
            <w:shd w:val="clear" w:color="auto" w:fill="D2D2D2"/>
          </w:tcPr>
          <w:p>
            <w:pPr/>
          </w:p>
        </w:tc>
        <w:tc>
          <w:tcPr>
            <w:tcW w:w="11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1"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收购报告书或权益变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动报告书中所作承诺</w:t>
            </w:r>
          </w:p>
        </w:tc>
        <w:tc>
          <w:tcPr>
            <w:tcW w:w="8082"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006" w:hRule="exact"/>
        </w:trPr>
        <w:tc>
          <w:tcPr>
            <w:tcW w:w="1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4"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16" w:right="12"/>
              <w:jc w:val="left"/>
              <w:rPr>
                <w:rFonts w:ascii="宋体" w:hAnsi="宋体" w:cs="宋体" w:eastAsia="宋体" w:hint="default"/>
                <w:sz w:val="18"/>
                <w:szCs w:val="18"/>
              </w:rPr>
            </w:pPr>
            <w:r>
              <w:rPr>
                <w:rFonts w:ascii="宋体" w:hAnsi="宋体" w:cs="宋体" w:eastAsia="宋体" w:hint="default"/>
                <w:sz w:val="18"/>
                <w:szCs w:val="18"/>
              </w:rPr>
              <w:t>公司控股股</w:t>
            </w:r>
            <w:r>
              <w:rPr>
                <w:rFonts w:ascii="宋体" w:hAnsi="宋体" w:cs="宋体" w:eastAsia="宋体" w:hint="default"/>
                <w:w w:val="101"/>
                <w:sz w:val="18"/>
                <w:szCs w:val="18"/>
              </w:rPr>
              <w:t> </w:t>
            </w:r>
            <w:r>
              <w:rPr>
                <w:rFonts w:ascii="宋体" w:hAnsi="宋体" w:cs="宋体" w:eastAsia="宋体" w:hint="default"/>
                <w:spacing w:val="-4"/>
                <w:sz w:val="18"/>
                <w:szCs w:val="18"/>
              </w:rPr>
              <w:t>东、实际控制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人、董事、高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级管理人员</w:t>
            </w:r>
          </w:p>
        </w:tc>
        <w:tc>
          <w:tcPr>
            <w:tcW w:w="11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z w:val="18"/>
                <w:szCs w:val="18"/>
              </w:rPr>
              <w:t>关于重组信</w:t>
            </w:r>
            <w:r>
              <w:rPr>
                <w:rFonts w:ascii="宋体" w:hAnsi="宋体" w:cs="宋体" w:eastAsia="宋体" w:hint="default"/>
                <w:w w:val="101"/>
                <w:sz w:val="18"/>
                <w:szCs w:val="18"/>
              </w:rPr>
              <w:t> </w:t>
            </w:r>
            <w:r>
              <w:rPr>
                <w:rFonts w:ascii="宋体" w:hAnsi="宋体" w:cs="宋体" w:eastAsia="宋体" w:hint="default"/>
                <w:spacing w:val="-4"/>
                <w:sz w:val="18"/>
                <w:szCs w:val="18"/>
              </w:rPr>
              <w:t>息准确性、完</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整性、合法性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的承诺</w:t>
            </w:r>
          </w:p>
        </w:tc>
        <w:tc>
          <w:tcPr>
            <w:tcW w:w="3136" w:type="dxa"/>
            <w:vMerge w:val="restart"/>
            <w:tcBorders>
              <w:top w:val="single" w:sz="4" w:space="0" w:color="000000"/>
              <w:left w:val="single" w:sz="4" w:space="0" w:color="000000"/>
              <w:right w:val="single" w:sz="4" w:space="0" w:color="000000"/>
            </w:tcBorders>
          </w:tcPr>
          <w:p>
            <w:pPr>
              <w:pStyle w:val="TableParagraph"/>
              <w:spacing w:line="316" w:lineRule="auto" w:before="58"/>
              <w:ind w:left="23" w:right="38"/>
              <w:jc w:val="both"/>
              <w:rPr>
                <w:rFonts w:ascii="宋体" w:hAnsi="宋体" w:cs="宋体" w:eastAsia="宋体" w:hint="default"/>
                <w:sz w:val="18"/>
                <w:szCs w:val="18"/>
              </w:rPr>
            </w:pPr>
            <w:r>
              <w:rPr>
                <w:rFonts w:ascii="宋体" w:hAnsi="宋体" w:cs="宋体" w:eastAsia="宋体" w:hint="default"/>
                <w:spacing w:val="-3"/>
                <w:sz w:val="18"/>
                <w:szCs w:val="18"/>
              </w:rPr>
              <w:t>本人保证本次交易的信息披露和申请文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件均为真实、完整、准确的，不存在虚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假记载、误导性陈述或重大遗漏，并对</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披露信息和申请文件的真实性、准确性</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和完整性承担个别和连带的法律责任。</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如本次交易所提供或披露的信息涉嫌虚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假记载、误导性陈述或者重大遗漏，被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司法机关立案侦查或者被中国证监会立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案调查的，在形成调查结论以前，本人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不转让在合纵科技拥有权益的股份，并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于收到立案稽查通知的两个交易日内将</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暂停转让的书面申请和股票账户提交合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纵科技董事会，由合纵科技董事会代本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人向证券交易所和登记结算公司申请锁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定；本人未在两个交易日内提交锁定申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请的，授权合纵科技董事会核实后直接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向证券交易所和登记结算公司报送本人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的身份信息和账户信息并申请锁定；合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纵科技董事会未向证券交易所和登记结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算公司报送本人的身份信息和账户信息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的，本人授权证券交易所和登记结算公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司直接锁定相关股份。如调查结论发现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本人存在违法违规情节，本人承诺锁定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股份自愿用于相关投资者赔偿安排。</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316" w:lineRule="auto"/>
              <w:ind w:left="17" w:right="5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1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6" w:lineRule="auto"/>
              <w:ind w:left="28"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394" w:hRule="exact"/>
        </w:trPr>
        <w:tc>
          <w:tcPr>
            <w:tcW w:w="18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资产重组时所作承诺</w:t>
            </w:r>
          </w:p>
        </w:tc>
        <w:tc>
          <w:tcPr>
            <w:tcW w:w="1124" w:type="dxa"/>
            <w:vMerge/>
            <w:tcBorders>
              <w:left w:val="single" w:sz="10" w:space="0" w:color="D2D2D2"/>
              <w:right w:val="single" w:sz="4" w:space="0" w:color="000000"/>
            </w:tcBorders>
          </w:tcPr>
          <w:p>
            <w:pPr/>
          </w:p>
        </w:tc>
        <w:tc>
          <w:tcPr>
            <w:tcW w:w="1129" w:type="dxa"/>
            <w:vMerge/>
            <w:tcBorders>
              <w:left w:val="single" w:sz="4" w:space="0" w:color="000000"/>
              <w:right w:val="single" w:sz="4" w:space="0" w:color="000000"/>
            </w:tcBorders>
          </w:tcPr>
          <w:p>
            <w:pPr/>
          </w:p>
        </w:tc>
        <w:tc>
          <w:tcPr>
            <w:tcW w:w="3136"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445" w:type="dxa"/>
            <w:vMerge/>
            <w:tcBorders>
              <w:left w:val="single" w:sz="4" w:space="0" w:color="000000"/>
              <w:right w:val="single" w:sz="4" w:space="0" w:color="000000"/>
            </w:tcBorders>
          </w:tcPr>
          <w:p>
            <w:pPr/>
          </w:p>
        </w:tc>
        <w:tc>
          <w:tcPr>
            <w:tcW w:w="1114" w:type="dxa"/>
            <w:vMerge/>
            <w:tcBorders>
              <w:left w:val="single" w:sz="4" w:space="0" w:color="000000"/>
              <w:right w:val="single" w:sz="4" w:space="0" w:color="000000"/>
            </w:tcBorders>
          </w:tcPr>
          <w:p>
            <w:pPr/>
          </w:p>
        </w:tc>
      </w:tr>
      <w:tr>
        <w:trPr>
          <w:trHeight w:val="1181" w:hRule="exact"/>
        </w:trPr>
        <w:tc>
          <w:tcPr>
            <w:tcW w:w="1844" w:type="dxa"/>
            <w:vMerge w:val="restart"/>
            <w:tcBorders>
              <w:top w:val="nil" w:sz="6" w:space="0" w:color="auto"/>
              <w:left w:val="single" w:sz="4" w:space="0" w:color="000000"/>
              <w:right w:val="single" w:sz="4" w:space="0" w:color="000000"/>
            </w:tcBorders>
            <w:shd w:val="clear" w:color="auto" w:fill="D2D2D2"/>
          </w:tcPr>
          <w:p>
            <w:pPr/>
          </w:p>
        </w:tc>
        <w:tc>
          <w:tcPr>
            <w:tcW w:w="1124" w:type="dxa"/>
            <w:vMerge/>
            <w:tcBorders>
              <w:left w:val="single" w:sz="10" w:space="0" w:color="D2D2D2"/>
              <w:bottom w:val="single" w:sz="4" w:space="0" w:color="000000"/>
              <w:right w:val="single" w:sz="4" w:space="0" w:color="000000"/>
            </w:tcBorders>
          </w:tcPr>
          <w:p>
            <w:pPr/>
          </w:p>
        </w:tc>
        <w:tc>
          <w:tcPr>
            <w:tcW w:w="1129" w:type="dxa"/>
            <w:vMerge/>
            <w:tcBorders>
              <w:left w:val="single" w:sz="4" w:space="0" w:color="000000"/>
              <w:bottom w:val="single" w:sz="4" w:space="0" w:color="000000"/>
              <w:right w:val="single" w:sz="4" w:space="0" w:color="000000"/>
            </w:tcBorders>
          </w:tcPr>
          <w:p>
            <w:pPr/>
          </w:p>
        </w:tc>
        <w:tc>
          <w:tcPr>
            <w:tcW w:w="3136"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445" w:type="dxa"/>
            <w:vMerge/>
            <w:tcBorders>
              <w:left w:val="single" w:sz="4" w:space="0" w:color="000000"/>
              <w:bottom w:val="single" w:sz="4" w:space="0" w:color="000000"/>
              <w:right w:val="single" w:sz="4" w:space="0" w:color="000000"/>
            </w:tcBorders>
          </w:tcPr>
          <w:p>
            <w:pPr/>
          </w:p>
        </w:tc>
        <w:tc>
          <w:tcPr>
            <w:tcW w:w="1114" w:type="dxa"/>
            <w:vMerge/>
            <w:tcBorders>
              <w:left w:val="single" w:sz="4" w:space="0" w:color="000000"/>
              <w:bottom w:val="single" w:sz="4" w:space="0" w:color="000000"/>
              <w:right w:val="single" w:sz="4" w:space="0" w:color="000000"/>
            </w:tcBorders>
          </w:tcPr>
          <w:p>
            <w:pPr/>
          </w:p>
        </w:tc>
      </w:tr>
      <w:tr>
        <w:trPr>
          <w:trHeight w:val="1340" w:hRule="exact"/>
        </w:trPr>
        <w:tc>
          <w:tcPr>
            <w:tcW w:w="1844"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公司控股股</w:t>
            </w:r>
            <w:r>
              <w:rPr>
                <w:rFonts w:ascii="宋体" w:hAnsi="宋体" w:cs="宋体" w:eastAsia="宋体" w:hint="default"/>
                <w:w w:val="101"/>
                <w:sz w:val="18"/>
                <w:szCs w:val="18"/>
              </w:rPr>
              <w:t> </w:t>
            </w:r>
            <w:r>
              <w:rPr>
                <w:rFonts w:ascii="宋体" w:hAnsi="宋体" w:cs="宋体" w:eastAsia="宋体" w:hint="default"/>
                <w:spacing w:val="-4"/>
                <w:sz w:val="18"/>
                <w:szCs w:val="18"/>
              </w:rPr>
              <w:t>东、实际控制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人、董事、高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级管理人员</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90"/>
              <w:jc w:val="both"/>
              <w:rPr>
                <w:rFonts w:ascii="宋体" w:hAnsi="宋体" w:cs="宋体" w:eastAsia="宋体" w:hint="default"/>
                <w:sz w:val="18"/>
                <w:szCs w:val="18"/>
              </w:rPr>
            </w:pPr>
            <w:r>
              <w:rPr>
                <w:rFonts w:ascii="宋体" w:hAnsi="宋体" w:cs="宋体" w:eastAsia="宋体" w:hint="default"/>
                <w:spacing w:val="-2"/>
                <w:sz w:val="18"/>
                <w:szCs w:val="18"/>
              </w:rPr>
              <w:t>关于摊薄即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期回报及填</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补措施的承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2"/>
              <w:jc w:val="left"/>
              <w:rPr>
                <w:rFonts w:ascii="宋体" w:hAnsi="宋体" w:cs="宋体" w:eastAsia="宋体" w:hint="default"/>
                <w:sz w:val="18"/>
                <w:szCs w:val="18"/>
              </w:rPr>
            </w:pPr>
            <w:r>
              <w:rPr>
                <w:rFonts w:ascii="宋体" w:hAnsi="宋体" w:cs="宋体" w:eastAsia="宋体" w:hint="default"/>
                <w:spacing w:val="-3"/>
                <w:sz w:val="18"/>
                <w:szCs w:val="18"/>
              </w:rPr>
              <w:t>为保证公司填补即期回报措施切实履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行，特承诺如下：</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、本人承诺不越权干</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预公司经营管理活动；</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、本人承诺不侵</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占公司利益。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9"/>
              <w:ind w:left="17" w:right="5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8"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3481"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3" w:right="12"/>
              <w:jc w:val="both"/>
              <w:rPr>
                <w:rFonts w:ascii="宋体" w:hAnsi="宋体" w:cs="宋体" w:eastAsia="宋体" w:hint="default"/>
                <w:sz w:val="18"/>
                <w:szCs w:val="18"/>
              </w:rPr>
            </w:pPr>
            <w:r>
              <w:rPr>
                <w:rFonts w:ascii="宋体" w:hAnsi="宋体" w:cs="宋体" w:eastAsia="宋体" w:hint="default"/>
                <w:spacing w:val="-4"/>
                <w:sz w:val="18"/>
                <w:szCs w:val="18"/>
              </w:rPr>
              <w:t>公司董事、监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事、高级管理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人员</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24" w:right="190"/>
              <w:jc w:val="left"/>
              <w:rPr>
                <w:rFonts w:ascii="宋体" w:hAnsi="宋体" w:cs="宋体" w:eastAsia="宋体" w:hint="default"/>
                <w:sz w:val="18"/>
                <w:szCs w:val="18"/>
              </w:rPr>
            </w:pPr>
            <w:r>
              <w:rPr>
                <w:rFonts w:ascii="宋体" w:hAnsi="宋体" w:cs="宋体" w:eastAsia="宋体" w:hint="default"/>
                <w:spacing w:val="-2"/>
                <w:sz w:val="18"/>
                <w:szCs w:val="18"/>
              </w:rPr>
              <w:t>关于无违法</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3" w:right="1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、本人最近三年内未受到过刑事处罚</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中国证监会的行政处罚；最近十二个月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未受到过证券交易所公开谴责。</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、本人</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不存在因涉嫌犯罪正被司法机关立案侦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查或涉嫌违法违规正被中国证监会等行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政主管部门立案调查之情形。</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、本人不</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存在违反《公司法》第一百四十七、一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百四十八条规定的行为。</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、本人与本次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交易的交易对方及其股东（出资人）均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不存在一致行动关系及关联关系。上述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声明均为真实、准确、完整的，且不存</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7" w:right="50"/>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9" w:lineRule="auto"/>
              <w:ind w:left="28"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bl>
    <w:p>
      <w:pPr>
        <w:spacing w:after="0" w:line="31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24"/>
        <w:gridCol w:w="1129"/>
        <w:gridCol w:w="3136"/>
        <w:gridCol w:w="1128"/>
        <w:gridCol w:w="456"/>
        <w:gridCol w:w="1109"/>
      </w:tblGrid>
      <w:tr>
        <w:trPr>
          <w:trHeight w:val="672"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37"/>
              <w:jc w:val="left"/>
              <w:rPr>
                <w:rFonts w:ascii="宋体" w:hAnsi="宋体" w:cs="宋体" w:eastAsia="宋体" w:hint="default"/>
                <w:sz w:val="18"/>
                <w:szCs w:val="18"/>
              </w:rPr>
            </w:pPr>
            <w:r>
              <w:rPr>
                <w:rFonts w:ascii="宋体" w:hAnsi="宋体" w:cs="宋体" w:eastAsia="宋体" w:hint="default"/>
                <w:spacing w:val="-3"/>
                <w:sz w:val="18"/>
                <w:szCs w:val="18"/>
              </w:rPr>
              <w:t>在任何虚假、误导及遗漏之处，本人愿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就上述声明内容承担相应法律责任。</w:t>
            </w:r>
          </w:p>
        </w:tc>
        <w:tc>
          <w:tcPr>
            <w:tcW w:w="112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149" w:hRule="exact"/>
        </w:trPr>
        <w:tc>
          <w:tcPr>
            <w:tcW w:w="1844"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4" w:right="3"/>
              <w:jc w:val="left"/>
              <w:rPr>
                <w:rFonts w:ascii="宋体" w:hAnsi="宋体" w:cs="宋体" w:eastAsia="宋体" w:hint="default"/>
                <w:sz w:val="18"/>
                <w:szCs w:val="18"/>
              </w:rPr>
            </w:pPr>
            <w:r>
              <w:rPr>
                <w:rFonts w:ascii="宋体" w:hAnsi="宋体" w:cs="宋体" w:eastAsia="宋体" w:hint="default"/>
                <w:sz w:val="18"/>
                <w:szCs w:val="18"/>
              </w:rPr>
              <w:t>控股股东刘</w:t>
            </w:r>
            <w:r>
              <w:rPr>
                <w:rFonts w:ascii="宋体" w:hAnsi="宋体" w:cs="宋体" w:eastAsia="宋体" w:hint="default"/>
                <w:w w:val="101"/>
                <w:sz w:val="18"/>
                <w:szCs w:val="18"/>
              </w:rPr>
              <w:t> </w:t>
            </w:r>
            <w:r>
              <w:rPr>
                <w:rFonts w:ascii="宋体" w:hAnsi="宋体" w:cs="宋体" w:eastAsia="宋体" w:hint="default"/>
                <w:sz w:val="18"/>
                <w:szCs w:val="18"/>
              </w:rPr>
              <w:t>泽刚及一致</w:t>
            </w:r>
            <w:r>
              <w:rPr>
                <w:rFonts w:ascii="宋体" w:hAnsi="宋体" w:cs="宋体" w:eastAsia="宋体" w:hint="default"/>
                <w:w w:val="101"/>
                <w:sz w:val="18"/>
                <w:szCs w:val="18"/>
              </w:rPr>
              <w:t> </w:t>
            </w:r>
            <w:r>
              <w:rPr>
                <w:rFonts w:ascii="宋体" w:hAnsi="宋体" w:cs="宋体" w:eastAsia="宋体" w:hint="default"/>
                <w:spacing w:val="-2"/>
                <w:sz w:val="18"/>
                <w:szCs w:val="18"/>
              </w:rPr>
              <w:t>行动人韦强、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张仁增、何</w:t>
            </w:r>
            <w:r>
              <w:rPr>
                <w:rFonts w:ascii="宋体" w:hAnsi="宋体" w:cs="宋体" w:eastAsia="宋体" w:hint="default"/>
                <w:w w:val="101"/>
                <w:sz w:val="18"/>
                <w:szCs w:val="18"/>
              </w:rPr>
              <w:t> </w:t>
            </w:r>
            <w:r>
              <w:rPr>
                <w:rFonts w:ascii="宋体" w:hAnsi="宋体" w:cs="宋体" w:eastAsia="宋体" w:hint="default"/>
                <w:sz w:val="18"/>
                <w:szCs w:val="18"/>
              </w:rPr>
              <w:t>昀、高星</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7"/>
              <w:ind w:left="24" w:right="190"/>
              <w:jc w:val="left"/>
              <w:rPr>
                <w:rFonts w:ascii="宋体" w:hAnsi="宋体" w:cs="宋体" w:eastAsia="宋体" w:hint="default"/>
                <w:sz w:val="18"/>
                <w:szCs w:val="18"/>
              </w:rPr>
            </w:pPr>
            <w:r>
              <w:rPr>
                <w:rFonts w:ascii="宋体" w:hAnsi="宋体" w:cs="宋体" w:eastAsia="宋体" w:hint="default"/>
                <w:spacing w:val="-2"/>
                <w:sz w:val="18"/>
                <w:szCs w:val="18"/>
              </w:rPr>
              <w:t>关于避免同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业竞争承诺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4"/>
              <w:jc w:val="left"/>
              <w:rPr>
                <w:rFonts w:ascii="宋体" w:hAnsi="宋体" w:cs="宋体" w:eastAsia="宋体" w:hint="default"/>
                <w:sz w:val="18"/>
                <w:szCs w:val="18"/>
              </w:rPr>
            </w:pPr>
            <w:r>
              <w:rPr>
                <w:rFonts w:ascii="宋体" w:hAnsi="宋体" w:cs="宋体" w:eastAsia="宋体" w:hint="default"/>
                <w:spacing w:val="-3"/>
                <w:sz w:val="18"/>
                <w:szCs w:val="18"/>
              </w:rPr>
              <w:t>本人及本人控制的其他公司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企业未来</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不会从事或开展任何与合纵科技及其子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公司构成同业竞争或可能构成同业竞争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的业务；不直接或间接投资任何与合纵</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科技及其子公司构成同业竞争或可能构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成同业竞争的公司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、本人及本</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人控制的其他公司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企业违反本承诺的，</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pacing w:val="-3"/>
                <w:sz w:val="18"/>
                <w:szCs w:val="18"/>
              </w:rPr>
              <w:t>本人及本人控制的其他公司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企业所获</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相关收益将无条件地归合纵科技享有；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同时，若造成合纵科技及其子公司损失</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1"/>
                <w:w w:val="101"/>
                <w:sz w:val="18"/>
                <w:szCs w:val="18"/>
              </w:rPr>
              <w:t>的（包括直接损失和间接损失），本人及</w:t>
            </w:r>
            <w:r>
              <w:rPr>
                <w:rFonts w:ascii="宋体" w:hAnsi="宋体" w:cs="宋体" w:eastAsia="宋体" w:hint="default"/>
                <w:w w:val="101"/>
                <w:sz w:val="18"/>
                <w:szCs w:val="18"/>
              </w:rPr>
              <w:t> </w:t>
            </w:r>
            <w:r>
              <w:rPr>
                <w:rFonts w:ascii="宋体" w:hAnsi="宋体" w:cs="宋体" w:eastAsia="宋体" w:hint="default"/>
                <w:spacing w:val="-3"/>
                <w:sz w:val="18"/>
                <w:szCs w:val="18"/>
              </w:rPr>
              <w:t>本人控制的其他公司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企业将无条件的</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承担全部赔偿责任。</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7"/>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3836" w:hRule="exact"/>
        </w:trPr>
        <w:tc>
          <w:tcPr>
            <w:tcW w:w="1844"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3"/>
              <w:ind w:left="24" w:right="3"/>
              <w:jc w:val="left"/>
              <w:rPr>
                <w:rFonts w:ascii="宋体" w:hAnsi="宋体" w:cs="宋体" w:eastAsia="宋体" w:hint="default"/>
                <w:sz w:val="18"/>
                <w:szCs w:val="18"/>
              </w:rPr>
            </w:pPr>
            <w:r>
              <w:rPr>
                <w:rFonts w:ascii="宋体" w:hAnsi="宋体" w:cs="宋体" w:eastAsia="宋体" w:hint="default"/>
                <w:sz w:val="18"/>
                <w:szCs w:val="18"/>
              </w:rPr>
              <w:t>控股股东刘</w:t>
            </w:r>
            <w:r>
              <w:rPr>
                <w:rFonts w:ascii="宋体" w:hAnsi="宋体" w:cs="宋体" w:eastAsia="宋体" w:hint="default"/>
                <w:w w:val="101"/>
                <w:sz w:val="18"/>
                <w:szCs w:val="18"/>
              </w:rPr>
              <w:t> </w:t>
            </w:r>
            <w:r>
              <w:rPr>
                <w:rFonts w:ascii="宋体" w:hAnsi="宋体" w:cs="宋体" w:eastAsia="宋体" w:hint="default"/>
                <w:sz w:val="18"/>
                <w:szCs w:val="18"/>
              </w:rPr>
              <w:t>泽刚及一致</w:t>
            </w:r>
            <w:r>
              <w:rPr>
                <w:rFonts w:ascii="宋体" w:hAnsi="宋体" w:cs="宋体" w:eastAsia="宋体" w:hint="default"/>
                <w:w w:val="101"/>
                <w:sz w:val="18"/>
                <w:szCs w:val="18"/>
              </w:rPr>
              <w:t> </w:t>
            </w:r>
            <w:r>
              <w:rPr>
                <w:rFonts w:ascii="宋体" w:hAnsi="宋体" w:cs="宋体" w:eastAsia="宋体" w:hint="default"/>
                <w:spacing w:val="-2"/>
                <w:sz w:val="18"/>
                <w:szCs w:val="18"/>
              </w:rPr>
              <w:t>行动人韦强、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张仁增、何</w:t>
            </w:r>
            <w:r>
              <w:rPr>
                <w:rFonts w:ascii="宋体" w:hAnsi="宋体" w:cs="宋体" w:eastAsia="宋体" w:hint="default"/>
                <w:w w:val="101"/>
                <w:sz w:val="18"/>
                <w:szCs w:val="18"/>
              </w:rPr>
              <w:t> </w:t>
            </w:r>
            <w:r>
              <w:rPr>
                <w:rFonts w:ascii="宋体" w:hAnsi="宋体" w:cs="宋体" w:eastAsia="宋体" w:hint="default"/>
                <w:sz w:val="18"/>
                <w:szCs w:val="18"/>
              </w:rPr>
              <w:t>昀、高星</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6" w:lineRule="auto"/>
              <w:ind w:left="24" w:right="190"/>
              <w:jc w:val="both"/>
              <w:rPr>
                <w:rFonts w:ascii="宋体" w:hAnsi="宋体" w:cs="宋体" w:eastAsia="宋体" w:hint="default"/>
                <w:sz w:val="18"/>
                <w:szCs w:val="18"/>
              </w:rPr>
            </w:pPr>
            <w:r>
              <w:rPr>
                <w:rFonts w:ascii="宋体" w:hAnsi="宋体" w:cs="宋体" w:eastAsia="宋体" w:hint="default"/>
                <w:spacing w:val="-2"/>
                <w:sz w:val="18"/>
                <w:szCs w:val="18"/>
              </w:rPr>
              <w:t>关于规范与</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公司关联交</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易的承诺</w:t>
            </w:r>
          </w:p>
        </w:tc>
        <w:tc>
          <w:tcPr>
            <w:tcW w:w="3136" w:type="dxa"/>
            <w:tcBorders>
              <w:top w:val="single" w:sz="4" w:space="0" w:color="000000"/>
              <w:left w:val="single" w:sz="4" w:space="0" w:color="000000"/>
              <w:bottom w:val="single" w:sz="4" w:space="0" w:color="000000"/>
              <w:right w:val="single" w:sz="8" w:space="0" w:color="FFFFFF"/>
            </w:tcBorders>
          </w:tcPr>
          <w:p>
            <w:pPr>
              <w:pStyle w:val="TableParagraph"/>
              <w:spacing w:line="316" w:lineRule="auto" w:before="53"/>
              <w:ind w:left="23" w:right="-39"/>
              <w:jc w:val="left"/>
              <w:rPr>
                <w:rFonts w:ascii="宋体" w:hAnsi="宋体" w:cs="宋体" w:eastAsia="宋体" w:hint="default"/>
                <w:sz w:val="18"/>
                <w:szCs w:val="18"/>
              </w:rPr>
            </w:pPr>
            <w:r>
              <w:rPr>
                <w:rFonts w:ascii="宋体" w:hAnsi="宋体" w:cs="宋体" w:eastAsia="宋体" w:hint="default"/>
                <w:spacing w:val="-3"/>
                <w:sz w:val="18"/>
                <w:szCs w:val="18"/>
              </w:rPr>
              <w:t>在本次交易完成后，本人及本人控制的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其他公司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企业将尽量减少与合纵科技</w:t>
            </w:r>
            <w:r>
              <w:rPr>
                <w:rFonts w:ascii="宋体" w:hAnsi="宋体" w:cs="宋体" w:eastAsia="宋体" w:hint="default"/>
                <w:spacing w:val="-38"/>
                <w:sz w:val="18"/>
                <w:szCs w:val="18"/>
              </w:rPr>
              <w:t> </w:t>
            </w:r>
            <w:r>
              <w:rPr>
                <w:rFonts w:ascii="宋体" w:hAnsi="宋体" w:cs="宋体" w:eastAsia="宋体" w:hint="default"/>
                <w:spacing w:val="-38"/>
                <w:sz w:val="18"/>
                <w:szCs w:val="18"/>
              </w:rPr>
            </w:r>
            <w:r>
              <w:rPr>
                <w:rFonts w:ascii="宋体" w:hAnsi="宋体" w:cs="宋体" w:eastAsia="宋体" w:hint="default"/>
                <w:spacing w:val="-3"/>
                <w:sz w:val="18"/>
                <w:szCs w:val="18"/>
              </w:rPr>
              <w:t>发生关联交易。若发生不可避免且必要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的关联交易，本人及本人控制的企业与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合纵科技将根据公平、公允、等价有偿</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9"/>
                <w:w w:val="101"/>
                <w:sz w:val="18"/>
                <w:szCs w:val="18"/>
              </w:rPr>
              <w:t>等原则，依法签署合法有效的协议文件，</w:t>
            </w:r>
            <w:r>
              <w:rPr>
                <w:rFonts w:ascii="宋体" w:hAnsi="宋体" w:cs="宋体" w:eastAsia="宋体" w:hint="default"/>
                <w:spacing w:val="-81"/>
                <w:w w:val="101"/>
                <w:sz w:val="18"/>
                <w:szCs w:val="18"/>
              </w:rPr>
              <w:t> </w:t>
            </w:r>
            <w:r>
              <w:rPr>
                <w:rFonts w:ascii="宋体" w:hAnsi="宋体" w:cs="宋体" w:eastAsia="宋体" w:hint="default"/>
                <w:spacing w:val="-81"/>
                <w:w w:val="101"/>
                <w:sz w:val="18"/>
                <w:szCs w:val="18"/>
              </w:rPr>
            </w:r>
            <w:r>
              <w:rPr>
                <w:rFonts w:ascii="宋体" w:hAnsi="宋体" w:cs="宋体" w:eastAsia="宋体" w:hint="default"/>
                <w:spacing w:val="-3"/>
                <w:sz w:val="18"/>
                <w:szCs w:val="18"/>
              </w:rPr>
              <w:t>并将按照有关法律、法规和规范性文件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以及合纵科技章程之规定，履行关联交</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易审批决策程序、信息披露义务等相关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事宜；确保从根本上杜绝通过关联交易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损害合纵科技及其他股东合法权益的情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形发生。</w:t>
            </w:r>
          </w:p>
        </w:tc>
        <w:tc>
          <w:tcPr>
            <w:tcW w:w="1128" w:type="dxa"/>
            <w:tcBorders>
              <w:top w:val="single" w:sz="4" w:space="0" w:color="000000"/>
              <w:left w:val="single" w:sz="8"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1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355" w:lineRule="exact"/>
              <w:ind w:left="19"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pict>
                <v:group style="width:53.55pt;height:17.8pt;mso-position-horizontal-relative:char;mso-position-vertical-relative:line" coordorigin="0,0" coordsize="1071,356">
                  <v:group style="position:absolute;left:0;top:0;width:1071;height:356" coordorigin="0,0" coordsize="1071,356">
                    <v:shape style="position:absolute;left:0;top:0;width:1071;height:356" coordorigin="0,0" coordsize="1071,356" path="m0,355l1071,355,1071,0,0,0,0,355xe" filled="true" fillcolor="#ffffff" stroked="false">
                      <v:path arrowok="t"/>
                      <v:fill type="solid"/>
                    </v:shape>
                  </v:group>
                </v:group>
              </w:pict>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6"/>
                <w:szCs w:val="26"/>
              </w:rPr>
            </w:pP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21" w:lineRule="auto"/>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504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6"/>
              <w:ind w:left="24" w:right="190"/>
              <w:jc w:val="both"/>
              <w:rPr>
                <w:rFonts w:ascii="宋体" w:hAnsi="宋体" w:cs="宋体" w:eastAsia="宋体" w:hint="default"/>
                <w:sz w:val="18"/>
                <w:szCs w:val="18"/>
              </w:rPr>
            </w:pPr>
            <w:r>
              <w:rPr>
                <w:rFonts w:ascii="宋体" w:hAnsi="宋体" w:cs="宋体" w:eastAsia="宋体" w:hint="default"/>
                <w:spacing w:val="-2"/>
                <w:sz w:val="18"/>
                <w:szCs w:val="18"/>
              </w:rPr>
              <w:t>公司关于发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行股份及支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付现金购买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资产并募集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配套资金相</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关事项承诺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3" w:right="12"/>
              <w:jc w:val="both"/>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、本公司及本公司现任董事、监事、高</w:t>
            </w:r>
            <w:r>
              <w:rPr>
                <w:rFonts w:ascii="宋体" w:hAnsi="宋体" w:cs="宋体" w:eastAsia="宋体" w:hint="default"/>
                <w:spacing w:val="-32"/>
                <w:sz w:val="18"/>
                <w:szCs w:val="18"/>
              </w:rPr>
              <w:t> </w:t>
            </w:r>
            <w:r>
              <w:rPr>
                <w:rFonts w:ascii="宋体" w:hAnsi="宋体" w:cs="宋体" w:eastAsia="宋体" w:hint="default"/>
                <w:spacing w:val="-32"/>
                <w:sz w:val="18"/>
                <w:szCs w:val="18"/>
              </w:rPr>
            </w:r>
            <w:r>
              <w:rPr>
                <w:rFonts w:ascii="宋体" w:hAnsi="宋体" w:cs="宋体" w:eastAsia="宋体" w:hint="default"/>
                <w:spacing w:val="-3"/>
                <w:sz w:val="18"/>
                <w:szCs w:val="18"/>
              </w:rPr>
              <w:t>级管理人员不存在因涉嫌犯罪正被司法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机关立案侦查或涉嫌违法违规正被中国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证监会立案调查的情形。</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、本次交易申</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请文件不存在虚假记载、误导性陈述或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者重大遗漏。</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、本公司最近十二个月内</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不存在未履行向投资者作出的公开承诺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的情形。</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、本公司及下属子公司最近三</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年不存在因违反法律、行政法规、规章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受到行政处罚且情节严重，或者受到刑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事处罚，或者因违反证券法律、行政法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规、规章受到中国证监会的行政处罚的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情形；最近十二个月内未受到过证券交</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易所的公开谴责；不存在因涉嫌犯罪被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司法机关立案侦查或者涉嫌违法违规被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中国证监会立案调查的情形。</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、本公司</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9"/>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bl>
    <w:p>
      <w:pPr>
        <w:spacing w:after="0" w:line="31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2.677765pt;margin-top:547.105957pt;width:61.8pt;height:202.9pt;mso-position-horizontal-relative:page;mso-position-vertical-relative:page;z-index:-1057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0"/>
                    <w:rPr>
                      <w:rFonts w:ascii="Times New Roman" w:hAnsi="Times New Roman" w:cs="Times New Roman" w:eastAsia="Times New Roman" w:hint="default"/>
                      <w:sz w:val="25"/>
                      <w:szCs w:val="25"/>
                    </w:rPr>
                  </w:pPr>
                </w:p>
                <w:p>
                  <w:pPr>
                    <w:pStyle w:val="BodyText"/>
                    <w:spacing w:line="240" w:lineRule="auto"/>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24"/>
        <w:gridCol w:w="1129"/>
        <w:gridCol w:w="3136"/>
        <w:gridCol w:w="1128"/>
        <w:gridCol w:w="456"/>
        <w:gridCol w:w="1109"/>
      </w:tblGrid>
      <w:tr>
        <w:trPr>
          <w:trHeight w:val="473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12"/>
              <w:jc w:val="left"/>
              <w:rPr>
                <w:rFonts w:ascii="宋体" w:hAnsi="宋体" w:cs="宋体" w:eastAsia="宋体" w:hint="default"/>
                <w:sz w:val="18"/>
                <w:szCs w:val="18"/>
              </w:rPr>
            </w:pPr>
            <w:r>
              <w:rPr>
                <w:rFonts w:ascii="宋体" w:hAnsi="宋体" w:cs="宋体" w:eastAsia="宋体" w:hint="default"/>
                <w:spacing w:val="-3"/>
                <w:sz w:val="18"/>
                <w:szCs w:val="18"/>
              </w:rPr>
              <w:t>实际控制人刘泽刚及其一致行动人韦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强、张仁增、何昀、高星最近十二个月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内不存在因违反证券法律、行政法规、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规章，受到中国证监会的行政处罚，或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者受到刑事处罚的情形。</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、本公司现任</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董事、监事和高级管理人员不存在违反</w:t>
            </w:r>
          </w:p>
          <w:p>
            <w:pPr>
              <w:pStyle w:val="TableParagraph"/>
              <w:spacing w:line="316" w:lineRule="auto" w:before="20"/>
              <w:ind w:left="23" w:right="13"/>
              <w:jc w:val="left"/>
              <w:rPr>
                <w:rFonts w:ascii="宋体" w:hAnsi="宋体" w:cs="宋体" w:eastAsia="宋体" w:hint="default"/>
                <w:sz w:val="18"/>
                <w:szCs w:val="18"/>
              </w:rPr>
            </w:pPr>
            <w:r>
              <w:rPr>
                <w:rFonts w:ascii="宋体" w:hAnsi="宋体" w:cs="宋体" w:eastAsia="宋体" w:hint="default"/>
                <w:spacing w:val="-3"/>
                <w:sz w:val="18"/>
                <w:szCs w:val="18"/>
              </w:rPr>
              <w:t>《公司法》第一百四十七条、第一百四</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十八条规定的行为，或者最近三年内受</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到中国证监会的行政处罚、最近十二个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月内受到证券交易所的公开谴责的情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形；不存在因涉嫌犯罪被司法机关立案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侦查或者涉嫌违法违规被中国证监会立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案调查的情形。</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、本公司不存在损害投</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资者的合法权益和社会公共利益的其他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情形。</w:t>
            </w:r>
          </w:p>
        </w:tc>
        <w:tc>
          <w:tcPr>
            <w:tcW w:w="112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8830"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3"/>
              <w:ind w:left="24" w:right="185"/>
              <w:jc w:val="left"/>
              <w:rPr>
                <w:rFonts w:ascii="宋体" w:hAnsi="宋体" w:cs="宋体" w:eastAsia="宋体" w:hint="default"/>
                <w:sz w:val="18"/>
                <w:szCs w:val="18"/>
              </w:rPr>
            </w:pPr>
            <w:r>
              <w:rPr>
                <w:rFonts w:ascii="宋体" w:hAnsi="宋体" w:cs="宋体" w:eastAsia="宋体" w:hint="default"/>
                <w:spacing w:val="-3"/>
                <w:sz w:val="18"/>
                <w:szCs w:val="18"/>
              </w:rPr>
              <w:t>首次公开发行或再融</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资时所作承诺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6"/>
              <w:ind w:left="23" w:right="2"/>
              <w:jc w:val="left"/>
              <w:rPr>
                <w:rFonts w:ascii="宋体" w:hAnsi="宋体" w:cs="宋体" w:eastAsia="宋体" w:hint="default"/>
                <w:sz w:val="18"/>
                <w:szCs w:val="18"/>
              </w:rPr>
            </w:pPr>
            <w:r>
              <w:rPr>
                <w:rFonts w:ascii="宋体" w:hAnsi="宋体" w:cs="宋体" w:eastAsia="宋体" w:hint="default"/>
                <w:sz w:val="18"/>
                <w:szCs w:val="18"/>
              </w:rPr>
              <w:t>控股股东刘</w:t>
            </w:r>
            <w:r>
              <w:rPr>
                <w:rFonts w:ascii="宋体" w:hAnsi="宋体" w:cs="宋体" w:eastAsia="宋体" w:hint="default"/>
                <w:w w:val="101"/>
                <w:sz w:val="18"/>
                <w:szCs w:val="18"/>
              </w:rPr>
              <w:t> </w:t>
            </w:r>
            <w:r>
              <w:rPr>
                <w:rFonts w:ascii="宋体" w:hAnsi="宋体" w:cs="宋体" w:eastAsia="宋体" w:hint="default"/>
                <w:sz w:val="18"/>
                <w:szCs w:val="18"/>
              </w:rPr>
              <w:t>泽刚及一致</w:t>
            </w:r>
            <w:r>
              <w:rPr>
                <w:rFonts w:ascii="宋体" w:hAnsi="宋体" w:cs="宋体" w:eastAsia="宋体" w:hint="default"/>
                <w:w w:val="101"/>
                <w:sz w:val="18"/>
                <w:szCs w:val="18"/>
              </w:rPr>
              <w:t> </w:t>
            </w:r>
            <w:r>
              <w:rPr>
                <w:rFonts w:ascii="宋体" w:hAnsi="宋体" w:cs="宋体" w:eastAsia="宋体" w:hint="default"/>
                <w:spacing w:val="-2"/>
                <w:sz w:val="18"/>
                <w:szCs w:val="18"/>
              </w:rPr>
              <w:t>行动人韦强、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张仁增、何</w:t>
            </w:r>
            <w:r>
              <w:rPr>
                <w:rFonts w:ascii="宋体" w:hAnsi="宋体" w:cs="宋体" w:eastAsia="宋体" w:hint="default"/>
                <w:w w:val="101"/>
                <w:sz w:val="18"/>
                <w:szCs w:val="18"/>
              </w:rPr>
              <w:t> </w:t>
            </w:r>
            <w:r>
              <w:rPr>
                <w:rFonts w:ascii="宋体" w:hAnsi="宋体" w:cs="宋体" w:eastAsia="宋体" w:hint="default"/>
                <w:sz w:val="18"/>
                <w:szCs w:val="18"/>
              </w:rPr>
              <w:t>昀、高星</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21" w:lineRule="auto"/>
              <w:ind w:left="24" w:right="190"/>
              <w:jc w:val="left"/>
              <w:rPr>
                <w:rFonts w:ascii="宋体" w:hAnsi="宋体" w:cs="宋体" w:eastAsia="宋体" w:hint="default"/>
                <w:sz w:val="18"/>
                <w:szCs w:val="18"/>
              </w:rPr>
            </w:pPr>
            <w:r>
              <w:rPr>
                <w:rFonts w:ascii="宋体" w:hAnsi="宋体" w:cs="宋体" w:eastAsia="宋体" w:hint="default"/>
                <w:spacing w:val="-2"/>
                <w:sz w:val="18"/>
                <w:szCs w:val="18"/>
              </w:rPr>
              <w:t>自愿锁定股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份的承诺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、自公司股票上市之日起三十六个月</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内，不转让或者委托他人管理其直接和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间接持有的公司股份，也不由公司回购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该部分股份。</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、前述限售期满后，在任</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职期间每年转让的股份不超过其直接和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间接持有公司股份总数的百分之二十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五；在首次公开发行股票上市之日起六</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个月内申报离职的，自申报离职之日起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十八个月内不转让其直接持有的本公司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股份；在首次公开发行股票上市之日起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第七个月至第十二个月之间申报离职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的，自申报离职之日起十二个月内不转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让其直接持有的本公司股份。</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、在限售</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期满后两年内减持的，减持价格不低于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发行价（若股份公司上市后发生派发现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金股利、送红股、转增股本、增发新股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或配股等除息、除权行为的，则发行价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格按照上述情形出现的先后顺序进行累</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w w:val="101"/>
                <w:sz w:val="18"/>
                <w:szCs w:val="18"/>
              </w:rPr>
              <w:t>积调整，下同）。</w:t>
            </w:r>
            <w:r>
              <w:rPr>
                <w:rFonts w:ascii="Times New Roman" w:hAnsi="Times New Roman" w:cs="Times New Roman" w:eastAsia="Times New Roman" w:hint="default"/>
                <w:spacing w:val="-8"/>
                <w:w w:val="101"/>
                <w:sz w:val="18"/>
                <w:szCs w:val="18"/>
              </w:rPr>
              <w:t>4</w:t>
            </w:r>
            <w:r>
              <w:rPr>
                <w:rFonts w:ascii="宋体" w:hAnsi="宋体" w:cs="宋体" w:eastAsia="宋体" w:hint="default"/>
                <w:spacing w:val="-8"/>
                <w:w w:val="101"/>
                <w:sz w:val="18"/>
                <w:szCs w:val="18"/>
              </w:rPr>
              <w:t>、股份公司上市后六</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pacing w:val="-3"/>
                <w:sz w:val="18"/>
                <w:szCs w:val="18"/>
              </w:rPr>
              <w:t>个月内如公司股票连续二十个交易日的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收盘价均低于发行价，或者上市后六个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月期末（</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日）收盘价低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于发行价，本人持有公司股票的限售期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限自动延长六个月。</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、本人若发生职务</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7"/>
                <w:sz w:val="18"/>
                <w:szCs w:val="18"/>
              </w:rPr>
              <w:t>变更、离职的情况，仍将遵守上述承诺</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除此之外，本人还将严格遵守有关法律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法规和规范性文件中关于股份流通的限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制性规定。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4057"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0"/>
                <w:sz w:val="20"/>
                <w:szCs w:val="20"/>
              </w:rPr>
              <w:pict>
                <v:group style="width:55.75pt;height:202.9pt;mso-position-horizontal-relative:char;mso-position-vertical-relative:line" coordorigin="0,0" coordsize="1115,4058">
                  <v:group style="position:absolute;left:0;top:0;width:1115;height:4058" coordorigin="0,0" coordsize="1115,4058">
                    <v:shape style="position:absolute;left:0;top:0;width:1115;height:4058" coordorigin="0,0" coordsize="1115,4058" path="m0,4057l1114,4057,1114,0,0,0,0,4057xe" filled="true" fillcolor="#ffffff" stroked="false">
                      <v:path arrowok="t"/>
                      <v:fill type="solid"/>
                    </v:shape>
                  </v:group>
                </v:group>
              </w:pict>
            </w:r>
            <w:r>
              <w:rPr>
                <w:rFonts w:ascii="Times New Roman" w:hAnsi="Times New Roman" w:cs="Times New Roman" w:eastAsia="Times New Roman" w:hint="default"/>
                <w:position w:val="-80"/>
                <w:sz w:val="20"/>
                <w:szCs w:val="20"/>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21" w:lineRule="auto"/>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365"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控股股东刘</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关于《招股说</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股份公司首次公开发行股票并在创业板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严格遵守所</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12.677765pt;margin-top:90.019981pt;width:61.8pt;height:171.65pt;mso-position-horizontal-relative:page;mso-position-vertical-relative:page;z-index:-1057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6"/>
                      <w:szCs w:val="16"/>
                    </w:rPr>
                  </w:pPr>
                </w:p>
                <w:p>
                  <w:pPr>
                    <w:pStyle w:val="BodyText"/>
                    <w:spacing w:line="240" w:lineRule="auto"/>
                    <w:ind w:left="0" w:right="0"/>
                    <w:jc w:val="left"/>
                  </w:pPr>
                  <w:r>
                    <w:rPr>
                      <w:w w:val="101"/>
                    </w:rPr>
                    <w:t>，</w:t>
                  </w:r>
                  <w:r>
                    <w:rPr/>
                  </w:r>
                </w:p>
              </w:txbxContent>
            </v:textbox>
            <w10:wrap type="none"/>
          </v:shape>
        </w:pict>
      </w:r>
      <w:r>
        <w:rPr/>
        <w:pict>
          <v:shape style="position:absolute;margin-left:412.730011pt;margin-top:465.745972pt;width:61.75pt;height:85.95pt;mso-position-horizontal-relative:page;mso-position-vertical-relative:page;z-index:-105769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3"/>
                    <w:ind w:left="0" w:right="0"/>
                    <w:jc w:val="left"/>
                  </w:pPr>
                  <w:r>
                    <w:rPr>
                      <w:w w:val="101"/>
                    </w:rPr>
                    <w:t>、</w:t>
                  </w:r>
                  <w:r>
                    <w:rPr/>
                  </w:r>
                </w:p>
              </w:txbxContent>
            </v:textbox>
            <w10:wrap type="none"/>
          </v:shape>
        </w:pict>
      </w: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24"/>
        <w:gridCol w:w="1129"/>
        <w:gridCol w:w="3136"/>
        <w:gridCol w:w="1128"/>
        <w:gridCol w:w="456"/>
        <w:gridCol w:w="1109"/>
      </w:tblGrid>
      <w:tr>
        <w:trPr>
          <w:trHeight w:val="3793" w:hRule="exact"/>
        </w:trPr>
        <w:tc>
          <w:tcPr>
            <w:tcW w:w="1844" w:type="dxa"/>
            <w:vMerge w:val="restart"/>
            <w:tcBorders>
              <w:top w:val="single" w:sz="4" w:space="0" w:color="000000"/>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4" w:right="3"/>
              <w:jc w:val="left"/>
              <w:rPr>
                <w:rFonts w:ascii="宋体" w:hAnsi="宋体" w:cs="宋体" w:eastAsia="宋体" w:hint="default"/>
                <w:sz w:val="18"/>
                <w:szCs w:val="18"/>
              </w:rPr>
            </w:pPr>
            <w:r>
              <w:rPr>
                <w:rFonts w:ascii="宋体" w:hAnsi="宋体" w:cs="宋体" w:eastAsia="宋体" w:hint="default"/>
                <w:sz w:val="18"/>
                <w:szCs w:val="18"/>
              </w:rPr>
              <w:t>泽刚及一致</w:t>
            </w:r>
            <w:r>
              <w:rPr>
                <w:rFonts w:ascii="宋体" w:hAnsi="宋体" w:cs="宋体" w:eastAsia="宋体" w:hint="default"/>
                <w:w w:val="101"/>
                <w:sz w:val="18"/>
                <w:szCs w:val="18"/>
              </w:rPr>
              <w:t> </w:t>
            </w:r>
            <w:r>
              <w:rPr>
                <w:rFonts w:ascii="宋体" w:hAnsi="宋体" w:cs="宋体" w:eastAsia="宋体" w:hint="default"/>
                <w:spacing w:val="-2"/>
                <w:sz w:val="18"/>
                <w:szCs w:val="18"/>
              </w:rPr>
              <w:t>行动人韦强、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张仁增、何</w:t>
            </w:r>
            <w:r>
              <w:rPr>
                <w:rFonts w:ascii="宋体" w:hAnsi="宋体" w:cs="宋体" w:eastAsia="宋体" w:hint="default"/>
                <w:w w:val="101"/>
                <w:sz w:val="18"/>
                <w:szCs w:val="18"/>
              </w:rPr>
              <w:t> </w:t>
            </w:r>
            <w:r>
              <w:rPr>
                <w:rFonts w:ascii="宋体" w:hAnsi="宋体" w:cs="宋体" w:eastAsia="宋体" w:hint="default"/>
                <w:sz w:val="18"/>
                <w:szCs w:val="18"/>
              </w:rPr>
              <w:t>昀、高星</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pacing w:val="-4"/>
                <w:sz w:val="18"/>
                <w:szCs w:val="18"/>
              </w:rPr>
              <w:t>明书》的承诺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37"/>
              <w:jc w:val="left"/>
              <w:rPr>
                <w:rFonts w:ascii="宋体" w:hAnsi="宋体" w:cs="宋体" w:eastAsia="宋体" w:hint="default"/>
                <w:sz w:val="18"/>
                <w:szCs w:val="18"/>
              </w:rPr>
            </w:pPr>
            <w:r>
              <w:rPr>
                <w:rFonts w:ascii="宋体" w:hAnsi="宋体" w:cs="宋体" w:eastAsia="宋体" w:hint="default"/>
                <w:spacing w:val="-3"/>
                <w:sz w:val="18"/>
                <w:szCs w:val="18"/>
              </w:rPr>
              <w:t>上市的《招股说明书》及相关申请材料</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真实、准确、完整、及时，不存在虚假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记载、误导性陈述或重大遗漏；如《招</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股说明书》及相关申请材料出现虚假记</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载、误导性陈述或重大遗漏，对判断本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公司是否符合法律规定的发行条件构成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重大、实质影响的，本人将按公司股票</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的二级市场价格购回已转让的原限售股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份；如《招股说明书》及相关申请材料</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7"/>
                <w:w w:val="101"/>
                <w:sz w:val="18"/>
                <w:szCs w:val="18"/>
              </w:rPr>
              <w:t>出现虚假记载、误导性陈述或重大遗漏</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致使投资者在证券交易中遭受损失的，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本人将依法赔偿投资者损失。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0"/>
                <w:szCs w:val="10"/>
              </w:rPr>
            </w:pPr>
          </w:p>
          <w:p>
            <w:pPr>
              <w:pStyle w:val="TableParagraph"/>
              <w:spacing w:line="3433"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8"/>
                <w:sz w:val="20"/>
                <w:szCs w:val="20"/>
              </w:rPr>
              <w:pict>
                <v:group style="width:55.75pt;height:171.65pt;mso-position-horizontal-relative:char;mso-position-vertical-relative:line" coordorigin="0,0" coordsize="1115,3433">
                  <v:group style="position:absolute;left:0;top:0;width:1115;height:3433" coordorigin="0,0" coordsize="1115,3433">
                    <v:shape style="position:absolute;left:0;top:0;width:1115;height:3433" coordorigin="0,0" coordsize="1115,3433" path="m0,3433l1114,3433,1114,0,0,0,0,3433xe" filled="true" fillcolor="#ffffff" stroked="false">
                      <v:path arrowok="t"/>
                      <v:fill type="solid"/>
                    </v:shape>
                  </v:group>
                </v:group>
              </w:pict>
            </w:r>
            <w:r>
              <w:rPr>
                <w:rFonts w:ascii="Times New Roman" w:hAnsi="Times New Roman" w:cs="Times New Roman" w:eastAsia="Times New Roman" w:hint="default"/>
                <w:position w:val="-68"/>
                <w:sz w:val="20"/>
                <w:szCs w:val="20"/>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31"/>
              <w:jc w:val="center"/>
              <w:rPr>
                <w:rFonts w:ascii="宋体" w:hAnsi="宋体" w:cs="宋体" w:eastAsia="宋体" w:hint="default"/>
                <w:sz w:val="18"/>
                <w:szCs w:val="18"/>
              </w:rPr>
            </w:pP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1652" w:hRule="exact"/>
        </w:trPr>
        <w:tc>
          <w:tcPr>
            <w:tcW w:w="1844"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2" w:lineRule="auto"/>
              <w:ind w:left="24" w:right="3"/>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3"/>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以上</w:t>
            </w:r>
            <w:r>
              <w:rPr>
                <w:rFonts w:ascii="宋体" w:hAnsi="宋体" w:cs="宋体" w:eastAsia="宋体" w:hint="default"/>
                <w:spacing w:val="-80"/>
                <w:sz w:val="18"/>
                <w:szCs w:val="18"/>
              </w:rPr>
              <w:t> </w:t>
            </w:r>
            <w:r>
              <w:rPr>
                <w:rFonts w:ascii="宋体" w:hAnsi="宋体" w:cs="宋体" w:eastAsia="宋体" w:hint="default"/>
                <w:spacing w:val="-2"/>
                <w:sz w:val="18"/>
                <w:szCs w:val="18"/>
              </w:rPr>
              <w:t>股东刘泽刚、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韦强、张仁</w:t>
            </w:r>
            <w:r>
              <w:rPr>
                <w:rFonts w:ascii="宋体" w:hAnsi="宋体" w:cs="宋体" w:eastAsia="宋体" w:hint="default"/>
                <w:w w:val="101"/>
                <w:sz w:val="18"/>
                <w:szCs w:val="18"/>
              </w:rPr>
              <w:t> </w:t>
            </w:r>
            <w:r>
              <w:rPr>
                <w:rFonts w:ascii="宋体" w:hAnsi="宋体" w:cs="宋体" w:eastAsia="宋体" w:hint="default"/>
                <w:sz w:val="18"/>
                <w:szCs w:val="18"/>
              </w:rPr>
              <w:t>增、何昀</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8"/>
              <w:ind w:left="24" w:right="190"/>
              <w:jc w:val="both"/>
              <w:rPr>
                <w:rFonts w:ascii="宋体" w:hAnsi="宋体" w:cs="宋体" w:eastAsia="宋体" w:hint="default"/>
                <w:sz w:val="18"/>
                <w:szCs w:val="18"/>
              </w:rPr>
            </w:pPr>
            <w:r>
              <w:rPr>
                <w:rFonts w:ascii="宋体" w:hAnsi="宋体" w:cs="宋体" w:eastAsia="宋体" w:hint="default"/>
                <w:spacing w:val="-2"/>
                <w:sz w:val="18"/>
                <w:szCs w:val="18"/>
              </w:rPr>
              <w:t>对持股意向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和减持意向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7"/>
              <w:jc w:val="both"/>
              <w:rPr>
                <w:rFonts w:ascii="宋体" w:hAnsi="宋体" w:cs="宋体" w:eastAsia="宋体" w:hint="default"/>
                <w:sz w:val="18"/>
                <w:szCs w:val="18"/>
              </w:rPr>
            </w:pPr>
            <w:r>
              <w:rPr>
                <w:rFonts w:ascii="宋体" w:hAnsi="宋体" w:cs="宋体" w:eastAsia="宋体" w:hint="default"/>
                <w:spacing w:val="-3"/>
                <w:sz w:val="18"/>
                <w:szCs w:val="18"/>
              </w:rPr>
              <w:t>公司上市后，刘泽刚、韦强、张仁增、</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何昀所持发行人股份在限售期满后两年</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内，可能根据个人资金需求，以不低于</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发行价的价格依法减持不超过届时所持</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发行人股份的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4149" w:hRule="exact"/>
        </w:trPr>
        <w:tc>
          <w:tcPr>
            <w:tcW w:w="1844"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4" w:right="3"/>
              <w:jc w:val="left"/>
              <w:rPr>
                <w:rFonts w:ascii="宋体" w:hAnsi="宋体" w:cs="宋体" w:eastAsia="宋体" w:hint="default"/>
                <w:sz w:val="18"/>
                <w:szCs w:val="18"/>
              </w:rPr>
            </w:pPr>
            <w:r>
              <w:rPr>
                <w:rFonts w:ascii="宋体" w:hAnsi="宋体" w:cs="宋体" w:eastAsia="宋体" w:hint="default"/>
                <w:sz w:val="18"/>
                <w:szCs w:val="18"/>
              </w:rPr>
              <w:t>控股股东刘</w:t>
            </w:r>
            <w:r>
              <w:rPr>
                <w:rFonts w:ascii="宋体" w:hAnsi="宋体" w:cs="宋体" w:eastAsia="宋体" w:hint="default"/>
                <w:w w:val="101"/>
                <w:sz w:val="18"/>
                <w:szCs w:val="18"/>
              </w:rPr>
              <w:t> </w:t>
            </w:r>
            <w:r>
              <w:rPr>
                <w:rFonts w:ascii="宋体" w:hAnsi="宋体" w:cs="宋体" w:eastAsia="宋体" w:hint="default"/>
                <w:sz w:val="18"/>
                <w:szCs w:val="18"/>
              </w:rPr>
              <w:t>泽刚及一致</w:t>
            </w:r>
            <w:r>
              <w:rPr>
                <w:rFonts w:ascii="宋体" w:hAnsi="宋体" w:cs="宋体" w:eastAsia="宋体" w:hint="default"/>
                <w:w w:val="101"/>
                <w:sz w:val="18"/>
                <w:szCs w:val="18"/>
              </w:rPr>
              <w:t> </w:t>
            </w:r>
            <w:r>
              <w:rPr>
                <w:rFonts w:ascii="宋体" w:hAnsi="宋体" w:cs="宋体" w:eastAsia="宋体" w:hint="default"/>
                <w:spacing w:val="-2"/>
                <w:sz w:val="18"/>
                <w:szCs w:val="18"/>
              </w:rPr>
              <w:t>行动人韦强、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张仁增、何</w:t>
            </w:r>
            <w:r>
              <w:rPr>
                <w:rFonts w:ascii="宋体" w:hAnsi="宋体" w:cs="宋体" w:eastAsia="宋体" w:hint="default"/>
                <w:w w:val="101"/>
                <w:sz w:val="18"/>
                <w:szCs w:val="18"/>
              </w:rPr>
              <w:t> </w:t>
            </w:r>
            <w:r>
              <w:rPr>
                <w:rFonts w:ascii="宋体" w:hAnsi="宋体" w:cs="宋体" w:eastAsia="宋体" w:hint="default"/>
                <w:sz w:val="18"/>
                <w:szCs w:val="18"/>
              </w:rPr>
              <w:t>昀、高星</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21" w:lineRule="auto"/>
              <w:ind w:left="24" w:right="190"/>
              <w:jc w:val="both"/>
              <w:rPr>
                <w:rFonts w:ascii="宋体" w:hAnsi="宋体" w:cs="宋体" w:eastAsia="宋体" w:hint="default"/>
                <w:sz w:val="18"/>
                <w:szCs w:val="18"/>
              </w:rPr>
            </w:pPr>
            <w:r>
              <w:rPr>
                <w:rFonts w:ascii="宋体" w:hAnsi="宋体" w:cs="宋体" w:eastAsia="宋体" w:hint="default"/>
                <w:spacing w:val="-2"/>
                <w:sz w:val="18"/>
                <w:szCs w:val="18"/>
              </w:rPr>
              <w:t>关于避免同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业竞争的承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
              <w:jc w:val="left"/>
              <w:rPr>
                <w:rFonts w:ascii="宋体" w:hAnsi="宋体" w:cs="宋体" w:eastAsia="宋体" w:hint="default"/>
                <w:sz w:val="18"/>
                <w:szCs w:val="18"/>
              </w:rPr>
            </w:pP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、本人将不在中国境内外直接或间接从</w:t>
            </w:r>
            <w:r>
              <w:rPr>
                <w:rFonts w:ascii="宋体" w:hAnsi="宋体" w:cs="宋体" w:eastAsia="宋体" w:hint="default"/>
                <w:w w:val="101"/>
                <w:sz w:val="18"/>
                <w:szCs w:val="18"/>
              </w:rPr>
              <w:t> </w:t>
            </w:r>
            <w:r>
              <w:rPr>
                <w:rFonts w:ascii="宋体" w:hAnsi="宋体" w:cs="宋体" w:eastAsia="宋体" w:hint="default"/>
                <w:spacing w:val="-3"/>
                <w:sz w:val="18"/>
                <w:szCs w:val="18"/>
              </w:rPr>
              <w:t>事或参与任何在商业上对股份公司构成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竞争的业务及活动；或拥有与股份公司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存在竞争关系的任何经济实体、机构、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经济组织的权益；或以其他任何形式取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得该经济实体、机构、经济组织的控制</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权；或在该经济实体、机构、经济组织</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中担任高级管理人员或核心技术人员。</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、在担任股份公司董事、高级管理人员</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期间及不再担任董事、高级管理人员职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11"/>
                <w:w w:val="101"/>
                <w:sz w:val="18"/>
                <w:szCs w:val="18"/>
              </w:rPr>
              <w:t>务之日起六个月内，本承诺持续有效。</w:t>
            </w:r>
            <w:r>
              <w:rPr>
                <w:rFonts w:ascii="Times New Roman" w:hAnsi="Times New Roman" w:cs="Times New Roman" w:eastAsia="Times New Roman" w:hint="default"/>
                <w:spacing w:val="-11"/>
                <w:w w:val="101"/>
                <w:sz w:val="18"/>
                <w:szCs w:val="18"/>
              </w:rPr>
              <w:t>3</w:t>
            </w:r>
            <w:r>
              <w:rPr>
                <w:rFonts w:ascii="Times New Roman" w:hAnsi="Times New Roman" w:cs="Times New Roman" w:eastAsia="Times New Roman" w:hint="default"/>
                <w:w w:val="101"/>
                <w:sz w:val="18"/>
                <w:szCs w:val="18"/>
              </w:rPr>
              <w:t> </w:t>
            </w:r>
            <w:r>
              <w:rPr>
                <w:rFonts w:ascii="宋体" w:hAnsi="宋体" w:cs="宋体" w:eastAsia="宋体" w:hint="default"/>
                <w:spacing w:val="-3"/>
                <w:sz w:val="18"/>
                <w:szCs w:val="18"/>
              </w:rPr>
              <w:t>本人愿意承担因违反上述承诺而给股份</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公司造成的全部经济损失。</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0"/>
                <w:szCs w:val="10"/>
              </w:rPr>
            </w:pPr>
          </w:p>
          <w:p>
            <w:pPr>
              <w:pStyle w:val="TableParagraph"/>
              <w:spacing w:line="1718" w:lineRule="exact"/>
              <w:ind w:left="4"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3"/>
                <w:sz w:val="20"/>
                <w:szCs w:val="20"/>
              </w:rPr>
              <w:pict>
                <v:group style="width:55.75pt;height:85.95pt;mso-position-horizontal-relative:char;mso-position-vertical-relative:line" coordorigin="0,0" coordsize="1115,1719">
                  <v:group style="position:absolute;left:0;top:0;width:1115;height:1719" coordorigin="0,0" coordsize="1115,1719">
                    <v:shape style="position:absolute;left:0;top:0;width:1115;height:1719" coordorigin="0,0" coordsize="1115,1719" path="m0,1719l1114,1719,1114,0,0,0,0,1719xe" filled="true" fillcolor="#ffffff" stroked="false">
                      <v:path arrowok="t"/>
                      <v:fill type="solid"/>
                    </v:shape>
                  </v:group>
                </v:group>
              </w:pict>
            </w:r>
            <w:r>
              <w:rPr>
                <w:rFonts w:ascii="Times New Roman" w:hAnsi="Times New Roman" w:cs="Times New Roman" w:eastAsia="Times New Roman" w:hint="default"/>
                <w:position w:val="-33"/>
                <w:sz w:val="20"/>
                <w:szCs w:val="20"/>
              </w:rPr>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3836" w:hRule="exact"/>
        </w:trPr>
        <w:tc>
          <w:tcPr>
            <w:tcW w:w="1844"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4" w:right="3"/>
              <w:jc w:val="left"/>
              <w:rPr>
                <w:rFonts w:ascii="宋体" w:hAnsi="宋体" w:cs="宋体" w:eastAsia="宋体" w:hint="default"/>
                <w:sz w:val="18"/>
                <w:szCs w:val="18"/>
              </w:rPr>
            </w:pPr>
            <w:r>
              <w:rPr>
                <w:rFonts w:ascii="宋体" w:hAnsi="宋体" w:cs="宋体" w:eastAsia="宋体" w:hint="default"/>
                <w:sz w:val="18"/>
                <w:szCs w:val="18"/>
              </w:rPr>
              <w:t>控股股东刘</w:t>
            </w:r>
            <w:r>
              <w:rPr>
                <w:rFonts w:ascii="宋体" w:hAnsi="宋体" w:cs="宋体" w:eastAsia="宋体" w:hint="default"/>
                <w:w w:val="101"/>
                <w:sz w:val="18"/>
                <w:szCs w:val="18"/>
              </w:rPr>
              <w:t> </w:t>
            </w:r>
            <w:r>
              <w:rPr>
                <w:rFonts w:ascii="宋体" w:hAnsi="宋体" w:cs="宋体" w:eastAsia="宋体" w:hint="default"/>
                <w:sz w:val="18"/>
                <w:szCs w:val="18"/>
              </w:rPr>
              <w:t>泽刚及一致</w:t>
            </w:r>
            <w:r>
              <w:rPr>
                <w:rFonts w:ascii="宋体" w:hAnsi="宋体" w:cs="宋体" w:eastAsia="宋体" w:hint="default"/>
                <w:w w:val="101"/>
                <w:sz w:val="18"/>
                <w:szCs w:val="18"/>
              </w:rPr>
              <w:t> </w:t>
            </w:r>
            <w:r>
              <w:rPr>
                <w:rFonts w:ascii="宋体" w:hAnsi="宋体" w:cs="宋体" w:eastAsia="宋体" w:hint="default"/>
                <w:spacing w:val="-2"/>
                <w:sz w:val="18"/>
                <w:szCs w:val="18"/>
              </w:rPr>
              <w:t>行动人韦强、</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张仁增、何</w:t>
            </w:r>
            <w:r>
              <w:rPr>
                <w:rFonts w:ascii="宋体" w:hAnsi="宋体" w:cs="宋体" w:eastAsia="宋体" w:hint="default"/>
                <w:w w:val="101"/>
                <w:sz w:val="18"/>
                <w:szCs w:val="18"/>
              </w:rPr>
              <w:t> </w:t>
            </w:r>
            <w:r>
              <w:rPr>
                <w:rFonts w:ascii="宋体" w:hAnsi="宋体" w:cs="宋体" w:eastAsia="宋体" w:hint="default"/>
                <w:sz w:val="18"/>
                <w:szCs w:val="18"/>
              </w:rPr>
              <w:t>昀、高星</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4" w:right="190"/>
              <w:jc w:val="both"/>
              <w:rPr>
                <w:rFonts w:ascii="宋体" w:hAnsi="宋体" w:cs="宋体" w:eastAsia="宋体" w:hint="default"/>
                <w:sz w:val="18"/>
                <w:szCs w:val="18"/>
              </w:rPr>
            </w:pPr>
            <w:r>
              <w:rPr>
                <w:rFonts w:ascii="宋体" w:hAnsi="宋体" w:cs="宋体" w:eastAsia="宋体" w:hint="default"/>
                <w:spacing w:val="-2"/>
                <w:sz w:val="18"/>
                <w:szCs w:val="18"/>
              </w:rPr>
              <w:t>关于规范关</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联交易的承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3"/>
              <w:jc w:val="left"/>
              <w:rPr>
                <w:rFonts w:ascii="宋体" w:hAnsi="宋体" w:cs="宋体" w:eastAsia="宋体" w:hint="default"/>
                <w:sz w:val="18"/>
                <w:szCs w:val="18"/>
              </w:rPr>
            </w:pPr>
            <w:r>
              <w:rPr>
                <w:rFonts w:ascii="Times New Roman" w:hAnsi="Times New Roman" w:cs="Times New Roman" w:eastAsia="Times New Roman" w:hint="default"/>
                <w:spacing w:val="-6"/>
                <w:w w:val="101"/>
                <w:sz w:val="18"/>
                <w:szCs w:val="18"/>
              </w:rPr>
              <w:t>1</w:t>
            </w:r>
            <w:r>
              <w:rPr>
                <w:rFonts w:ascii="宋体" w:hAnsi="宋体" w:cs="宋体" w:eastAsia="宋体" w:hint="default"/>
                <w:spacing w:val="-6"/>
                <w:w w:val="101"/>
                <w:sz w:val="18"/>
                <w:szCs w:val="18"/>
              </w:rPr>
              <w:t>、本人及本人控制的子公司将尽量避免</w:t>
            </w:r>
            <w:r>
              <w:rPr>
                <w:rFonts w:ascii="宋体" w:hAnsi="宋体" w:cs="宋体" w:eastAsia="宋体" w:hint="default"/>
                <w:w w:val="101"/>
                <w:sz w:val="18"/>
                <w:szCs w:val="18"/>
              </w:rPr>
              <w:t> </w:t>
            </w:r>
            <w:r>
              <w:rPr>
                <w:rFonts w:ascii="宋体" w:hAnsi="宋体" w:cs="宋体" w:eastAsia="宋体" w:hint="default"/>
                <w:spacing w:val="-3"/>
                <w:sz w:val="18"/>
                <w:szCs w:val="18"/>
              </w:rPr>
              <w:t>与股份公司和其控股或控制的子公司之</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间发生关联交易。</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、如果关联交易难以</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避免，交易双方将严格按照正常商业行</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为准则进行。关联交易的定价政策遵循</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市场公平、公正、公开的原则，交易价</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格依据与市场独立第三方交易价格确</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定。无市场价格可资比较或定价受到限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制的重大关联交易，按照交易的商品或</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劳务的成本基础上加合理利润的标准予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以确定交易价格，以保证交易价格的公</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允性。</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360"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控股股东及</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股份转让的</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刘泽刚、合纵投资承诺本次认购公司配</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31"/>
              <w:jc w:val="center"/>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严格遵守所</w:t>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24"/>
        <w:gridCol w:w="1129"/>
        <w:gridCol w:w="3136"/>
        <w:gridCol w:w="1128"/>
        <w:gridCol w:w="456"/>
        <w:gridCol w:w="1109"/>
      </w:tblGrid>
      <w:tr>
        <w:trPr>
          <w:trHeight w:val="1609"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2"/>
              <w:jc w:val="left"/>
              <w:rPr>
                <w:rFonts w:ascii="宋体" w:hAnsi="宋体" w:cs="宋体" w:eastAsia="宋体" w:hint="default"/>
                <w:sz w:val="18"/>
                <w:szCs w:val="18"/>
              </w:rPr>
            </w:pPr>
            <w:r>
              <w:rPr>
                <w:rFonts w:ascii="宋体" w:hAnsi="宋体" w:cs="宋体" w:eastAsia="宋体" w:hint="default"/>
                <w:sz w:val="18"/>
                <w:szCs w:val="18"/>
              </w:rPr>
              <w:t>实际控制人</w:t>
            </w:r>
            <w:r>
              <w:rPr>
                <w:rFonts w:ascii="宋体" w:hAnsi="宋体" w:cs="宋体" w:eastAsia="宋体" w:hint="default"/>
                <w:w w:val="101"/>
                <w:sz w:val="18"/>
                <w:szCs w:val="18"/>
              </w:rPr>
              <w:t> </w:t>
            </w:r>
            <w:r>
              <w:rPr>
                <w:rFonts w:ascii="宋体" w:hAnsi="宋体" w:cs="宋体" w:eastAsia="宋体" w:hint="default"/>
                <w:spacing w:val="-4"/>
                <w:sz w:val="18"/>
                <w:szCs w:val="18"/>
              </w:rPr>
              <w:t>刘泽刚、合纵</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投资</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3" w:right="37"/>
              <w:jc w:val="left"/>
              <w:rPr>
                <w:rFonts w:ascii="宋体" w:hAnsi="宋体" w:cs="宋体" w:eastAsia="宋体" w:hint="default"/>
                <w:sz w:val="18"/>
                <w:szCs w:val="18"/>
              </w:rPr>
            </w:pPr>
            <w:r>
              <w:rPr>
                <w:rFonts w:ascii="宋体" w:hAnsi="宋体" w:cs="宋体" w:eastAsia="宋体" w:hint="default"/>
                <w:spacing w:val="-3"/>
                <w:sz w:val="18"/>
                <w:szCs w:val="18"/>
              </w:rPr>
              <w:t>套募集资金发行的股份自本次发行完成</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之日起</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个月不转让。本次发行完成</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后，由于上市公司送红股、转增股本等</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原因增持的公司股份，亦应遵守上述约</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17"/>
              <w:jc w:val="left"/>
              <w:rPr>
                <w:rFonts w:ascii="宋体" w:hAnsi="宋体" w:cs="宋体" w:eastAsia="宋体" w:hint="default"/>
                <w:sz w:val="18"/>
                <w:szCs w:val="18"/>
              </w:rPr>
            </w:pP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3836"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24"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4" w:right="190"/>
              <w:jc w:val="both"/>
              <w:rPr>
                <w:rFonts w:ascii="宋体" w:hAnsi="宋体" w:cs="宋体" w:eastAsia="宋体" w:hint="default"/>
                <w:sz w:val="18"/>
                <w:szCs w:val="18"/>
              </w:rPr>
            </w:pPr>
            <w:r>
              <w:rPr>
                <w:rFonts w:ascii="宋体" w:hAnsi="宋体" w:cs="宋体" w:eastAsia="宋体" w:hint="default"/>
                <w:spacing w:val="-2"/>
                <w:sz w:val="18"/>
                <w:szCs w:val="18"/>
              </w:rPr>
              <w:t>关于公司不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存在分级收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益等结构化</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安排的承诺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37"/>
              <w:jc w:val="both"/>
              <w:rPr>
                <w:rFonts w:ascii="宋体" w:hAnsi="宋体" w:cs="宋体" w:eastAsia="宋体" w:hint="default"/>
                <w:sz w:val="18"/>
                <w:szCs w:val="18"/>
              </w:rPr>
            </w:pPr>
            <w:r>
              <w:rPr>
                <w:rFonts w:ascii="宋体" w:hAnsi="宋体" w:cs="宋体" w:eastAsia="宋体" w:hint="default"/>
                <w:spacing w:val="-3"/>
                <w:sz w:val="18"/>
                <w:szCs w:val="18"/>
              </w:rPr>
              <w:t>根据《中华人民共和国证券法》等有关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法律、法规及中国证券监督管理委员会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的相关规定，就本公司非公开发行股票</w:t>
            </w:r>
          </w:p>
          <w:p>
            <w:pPr>
              <w:pStyle w:val="TableParagraph"/>
              <w:spacing w:line="314" w:lineRule="auto" w:before="19"/>
              <w:ind w:left="23" w:right="12"/>
              <w:jc w:val="left"/>
              <w:rPr>
                <w:rFonts w:ascii="宋体" w:hAnsi="宋体" w:cs="宋体" w:eastAsia="宋体" w:hint="default"/>
                <w:sz w:val="18"/>
                <w:szCs w:val="18"/>
              </w:rPr>
            </w:pPr>
            <w:r>
              <w:rPr>
                <w:rFonts w:ascii="宋体" w:hAnsi="宋体" w:cs="宋体" w:eastAsia="宋体" w:hint="default"/>
                <w:spacing w:val="-3"/>
                <w:sz w:val="18"/>
                <w:szCs w:val="18"/>
              </w:rPr>
              <w:t>（员工持股计划）事宜，本公司承诺如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8"/>
                <w:sz w:val="18"/>
                <w:szCs w:val="18"/>
              </w:rPr>
              <w:t>下：</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上银基金合纵科技</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号资产管理计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划</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的委托人为合纵科技第一期员工持</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pacing w:val="-3"/>
                <w:sz w:val="18"/>
                <w:szCs w:val="18"/>
              </w:rPr>
              <w:t>股计划，合纵科技第一期员工持股计划</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不存在分级收益、杠杆融资及其他结构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化安排；合纵科技第一期员工持股计划</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的资金来源为持有人合法薪酬、自筹资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金，持有人之间亦不存在分级收益等结</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构化安排。</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321" w:lineRule="auto"/>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3212" w:hRule="exact"/>
        </w:trPr>
        <w:tc>
          <w:tcPr>
            <w:tcW w:w="1844"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4" w:right="190"/>
              <w:jc w:val="both"/>
              <w:rPr>
                <w:rFonts w:ascii="宋体" w:hAnsi="宋体" w:cs="宋体" w:eastAsia="宋体" w:hint="default"/>
                <w:sz w:val="18"/>
                <w:szCs w:val="18"/>
              </w:rPr>
            </w:pPr>
            <w:r>
              <w:rPr>
                <w:rFonts w:ascii="宋体" w:hAnsi="宋体" w:cs="宋体" w:eastAsia="宋体" w:hint="default"/>
                <w:spacing w:val="-2"/>
                <w:sz w:val="18"/>
                <w:szCs w:val="18"/>
              </w:rPr>
              <w:t>关于公司没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有为发行对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象提供财务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资助的承诺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8"/>
              <w:jc w:val="both"/>
              <w:rPr>
                <w:rFonts w:ascii="宋体" w:hAnsi="宋体" w:cs="宋体" w:eastAsia="宋体" w:hint="default"/>
                <w:sz w:val="18"/>
                <w:szCs w:val="18"/>
              </w:rPr>
            </w:pPr>
            <w:r>
              <w:rPr>
                <w:rFonts w:ascii="宋体" w:hAnsi="宋体" w:cs="宋体" w:eastAsia="宋体" w:hint="default"/>
                <w:spacing w:val="-3"/>
                <w:sz w:val="18"/>
                <w:szCs w:val="18"/>
              </w:rPr>
              <w:t>根据《中华人民共和国证券法》等有关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法律、法规及中国证券监督管理委员会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的相关规定，就本公司非公开发行股票</w:t>
            </w:r>
          </w:p>
          <w:p>
            <w:pPr>
              <w:pStyle w:val="TableParagraph"/>
              <w:spacing w:line="319" w:lineRule="auto" w:before="17"/>
              <w:ind w:left="23" w:right="37"/>
              <w:jc w:val="both"/>
              <w:rPr>
                <w:rFonts w:ascii="宋体" w:hAnsi="宋体" w:cs="宋体" w:eastAsia="宋体" w:hint="default"/>
                <w:sz w:val="18"/>
                <w:szCs w:val="18"/>
              </w:rPr>
            </w:pPr>
            <w:r>
              <w:rPr>
                <w:rFonts w:ascii="宋体" w:hAnsi="宋体" w:cs="宋体" w:eastAsia="宋体" w:hint="default"/>
                <w:spacing w:val="-3"/>
                <w:sz w:val="18"/>
                <w:szCs w:val="18"/>
              </w:rPr>
              <w:t>（员工持股计划）事宜，本公司承诺如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下：本公司及关联方不会违反《证券发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行与承销管理办法》第十六条等有关法</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规的规定，直接或通过利益相关方间接</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对参与公司本次非公开发行股票认购的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资管产品及其委托人提供财务资助或者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补偿。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21" w:lineRule="auto"/>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2276" w:hRule="exact"/>
        </w:trPr>
        <w:tc>
          <w:tcPr>
            <w:tcW w:w="1844" w:type="dxa"/>
            <w:vMerge/>
            <w:tcBorders>
              <w:left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12"/>
              <w:jc w:val="left"/>
              <w:rPr>
                <w:rFonts w:ascii="宋体" w:hAnsi="宋体" w:cs="宋体" w:eastAsia="宋体" w:hint="default"/>
                <w:sz w:val="18"/>
                <w:szCs w:val="18"/>
              </w:rPr>
            </w:pPr>
            <w:r>
              <w:rPr>
                <w:rFonts w:ascii="宋体" w:hAnsi="宋体" w:cs="宋体" w:eastAsia="宋体" w:hint="default"/>
                <w:sz w:val="18"/>
                <w:szCs w:val="18"/>
              </w:rPr>
              <w:t>发行人控股</w:t>
            </w:r>
            <w:r>
              <w:rPr>
                <w:rFonts w:ascii="宋体" w:hAnsi="宋体" w:cs="宋体" w:eastAsia="宋体" w:hint="default"/>
                <w:w w:val="101"/>
                <w:sz w:val="18"/>
                <w:szCs w:val="18"/>
              </w:rPr>
              <w:t> </w:t>
            </w:r>
            <w:r>
              <w:rPr>
                <w:rFonts w:ascii="宋体" w:hAnsi="宋体" w:cs="宋体" w:eastAsia="宋体" w:hint="default"/>
                <w:spacing w:val="-4"/>
                <w:sz w:val="18"/>
                <w:szCs w:val="18"/>
              </w:rPr>
              <w:t>股东、实际控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制人刘泽刚</w:t>
            </w:r>
            <w:r>
              <w:rPr>
                <w:rFonts w:ascii="宋体" w:hAnsi="宋体" w:cs="宋体" w:eastAsia="宋体" w:hint="default"/>
                <w:w w:val="101"/>
                <w:sz w:val="18"/>
                <w:szCs w:val="18"/>
              </w:rPr>
              <w:t> </w:t>
            </w:r>
            <w:r>
              <w:rPr>
                <w:rFonts w:ascii="宋体" w:hAnsi="宋体" w:cs="宋体" w:eastAsia="宋体" w:hint="default"/>
                <w:sz w:val="18"/>
                <w:szCs w:val="18"/>
              </w:rPr>
              <w:t>及一致行动</w:t>
            </w:r>
            <w:r>
              <w:rPr>
                <w:rFonts w:ascii="宋体" w:hAnsi="宋体" w:cs="宋体" w:eastAsia="宋体" w:hint="default"/>
                <w:w w:val="101"/>
                <w:sz w:val="18"/>
                <w:szCs w:val="18"/>
              </w:rPr>
              <w:t> </w:t>
            </w:r>
            <w:r>
              <w:rPr>
                <w:rFonts w:ascii="宋体" w:hAnsi="宋体" w:cs="宋体" w:eastAsia="宋体" w:hint="default"/>
                <w:spacing w:val="-4"/>
                <w:sz w:val="18"/>
                <w:szCs w:val="18"/>
              </w:rPr>
              <w:t>人韦强、张仁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增、何昀、高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星</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17"/>
              <w:jc w:val="left"/>
              <w:rPr>
                <w:rFonts w:ascii="宋体" w:hAnsi="宋体" w:cs="宋体" w:eastAsia="宋体" w:hint="default"/>
                <w:sz w:val="18"/>
                <w:szCs w:val="18"/>
              </w:rPr>
            </w:pPr>
            <w:r>
              <w:rPr>
                <w:rFonts w:ascii="宋体" w:hAnsi="宋体" w:cs="宋体" w:eastAsia="宋体" w:hint="default"/>
                <w:sz w:val="18"/>
                <w:szCs w:val="18"/>
              </w:rPr>
              <w:t>关于发行人</w:t>
            </w:r>
            <w:r>
              <w:rPr>
                <w:rFonts w:ascii="宋体" w:hAnsi="宋体" w:cs="宋体" w:eastAsia="宋体" w:hint="default"/>
                <w:w w:val="101"/>
                <w:sz w:val="18"/>
                <w:szCs w:val="18"/>
              </w:rPr>
              <w:t> </w:t>
            </w:r>
            <w:r>
              <w:rPr>
                <w:rFonts w:ascii="宋体" w:hAnsi="宋体" w:cs="宋体" w:eastAsia="宋体" w:hint="default"/>
                <w:spacing w:val="-4"/>
                <w:sz w:val="18"/>
                <w:szCs w:val="18"/>
              </w:rPr>
              <w:t>控股股东、实</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际控制人没</w:t>
            </w:r>
            <w:r>
              <w:rPr>
                <w:rFonts w:ascii="宋体" w:hAnsi="宋体" w:cs="宋体" w:eastAsia="宋体" w:hint="default"/>
                <w:w w:val="101"/>
                <w:sz w:val="18"/>
                <w:szCs w:val="18"/>
              </w:rPr>
              <w:t> </w:t>
            </w:r>
            <w:r>
              <w:rPr>
                <w:rFonts w:ascii="宋体" w:hAnsi="宋体" w:cs="宋体" w:eastAsia="宋体" w:hint="default"/>
                <w:sz w:val="18"/>
                <w:szCs w:val="18"/>
              </w:rPr>
              <w:t>有为发行对</w:t>
            </w:r>
            <w:r>
              <w:rPr>
                <w:rFonts w:ascii="宋体" w:hAnsi="宋体" w:cs="宋体" w:eastAsia="宋体" w:hint="default"/>
                <w:w w:val="101"/>
                <w:sz w:val="18"/>
                <w:szCs w:val="18"/>
              </w:rPr>
              <w:t> </w:t>
            </w:r>
            <w:r>
              <w:rPr>
                <w:rFonts w:ascii="宋体" w:hAnsi="宋体" w:cs="宋体" w:eastAsia="宋体" w:hint="default"/>
                <w:sz w:val="18"/>
                <w:szCs w:val="18"/>
              </w:rPr>
              <w:t>象提供财务</w:t>
            </w:r>
            <w:r>
              <w:rPr>
                <w:rFonts w:ascii="宋体" w:hAnsi="宋体" w:cs="宋体" w:eastAsia="宋体" w:hint="default"/>
                <w:w w:val="101"/>
                <w:sz w:val="18"/>
                <w:szCs w:val="18"/>
              </w:rPr>
              <w:t> </w:t>
            </w:r>
            <w:r>
              <w:rPr>
                <w:rFonts w:ascii="宋体" w:hAnsi="宋体" w:cs="宋体" w:eastAsia="宋体" w:hint="default"/>
                <w:sz w:val="18"/>
                <w:szCs w:val="18"/>
              </w:rPr>
              <w:t>资助的承诺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37"/>
              <w:jc w:val="both"/>
              <w:rPr>
                <w:rFonts w:ascii="宋体" w:hAnsi="宋体" w:cs="宋体" w:eastAsia="宋体" w:hint="default"/>
                <w:sz w:val="18"/>
                <w:szCs w:val="18"/>
              </w:rPr>
            </w:pPr>
            <w:r>
              <w:rPr>
                <w:rFonts w:ascii="宋体" w:hAnsi="宋体" w:cs="宋体" w:eastAsia="宋体" w:hint="default"/>
                <w:spacing w:val="-3"/>
                <w:sz w:val="18"/>
                <w:szCs w:val="18"/>
              </w:rPr>
              <w:t>刘泽刚先生及一致行动人韦强先生、张</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仁增先生、何昀先生、高星女士以及关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联方不会违反《证券发行与承销管理办</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法》第十六条及其他有关法规的规定，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直接或通过利益相关方间接对参与公司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本次非公开发行股票认购的资管产品及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其委托人提供财务资助或者补偿。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21" w:lineRule="auto"/>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r>
        <w:trPr>
          <w:trHeight w:val="2857"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0"/>
              <w:ind w:left="23" w:right="12"/>
              <w:jc w:val="left"/>
              <w:rPr>
                <w:rFonts w:ascii="宋体" w:hAnsi="宋体" w:cs="宋体" w:eastAsia="宋体" w:hint="default"/>
                <w:sz w:val="18"/>
                <w:szCs w:val="18"/>
              </w:rPr>
            </w:pPr>
            <w:r>
              <w:rPr>
                <w:rFonts w:ascii="宋体" w:hAnsi="宋体" w:cs="宋体" w:eastAsia="宋体" w:hint="default"/>
                <w:sz w:val="18"/>
                <w:szCs w:val="18"/>
              </w:rPr>
              <w:t>发行人控股</w:t>
            </w:r>
            <w:r>
              <w:rPr>
                <w:rFonts w:ascii="宋体" w:hAnsi="宋体" w:cs="宋体" w:eastAsia="宋体" w:hint="default"/>
                <w:w w:val="101"/>
                <w:sz w:val="18"/>
                <w:szCs w:val="18"/>
              </w:rPr>
              <w:t> </w:t>
            </w:r>
            <w:r>
              <w:rPr>
                <w:rFonts w:ascii="宋体" w:hAnsi="宋体" w:cs="宋体" w:eastAsia="宋体" w:hint="default"/>
                <w:spacing w:val="-4"/>
                <w:sz w:val="18"/>
                <w:szCs w:val="18"/>
              </w:rPr>
              <w:t>股东、实际控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制人刘泽刚</w:t>
            </w:r>
            <w:r>
              <w:rPr>
                <w:rFonts w:ascii="宋体" w:hAnsi="宋体" w:cs="宋体" w:eastAsia="宋体" w:hint="default"/>
                <w:w w:val="101"/>
                <w:sz w:val="18"/>
                <w:szCs w:val="18"/>
              </w:rPr>
              <w:t> </w:t>
            </w:r>
            <w:r>
              <w:rPr>
                <w:rFonts w:ascii="宋体" w:hAnsi="宋体" w:cs="宋体" w:eastAsia="宋体" w:hint="default"/>
                <w:sz w:val="18"/>
                <w:szCs w:val="18"/>
              </w:rPr>
              <w:t>及一致行动</w:t>
            </w:r>
            <w:r>
              <w:rPr>
                <w:rFonts w:ascii="宋体" w:hAnsi="宋体" w:cs="宋体" w:eastAsia="宋体" w:hint="default"/>
                <w:w w:val="101"/>
                <w:sz w:val="18"/>
                <w:szCs w:val="18"/>
              </w:rPr>
              <w:t> </w:t>
            </w:r>
            <w:r>
              <w:rPr>
                <w:rFonts w:ascii="宋体" w:hAnsi="宋体" w:cs="宋体" w:eastAsia="宋体" w:hint="default"/>
                <w:spacing w:val="-4"/>
                <w:sz w:val="18"/>
                <w:szCs w:val="18"/>
              </w:rPr>
              <w:t>人韦强、张仁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增、何昀、高</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星</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9" w:lineRule="auto"/>
              <w:ind w:left="24" w:right="190"/>
              <w:jc w:val="both"/>
              <w:rPr>
                <w:rFonts w:ascii="宋体" w:hAnsi="宋体" w:cs="宋体" w:eastAsia="宋体" w:hint="default"/>
                <w:sz w:val="18"/>
                <w:szCs w:val="18"/>
              </w:rPr>
            </w:pPr>
            <w:r>
              <w:rPr>
                <w:rFonts w:ascii="宋体" w:hAnsi="宋体" w:cs="宋体" w:eastAsia="宋体" w:hint="default"/>
                <w:spacing w:val="-2"/>
                <w:sz w:val="18"/>
                <w:szCs w:val="18"/>
              </w:rPr>
              <w:t>关于公司非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公开发行股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票摊薄即期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回报及填补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回报措施的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承诺</w:t>
            </w: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3" w:right="12"/>
              <w:jc w:val="both"/>
              <w:rPr>
                <w:rFonts w:ascii="宋体" w:hAnsi="宋体" w:cs="宋体" w:eastAsia="宋体" w:hint="default"/>
                <w:sz w:val="18"/>
                <w:szCs w:val="18"/>
              </w:rPr>
            </w:pPr>
            <w:r>
              <w:rPr>
                <w:rFonts w:ascii="宋体" w:hAnsi="宋体" w:cs="宋体" w:eastAsia="宋体" w:hint="default"/>
                <w:spacing w:val="-3"/>
                <w:sz w:val="18"/>
                <w:szCs w:val="18"/>
              </w:rPr>
              <w:t>公司董事、高级管理人员根据中国证监</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会相关规定，对公司填补回报措施能够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得到切实履行作出如下承诺：</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、承诺</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3"/>
                <w:sz w:val="18"/>
                <w:szCs w:val="18"/>
              </w:rPr>
              <w:t>不无偿或以不公平条件向其他单位或者</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个人输送利益，也不采用其他方式损害</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公司利益。</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、承诺对董事和高级管理人</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6"/>
                <w:sz w:val="18"/>
                <w:szCs w:val="18"/>
              </w:rPr>
              <w:t>员的职务消费行为进行约束。</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、承诺不</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pacing w:val="-3"/>
                <w:sz w:val="18"/>
                <w:szCs w:val="18"/>
              </w:rPr>
              <w:t>动用公司资产从事与其履行职责无关的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投资、消费活动。</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、承诺由董事会或薪</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23" w:right="55"/>
              <w:jc w:val="left"/>
              <w:rPr>
                <w:rFonts w:ascii="宋体" w:hAnsi="宋体" w:cs="宋体" w:eastAsia="宋体" w:hint="default"/>
                <w:sz w:val="18"/>
                <w:szCs w:val="18"/>
              </w:rPr>
            </w:pPr>
            <w:r>
              <w:rPr>
                <w:rFonts w:ascii="宋体" w:hAnsi="宋体" w:cs="宋体" w:eastAsia="宋体" w:hint="default"/>
                <w:sz w:val="18"/>
                <w:szCs w:val="18"/>
              </w:rPr>
              <w:t>长期</w:t>
            </w:r>
            <w:r>
              <w:rPr>
                <w:rFonts w:ascii="宋体" w:hAnsi="宋体" w:cs="宋体" w:eastAsia="宋体" w:hint="default"/>
                <w:spacing w:val="-86"/>
                <w:sz w:val="18"/>
                <w:szCs w:val="18"/>
              </w:rPr>
              <w:t> </w:t>
            </w:r>
            <w:r>
              <w:rPr>
                <w:rFonts w:ascii="宋体" w:hAnsi="宋体" w:cs="宋体" w:eastAsia="宋体" w:hint="default"/>
                <w:sz w:val="18"/>
                <w:szCs w:val="18"/>
              </w:rPr>
              <w:t>有效</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319" w:lineRule="auto"/>
              <w:ind w:left="23" w:right="17"/>
              <w:jc w:val="left"/>
              <w:rPr>
                <w:rFonts w:ascii="宋体" w:hAnsi="宋体" w:cs="宋体" w:eastAsia="宋体" w:hint="default"/>
                <w:sz w:val="18"/>
                <w:szCs w:val="18"/>
              </w:rPr>
            </w:pPr>
            <w:r>
              <w:rPr>
                <w:rFonts w:ascii="宋体" w:hAnsi="宋体" w:cs="宋体" w:eastAsia="宋体" w:hint="default"/>
                <w:sz w:val="18"/>
                <w:szCs w:val="18"/>
              </w:rPr>
              <w:t>严格遵守所</w:t>
            </w:r>
            <w:r>
              <w:rPr>
                <w:rFonts w:ascii="宋体" w:hAnsi="宋体" w:cs="宋体" w:eastAsia="宋体" w:hint="default"/>
                <w:w w:val="101"/>
                <w:sz w:val="18"/>
                <w:szCs w:val="18"/>
              </w:rPr>
              <w:t> </w:t>
            </w:r>
            <w:r>
              <w:rPr>
                <w:rFonts w:ascii="宋体" w:hAnsi="宋体" w:cs="宋体" w:eastAsia="宋体" w:hint="default"/>
                <w:spacing w:val="-7"/>
                <w:sz w:val="18"/>
                <w:szCs w:val="18"/>
              </w:rPr>
              <w:t>做的承诺，未</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发生违反承</w:t>
            </w:r>
            <w:r>
              <w:rPr>
                <w:rFonts w:ascii="宋体" w:hAnsi="宋体" w:cs="宋体" w:eastAsia="宋体" w:hint="default"/>
                <w:w w:val="101"/>
                <w:sz w:val="18"/>
                <w:szCs w:val="18"/>
              </w:rPr>
              <w:t> </w:t>
            </w:r>
            <w:r>
              <w:rPr>
                <w:rFonts w:ascii="宋体" w:hAnsi="宋体" w:cs="宋体" w:eastAsia="宋体" w:hint="default"/>
                <w:sz w:val="18"/>
                <w:szCs w:val="18"/>
              </w:rPr>
              <w:t>诺的情形</w:t>
            </w:r>
          </w:p>
        </w:tc>
      </w:tr>
    </w:tbl>
    <w:p>
      <w:pPr>
        <w:spacing w:after="0" w:line="319"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844"/>
        <w:gridCol w:w="1124"/>
        <w:gridCol w:w="1129"/>
        <w:gridCol w:w="3136"/>
        <w:gridCol w:w="1128"/>
        <w:gridCol w:w="456"/>
        <w:gridCol w:w="1109"/>
      </w:tblGrid>
      <w:tr>
        <w:trPr>
          <w:trHeight w:val="3169"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tcPr>
          <w:p>
            <w:pPr/>
          </w:p>
        </w:tc>
        <w:tc>
          <w:tcPr>
            <w:tcW w:w="1129" w:type="dxa"/>
            <w:tcBorders>
              <w:top w:val="single" w:sz="4" w:space="0" w:color="000000"/>
              <w:left w:val="single" w:sz="4" w:space="0" w:color="000000"/>
              <w:bottom w:val="single" w:sz="4" w:space="0" w:color="000000"/>
              <w:right w:val="single" w:sz="4" w:space="0" w:color="000000"/>
            </w:tcBorders>
          </w:tcPr>
          <w:p>
            <w:pPr/>
          </w:p>
        </w:tc>
        <w:tc>
          <w:tcPr>
            <w:tcW w:w="313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12"/>
              <w:jc w:val="left"/>
              <w:rPr>
                <w:rFonts w:ascii="宋体" w:hAnsi="宋体" w:cs="宋体" w:eastAsia="宋体" w:hint="default"/>
                <w:sz w:val="18"/>
                <w:szCs w:val="18"/>
              </w:rPr>
            </w:pPr>
            <w:r>
              <w:rPr>
                <w:rFonts w:ascii="宋体" w:hAnsi="宋体" w:cs="宋体" w:eastAsia="宋体" w:hint="default"/>
                <w:spacing w:val="-3"/>
                <w:sz w:val="18"/>
                <w:szCs w:val="18"/>
              </w:rPr>
              <w:t>酬委员会制定的薪酬制度与公司填补回</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报措施的执行情况相挂钩。</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、承诺拟公</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布的公司股权激励的行权条件与公司填</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6"/>
                <w:sz w:val="18"/>
                <w:szCs w:val="18"/>
              </w:rPr>
              <w:t>补回报措施的执行情况相挂钩。</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公司的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第一大股东刘泽刚、实际控制人刘泽刚</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及其一致行动人韦强、张仁增、何昀、</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高星根据中国证监会相关规定，对公司</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填补回报措施能够得到切实履行作出如</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下承诺：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不越权干预公司经营管理活</w:t>
            </w:r>
            <w:r>
              <w:rPr>
                <w:rFonts w:ascii="宋体" w:hAnsi="宋体" w:cs="宋体" w:eastAsia="宋体" w:hint="default"/>
                <w:spacing w:val="-35"/>
                <w:sz w:val="18"/>
                <w:szCs w:val="18"/>
              </w:rPr>
              <w:t> </w:t>
            </w:r>
            <w:r>
              <w:rPr>
                <w:rFonts w:ascii="宋体" w:hAnsi="宋体" w:cs="宋体" w:eastAsia="宋体" w:hint="default"/>
                <w:spacing w:val="-35"/>
                <w:sz w:val="18"/>
                <w:szCs w:val="18"/>
              </w:rPr>
            </w:r>
            <w:r>
              <w:rPr>
                <w:rFonts w:ascii="宋体" w:hAnsi="宋体" w:cs="宋体" w:eastAsia="宋体" w:hint="default"/>
                <w:sz w:val="18"/>
                <w:szCs w:val="18"/>
              </w:rPr>
              <w:t>动，不侵占公司利益。</w:t>
            </w:r>
          </w:p>
        </w:tc>
        <w:tc>
          <w:tcPr>
            <w:tcW w:w="112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85"/>
              <w:jc w:val="left"/>
              <w:rPr>
                <w:rFonts w:ascii="宋体" w:hAnsi="宋体" w:cs="宋体" w:eastAsia="宋体" w:hint="default"/>
                <w:sz w:val="18"/>
                <w:szCs w:val="18"/>
              </w:rPr>
            </w:pPr>
            <w:r>
              <w:rPr>
                <w:rFonts w:ascii="宋体" w:hAnsi="宋体" w:cs="宋体" w:eastAsia="宋体" w:hint="default"/>
                <w:spacing w:val="-3"/>
                <w:sz w:val="18"/>
                <w:szCs w:val="18"/>
              </w:rPr>
              <w:t>其他对公司中小股东</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所作承诺</w:t>
            </w:r>
          </w:p>
        </w:tc>
        <w:tc>
          <w:tcPr>
            <w:tcW w:w="80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80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1340"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如承诺超期未履行完</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4"/>
                <w:sz w:val="18"/>
                <w:szCs w:val="18"/>
              </w:rPr>
              <w:t>毕的，应当详细说明未</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完成履行的具体原因</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及下一步的工作计划</w:t>
            </w:r>
          </w:p>
        </w:tc>
        <w:tc>
          <w:tcPr>
            <w:tcW w:w="808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6" w:lineRule="auto" w:before="36"/>
        <w:ind w:right="0"/>
        <w:jc w:val="left"/>
        <w:rPr>
          <w:b w:val="0"/>
          <w:bCs w:val="0"/>
        </w:rPr>
      </w:pPr>
      <w:bookmarkStart w:name="2、公司资产或项目存在盈利预测，且报告期仍处在盈利预测期间，公司就资产或项目达到" w:id="66"/>
      <w:bookmarkEnd w:id="66"/>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196"/>
        <w:gridCol w:w="1196"/>
        <w:gridCol w:w="1196"/>
        <w:gridCol w:w="1196"/>
        <w:gridCol w:w="1196"/>
        <w:gridCol w:w="1201"/>
        <w:gridCol w:w="1196"/>
        <w:gridCol w:w="1195"/>
      </w:tblGrid>
      <w:tr>
        <w:trPr>
          <w:trHeight w:val="71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44" w:right="46" w:hanging="92"/>
              <w:jc w:val="left"/>
              <w:rPr>
                <w:rFonts w:ascii="宋体" w:hAnsi="宋体" w:cs="宋体" w:eastAsia="宋体" w:hint="default"/>
                <w:sz w:val="18"/>
                <w:szCs w:val="18"/>
              </w:rPr>
            </w:pPr>
            <w:r>
              <w:rPr>
                <w:rFonts w:ascii="宋体" w:hAnsi="宋体" w:cs="宋体" w:eastAsia="宋体" w:hint="default"/>
                <w:spacing w:val="-2"/>
                <w:sz w:val="18"/>
                <w:szCs w:val="18"/>
              </w:rPr>
              <w:t>盈利预测资产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或项目名称</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left="9"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2" w:right="51"/>
              <w:jc w:val="left"/>
              <w:rPr>
                <w:rFonts w:ascii="宋体" w:hAnsi="宋体" w:cs="宋体" w:eastAsia="宋体" w:hint="default"/>
                <w:sz w:val="18"/>
                <w:szCs w:val="18"/>
              </w:rPr>
            </w:pPr>
            <w:r>
              <w:rPr>
                <w:rFonts w:ascii="宋体" w:hAnsi="宋体" w:cs="宋体" w:eastAsia="宋体" w:hint="default"/>
                <w:spacing w:val="-2"/>
                <w:sz w:val="18"/>
                <w:szCs w:val="18"/>
              </w:rPr>
              <w:t>未达预测的原</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因（如适用）</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4" w:right="46"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期</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03" w:right="45" w:hanging="452"/>
              <w:jc w:val="left"/>
              <w:rPr>
                <w:rFonts w:ascii="宋体" w:hAnsi="宋体" w:cs="宋体" w:eastAsia="宋体" w:hint="default"/>
                <w:sz w:val="18"/>
                <w:szCs w:val="18"/>
              </w:rPr>
            </w:pPr>
            <w:r>
              <w:rPr>
                <w:rFonts w:ascii="宋体" w:hAnsi="宋体" w:cs="宋体" w:eastAsia="宋体" w:hint="default"/>
                <w:spacing w:val="-2"/>
                <w:sz w:val="18"/>
                <w:szCs w:val="18"/>
              </w:rPr>
              <w:t>原预测披露索</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引</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3,935.35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国家政策影响</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9,100.47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湖南雅城</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3,817.01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pStyle w:val="BodyText"/>
        <w:spacing w:line="240" w:lineRule="auto" w:before="53"/>
        <w:ind w:right="0"/>
        <w:jc w:val="left"/>
      </w:pPr>
      <w:r>
        <w:rPr>
          <w:spacing w:val="-3"/>
        </w:rPr>
        <w:t>公司股东、交易对手方对公司或相关资产年度经营业绩作出的承诺情况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580" w:right="0"/>
        <w:jc w:val="left"/>
      </w:pPr>
      <w:r>
        <w:rPr>
          <w:spacing w:val="-3"/>
        </w:rPr>
        <w:t>李智军、科恒股份、臻泰新能源、傅文伟、谢红根、泓科投资、张大星、孙资光、廖扬青承诺，湖南雅城</w:t>
      </w:r>
      <w:r>
        <w:rPr>
          <w:rFonts w:ascii="Times New Roman" w:hAnsi="Times New Roman" w:cs="Times New Roman" w:eastAsia="Times New Roman" w:hint="default"/>
          <w:spacing w:val="-3"/>
        </w:rPr>
        <w:t>2016</w:t>
      </w:r>
      <w:r>
        <w:rPr>
          <w:spacing w:val="-3"/>
        </w:rPr>
        <w:t>年度、</w:t>
      </w:r>
    </w:p>
    <w:p>
      <w:pPr>
        <w:pStyle w:val="BodyText"/>
        <w:spacing w:line="300" w:lineRule="auto" w:before="63"/>
        <w:ind w:left="580" w:right="0" w:hanging="428"/>
        <w:jc w:val="left"/>
      </w:pP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年度实现的净利润分别不低于</w:t>
      </w:r>
      <w:r>
        <w:rPr>
          <w:rFonts w:ascii="Times New Roman" w:hAnsi="Times New Roman" w:cs="Times New Roman" w:eastAsia="Times New Roman" w:hint="default"/>
        </w:rPr>
        <w:t>3,814</w:t>
      </w:r>
      <w:r>
        <w:rPr/>
        <w:t>万元、</w:t>
      </w:r>
      <w:r>
        <w:rPr>
          <w:rFonts w:ascii="Times New Roman" w:hAnsi="Times New Roman" w:cs="Times New Roman" w:eastAsia="Times New Roman" w:hint="default"/>
        </w:rPr>
        <w:t>5,152</w:t>
      </w:r>
      <w:r>
        <w:rPr/>
        <w:t>万元和</w:t>
      </w:r>
      <w:r>
        <w:rPr>
          <w:rFonts w:ascii="Times New Roman" w:hAnsi="Times New Roman" w:cs="Times New Roman" w:eastAsia="Times New Roman" w:hint="default"/>
        </w:rPr>
        <w:t>6,629</w:t>
      </w:r>
      <w:r>
        <w:rPr/>
        <w:t>万元。</w:t>
      </w:r>
      <w:r>
        <w:rPr>
          <w:w w:val="101"/>
        </w:rPr>
        <w:t> </w:t>
      </w:r>
      <w:r>
        <w:rPr>
          <w:spacing w:val="-3"/>
        </w:rPr>
        <w:t>毛科娟、朱梅芬、金友功、叶勤、刘骐玮承诺江苏鹏创</w:t>
      </w:r>
      <w:r>
        <w:rPr>
          <w:rFonts w:ascii="Times New Roman" w:hAnsi="Times New Roman" w:cs="Times New Roman" w:eastAsia="Times New Roman" w:hint="default"/>
          <w:spacing w:val="-3"/>
        </w:rPr>
        <w:t>2016</w:t>
      </w:r>
      <w:r>
        <w:rPr>
          <w:spacing w:val="-3"/>
        </w:rPr>
        <w:t>年度、</w:t>
      </w:r>
      <w:r>
        <w:rPr>
          <w:rFonts w:ascii="Times New Roman" w:hAnsi="Times New Roman" w:cs="Times New Roman" w:eastAsia="Times New Roman" w:hint="default"/>
          <w:spacing w:val="-3"/>
        </w:rPr>
        <w:t>2017</w:t>
      </w:r>
      <w:r>
        <w:rPr>
          <w:spacing w:val="-3"/>
        </w:rPr>
        <w:t>年度、</w:t>
      </w:r>
      <w:r>
        <w:rPr>
          <w:rFonts w:ascii="Times New Roman" w:hAnsi="Times New Roman" w:cs="Times New Roman" w:eastAsia="Times New Roman" w:hint="default"/>
          <w:spacing w:val="-3"/>
        </w:rPr>
        <w:t>2018</w:t>
      </w:r>
      <w:r>
        <w:rPr>
          <w:spacing w:val="-3"/>
        </w:rPr>
        <w:t>年度、</w:t>
      </w:r>
      <w:r>
        <w:rPr>
          <w:rFonts w:ascii="Times New Roman" w:hAnsi="Times New Roman" w:cs="Times New Roman" w:eastAsia="Times New Roman" w:hint="default"/>
          <w:spacing w:val="-3"/>
        </w:rPr>
        <w:t>2019</w:t>
      </w:r>
      <w:r>
        <w:rPr>
          <w:spacing w:val="-3"/>
        </w:rPr>
        <w:t>年度实现的净利润合计</w:t>
      </w:r>
    </w:p>
    <w:p>
      <w:pPr>
        <w:pStyle w:val="BodyText"/>
        <w:spacing w:line="343" w:lineRule="auto" w:before="13"/>
        <w:ind w:right="6287"/>
        <w:jc w:val="left"/>
      </w:pPr>
      <w:r>
        <w:rPr/>
        <w:t>不低于</w:t>
      </w:r>
      <w:r>
        <w:rPr>
          <w:rFonts w:ascii="Times New Roman" w:hAnsi="Times New Roman" w:cs="Times New Roman" w:eastAsia="Times New Roman" w:hint="default"/>
        </w:rPr>
        <w:t>6,715</w:t>
      </w:r>
      <w:r>
        <w:rPr/>
        <w:t>万元。</w:t>
      </w:r>
      <w:r>
        <w:rPr>
          <w:w w:val="101"/>
        </w:rPr>
        <w:t> </w:t>
      </w:r>
      <w:r>
        <w:rPr>
          <w:spacing w:val="-3"/>
        </w:rPr>
        <w:t>业绩承诺的完成情况及其对商誉减值测试的影响</w:t>
      </w:r>
    </w:p>
    <w:p>
      <w:pPr>
        <w:pStyle w:val="BodyText"/>
        <w:spacing w:line="300" w:lineRule="auto" w:before="32"/>
        <w:ind w:right="0" w:firstLine="427"/>
        <w:jc w:val="left"/>
      </w:pPr>
      <w:r>
        <w:rPr>
          <w:rFonts w:ascii="Times New Roman" w:hAnsi="Times New Roman" w:cs="Times New Roman" w:eastAsia="Times New Roman" w:hint="default"/>
          <w:spacing w:val="-3"/>
        </w:rPr>
        <w:t>2018</w:t>
      </w:r>
      <w:r>
        <w:rPr>
          <w:spacing w:val="-3"/>
        </w:rPr>
        <w:t>年度根据北京卓信大华资产评估有限公司对湖南雅城商誉资产组的可收回价值进行估值，公司计提商誉减值准备</w:t>
      </w:r>
      <w:r>
        <w:rPr>
          <w:w w:val="101"/>
        </w:rPr>
        <w:t> </w:t>
      </w:r>
      <w:r>
        <w:rPr>
          <w:spacing w:val="-3"/>
        </w:rPr>
        <w:t>金额为</w:t>
      </w:r>
      <w:r>
        <w:rPr>
          <w:rFonts w:ascii="Times New Roman" w:hAnsi="Times New Roman" w:cs="Times New Roman" w:eastAsia="Times New Roman" w:hint="default"/>
          <w:spacing w:val="-3"/>
        </w:rPr>
        <w:t>1,733.71</w:t>
      </w:r>
      <w:r>
        <w:rPr>
          <w:spacing w:val="-3"/>
        </w:rPr>
        <w:t>万元。该项减值损失计入公司</w:t>
      </w:r>
      <w:r>
        <w:rPr>
          <w:rFonts w:ascii="Times New Roman" w:hAnsi="Times New Roman" w:cs="Times New Roman" w:eastAsia="Times New Roman" w:hint="default"/>
          <w:spacing w:val="-3"/>
        </w:rPr>
        <w:t>2018</w:t>
      </w:r>
      <w:r>
        <w:rPr>
          <w:spacing w:val="-3"/>
        </w:rPr>
        <w:t>年度合并报表归属于母公司股东的净利润相应减少</w:t>
      </w:r>
      <w:r>
        <w:rPr>
          <w:rFonts w:ascii="Times New Roman" w:hAnsi="Times New Roman" w:cs="Times New Roman" w:eastAsia="Times New Roman" w:hint="default"/>
          <w:spacing w:val="-3"/>
        </w:rPr>
        <w:t>1,733.71</w:t>
      </w:r>
      <w:r>
        <w:rPr>
          <w:spacing w:val="-3"/>
        </w:rPr>
        <w:t>万元。</w:t>
      </w:r>
    </w:p>
    <w:p>
      <w:pPr>
        <w:spacing w:after="0" w:line="300" w:lineRule="auto"/>
        <w:jc w:val="left"/>
        <w:sectPr>
          <w:pgSz w:w="11910" w:h="16840"/>
          <w:pgMar w:header="741" w:footer="979" w:top="1060" w:bottom="1160" w:left="980" w:right="0"/>
        </w:sectPr>
      </w:pPr>
    </w:p>
    <w:p>
      <w:pPr>
        <w:spacing w:line="240" w:lineRule="auto" w:before="10"/>
        <w:rPr>
          <w:rFonts w:ascii="宋体" w:hAnsi="宋体" w:cs="宋体" w:eastAsia="宋体" w:hint="default"/>
          <w:sz w:val="23"/>
          <w:szCs w:val="23"/>
        </w:rPr>
      </w:pPr>
    </w:p>
    <w:p>
      <w:pPr>
        <w:pStyle w:val="Heading2"/>
        <w:spacing w:line="240" w:lineRule="auto" w:before="26"/>
        <w:ind w:right="0"/>
        <w:jc w:val="left"/>
        <w:rPr>
          <w:b w:val="0"/>
          <w:bCs w:val="0"/>
        </w:rPr>
      </w:pPr>
      <w:bookmarkStart w:name="三、控股股东及其关联方对上市公司的非经营性占用资金情况" w:id="67"/>
      <w:bookmarkEnd w:id="67"/>
      <w:r>
        <w:rPr>
          <w:b w:val="0"/>
          <w:bCs w:val="0"/>
        </w:rPr>
      </w:r>
      <w:r>
        <w:rPr/>
        <w:t>三、控股股东及其关联方对上市公司的非经营性占用资金情况</w:t>
      </w:r>
      <w:r>
        <w:rPr>
          <w:b w:val="0"/>
          <w:bCs w:val="0"/>
        </w:rPr>
      </w:r>
    </w:p>
    <w:p>
      <w:pPr>
        <w:spacing w:line="240" w:lineRule="auto" w:before="3"/>
        <w:rPr>
          <w:rFonts w:ascii="宋体" w:hAnsi="宋体" w:cs="宋体" w:eastAsia="宋体" w:hint="default"/>
          <w:b/>
          <w:bCs/>
          <w:sz w:val="27"/>
          <w:szCs w:val="27"/>
        </w:rPr>
      </w:pPr>
    </w:p>
    <w:p>
      <w:pPr>
        <w:pStyle w:val="BodyText"/>
        <w:spacing w:line="338" w:lineRule="auto"/>
        <w:ind w:right="4202"/>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公司报告期不存在控股股东及其关联方对上市公司的非经营性占用资金。</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四、董事会对最近一期“非标准审计报告”相关情况的说明" w:id="68"/>
      <w:bookmarkEnd w:id="68"/>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9"/>
      <w:bookmarkEnd w:id="69"/>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六、董事会关于报告期会计政策、会计估计变更或重大会计差错更正的说明" w:id="70"/>
      <w:bookmarkEnd w:id="70"/>
      <w:r>
        <w:rPr>
          <w:b w:val="0"/>
          <w:bCs w:val="0"/>
        </w:rPr>
      </w:r>
      <w:r>
        <w:rPr/>
        <w:t>六、董事会关于报告期会计政策、会计估计变更或重大会计差错更正的说明</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七、与上年度财务报告相比，合并报表范围发生变化的情况说明" w:id="71"/>
      <w:bookmarkEnd w:id="71"/>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7"/>
          <w:szCs w:val="27"/>
        </w:rPr>
      </w:pPr>
    </w:p>
    <w:p>
      <w:pPr>
        <w:pStyle w:val="BodyText"/>
        <w:spacing w:line="343" w:lineRule="auto"/>
        <w:ind w:right="914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r>
        <w:rPr>
          <w:w w:val="101"/>
        </w:rPr>
        <w:t> </w:t>
      </w:r>
      <w:r>
        <w:rPr/>
        <w:t>注：</w:t>
      </w:r>
    </w:p>
    <w:p>
      <w:pPr>
        <w:pStyle w:val="BodyText"/>
        <w:spacing w:line="240" w:lineRule="auto" w:before="37"/>
        <w:ind w:right="0"/>
        <w:jc w:val="left"/>
      </w:pPr>
      <w:r>
        <w:rPr>
          <w:rFonts w:ascii="Times New Roman" w:hAnsi="Times New Roman" w:cs="Times New Roman" w:eastAsia="Times New Roman" w:hint="default"/>
          <w:spacing w:val="-3"/>
        </w:rPr>
        <w:t>1</w:t>
      </w:r>
      <w:r>
        <w:rPr>
          <w:spacing w:val="-3"/>
        </w:rPr>
        <w:t>、新增投资设立合纵智豐科技有限公司，公司持股</w:t>
      </w:r>
      <w:r>
        <w:rPr>
          <w:rFonts w:ascii="Times New Roman" w:hAnsi="Times New Roman" w:cs="Times New Roman" w:eastAsia="Times New Roman" w:hint="default"/>
          <w:spacing w:val="-3"/>
        </w:rPr>
        <w:t>51%</w:t>
      </w:r>
      <w:r>
        <w:rPr>
          <w:spacing w:val="-3"/>
        </w:rPr>
        <w:t>；</w:t>
      </w:r>
    </w:p>
    <w:p>
      <w:pPr>
        <w:pStyle w:val="BodyText"/>
        <w:spacing w:line="240" w:lineRule="auto" w:before="101"/>
        <w:ind w:right="0"/>
        <w:jc w:val="left"/>
      </w:pPr>
      <w:r>
        <w:rPr>
          <w:rFonts w:ascii="Times New Roman" w:hAnsi="Times New Roman" w:cs="Times New Roman" w:eastAsia="Times New Roman" w:hint="default"/>
          <w:spacing w:val="-3"/>
        </w:rPr>
        <w:t>2</w:t>
      </w:r>
      <w:r>
        <w:rPr>
          <w:spacing w:val="-3"/>
        </w:rPr>
        <w:t>、新增投资设立全资子公司上海合纵电力物联网科技有限公司。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4"/>
          <w:szCs w:val="14"/>
        </w:rPr>
      </w:pPr>
    </w:p>
    <w:p>
      <w:pPr>
        <w:pStyle w:val="Heading2"/>
        <w:spacing w:line="240" w:lineRule="auto"/>
        <w:ind w:right="0"/>
        <w:jc w:val="left"/>
        <w:rPr>
          <w:b w:val="0"/>
          <w:bCs w:val="0"/>
        </w:rPr>
      </w:pPr>
      <w:bookmarkStart w:name="八、聘任、解聘会计师事务所情况" w:id="72"/>
      <w:bookmarkEnd w:id="72"/>
      <w:r>
        <w:rPr>
          <w:b w:val="0"/>
          <w:bCs w:val="0"/>
        </w:rPr>
      </w:r>
      <w:r>
        <w:rPr/>
        <w:t>八、聘任、解聘会计师事务所情况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现聘任的会计事务所</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2"/>
        <w:gridCol w:w="4777"/>
      </w:tblGrid>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中兴财光华会计师事务所（特殊普通合伙）</w:t>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75</w:t>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z w:val="18"/>
                <w:szCs w:val="18"/>
              </w:rPr>
              <w:t>陈跃华 </w:t>
            </w:r>
            <w:r>
              <w:rPr>
                <w:rFonts w:ascii="宋体" w:hAnsi="宋体" w:cs="宋体" w:eastAsia="宋体" w:hint="default"/>
                <w:spacing w:val="1"/>
                <w:sz w:val="18"/>
                <w:szCs w:val="18"/>
              </w:rPr>
              <w:t> </w:t>
            </w:r>
            <w:r>
              <w:rPr>
                <w:rFonts w:ascii="宋体" w:hAnsi="宋体" w:cs="宋体" w:eastAsia="宋体" w:hint="default"/>
                <w:sz w:val="18"/>
                <w:szCs w:val="18"/>
              </w:rPr>
              <w:t>丁西国</w:t>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398"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境</w:t>
            </w:r>
            <w:r>
              <w:rPr>
                <w:rFonts w:ascii="宋体" w:hAnsi="宋体" w:cs="宋体" w:eastAsia="宋体" w:hint="default"/>
                <w:spacing w:val="-5"/>
                <w:w w:val="101"/>
                <w:sz w:val="18"/>
                <w:szCs w:val="18"/>
              </w:rPr>
              <w:t>外</w:t>
            </w:r>
            <w:r>
              <w:rPr>
                <w:rFonts w:ascii="宋体" w:hAnsi="宋体" w:cs="宋体" w:eastAsia="宋体" w:hint="default"/>
                <w:w w:val="101"/>
                <w:sz w:val="18"/>
                <w:szCs w:val="18"/>
              </w:rPr>
              <w:t>会</w:t>
            </w:r>
            <w:r>
              <w:rPr>
                <w:rFonts w:ascii="宋体" w:hAnsi="宋体" w:cs="宋体" w:eastAsia="宋体" w:hint="default"/>
                <w:spacing w:val="-5"/>
                <w:w w:val="101"/>
                <w:sz w:val="18"/>
                <w:szCs w:val="18"/>
              </w:rPr>
              <w:t>计</w:t>
            </w:r>
            <w:r>
              <w:rPr>
                <w:rFonts w:ascii="宋体" w:hAnsi="宋体" w:cs="宋体" w:eastAsia="宋体" w:hint="default"/>
                <w:w w:val="101"/>
                <w:sz w:val="18"/>
                <w:szCs w:val="18"/>
              </w:rPr>
              <w:t>师</w:t>
            </w:r>
            <w:r>
              <w:rPr>
                <w:rFonts w:ascii="宋体" w:hAnsi="宋体" w:cs="宋体" w:eastAsia="宋体" w:hint="default"/>
                <w:spacing w:val="-5"/>
                <w:w w:val="101"/>
                <w:sz w:val="18"/>
                <w:szCs w:val="18"/>
              </w:rPr>
              <w:t>事</w:t>
            </w:r>
            <w:r>
              <w:rPr>
                <w:rFonts w:ascii="宋体" w:hAnsi="宋体" w:cs="宋体" w:eastAsia="宋体" w:hint="default"/>
                <w:w w:val="101"/>
                <w:sz w:val="18"/>
                <w:szCs w:val="18"/>
              </w:rPr>
              <w:t>务</w:t>
            </w:r>
            <w:r>
              <w:rPr>
                <w:rFonts w:ascii="宋体" w:hAnsi="宋体" w:cs="宋体" w:eastAsia="宋体" w:hint="default"/>
                <w:spacing w:val="-5"/>
                <w:w w:val="101"/>
                <w:sz w:val="18"/>
                <w:szCs w:val="18"/>
              </w:rPr>
              <w:t>所</w:t>
            </w:r>
            <w:r>
              <w:rPr>
                <w:rFonts w:ascii="宋体" w:hAnsi="宋体" w:cs="宋体" w:eastAsia="宋体" w:hint="default"/>
                <w:w w:val="101"/>
                <w:sz w:val="18"/>
                <w:szCs w:val="18"/>
              </w:rPr>
              <w:t>报</w:t>
            </w:r>
            <w:r>
              <w:rPr>
                <w:rFonts w:ascii="宋体" w:hAnsi="宋体" w:cs="宋体" w:eastAsia="宋体" w:hint="default"/>
                <w:spacing w:val="-5"/>
                <w:w w:val="101"/>
                <w:sz w:val="18"/>
                <w:szCs w:val="18"/>
              </w:rPr>
              <w:t>酬</w:t>
            </w:r>
            <w:r>
              <w:rPr>
                <w:rFonts w:ascii="宋体" w:hAnsi="宋体" w:cs="宋体" w:eastAsia="宋体" w:hint="default"/>
                <w:w w:val="101"/>
                <w:sz w:val="18"/>
                <w:szCs w:val="18"/>
              </w:rPr>
              <w:t>（</w:t>
            </w:r>
            <w:r>
              <w:rPr>
                <w:rFonts w:ascii="宋体" w:hAnsi="宋体" w:cs="宋体" w:eastAsia="宋体" w:hint="default"/>
                <w:spacing w:val="-5"/>
                <w:w w:val="101"/>
                <w:sz w:val="18"/>
                <w:szCs w:val="18"/>
              </w:rPr>
              <w:t>万</w:t>
            </w:r>
            <w:r>
              <w:rPr>
                <w:rFonts w:ascii="宋体" w:hAnsi="宋体" w:cs="宋体" w:eastAsia="宋体" w:hint="default"/>
                <w:w w:val="101"/>
                <w:sz w:val="18"/>
                <w:szCs w:val="18"/>
              </w:rPr>
              <w:t>元</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如</w:t>
            </w:r>
            <w:r>
              <w:rPr>
                <w:rFonts w:ascii="宋体" w:hAnsi="宋体" w:cs="宋体" w:eastAsia="宋体" w:hint="default"/>
                <w:spacing w:val="-5"/>
                <w:w w:val="101"/>
                <w:sz w:val="18"/>
                <w:szCs w:val="18"/>
              </w:rPr>
              <w:t>有</w:t>
            </w:r>
            <w:r>
              <w:rPr>
                <w:rFonts w:ascii="宋体" w:hAnsi="宋体" w:cs="宋体" w:eastAsia="宋体" w:hint="default"/>
                <w:w w:val="101"/>
                <w:sz w:val="18"/>
                <w:szCs w:val="18"/>
              </w:rPr>
              <w:t>）</w:t>
            </w:r>
            <w:r>
              <w:rPr>
                <w:rFonts w:ascii="宋体" w:hAnsi="宋体" w:cs="宋体" w:eastAsia="宋体" w:hint="default"/>
                <w:sz w:val="18"/>
                <w:szCs w:val="18"/>
              </w:rPr>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3"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4"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t>是否改聘会计师事务所</w:t>
      </w:r>
    </w:p>
    <w:p>
      <w:pPr>
        <w:pStyle w:val="BodyText"/>
        <w:spacing w:line="343" w:lineRule="auto" w:before="114"/>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聘请内部控制审计会计师事务所、财务顾问或保荐人情况</w:t>
      </w:r>
    </w:p>
    <w:p>
      <w:pPr>
        <w:spacing w:after="0" w:line="343" w:lineRule="auto"/>
        <w:jc w:val="left"/>
        <w:sectPr>
          <w:pgSz w:w="11910" w:h="16840"/>
          <w:pgMar w:header="741" w:footer="979"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九、年度报告披露后面临暂停上市和终止上市情况" w:id="73"/>
      <w:bookmarkEnd w:id="73"/>
      <w:r>
        <w:rPr>
          <w:b w:val="0"/>
          <w:bCs w:val="0"/>
        </w:rPr>
      </w:r>
      <w:r>
        <w:rPr/>
        <w:t>九、年度报告披露后面临暂停上市和终止上市情况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4"/>
      <w:bookmarkEnd w:id="74"/>
      <w:r>
        <w:rPr>
          <w:b w:val="0"/>
          <w:bCs w:val="0"/>
        </w:rPr>
      </w:r>
      <w:r>
        <w:rPr/>
        <w:t>十、破产重整相关事项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公司报告期未发生破产重整相关事项。</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一、重大诉讼、仲裁事项" w:id="75"/>
      <w:bookmarkEnd w:id="75"/>
      <w:r>
        <w:rPr>
          <w:b w:val="0"/>
          <w:bCs w:val="0"/>
        </w:rPr>
      </w:r>
      <w:r>
        <w:rPr/>
        <w:t>十一、重大诉讼、仲裁事项</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本年度公司无重大诉讼、仲裁事项。</w:t>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bookmarkStart w:name="十二、处罚及整改情况" w:id="76"/>
      <w:bookmarkEnd w:id="76"/>
      <w:r>
        <w:rPr>
          <w:b w:val="0"/>
          <w:bCs w:val="0"/>
        </w:rPr>
      </w:r>
      <w:r>
        <w:rPr/>
        <w:t>十二、处罚及整改情况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公司报告期不存在处罚及整改情况。</w:t>
      </w:r>
    </w:p>
    <w:p>
      <w:pPr>
        <w:spacing w:line="240" w:lineRule="auto" w:before="4"/>
        <w:rPr>
          <w:rFonts w:ascii="宋体" w:hAnsi="宋体" w:cs="宋体" w:eastAsia="宋体" w:hint="default"/>
          <w:sz w:val="18"/>
          <w:szCs w:val="18"/>
        </w:rPr>
      </w:pPr>
    </w:p>
    <w:p>
      <w:pPr>
        <w:pStyle w:val="Heading2"/>
        <w:spacing w:line="240" w:lineRule="auto"/>
        <w:ind w:right="0"/>
        <w:jc w:val="left"/>
        <w:rPr>
          <w:b w:val="0"/>
          <w:bCs w:val="0"/>
        </w:rPr>
      </w:pPr>
      <w:bookmarkStart w:name="十三、公司及其控股股东、实际控制人的诚信状况" w:id="77"/>
      <w:bookmarkEnd w:id="77"/>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103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报告期内公司及其控股股东、实际控制人不存在未履行法院生效判决、所负数额较大的债务到期未偿清等情况。</w:t>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bookmarkStart w:name="十四、公司股权激励计划、员工持股计划或其他员工激励措施的实施情况" w:id="78"/>
      <w:bookmarkEnd w:id="78"/>
      <w:r>
        <w:rPr>
          <w:b w:val="0"/>
          <w:bCs w:val="0"/>
        </w:rPr>
      </w:r>
      <w:r>
        <w:rPr/>
        <w:t>十四、公司股权激励计划、员工持股计划或其他员工激励措施的实施情况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1140" w:firstLine="36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4</w:t>
      </w:r>
      <w:r>
        <w:rPr>
          <w:spacing w:val="-3"/>
        </w:rPr>
        <w:t>日，公司召开第五届董事会第十二次会议、第五届监事会第七次会议，</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23</w:t>
      </w:r>
      <w:r>
        <w:rPr>
          <w:spacing w:val="-3"/>
        </w:rPr>
        <w:t>日召开</w:t>
      </w:r>
      <w:r>
        <w:rPr>
          <w:rFonts w:ascii="Times New Roman" w:hAnsi="Times New Roman" w:cs="Times New Roman" w:eastAsia="Times New Roman" w:hint="default"/>
          <w:spacing w:val="-3"/>
        </w:rPr>
        <w:t>2019</w:t>
      </w:r>
      <w:r>
        <w:rPr>
          <w:spacing w:val="-3"/>
        </w:rPr>
        <w:t>年第十一次</w:t>
      </w:r>
      <w:r>
        <w:rPr>
          <w:w w:val="101"/>
        </w:rPr>
        <w:t> </w:t>
      </w:r>
      <w:r>
        <w:rPr>
          <w:spacing w:val="-5"/>
        </w:rPr>
        <w:t>临时股东大会审议通过了《关于</w:t>
      </w:r>
      <w:r>
        <w:rPr>
          <w:rFonts w:ascii="Times New Roman" w:hAnsi="Times New Roman" w:cs="Times New Roman" w:eastAsia="Times New Roman" w:hint="default"/>
          <w:spacing w:val="-5"/>
        </w:rPr>
        <w:t>&lt;</w:t>
      </w:r>
      <w:r>
        <w:rPr>
          <w:spacing w:val="-5"/>
        </w:rPr>
        <w:t>北京合纵科技股份有限公司</w:t>
      </w:r>
      <w:r>
        <w:rPr>
          <w:rFonts w:ascii="Times New Roman" w:hAnsi="Times New Roman" w:cs="Times New Roman" w:eastAsia="Times New Roman" w:hint="default"/>
          <w:spacing w:val="-5"/>
        </w:rPr>
        <w:t>2019</w:t>
      </w:r>
      <w:r>
        <w:rPr>
          <w:spacing w:val="-5"/>
        </w:rPr>
        <w:t>年限制性股票激励计划（草案）</w:t>
      </w:r>
      <w:r>
        <w:rPr>
          <w:rFonts w:ascii="Times New Roman" w:hAnsi="Times New Roman" w:cs="Times New Roman" w:eastAsia="Times New Roman" w:hint="default"/>
          <w:spacing w:val="-5"/>
        </w:rPr>
        <w:t>&gt;</w:t>
      </w:r>
      <w:r>
        <w:rPr>
          <w:spacing w:val="-5"/>
        </w:rPr>
        <w:t>及其摘要的议案》，</w:t>
      </w:r>
      <w:r>
        <w:rPr>
          <w:rFonts w:ascii="Times New Roman" w:hAnsi="Times New Roman" w:cs="Times New Roman" w:eastAsia="Times New Roman" w:hint="default"/>
          <w:spacing w:val="-5"/>
        </w:rPr>
        <w:t>2019</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27</w:t>
      </w:r>
      <w:r>
        <w:rPr>
          <w:spacing w:val="-4"/>
        </w:rPr>
        <w:t>日召开第五届董事会第十九次会议、第五届监事会第九次会议，审议通过了《关于调整公司</w:t>
      </w:r>
      <w:r>
        <w:rPr>
          <w:rFonts w:ascii="Times New Roman" w:hAnsi="Times New Roman" w:cs="Times New Roman" w:eastAsia="Times New Roman" w:hint="default"/>
          <w:spacing w:val="-4"/>
        </w:rPr>
        <w:t>2019</w:t>
      </w:r>
      <w:r>
        <w:rPr>
          <w:spacing w:val="-4"/>
        </w:rPr>
        <w:t>年限制性股票激励</w:t>
      </w:r>
      <w:r>
        <w:rPr>
          <w:spacing w:val="60"/>
        </w:rPr>
        <w:t> </w:t>
      </w:r>
      <w:r>
        <w:rPr>
          <w:spacing w:val="60"/>
        </w:rPr>
      </w:r>
      <w:r>
        <w:rPr>
          <w:spacing w:val="-3"/>
        </w:rPr>
        <w:t>计划相关事项的议案》、《关于向公司</w:t>
      </w:r>
      <w:r>
        <w:rPr>
          <w:rFonts w:ascii="Times New Roman" w:hAnsi="Times New Roman" w:cs="Times New Roman" w:eastAsia="Times New Roman" w:hint="default"/>
          <w:spacing w:val="-3"/>
        </w:rPr>
        <w:t>2019</w:t>
      </w:r>
      <w:r>
        <w:rPr>
          <w:spacing w:val="-3"/>
        </w:rPr>
        <w:t>限制性股票激励计划激励对象首次授予限制性股票的议案》 </w:t>
      </w:r>
      <w:r>
        <w:rPr/>
        <w:t>，确定</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spacing w:val="-55"/>
        </w:rPr>
        <w:t> </w:t>
      </w:r>
      <w:r>
        <w:rPr>
          <w:rFonts w:ascii="Times New Roman" w:hAnsi="Times New Roman" w:cs="Times New Roman" w:eastAsia="Times New Roman" w:hint="default"/>
        </w:rPr>
        <w:t>27</w:t>
      </w:r>
      <w:r>
        <w:rPr/>
        <w:t>日为授予日，以</w:t>
      </w:r>
      <w:r>
        <w:rPr>
          <w:rFonts w:ascii="Times New Roman" w:hAnsi="Times New Roman" w:cs="Times New Roman" w:eastAsia="Times New Roman" w:hint="default"/>
        </w:rPr>
        <w:t>3.3357</w:t>
      </w:r>
      <w:r>
        <w:rPr/>
        <w:t>元</w:t>
      </w:r>
      <w:r>
        <w:rPr>
          <w:rFonts w:ascii="Times New Roman" w:hAnsi="Times New Roman" w:cs="Times New Roman" w:eastAsia="Times New Roman" w:hint="default"/>
        </w:rPr>
        <w:t>/</w:t>
      </w:r>
      <w:r>
        <w:rPr/>
        <w:t>股的价格向</w:t>
      </w:r>
      <w:r>
        <w:rPr>
          <w:rFonts w:ascii="Times New Roman" w:hAnsi="Times New Roman" w:cs="Times New Roman" w:eastAsia="Times New Roman" w:hint="default"/>
        </w:rPr>
        <w:t>121</w:t>
      </w:r>
      <w:r>
        <w:rPr/>
        <w:t>名激励对象授予</w:t>
      </w:r>
      <w:r>
        <w:rPr>
          <w:rFonts w:ascii="Times New Roman" w:hAnsi="Times New Roman" w:cs="Times New Roman" w:eastAsia="Times New Roman" w:hint="default"/>
        </w:rPr>
        <w:t>1790.32</w:t>
      </w:r>
      <w:r>
        <w:rPr/>
        <w:t>万股限制性股票 </w:t>
      </w:r>
      <w:r>
        <w:rPr>
          <w:spacing w:val="-3"/>
        </w:rPr>
        <w:t>。本次股权激励计划首次授予限制性股</w:t>
      </w:r>
      <w:r>
        <w:rPr>
          <w:spacing w:val="-61"/>
        </w:rPr>
        <w:t> </w:t>
      </w:r>
      <w:r>
        <w:rPr>
          <w:spacing w:val="-61"/>
        </w:rPr>
      </w:r>
      <w:r>
        <w:rPr>
          <w:spacing w:val="-3"/>
        </w:rPr>
        <w:t>票已于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16</w:t>
      </w:r>
      <w:r>
        <w:rPr>
          <w:spacing w:val="-3"/>
        </w:rPr>
        <w:t>日在深圳证券交易所创业板上市。上述事项均已在中国证监会指定的信息披露网站巨潮资讯网进行披</w:t>
      </w:r>
      <w:r>
        <w:rPr>
          <w:spacing w:val="77"/>
        </w:rPr>
        <w:t> </w:t>
      </w:r>
      <w:r>
        <w:rPr>
          <w:spacing w:val="77"/>
        </w:rPr>
      </w:r>
      <w:r>
        <w:rPr/>
        <w:t>露。</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十五、重大关联交易" w:id="79"/>
      <w:bookmarkEnd w:id="79"/>
      <w:r>
        <w:rPr>
          <w:b w:val="0"/>
          <w:bCs w:val="0"/>
        </w:rPr>
      </w:r>
      <w:r>
        <w:rPr/>
        <w:t>十五、重大关联交易</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与日常经营相关的关联交易" w:id="80"/>
      <w:bookmarkEnd w:id="80"/>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10"/>
        <w:rPr>
          <w:rFonts w:ascii="宋体" w:hAnsi="宋体" w:cs="宋体" w:eastAsia="宋体" w:hint="default"/>
          <w:b/>
          <w:bCs/>
          <w:sz w:val="26"/>
          <w:szCs w:val="26"/>
        </w:rPr>
      </w:pPr>
    </w:p>
    <w:p>
      <w:pPr>
        <w:pStyle w:val="BodyText"/>
        <w:spacing w:line="343"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公司报告期未发生与日常经营相关的关联交易。</w:t>
      </w:r>
    </w:p>
    <w:p>
      <w:pPr>
        <w:spacing w:after="0" w:line="34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资产或股权收购、出售发生的关联交易" w:id="81"/>
      <w:bookmarkEnd w:id="81"/>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公司报告期未发生资产或股权收购、出售的关联交易。</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共同对外投资的关联交易" w:id="82"/>
      <w:bookmarkEnd w:id="82"/>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公司报告期未发生共同对外投资的关联交易。</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4、关联债权债务往来" w:id="83"/>
      <w:bookmarkEnd w:id="83"/>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5、其他重大关联交易" w:id="84"/>
      <w:bookmarkEnd w:id="84"/>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1123" w:firstLine="427"/>
        <w:jc w:val="both"/>
      </w:pPr>
      <w:r>
        <w:rPr>
          <w:rFonts w:ascii="Times New Roman" w:hAnsi="Times New Roman" w:cs="Times New Roman" w:eastAsia="Times New Roman" w:hint="default"/>
          <w:spacing w:val="-4"/>
        </w:rPr>
        <w:t>1</w:t>
      </w:r>
      <w:r>
        <w:rPr>
          <w:spacing w:val="-4"/>
        </w:rPr>
        <w:t>、于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5</w:t>
      </w:r>
      <w:r>
        <w:rPr>
          <w:spacing w:val="-4"/>
        </w:rPr>
        <w:t>日召开公司第五届董事会第二次会议，会议审议通过了《关于公司参与增资北京恩卡纳新能源科技有</w:t>
      </w:r>
      <w:r>
        <w:rPr>
          <w:w w:val="101"/>
        </w:rPr>
        <w:t> </w:t>
      </w:r>
      <w:r>
        <w:rPr>
          <w:spacing w:val="-2"/>
        </w:rPr>
        <w:t>限公司的议案》，公司以总额</w:t>
      </w:r>
      <w:r>
        <w:rPr>
          <w:rFonts w:ascii="Times New Roman" w:hAnsi="Times New Roman" w:cs="Times New Roman" w:eastAsia="Times New Roman" w:hint="default"/>
          <w:spacing w:val="-2"/>
        </w:rPr>
        <w:t>5,806.16225</w:t>
      </w:r>
      <w:r>
        <w:rPr>
          <w:spacing w:val="-2"/>
        </w:rPr>
        <w:t>万元投资北京恩卡纳，其中</w:t>
      </w:r>
      <w:r>
        <w:rPr>
          <w:rFonts w:ascii="Times New Roman" w:hAnsi="Times New Roman" w:cs="Times New Roman" w:eastAsia="Times New Roman" w:hint="default"/>
          <w:spacing w:val="-2"/>
        </w:rPr>
        <w:t>1,658.9035</w:t>
      </w:r>
      <w:r>
        <w:rPr>
          <w:spacing w:val="-2"/>
        </w:rPr>
        <w:t>万元计入注册资本，</w:t>
      </w:r>
      <w:r>
        <w:rPr>
          <w:rFonts w:ascii="Times New Roman" w:hAnsi="Times New Roman" w:cs="Times New Roman" w:eastAsia="Times New Roman" w:hint="default"/>
          <w:spacing w:val="-2"/>
        </w:rPr>
        <w:t>4,147.25875</w:t>
      </w:r>
      <w:r>
        <w:rPr>
          <w:spacing w:val="-2"/>
        </w:rPr>
        <w:t>万元计入资</w:t>
      </w:r>
      <w:r>
        <w:rPr>
          <w:spacing w:val="47"/>
        </w:rPr>
        <w:t> </w:t>
      </w:r>
      <w:r>
        <w:rPr>
          <w:spacing w:val="47"/>
        </w:rPr>
      </w:r>
      <w:r>
        <w:rPr>
          <w:spacing w:val="-3"/>
        </w:rPr>
        <w:t>本公积，本次增资完成后公司持有北京恩卡纳股权的比例为</w:t>
      </w:r>
      <w:r>
        <w:rPr>
          <w:rFonts w:ascii="Times New Roman" w:hAnsi="Times New Roman" w:cs="Times New Roman" w:eastAsia="Times New Roman" w:hint="default"/>
          <w:spacing w:val="-3"/>
        </w:rPr>
        <w:t>16.59%</w:t>
      </w:r>
      <w:r>
        <w:rPr>
          <w:spacing w:val="-3"/>
        </w:rPr>
        <w:t>。</w:t>
      </w:r>
    </w:p>
    <w:p>
      <w:pPr>
        <w:pStyle w:val="BodyText"/>
        <w:spacing w:line="240" w:lineRule="auto" w:before="13"/>
        <w:ind w:left="580" w:right="0"/>
        <w:jc w:val="left"/>
        <w:rPr>
          <w:rFonts w:ascii="Times New Roman" w:hAnsi="Times New Roman" w:cs="Times New Roman" w:eastAsia="Times New Roman" w:hint="default"/>
        </w:rPr>
      </w:pPr>
      <w:r>
        <w:rPr>
          <w:rFonts w:ascii="Times New Roman" w:hAnsi="Times New Roman" w:cs="Times New Roman" w:eastAsia="Times New Roman" w:hint="default"/>
          <w:w w:val="101"/>
        </w:rPr>
        <w:t>2</w:t>
      </w:r>
      <w:r>
        <w:rPr>
          <w:spacing w:val="-77"/>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9</w:t>
      </w:r>
      <w:r>
        <w:rPr>
          <w:w w:val="101"/>
        </w:rPr>
        <w:t>年</w:t>
      </w:r>
      <w:r>
        <w:rPr>
          <w:rFonts w:ascii="Times New Roman" w:hAnsi="Times New Roman" w:cs="Times New Roman" w:eastAsia="Times New Roman" w:hint="default"/>
          <w:w w:val="101"/>
        </w:rPr>
        <w:t>4</w:t>
      </w:r>
      <w:r>
        <w:rPr>
          <w:spacing w:val="-5"/>
          <w:w w:val="101"/>
        </w:rPr>
        <w:t>月</w:t>
      </w:r>
      <w:r>
        <w:rPr>
          <w:rFonts w:ascii="Times New Roman" w:hAnsi="Times New Roman" w:cs="Times New Roman" w:eastAsia="Times New Roman" w:hint="default"/>
          <w:w w:val="101"/>
        </w:rPr>
        <w:t>2</w:t>
      </w:r>
      <w:r>
        <w:rPr>
          <w:rFonts w:ascii="Times New Roman" w:hAnsi="Times New Roman" w:cs="Times New Roman" w:eastAsia="Times New Roman" w:hint="default"/>
          <w:spacing w:val="-5"/>
          <w:w w:val="101"/>
        </w:rPr>
        <w:t>4</w:t>
      </w:r>
      <w:r>
        <w:rPr>
          <w:w w:val="101"/>
        </w:rPr>
        <w:t>日</w:t>
      </w:r>
      <w:r>
        <w:rPr>
          <w:spacing w:val="-5"/>
          <w:w w:val="101"/>
        </w:rPr>
        <w:t>公</w:t>
      </w:r>
      <w:r>
        <w:rPr>
          <w:w w:val="101"/>
        </w:rPr>
        <w:t>司</w:t>
      </w:r>
      <w:r>
        <w:rPr>
          <w:spacing w:val="-5"/>
          <w:w w:val="101"/>
        </w:rPr>
        <w:t>召</w:t>
      </w:r>
      <w:r>
        <w:rPr>
          <w:w w:val="101"/>
        </w:rPr>
        <w:t>开</w:t>
      </w:r>
      <w:r>
        <w:rPr>
          <w:spacing w:val="-5"/>
          <w:w w:val="101"/>
        </w:rPr>
        <w:t>第</w:t>
      </w:r>
      <w:r>
        <w:rPr>
          <w:w w:val="101"/>
        </w:rPr>
        <w:t>五</w:t>
      </w:r>
      <w:r>
        <w:rPr>
          <w:spacing w:val="-5"/>
          <w:w w:val="101"/>
        </w:rPr>
        <w:t>届</w:t>
      </w:r>
      <w:r>
        <w:rPr>
          <w:w w:val="101"/>
        </w:rPr>
        <w:t>董</w:t>
      </w:r>
      <w:r>
        <w:rPr>
          <w:spacing w:val="-5"/>
          <w:w w:val="101"/>
        </w:rPr>
        <w:t>事</w:t>
      </w:r>
      <w:r>
        <w:rPr>
          <w:w w:val="101"/>
        </w:rPr>
        <w:t>会</w:t>
      </w:r>
      <w:r>
        <w:rPr>
          <w:spacing w:val="-5"/>
          <w:w w:val="101"/>
        </w:rPr>
        <w:t>第</w:t>
      </w:r>
      <w:r>
        <w:rPr>
          <w:w w:val="101"/>
        </w:rPr>
        <w:t>六</w:t>
      </w:r>
      <w:r>
        <w:rPr>
          <w:spacing w:val="-5"/>
          <w:w w:val="101"/>
        </w:rPr>
        <w:t>次</w:t>
      </w:r>
      <w:r>
        <w:rPr>
          <w:w w:val="101"/>
        </w:rPr>
        <w:t>会</w:t>
      </w:r>
      <w:r>
        <w:rPr>
          <w:spacing w:val="-5"/>
          <w:w w:val="101"/>
        </w:rPr>
        <w:t>议</w:t>
      </w:r>
      <w:r>
        <w:rPr>
          <w:spacing w:val="-76"/>
          <w:w w:val="101"/>
        </w:rPr>
        <w:t>、</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w:t>
      </w:r>
      <w:r>
        <w:rPr>
          <w:rFonts w:ascii="Times New Roman" w:hAnsi="Times New Roman" w:cs="Times New Roman" w:eastAsia="Times New Roman" w:hint="default"/>
          <w:spacing w:val="-5"/>
          <w:w w:val="101"/>
        </w:rPr>
        <w:t>9</w:t>
      </w:r>
      <w:r>
        <w:rPr>
          <w:w w:val="101"/>
        </w:rPr>
        <w:t>年</w:t>
      </w:r>
      <w:r>
        <w:rPr>
          <w:rFonts w:ascii="Times New Roman" w:hAnsi="Times New Roman" w:cs="Times New Roman" w:eastAsia="Times New Roman" w:hint="default"/>
          <w:spacing w:val="-5"/>
          <w:w w:val="101"/>
        </w:rPr>
        <w:t>5</w:t>
      </w:r>
      <w:r>
        <w:rPr>
          <w:w w:val="101"/>
        </w:rPr>
        <w:t>月</w:t>
      </w:r>
      <w:r>
        <w:rPr>
          <w:rFonts w:ascii="Times New Roman" w:hAnsi="Times New Roman" w:cs="Times New Roman" w:eastAsia="Times New Roman" w:hint="default"/>
          <w:w w:val="101"/>
        </w:rPr>
        <w:t>1</w:t>
      </w:r>
      <w:r>
        <w:rPr>
          <w:rFonts w:ascii="Times New Roman" w:hAnsi="Times New Roman" w:cs="Times New Roman" w:eastAsia="Times New Roman" w:hint="default"/>
          <w:spacing w:val="-5"/>
          <w:w w:val="101"/>
        </w:rPr>
        <w:t>5</w:t>
      </w:r>
      <w:r>
        <w:rPr>
          <w:w w:val="101"/>
        </w:rPr>
        <w:t>日</w:t>
      </w:r>
      <w:r>
        <w:rPr>
          <w:spacing w:val="-5"/>
          <w:w w:val="101"/>
        </w:rPr>
        <w:t>召</w:t>
      </w:r>
      <w:r>
        <w:rPr>
          <w:w w:val="101"/>
        </w:rPr>
        <w:t>开</w:t>
      </w:r>
      <w:r>
        <w:rPr>
          <w:rFonts w:ascii="Times New Roman" w:hAnsi="Times New Roman" w:cs="Times New Roman" w:eastAsia="Times New Roman" w:hint="default"/>
          <w:w w:val="101"/>
        </w:rPr>
        <w:t>20</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spacing w:val="-1"/>
          <w:w w:val="101"/>
        </w:rPr>
        <w:t>8</w:t>
      </w:r>
      <w:r>
        <w:rPr>
          <w:spacing w:val="-5"/>
          <w:w w:val="101"/>
        </w:rPr>
        <w:t>年</w:t>
      </w:r>
      <w:r>
        <w:rPr>
          <w:w w:val="101"/>
        </w:rPr>
        <w:t>年</w:t>
      </w:r>
      <w:r>
        <w:rPr>
          <w:spacing w:val="-5"/>
          <w:w w:val="101"/>
        </w:rPr>
        <w:t>度</w:t>
      </w:r>
      <w:r>
        <w:rPr>
          <w:w w:val="101"/>
        </w:rPr>
        <w:t>股</w:t>
      </w:r>
      <w:r>
        <w:rPr>
          <w:spacing w:val="-5"/>
          <w:w w:val="101"/>
        </w:rPr>
        <w:t>东</w:t>
      </w:r>
      <w:r>
        <w:rPr>
          <w:w w:val="101"/>
        </w:rPr>
        <w:t>大</w:t>
      </w:r>
      <w:r>
        <w:rPr>
          <w:spacing w:val="-5"/>
          <w:w w:val="101"/>
        </w:rPr>
        <w:t>会</w:t>
      </w:r>
      <w:r>
        <w:rPr>
          <w:w w:val="101"/>
        </w:rPr>
        <w:t>审</w:t>
      </w:r>
      <w:r>
        <w:rPr>
          <w:spacing w:val="-5"/>
          <w:w w:val="101"/>
        </w:rPr>
        <w:t>议</w:t>
      </w:r>
      <w:r>
        <w:rPr>
          <w:w w:val="101"/>
        </w:rPr>
        <w:t>通</w:t>
      </w:r>
      <w:r>
        <w:rPr>
          <w:spacing w:val="-82"/>
          <w:w w:val="101"/>
        </w:rPr>
        <w:t>过</w:t>
      </w:r>
      <w:r>
        <w:rPr>
          <w:spacing w:val="-5"/>
          <w:w w:val="101"/>
        </w:rPr>
        <w:t>《</w:t>
      </w:r>
      <w:r>
        <w:rPr>
          <w:w w:val="101"/>
        </w:rPr>
        <w:t>关</w:t>
      </w:r>
      <w:r>
        <w:rPr>
          <w:spacing w:val="-5"/>
          <w:w w:val="101"/>
        </w:rPr>
        <w:t>于</w:t>
      </w:r>
      <w:r>
        <w:rPr>
          <w:w w:val="101"/>
        </w:rPr>
        <w:t>公司</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019</w:t>
      </w:r>
      <w:r>
        <w:rPr>
          <w:rFonts w:ascii="Times New Roman" w:hAnsi="Times New Roman" w:cs="Times New Roman" w:eastAsia="Times New Roman" w:hint="default"/>
        </w:rPr>
      </w:r>
    </w:p>
    <w:p>
      <w:pPr>
        <w:pStyle w:val="BodyText"/>
        <w:spacing w:line="240" w:lineRule="auto" w:before="63"/>
        <w:ind w:right="0"/>
        <w:jc w:val="left"/>
      </w:pPr>
      <w:r>
        <w:rPr>
          <w:spacing w:val="-3"/>
        </w:rPr>
        <w:t>年度日常关联交易预计的议案》，预计</w:t>
      </w:r>
      <w:r>
        <w:rPr>
          <w:rFonts w:ascii="Times New Roman" w:hAnsi="Times New Roman" w:cs="Times New Roman" w:eastAsia="Times New Roman" w:hint="default"/>
          <w:spacing w:val="-3"/>
        </w:rPr>
        <w:t>2019</w:t>
      </w:r>
      <w:r>
        <w:rPr>
          <w:spacing w:val="-3"/>
        </w:rPr>
        <w:t>年度湖南雅城与天津茂联发生日常关联交易</w:t>
      </w:r>
      <w:r>
        <w:rPr>
          <w:rFonts w:ascii="Times New Roman" w:hAnsi="Times New Roman" w:cs="Times New Roman" w:eastAsia="Times New Roman" w:hint="default"/>
          <w:spacing w:val="-3"/>
        </w:rPr>
        <w:t>14,000</w:t>
      </w:r>
      <w:r>
        <w:rPr>
          <w:spacing w:val="-3"/>
        </w:rPr>
        <w:t>万元。</w:t>
      </w:r>
    </w:p>
    <w:p>
      <w:pPr>
        <w:pStyle w:val="BodyText"/>
        <w:spacing w:line="240" w:lineRule="auto" w:before="63"/>
        <w:ind w:left="580" w:right="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29</w:t>
      </w:r>
      <w:r>
        <w:rPr>
          <w:spacing w:val="-3"/>
        </w:rPr>
        <w:t>日召开公司第五届董事会第九次会议，</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14</w:t>
      </w:r>
      <w:r>
        <w:rPr>
          <w:spacing w:val="-3"/>
        </w:rPr>
        <w:t>日召开</w:t>
      </w:r>
      <w:r>
        <w:rPr>
          <w:rFonts w:ascii="Times New Roman" w:hAnsi="Times New Roman" w:cs="Times New Roman" w:eastAsia="Times New Roman" w:hint="default"/>
          <w:spacing w:val="-3"/>
        </w:rPr>
        <w:t>2019</w:t>
      </w:r>
      <w:r>
        <w:rPr>
          <w:spacing w:val="-3"/>
        </w:rPr>
        <w:t>年第八次临时股东大会会议审议通过了</w:t>
      </w:r>
    </w:p>
    <w:p>
      <w:pPr>
        <w:pStyle w:val="BodyText"/>
        <w:spacing w:line="321" w:lineRule="auto" w:before="63"/>
        <w:ind w:right="0"/>
        <w:jc w:val="left"/>
      </w:pPr>
      <w:r>
        <w:rPr>
          <w:spacing w:val="-3"/>
        </w:rPr>
        <w:t>《关于公司增资天津市茂联科技有限公司暨关联交易的议案》，公司以现金出资向天津茂联增资</w:t>
      </w:r>
      <w:r>
        <w:rPr>
          <w:rFonts w:ascii="Times New Roman" w:hAnsi="Times New Roman" w:cs="Times New Roman" w:eastAsia="Times New Roman" w:hint="default"/>
          <w:spacing w:val="-3"/>
        </w:rPr>
        <w:t>12,100.00</w:t>
      </w:r>
      <w:r>
        <w:rPr>
          <w:spacing w:val="-3"/>
        </w:rPr>
        <w:t>万元，其中</w:t>
      </w:r>
      <w:r>
        <w:rPr>
          <w:spacing w:val="75"/>
        </w:rPr>
        <w:t> </w:t>
      </w:r>
      <w:r>
        <w:rPr>
          <w:spacing w:val="75"/>
        </w:rPr>
      </w:r>
      <w:r>
        <w:rPr>
          <w:rFonts w:ascii="Times New Roman" w:hAnsi="Times New Roman" w:cs="Times New Roman" w:eastAsia="Times New Roman" w:hint="default"/>
          <w:spacing w:val="-3"/>
        </w:rPr>
        <w:t>5,023.0395</w:t>
      </w:r>
      <w:r>
        <w:rPr>
          <w:spacing w:val="-3"/>
        </w:rPr>
        <w:t>万元计入注册资本，其余部分计入资本公积，本次增资完成后公司持有天津茂联股权的比例为</w:t>
      </w:r>
      <w:r>
        <w:rPr>
          <w:rFonts w:ascii="Times New Roman" w:hAnsi="Times New Roman" w:cs="Times New Roman" w:eastAsia="Times New Roman" w:hint="default"/>
          <w:spacing w:val="-3"/>
        </w:rPr>
        <w:t>21.33%</w:t>
      </w:r>
      <w:r>
        <w:rPr>
          <w:spacing w:val="-3"/>
        </w:rPr>
        <w:t>。</w:t>
      </w:r>
      <w:r>
        <w:rPr>
          <w:spacing w:val="81"/>
        </w:rPr>
        <w:t> </w:t>
      </w:r>
      <w:r>
        <w:rPr>
          <w:spacing w:val="-3"/>
        </w:rPr>
        <w:t>重大关联交易临时报告披露网站相关查询</w:t>
      </w:r>
    </w:p>
    <w:p>
      <w:pPr>
        <w:spacing w:line="240" w:lineRule="auto" w:before="4"/>
        <w:rPr>
          <w:rFonts w:ascii="宋体" w:hAnsi="宋体" w:cs="宋体" w:eastAsia="宋体" w:hint="default"/>
          <w:sz w:val="3"/>
          <w:szCs w:val="3"/>
        </w:rPr>
      </w:pPr>
    </w:p>
    <w:tbl>
      <w:tblPr>
        <w:tblW w:w="0" w:type="auto"/>
        <w:jc w:val="left"/>
        <w:tblInd w:w="479" w:type="dxa"/>
        <w:tblLayout w:type="fixed"/>
        <w:tblCellMar>
          <w:top w:w="0" w:type="dxa"/>
          <w:left w:w="0" w:type="dxa"/>
          <w:bottom w:w="0" w:type="dxa"/>
          <w:right w:w="0" w:type="dxa"/>
        </w:tblCellMar>
        <w:tblLook w:val="01E0"/>
      </w:tblPr>
      <w:tblGrid>
        <w:gridCol w:w="4399"/>
        <w:gridCol w:w="2266"/>
        <w:gridCol w:w="2315"/>
      </w:tblGrid>
      <w:tr>
        <w:trPr>
          <w:trHeight w:val="398" w:hRule="exact"/>
        </w:trPr>
        <w:tc>
          <w:tcPr>
            <w:tcW w:w="43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08"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2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6"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37"/>
              <w:jc w:val="left"/>
              <w:rPr>
                <w:rFonts w:ascii="宋体" w:hAnsi="宋体" w:cs="宋体" w:eastAsia="宋体" w:hint="default"/>
                <w:sz w:val="18"/>
                <w:szCs w:val="18"/>
              </w:rPr>
            </w:pPr>
            <w:r>
              <w:rPr>
                <w:rFonts w:ascii="宋体" w:hAnsi="宋体" w:cs="宋体" w:eastAsia="宋体" w:hint="default"/>
                <w:spacing w:val="-3"/>
                <w:sz w:val="18"/>
                <w:szCs w:val="18"/>
              </w:rPr>
              <w:t>关于公司参与增资北京恩卡纳新能源科技有限公司暨关</w:t>
            </w:r>
            <w:r>
              <w:rPr>
                <w:rFonts w:ascii="宋体" w:hAnsi="宋体" w:cs="宋体" w:eastAsia="宋体" w:hint="default"/>
                <w:spacing w:val="-16"/>
                <w:sz w:val="18"/>
                <w:szCs w:val="18"/>
              </w:rPr>
              <w:t> </w:t>
            </w:r>
            <w:r>
              <w:rPr>
                <w:rFonts w:ascii="宋体" w:hAnsi="宋体" w:cs="宋体" w:eastAsia="宋体" w:hint="default"/>
                <w:spacing w:val="-16"/>
                <w:sz w:val="18"/>
                <w:szCs w:val="18"/>
              </w:rPr>
            </w:r>
            <w:r>
              <w:rPr>
                <w:rFonts w:ascii="宋体" w:hAnsi="宋体" w:cs="宋体" w:eastAsia="宋体" w:hint="default"/>
                <w:sz w:val="18"/>
                <w:szCs w:val="18"/>
              </w:rPr>
              <w:t>联交易的公告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关于公司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年度日常关联交易金额预计的公告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403" w:hRule="exact"/>
        </w:trPr>
        <w:tc>
          <w:tcPr>
            <w:tcW w:w="4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关于增资天津市茂联科技有限公司暨关联交易的公告</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六、重大合同及其履行情况" w:id="85"/>
      <w:bookmarkEnd w:id="85"/>
      <w:r>
        <w:rPr>
          <w:b w:val="0"/>
          <w:bCs w:val="0"/>
        </w:rPr>
      </w:r>
      <w:r>
        <w:rPr/>
        <w:t>十六、重大合同及其履行情况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6"/>
      <w:bookmarkEnd w:id="86"/>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7"/>
      <w:bookmarkEnd w:id="87"/>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10"/>
        <w:rPr>
          <w:rFonts w:ascii="宋体" w:hAnsi="宋体" w:cs="宋体" w:eastAsia="宋体" w:hint="default"/>
          <w:b/>
          <w:bCs/>
          <w:sz w:val="26"/>
          <w:szCs w:val="26"/>
        </w:rPr>
      </w:pPr>
    </w:p>
    <w:p>
      <w:pPr>
        <w:pStyle w:val="BodyText"/>
        <w:spacing w:line="343"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公司报告期不存在托管情况。</w:t>
      </w:r>
    </w:p>
    <w:p>
      <w:pPr>
        <w:spacing w:after="0" w:line="343"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承包情况" w:id="88"/>
      <w:bookmarkEnd w:id="88"/>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公司报告期不存在承包情况。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租赁情况" w:id="89"/>
      <w:bookmarkEnd w:id="89"/>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公司报告期不存在租赁情况。</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2、重大担保" w:id="90"/>
      <w:bookmarkEnd w:id="90"/>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1）担保情况" w:id="91"/>
      <w:bookmarkEnd w:id="91"/>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27"/>
        <w:gridCol w:w="922"/>
        <w:gridCol w:w="1296"/>
        <w:gridCol w:w="1066"/>
        <w:gridCol w:w="1037"/>
        <w:gridCol w:w="1047"/>
        <w:gridCol w:w="792"/>
        <w:gridCol w:w="778"/>
      </w:tblGrid>
      <w:tr>
        <w:trPr>
          <w:trHeight w:val="398"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35" w:right="0"/>
              <w:jc w:val="left"/>
              <w:rPr>
                <w:rFonts w:ascii="宋体" w:hAnsi="宋体" w:cs="宋体" w:eastAsia="宋体" w:hint="default"/>
                <w:sz w:val="18"/>
                <w:szCs w:val="18"/>
              </w:rPr>
            </w:pPr>
            <w:r>
              <w:rPr>
                <w:rFonts w:ascii="宋体" w:hAnsi="宋体" w:cs="宋体" w:eastAsia="宋体" w:hint="default"/>
                <w:spacing w:val="-3"/>
                <w:sz w:val="18"/>
                <w:szCs w:val="18"/>
              </w:rPr>
              <w:t>公司及其子公司对外担保情况（不包括对子公司的担保）</w:t>
            </w:r>
          </w:p>
        </w:tc>
      </w:tr>
      <w:tr>
        <w:trPr>
          <w:trHeight w:val="102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00" w:right="89"/>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37"/>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15" w:right="22" w:hanging="183"/>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25</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18</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30</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08</w:t>
            </w:r>
          </w:p>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02</w:t>
            </w:r>
            <w:r>
              <w:rPr>
                <w:rFonts w:ascii="Times New Roman" w:hAnsi="Times New Roman" w:cs="Times New Roman" w:eastAsia="Times New Roman" w:hint="default"/>
                <w:sz w:val="18"/>
                <w:szCs w:val="18"/>
              </w:rPr>
            </w:r>
          </w:p>
          <w:p>
            <w:pPr>
              <w:pStyle w:val="TableParagraph"/>
              <w:spacing w:line="240" w:lineRule="auto" w:before="68"/>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23</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19,000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75"/>
              <w:jc w:val="left"/>
              <w:rPr>
                <w:rFonts w:ascii="宋体" w:hAnsi="宋体" w:cs="宋体" w:eastAsia="宋体" w:hint="default"/>
                <w:sz w:val="18"/>
                <w:szCs w:val="18"/>
              </w:rPr>
            </w:pPr>
            <w:r>
              <w:rPr>
                <w:rFonts w:ascii="宋体" w:hAnsi="宋体" w:cs="宋体" w:eastAsia="宋体" w:hint="default"/>
                <w:spacing w:val="-3"/>
                <w:sz w:val="18"/>
                <w:szCs w:val="18"/>
              </w:rPr>
              <w:t>报告期内审批的对外担保额度合</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19"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43,000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报告期内对外担保实际发</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生额合计（</w:t>
            </w:r>
            <w:r>
              <w:rPr>
                <w:rFonts w:ascii="Times New Roman" w:hAnsi="Times New Roman" w:cs="Times New Roman" w:eastAsia="Times New Roman" w:hint="default"/>
                <w:spacing w:val="-3"/>
                <w:sz w:val="18"/>
                <w:szCs w:val="18"/>
              </w:rPr>
              <w:t>A2</w:t>
            </w:r>
            <w:r>
              <w:rPr>
                <w:rFonts w:ascii="宋体" w:hAnsi="宋体" w:cs="宋体" w:eastAsia="宋体" w:hint="default"/>
                <w:spacing w:val="-3"/>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43,000</w:t>
            </w:r>
          </w:p>
        </w:tc>
      </w:tr>
      <w:tr>
        <w:trPr>
          <w:trHeight w:val="716"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75"/>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报告期末已审批的对外担保额度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合计（</w:t>
            </w:r>
            <w:r>
              <w:rPr>
                <w:rFonts w:ascii="Times New Roman" w:hAnsi="Times New Roman" w:cs="Times New Roman" w:eastAsia="Times New Roman" w:hint="default"/>
                <w:spacing w:val="-3"/>
                <w:sz w:val="18"/>
                <w:szCs w:val="18"/>
              </w:rPr>
              <w:t>A3</w:t>
            </w:r>
            <w:r>
              <w:rPr>
                <w:rFonts w:ascii="宋体" w:hAnsi="宋体" w:cs="宋体" w:eastAsia="宋体" w:hint="default"/>
                <w:spacing w:val="-3"/>
                <w:sz w:val="18"/>
                <w:szCs w:val="18"/>
              </w:rPr>
              <w:t>）</w:t>
            </w:r>
          </w:p>
        </w:tc>
        <w:tc>
          <w:tcPr>
            <w:tcW w:w="2219"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43,000</w:t>
            </w:r>
          </w:p>
        </w:tc>
        <w:tc>
          <w:tcPr>
            <w:tcW w:w="21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8" w:right="79"/>
              <w:jc w:val="left"/>
              <w:rPr>
                <w:rFonts w:ascii="宋体" w:hAnsi="宋体" w:cs="宋体" w:eastAsia="宋体" w:hint="default"/>
                <w:sz w:val="18"/>
                <w:szCs w:val="18"/>
              </w:rPr>
            </w:pPr>
            <w:r>
              <w:rPr>
                <w:rFonts w:ascii="宋体" w:hAnsi="宋体" w:cs="宋体" w:eastAsia="宋体" w:hint="default"/>
                <w:spacing w:val="-3"/>
                <w:sz w:val="18"/>
                <w:szCs w:val="18"/>
              </w:rPr>
              <w:t>报告期末实际对外担保余</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1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38,000</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公司对子公司的担保情况</w:t>
            </w:r>
          </w:p>
        </w:tc>
      </w:tr>
      <w:tr>
        <w:trPr>
          <w:trHeight w:val="168"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95" w:right="9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2" w:type="dxa"/>
            <w:vMerge w:val="restart"/>
            <w:tcBorders>
              <w:top w:val="single" w:sz="4" w:space="0" w:color="000000"/>
              <w:left w:val="single" w:sz="4" w:space="0" w:color="000000"/>
              <w:right w:val="single" w:sz="4" w:space="0" w:color="000000"/>
            </w:tcBorders>
            <w:shd w:val="clear" w:color="auto" w:fill="D2D2D2"/>
          </w:tcPr>
          <w:p>
            <w:pPr/>
          </w:p>
        </w:tc>
        <w:tc>
          <w:tcPr>
            <w:tcW w:w="1296" w:type="dxa"/>
            <w:vMerge w:val="restart"/>
            <w:tcBorders>
              <w:top w:val="single" w:sz="4" w:space="0" w:color="000000"/>
              <w:left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7" w:type="dxa"/>
            <w:vMerge w:val="restart"/>
            <w:tcBorders>
              <w:top w:val="single" w:sz="4" w:space="0" w:color="000000"/>
              <w:left w:val="single" w:sz="4" w:space="0" w:color="000000"/>
              <w:right w:val="single" w:sz="4" w:space="0" w:color="000000"/>
            </w:tcBorders>
            <w:shd w:val="clear" w:color="auto" w:fill="D2D2D2"/>
          </w:tcPr>
          <w:p>
            <w:pPr/>
          </w:p>
        </w:tc>
        <w:tc>
          <w:tcPr>
            <w:tcW w:w="1047"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2" w:type="dxa"/>
            <w:vMerge/>
            <w:tcBorders>
              <w:left w:val="single" w:sz="4" w:space="0" w:color="000000"/>
              <w:bottom w:val="nil" w:sz="6" w:space="0" w:color="auto"/>
              <w:right w:val="single" w:sz="4" w:space="0" w:color="000000"/>
            </w:tcBorders>
            <w:shd w:val="clear" w:color="auto" w:fill="D2D2D2"/>
          </w:tcPr>
          <w:p>
            <w:pPr/>
          </w:p>
        </w:tc>
        <w:tc>
          <w:tcPr>
            <w:tcW w:w="1296" w:type="dxa"/>
            <w:vMerge/>
            <w:tcBorders>
              <w:left w:val="single" w:sz="4" w:space="0" w:color="000000"/>
              <w:bottom w:val="nil" w:sz="6" w:space="0" w:color="auto"/>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441"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37" w:type="dxa"/>
            <w:vMerge/>
            <w:tcBorders>
              <w:left w:val="single" w:sz="4" w:space="0" w:color="000000"/>
              <w:bottom w:val="nil" w:sz="6" w:space="0" w:color="auto"/>
              <w:right w:val="single" w:sz="4" w:space="0" w:color="000000"/>
            </w:tcBorders>
            <w:shd w:val="clear" w:color="auto" w:fill="D2D2D2"/>
          </w:tcPr>
          <w:p>
            <w:pPr/>
          </w:p>
        </w:tc>
        <w:tc>
          <w:tcPr>
            <w:tcW w:w="1047"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206"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1"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6" w:type="dxa"/>
            <w:vMerge/>
            <w:tcBorders>
              <w:left w:val="single" w:sz="4" w:space="0" w:color="000000"/>
              <w:right w:val="single" w:sz="4" w:space="0" w:color="000000"/>
            </w:tcBorders>
            <w:shd w:val="clear" w:color="auto" w:fill="D2D2D2"/>
          </w:tcPr>
          <w:p>
            <w:pPr/>
          </w:p>
        </w:tc>
        <w:tc>
          <w:tcPr>
            <w:tcW w:w="10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242"/>
              <w:jc w:val="right"/>
              <w:rPr>
                <w:rFonts w:ascii="宋体" w:hAnsi="宋体" w:cs="宋体" w:eastAsia="宋体" w:hint="default"/>
                <w:sz w:val="18"/>
                <w:szCs w:val="18"/>
              </w:rPr>
            </w:pPr>
            <w:r>
              <w:rPr>
                <w:rFonts w:ascii="宋体" w:hAnsi="宋体" w:cs="宋体" w:eastAsia="宋体" w:hint="default"/>
                <w:spacing w:val="-2"/>
                <w:sz w:val="18"/>
                <w:szCs w:val="18"/>
              </w:rPr>
              <w:t>担保期</w:t>
            </w:r>
          </w:p>
        </w:tc>
        <w:tc>
          <w:tcPr>
            <w:tcW w:w="792" w:type="dxa"/>
            <w:vMerge/>
            <w:tcBorders>
              <w:left w:val="single" w:sz="4" w:space="0" w:color="000000"/>
              <w:right w:val="single" w:sz="4" w:space="0" w:color="000000"/>
            </w:tcBorders>
            <w:shd w:val="clear" w:color="auto" w:fill="D2D2D2"/>
          </w:tcPr>
          <w:p>
            <w:pPr/>
          </w:p>
        </w:tc>
        <w:tc>
          <w:tcPr>
            <w:tcW w:w="778" w:type="dxa"/>
            <w:vMerge/>
            <w:tcBorders>
              <w:left w:val="single" w:sz="4" w:space="0" w:color="000000"/>
              <w:right w:val="single" w:sz="4" w:space="0" w:color="000000"/>
            </w:tcBorders>
            <w:shd w:val="clear" w:color="auto" w:fill="D2D2D2"/>
          </w:tcPr>
          <w:p>
            <w:pPr/>
          </w:p>
        </w:tc>
      </w:tr>
      <w:tr>
        <w:trPr>
          <w:trHeight w:val="154"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2" w:type="dxa"/>
            <w:vMerge w:val="restart"/>
            <w:tcBorders>
              <w:top w:val="nil" w:sz="6" w:space="0" w:color="auto"/>
              <w:left w:val="single" w:sz="4" w:space="0" w:color="000000"/>
              <w:right w:val="single" w:sz="4" w:space="0" w:color="000000"/>
            </w:tcBorders>
            <w:shd w:val="clear" w:color="auto" w:fill="D2D2D2"/>
          </w:tcPr>
          <w:p>
            <w:pPr/>
          </w:p>
        </w:tc>
        <w:tc>
          <w:tcPr>
            <w:tcW w:w="1296"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37" w:type="dxa"/>
            <w:vMerge w:val="restart"/>
            <w:tcBorders>
              <w:top w:val="nil" w:sz="6" w:space="0" w:color="auto"/>
              <w:left w:val="single" w:sz="4" w:space="0" w:color="000000"/>
              <w:right w:val="single" w:sz="4" w:space="0" w:color="000000"/>
            </w:tcBorders>
            <w:shd w:val="clear" w:color="auto" w:fill="D2D2D2"/>
          </w:tcPr>
          <w:p>
            <w:pPr/>
          </w:p>
        </w:tc>
        <w:tc>
          <w:tcPr>
            <w:tcW w:w="1047"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2" w:type="dxa"/>
            <w:vMerge/>
            <w:tcBorders>
              <w:left w:val="single" w:sz="4" w:space="0" w:color="000000"/>
              <w:bottom w:val="single" w:sz="4" w:space="0" w:color="000000"/>
              <w:right w:val="single" w:sz="4" w:space="0" w:color="000000"/>
            </w:tcBorders>
            <w:shd w:val="clear" w:color="auto" w:fill="D2D2D2"/>
          </w:tcPr>
          <w:p>
            <w:pPr/>
          </w:p>
        </w:tc>
        <w:tc>
          <w:tcPr>
            <w:tcW w:w="1296"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7" w:type="dxa"/>
            <w:vMerge/>
            <w:tcBorders>
              <w:left w:val="single" w:sz="4" w:space="0" w:color="000000"/>
              <w:bottom w:val="single" w:sz="4" w:space="0" w:color="000000"/>
              <w:right w:val="single" w:sz="4" w:space="0" w:color="000000"/>
            </w:tcBorders>
            <w:shd w:val="clear" w:color="auto" w:fill="D2D2D2"/>
          </w:tcPr>
          <w:p>
            <w:pPr/>
          </w:p>
        </w:tc>
        <w:tc>
          <w:tcPr>
            <w:tcW w:w="1047"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72,800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8"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36,400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98"/>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1" w:footer="979" w:top="1060" w:bottom="1160" w:left="980" w:right="0"/>
        </w:sectPr>
      </w:pPr>
    </w:p>
    <w:p>
      <w:pPr>
        <w:spacing w:line="240" w:lineRule="auto" w:before="11"/>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12"/>
        <w:gridCol w:w="929"/>
        <w:gridCol w:w="1305"/>
        <w:gridCol w:w="1055"/>
        <w:gridCol w:w="1042"/>
        <w:gridCol w:w="1046"/>
        <w:gridCol w:w="792"/>
        <w:gridCol w:w="783"/>
      </w:tblGrid>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20,000</w:t>
            </w:r>
          </w:p>
        </w:tc>
        <w:tc>
          <w:tcPr>
            <w:tcW w:w="1305" w:type="dxa"/>
            <w:tcBorders>
              <w:top w:val="single" w:sz="4" w:space="0" w:color="000000"/>
              <w:left w:val="single" w:sz="4" w:space="0" w:color="000000"/>
              <w:bottom w:val="single" w:sz="4" w:space="0" w:color="000000"/>
              <w:right w:val="single" w:sz="4" w:space="0" w:color="000000"/>
            </w:tcBorders>
          </w:tcPr>
          <w:p>
            <w:pP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15,000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33"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北京合纵实科电力科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技有限公司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15,000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26</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8,361</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33"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51"/>
              <w:jc w:val="left"/>
              <w:rPr>
                <w:rFonts w:ascii="宋体" w:hAnsi="宋体" w:cs="宋体" w:eastAsia="宋体" w:hint="default"/>
                <w:sz w:val="18"/>
                <w:szCs w:val="18"/>
              </w:rPr>
            </w:pPr>
            <w:r>
              <w:rPr>
                <w:rFonts w:ascii="宋体" w:hAnsi="宋体" w:cs="宋体" w:eastAsia="宋体" w:hint="default"/>
                <w:spacing w:val="-3"/>
                <w:sz w:val="18"/>
                <w:szCs w:val="18"/>
              </w:rPr>
              <w:t>天津合纵电力设备有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pacing w:val="-5"/>
                <w:sz w:val="18"/>
                <w:szCs w:val="18"/>
              </w:rPr>
              <w:t>08</w:t>
            </w:r>
            <w:r>
              <w:rPr>
                <w:rFonts w:ascii="Times New Roman" w:hAnsi="Times New Roman" w:cs="Times New Roman" w:eastAsia="Times New Roman" w:hint="default"/>
                <w:sz w:val="18"/>
                <w:szCs w:val="18"/>
              </w:rPr>
            </w:r>
          </w:p>
          <w:p>
            <w:pPr>
              <w:pStyle w:val="TableParagraph"/>
              <w:spacing w:line="240" w:lineRule="auto" w:before="63"/>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2,780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33"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天津合纵电力设备有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0"/>
              <w:jc w:val="right"/>
              <w:rPr>
                <w:rFonts w:ascii="Times New Roman" w:hAnsi="Times New Roman" w:cs="Times New Roman" w:eastAsia="Times New Roman" w:hint="default"/>
                <w:sz w:val="18"/>
                <w:szCs w:val="18"/>
              </w:rPr>
            </w:pPr>
            <w:r>
              <w:rPr>
                <w:rFonts w:ascii="Times New Roman"/>
                <w:spacing w:val="-1"/>
                <w:sz w:val="18"/>
              </w:rPr>
              <w:t>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3"/>
                <w:sz w:val="18"/>
                <w:szCs w:val="18"/>
              </w:rPr>
              <w:t>04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0"/>
                <w:sz w:val="18"/>
                <w:szCs w:val="18"/>
              </w:rPr>
              <w:t>11</w:t>
            </w:r>
            <w:r>
              <w:rPr>
                <w:rFonts w:ascii="Times New Roman" w:hAnsi="Times New Roman" w:cs="Times New Roman" w:eastAsia="Times New Roman" w:hint="default"/>
                <w:sz w:val="18"/>
                <w:szCs w:val="18"/>
              </w:rPr>
            </w:r>
          </w:p>
          <w:p>
            <w:pPr>
              <w:pStyle w:val="TableParagraph"/>
              <w:spacing w:line="240" w:lineRule="auto" w:before="67"/>
              <w:ind w:left="35"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4,000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33" w:right="94"/>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121,800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 w:right="75"/>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66,541</w:t>
            </w:r>
          </w:p>
        </w:tc>
      </w:tr>
      <w:tr>
        <w:trPr>
          <w:trHeight w:val="720"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121,800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 w:right="75"/>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45,688.79</w:t>
            </w:r>
          </w:p>
        </w:tc>
      </w:tr>
      <w:tr>
        <w:trPr>
          <w:trHeight w:val="389"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子公司对子公司的担保情况</w:t>
            </w:r>
          </w:p>
        </w:tc>
      </w:tr>
      <w:tr>
        <w:trPr>
          <w:trHeight w:val="168"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91" w:right="84"/>
              <w:jc w:val="both"/>
              <w:rPr>
                <w:rFonts w:ascii="宋体" w:hAnsi="宋体" w:cs="宋体" w:eastAsia="宋体" w:hint="default"/>
                <w:sz w:val="18"/>
                <w:szCs w:val="18"/>
              </w:rPr>
            </w:pPr>
            <w:r>
              <w:rPr>
                <w:rFonts w:ascii="宋体" w:hAnsi="宋体" w:cs="宋体" w:eastAsia="宋体" w:hint="default"/>
                <w:sz w:val="18"/>
                <w:szCs w:val="18"/>
              </w:rPr>
              <w:t>担保额度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相关公告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披露日期</w:t>
            </w:r>
          </w:p>
        </w:tc>
        <w:tc>
          <w:tcPr>
            <w:tcW w:w="929" w:type="dxa"/>
            <w:vMerge w:val="restart"/>
            <w:tcBorders>
              <w:top w:val="single" w:sz="4" w:space="0" w:color="000000"/>
              <w:left w:val="single" w:sz="4" w:space="0" w:color="000000"/>
              <w:right w:val="single" w:sz="4" w:space="0" w:color="000000"/>
            </w:tcBorders>
            <w:shd w:val="clear" w:color="auto" w:fill="D2D2D2"/>
          </w:tcPr>
          <w:p>
            <w:pPr/>
          </w:p>
        </w:tc>
        <w:tc>
          <w:tcPr>
            <w:tcW w:w="1305" w:type="dxa"/>
            <w:vMerge w:val="restart"/>
            <w:tcBorders>
              <w:top w:val="single" w:sz="4" w:space="0" w:color="000000"/>
              <w:left w:val="single" w:sz="4" w:space="0" w:color="000000"/>
              <w:right w:val="single" w:sz="4" w:space="0" w:color="000000"/>
            </w:tcBorders>
            <w:shd w:val="clear" w:color="auto" w:fill="D2D2D2"/>
          </w:tcPr>
          <w:p>
            <w:pPr/>
          </w:p>
        </w:tc>
        <w:tc>
          <w:tcPr>
            <w:tcW w:w="105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2" w:type="dxa"/>
            <w:vMerge w:val="restart"/>
            <w:tcBorders>
              <w:top w:val="single" w:sz="4" w:space="0" w:color="000000"/>
              <w:left w:val="single" w:sz="4" w:space="0" w:color="000000"/>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4"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29" w:type="dxa"/>
            <w:vMerge/>
            <w:tcBorders>
              <w:left w:val="single" w:sz="4" w:space="0" w:color="000000"/>
              <w:bottom w:val="nil" w:sz="6" w:space="0" w:color="auto"/>
              <w:right w:val="single" w:sz="4" w:space="0" w:color="000000"/>
            </w:tcBorders>
            <w:shd w:val="clear" w:color="auto" w:fill="D2D2D2"/>
          </w:tcPr>
          <w:p>
            <w:pPr/>
          </w:p>
        </w:tc>
        <w:tc>
          <w:tcPr>
            <w:tcW w:w="1305" w:type="dxa"/>
            <w:vMerge/>
            <w:tcBorders>
              <w:left w:val="single" w:sz="4" w:space="0" w:color="000000"/>
              <w:bottom w:val="nil" w:sz="6" w:space="0" w:color="auto"/>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430" w:right="70" w:hanging="360"/>
              <w:jc w:val="left"/>
              <w:rPr>
                <w:rFonts w:ascii="宋体" w:hAnsi="宋体" w:cs="宋体" w:eastAsia="宋体" w:hint="default"/>
                <w:sz w:val="18"/>
                <w:szCs w:val="18"/>
              </w:rPr>
            </w:pPr>
            <w:r>
              <w:rPr>
                <w:rFonts w:ascii="宋体" w:hAnsi="宋体" w:cs="宋体" w:eastAsia="宋体" w:hint="default"/>
                <w:spacing w:val="-2"/>
                <w:sz w:val="18"/>
                <w:szCs w:val="18"/>
              </w:rPr>
              <w:t>实际担保金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42" w:type="dxa"/>
            <w:vMerge/>
            <w:tcBorders>
              <w:left w:val="single" w:sz="4" w:space="0" w:color="000000"/>
              <w:bottom w:val="nil" w:sz="6" w:space="0" w:color="auto"/>
              <w:right w:val="single" w:sz="4" w:space="0" w:color="000000"/>
            </w:tcBorders>
            <w:shd w:val="clear" w:color="auto" w:fill="D2D2D2"/>
          </w:tcPr>
          <w:p>
            <w:pPr/>
          </w:p>
        </w:tc>
        <w:tc>
          <w:tcPr>
            <w:tcW w:w="1046"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06" w:right="27" w:hanging="178"/>
              <w:jc w:val="left"/>
              <w:rPr>
                <w:rFonts w:ascii="宋体" w:hAnsi="宋体" w:cs="宋体" w:eastAsia="宋体" w:hint="default"/>
                <w:sz w:val="18"/>
                <w:szCs w:val="18"/>
              </w:rPr>
            </w:pPr>
            <w:r>
              <w:rPr>
                <w:rFonts w:ascii="宋体" w:hAnsi="宋体" w:cs="宋体" w:eastAsia="宋体" w:hint="default"/>
                <w:sz w:val="18"/>
                <w:szCs w:val="18"/>
              </w:rPr>
              <w:t>是否履行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完毕</w:t>
            </w: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3" w:right="21"/>
              <w:jc w:val="left"/>
              <w:rPr>
                <w:rFonts w:ascii="宋体" w:hAnsi="宋体" w:cs="宋体" w:eastAsia="宋体" w:hint="default"/>
                <w:sz w:val="18"/>
                <w:szCs w:val="18"/>
              </w:rPr>
            </w:pPr>
            <w:r>
              <w:rPr>
                <w:rFonts w:ascii="宋体" w:hAnsi="宋体" w:cs="宋体" w:eastAsia="宋体" w:hint="default"/>
                <w:sz w:val="18"/>
                <w:szCs w:val="18"/>
              </w:rPr>
              <w:t>是否为关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联方担保</w:t>
            </w:r>
          </w:p>
        </w:tc>
      </w:tr>
      <w:tr>
        <w:trPr>
          <w:trHeight w:val="394"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55" w:type="dxa"/>
            <w:vMerge/>
            <w:tcBorders>
              <w:left w:val="single" w:sz="4" w:space="0" w:color="000000"/>
              <w:right w:val="single" w:sz="4" w:space="0" w:color="000000"/>
            </w:tcBorders>
            <w:shd w:val="clear" w:color="auto" w:fill="D2D2D2"/>
          </w:tcPr>
          <w:p>
            <w:pPr/>
          </w:p>
        </w:tc>
        <w:tc>
          <w:tcPr>
            <w:tcW w:w="10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54"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3" w:type="dxa"/>
            <w:vMerge/>
            <w:tcBorders>
              <w:left w:val="single" w:sz="4" w:space="0" w:color="000000"/>
              <w:right w:val="single" w:sz="4" w:space="0" w:color="000000"/>
            </w:tcBorders>
            <w:shd w:val="clear" w:color="auto" w:fill="D2D2D2"/>
          </w:tcPr>
          <w:p>
            <w:pPr/>
          </w:p>
        </w:tc>
      </w:tr>
      <w:tr>
        <w:trPr>
          <w:trHeight w:val="154"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29" w:type="dxa"/>
            <w:vMerge w:val="restart"/>
            <w:tcBorders>
              <w:top w:val="nil" w:sz="6" w:space="0" w:color="auto"/>
              <w:left w:val="single" w:sz="4" w:space="0" w:color="000000"/>
              <w:right w:val="single" w:sz="4" w:space="0" w:color="000000"/>
            </w:tcBorders>
            <w:shd w:val="clear" w:color="auto" w:fill="D2D2D2"/>
          </w:tcPr>
          <w:p>
            <w:pPr/>
          </w:p>
        </w:tc>
        <w:tc>
          <w:tcPr>
            <w:tcW w:w="1305" w:type="dxa"/>
            <w:vMerge w:val="restart"/>
            <w:tcBorders>
              <w:top w:val="nil" w:sz="6" w:space="0" w:color="auto"/>
              <w:left w:val="single" w:sz="4" w:space="0" w:color="000000"/>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1042" w:type="dxa"/>
            <w:vMerge w:val="restart"/>
            <w:tcBorders>
              <w:top w:val="nil" w:sz="6" w:space="0" w:color="auto"/>
              <w:left w:val="single" w:sz="4" w:space="0" w:color="000000"/>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r>
      <w:tr>
        <w:trPr>
          <w:trHeight w:val="163"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305" w:type="dxa"/>
            <w:vMerge/>
            <w:tcBorders>
              <w:left w:val="single" w:sz="4" w:space="0" w:color="000000"/>
              <w:bottom w:val="single" w:sz="4" w:space="0" w:color="000000"/>
              <w:right w:val="single" w:sz="4" w:space="0" w:color="000000"/>
            </w:tcBorders>
            <w:shd w:val="clear" w:color="auto" w:fill="D2D2D2"/>
          </w:tcPr>
          <w:p>
            <w:pPr/>
          </w:p>
        </w:tc>
        <w:tc>
          <w:tcPr>
            <w:tcW w:w="105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2" w:type="dxa"/>
            <w:vMerge/>
            <w:tcBorders>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51"/>
              <w:jc w:val="left"/>
              <w:rPr>
                <w:rFonts w:ascii="宋体" w:hAnsi="宋体" w:cs="宋体" w:eastAsia="宋体" w:hint="default"/>
                <w:sz w:val="18"/>
                <w:szCs w:val="18"/>
              </w:rPr>
            </w:pPr>
            <w:r>
              <w:rPr>
                <w:rFonts w:ascii="宋体" w:hAnsi="宋体" w:cs="宋体" w:eastAsia="宋体" w:hint="default"/>
                <w:spacing w:val="-3"/>
                <w:sz w:val="18"/>
                <w:szCs w:val="18"/>
              </w:rPr>
              <w:t>天津合纵电力设备有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限公司</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4,000</w:t>
            </w:r>
          </w:p>
        </w:tc>
        <w:tc>
          <w:tcPr>
            <w:tcW w:w="1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w w:val="101"/>
                <w:sz w:val="18"/>
                <w:szCs w:val="18"/>
              </w:rPr>
              <w:t>日</w:t>
            </w:r>
            <w:r>
              <w:rPr>
                <w:rFonts w:ascii="宋体" w:hAnsi="宋体" w:cs="宋体" w:eastAsia="宋体" w:hint="default"/>
                <w:sz w:val="18"/>
                <w:szCs w:val="18"/>
              </w:rPr>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1,996.19</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14" w:right="113"/>
              <w:jc w:val="left"/>
              <w:rPr>
                <w:rFonts w:ascii="宋体" w:hAnsi="宋体" w:cs="宋体" w:eastAsia="宋体" w:hint="default"/>
                <w:sz w:val="18"/>
                <w:szCs w:val="18"/>
              </w:rPr>
            </w:pPr>
            <w:r>
              <w:rPr>
                <w:rFonts w:ascii="宋体" w:hAnsi="宋体" w:cs="宋体" w:eastAsia="宋体" w:hint="default"/>
                <w:spacing w:val="-2"/>
                <w:sz w:val="18"/>
                <w:szCs w:val="18"/>
              </w:rPr>
              <w:t>连带责任保</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3"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60"/>
              <w:jc w:val="left"/>
              <w:rPr>
                <w:rFonts w:ascii="宋体" w:hAnsi="宋体" w:cs="宋体" w:eastAsia="宋体" w:hint="default"/>
                <w:sz w:val="18"/>
                <w:szCs w:val="18"/>
              </w:rPr>
            </w:pPr>
            <w:r>
              <w:rPr>
                <w:rFonts w:ascii="宋体" w:hAnsi="宋体" w:cs="宋体" w:eastAsia="宋体" w:hint="default"/>
                <w:spacing w:val="-3"/>
                <w:sz w:val="18"/>
                <w:szCs w:val="18"/>
              </w:rPr>
              <w:t>报告期内审批对子公司担保额度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4"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4,000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7" w:right="75"/>
              <w:jc w:val="left"/>
              <w:rPr>
                <w:rFonts w:ascii="宋体" w:hAnsi="宋体" w:cs="宋体" w:eastAsia="宋体" w:hint="default"/>
                <w:sz w:val="18"/>
                <w:szCs w:val="18"/>
              </w:rPr>
            </w:pPr>
            <w:r>
              <w:rPr>
                <w:rFonts w:ascii="宋体" w:hAnsi="宋体" w:cs="宋体" w:eastAsia="宋体" w:hint="default"/>
                <w:spacing w:val="-3"/>
                <w:sz w:val="18"/>
                <w:szCs w:val="18"/>
              </w:rPr>
              <w:t>报告期内对子公司担保实</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1,996.19</w:t>
            </w:r>
          </w:p>
        </w:tc>
      </w:tr>
      <w:tr>
        <w:trPr>
          <w:trHeight w:val="718"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61"/>
              <w:jc w:val="left"/>
              <w:rPr>
                <w:rFonts w:ascii="宋体" w:hAnsi="宋体" w:cs="宋体" w:eastAsia="宋体" w:hint="default"/>
                <w:sz w:val="18"/>
                <w:szCs w:val="18"/>
              </w:rPr>
            </w:pPr>
            <w:r>
              <w:rPr>
                <w:rFonts w:ascii="宋体" w:hAnsi="宋体" w:cs="宋体" w:eastAsia="宋体" w:hint="default"/>
                <w:spacing w:val="-3"/>
                <w:sz w:val="18"/>
                <w:szCs w:val="18"/>
              </w:rPr>
              <w:t>报告期末已审批的对子公司担保</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4"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4,000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7" w:right="75"/>
              <w:jc w:val="left"/>
              <w:rPr>
                <w:rFonts w:ascii="宋体" w:hAnsi="宋体" w:cs="宋体" w:eastAsia="宋体" w:hint="default"/>
                <w:sz w:val="18"/>
                <w:szCs w:val="18"/>
              </w:rPr>
            </w:pPr>
            <w:r>
              <w:rPr>
                <w:rFonts w:ascii="宋体" w:hAnsi="宋体" w:cs="宋体" w:eastAsia="宋体" w:hint="default"/>
                <w:spacing w:val="-3"/>
                <w:sz w:val="18"/>
                <w:szCs w:val="18"/>
              </w:rPr>
              <w:t>报告期末对子公司实际担</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677.87</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3"/>
                <w:sz w:val="18"/>
                <w:szCs w:val="18"/>
              </w:rPr>
              <w:t>公司担保总额（即前三大项的合计）</w:t>
            </w:r>
          </w:p>
        </w:tc>
      </w:tr>
      <w:tr>
        <w:trPr>
          <w:trHeight w:val="720"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168,800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7" w:right="75"/>
              <w:jc w:val="left"/>
              <w:rPr>
                <w:rFonts w:ascii="宋体" w:hAnsi="宋体" w:cs="宋体" w:eastAsia="宋体" w:hint="default"/>
                <w:sz w:val="18"/>
                <w:szCs w:val="18"/>
              </w:rPr>
            </w:pPr>
            <w:r>
              <w:rPr>
                <w:rFonts w:ascii="宋体" w:hAnsi="宋体" w:cs="宋体" w:eastAsia="宋体" w:hint="default"/>
                <w:spacing w:val="-3"/>
                <w:sz w:val="18"/>
                <w:szCs w:val="18"/>
              </w:rPr>
              <w:t>报告期内担保实际发生额</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3"/>
                <w:sz w:val="18"/>
              </w:rPr>
              <w:t>111,537.19</w:t>
            </w:r>
          </w:p>
        </w:tc>
      </w:tr>
      <w:tr>
        <w:trPr>
          <w:trHeight w:val="713"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报告期末已审批的担保额度合计</w:t>
            </w:r>
          </w:p>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0" w:space="0" w:color="D2D2D2"/>
              <w:bottom w:val="single" w:sz="4" w:space="0" w:color="000000"/>
              <w:right w:val="single" w:sz="15"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168,800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7" w:right="75"/>
              <w:jc w:val="left"/>
              <w:rPr>
                <w:rFonts w:ascii="宋体" w:hAnsi="宋体" w:cs="宋体" w:eastAsia="宋体" w:hint="default"/>
                <w:sz w:val="18"/>
                <w:szCs w:val="18"/>
              </w:rPr>
            </w:pPr>
            <w:r>
              <w:rPr>
                <w:rFonts w:ascii="宋体" w:hAnsi="宋体" w:cs="宋体" w:eastAsia="宋体" w:hint="default"/>
                <w:spacing w:val="-3"/>
                <w:sz w:val="18"/>
                <w:szCs w:val="18"/>
              </w:rPr>
              <w:t>报告期末实际担保余额合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84,366.66</w:t>
            </w:r>
          </w:p>
        </w:tc>
      </w:tr>
      <w:tr>
        <w:trPr>
          <w:trHeight w:val="40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2"/>
                <w:sz w:val="18"/>
                <w:szCs w:val="18"/>
              </w:rPr>
              <w:t>实际担保总额（即</w:t>
            </w:r>
            <w:r>
              <w:rPr>
                <w:rFonts w:ascii="宋体" w:hAnsi="宋体" w:cs="宋体" w:eastAsia="宋体" w:hint="default"/>
                <w:spacing w:val="9"/>
                <w:sz w:val="18"/>
                <w:szCs w:val="18"/>
              </w:rPr>
              <w:t> </w:t>
            </w:r>
            <w:r>
              <w:rPr>
                <w:rFonts w:ascii="Times New Roman" w:hAnsi="Times New Roman" w:cs="Times New Roman" w:eastAsia="Times New Roman" w:hint="default"/>
                <w:spacing w:val="-2"/>
                <w:sz w:val="18"/>
                <w:szCs w:val="18"/>
              </w:rPr>
              <w:t>A4+B4+C4</w:t>
            </w:r>
            <w:r>
              <w:rPr>
                <w:rFonts w:ascii="宋体" w:hAnsi="宋体" w:cs="宋体" w:eastAsia="宋体" w:hint="default"/>
                <w:spacing w:val="-2"/>
                <w:sz w:val="18"/>
                <w:szCs w:val="18"/>
              </w:rPr>
              <w:t>）占公司净资产的比例</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3"/>
                <w:sz w:val="18"/>
              </w:rPr>
              <w:t>42.11%</w:t>
            </w:r>
          </w:p>
        </w:tc>
      </w:tr>
      <w:tr>
        <w:trPr>
          <w:trHeight w:val="394"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为股东、实际控制人及其关联方提供担保的余额（</w:t>
            </w:r>
            <w:r>
              <w:rPr>
                <w:rFonts w:ascii="Times New Roman" w:hAnsi="Times New Roman" w:cs="Times New Roman" w:eastAsia="Times New Roman" w:hint="default"/>
                <w:spacing w:val="-3"/>
                <w:sz w:val="18"/>
                <w:szCs w:val="18"/>
              </w:rPr>
              <w:t>D</w:t>
            </w:r>
            <w:r>
              <w:rPr>
                <w:rFonts w:ascii="宋体" w:hAnsi="宋体" w:cs="宋体" w:eastAsia="宋体" w:hint="default"/>
                <w:spacing w:val="-3"/>
                <w:sz w:val="18"/>
                <w:szCs w:val="18"/>
              </w:rPr>
              <w:t>）</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38,000</w:t>
            </w:r>
          </w:p>
        </w:tc>
      </w:tr>
      <w:tr>
        <w:trPr>
          <w:trHeight w:val="71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1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15"/>
                <w:sz w:val="18"/>
                <w:szCs w:val="18"/>
              </w:rPr>
              <w:t> </w:t>
            </w:r>
            <w:r>
              <w:rPr>
                <w:rFonts w:ascii="Times New Roman" w:hAnsi="Times New Roman" w:cs="Times New Roman" w:eastAsia="Times New Roman" w:hint="default"/>
                <w:spacing w:val="-3"/>
                <w:sz w:val="18"/>
                <w:szCs w:val="18"/>
              </w:rPr>
              <w:t>70%</w:t>
            </w:r>
            <w:r>
              <w:rPr>
                <w:rFonts w:ascii="宋体" w:hAnsi="宋体" w:cs="宋体" w:eastAsia="宋体" w:hint="default"/>
                <w:spacing w:val="-3"/>
                <w:sz w:val="18"/>
                <w:szCs w:val="18"/>
              </w:rPr>
              <w:t>的被担保对象提供的债务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1"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9"/>
                <w:sz w:val="18"/>
                <w:szCs w:val="18"/>
              </w:rPr>
              <w:t> </w:t>
            </w:r>
            <w:r>
              <w:rPr>
                <w:rFonts w:ascii="Times New Roman" w:hAnsi="Times New Roman" w:cs="Times New Roman" w:eastAsia="Times New Roman" w:hint="default"/>
                <w:spacing w:val="-3"/>
                <w:sz w:val="18"/>
                <w:szCs w:val="18"/>
              </w:rPr>
              <w:t>50%</w:t>
            </w:r>
            <w:r>
              <w:rPr>
                <w:rFonts w:ascii="宋体" w:hAnsi="宋体" w:cs="宋体" w:eastAsia="宋体" w:hint="default"/>
                <w:spacing w:val="-3"/>
                <w:sz w:val="18"/>
                <w:szCs w:val="18"/>
              </w:rPr>
              <w:t>部分的金额（</w:t>
            </w:r>
            <w:r>
              <w:rPr>
                <w:rFonts w:ascii="Times New Roman" w:hAnsi="Times New Roman" w:cs="Times New Roman" w:eastAsia="Times New Roman" w:hint="default"/>
                <w:spacing w:val="-3"/>
                <w:sz w:val="18"/>
                <w:szCs w:val="18"/>
              </w:rPr>
              <w:t>F</w:t>
            </w:r>
            <w:r>
              <w:rPr>
                <w:rFonts w:ascii="宋体" w:hAnsi="宋体" w:cs="宋体" w:eastAsia="宋体" w:hint="default"/>
                <w:spacing w:val="-3"/>
                <w:sz w:val="18"/>
                <w:szCs w:val="18"/>
              </w:rPr>
              <w:t>）</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2"/>
                <w:sz w:val="18"/>
              </w:rPr>
              <w:t>15,799.11</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53,799.11</w:t>
            </w:r>
          </w:p>
        </w:tc>
      </w:tr>
      <w:tr>
        <w:trPr>
          <w:trHeight w:val="716"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4"/>
              <w:jc w:val="left"/>
              <w:rPr>
                <w:rFonts w:ascii="宋体" w:hAnsi="宋体" w:cs="宋体" w:eastAsia="宋体" w:hint="default"/>
                <w:sz w:val="18"/>
                <w:szCs w:val="18"/>
              </w:rPr>
            </w:pPr>
            <w:r>
              <w:rPr>
                <w:rFonts w:ascii="宋体" w:hAnsi="宋体" w:cs="宋体" w:eastAsia="宋体" w:hint="default"/>
                <w:spacing w:val="-5"/>
                <w:sz w:val="18"/>
                <w:szCs w:val="18"/>
              </w:rPr>
              <w:t>对未到期担保，报告期内已发生担保责任或可能承担连带清偿</w:t>
            </w:r>
            <w:r>
              <w:rPr>
                <w:rFonts w:ascii="宋体" w:hAnsi="宋体" w:cs="宋体" w:eastAsia="宋体" w:hint="default"/>
                <w:spacing w:val="-14"/>
                <w:sz w:val="18"/>
                <w:szCs w:val="18"/>
              </w:rPr>
              <w:t> </w:t>
            </w:r>
            <w:r>
              <w:rPr>
                <w:rFonts w:ascii="宋体" w:hAnsi="宋体" w:cs="宋体" w:eastAsia="宋体" w:hint="default"/>
                <w:spacing w:val="-14"/>
                <w:sz w:val="18"/>
                <w:szCs w:val="18"/>
              </w:rPr>
            </w:r>
            <w:r>
              <w:rPr>
                <w:rFonts w:ascii="宋体" w:hAnsi="宋体" w:cs="宋体" w:eastAsia="宋体" w:hint="default"/>
                <w:spacing w:val="-3"/>
                <w:sz w:val="18"/>
                <w:szCs w:val="18"/>
              </w:rPr>
              <w:t>责任的情况说明（如有）</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
              <w:jc w:val="right"/>
              <w:rPr>
                <w:rFonts w:ascii="宋体" w:hAnsi="宋体" w:cs="宋体" w:eastAsia="宋体" w:hint="default"/>
                <w:sz w:val="18"/>
                <w:szCs w:val="18"/>
              </w:rPr>
            </w:pPr>
            <w:r>
              <w:rPr>
                <w:rFonts w:ascii="宋体" w:hAnsi="宋体" w:cs="宋体" w:eastAsia="宋体" w:hint="default"/>
                <w:spacing w:val="-2"/>
                <w:sz w:val="18"/>
                <w:szCs w:val="18"/>
              </w:rPr>
              <w:t>不适应</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违反规定程序对外提供担保的说明（如有）</w:t>
            </w:r>
          </w:p>
        </w:tc>
        <w:tc>
          <w:tcPr>
            <w:tcW w:w="4719"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right="12"/>
              <w:jc w:val="right"/>
              <w:rPr>
                <w:rFonts w:ascii="宋体" w:hAnsi="宋体" w:cs="宋体" w:eastAsia="宋体" w:hint="default"/>
                <w:sz w:val="18"/>
                <w:szCs w:val="18"/>
              </w:rPr>
            </w:pPr>
            <w:r>
              <w:rPr>
                <w:rFonts w:ascii="宋体" w:hAnsi="宋体" w:cs="宋体" w:eastAsia="宋体" w:hint="default"/>
                <w:spacing w:val="-2"/>
                <w:sz w:val="18"/>
                <w:szCs w:val="18"/>
              </w:rPr>
              <w:t>不适应</w:t>
            </w:r>
          </w:p>
        </w:tc>
      </w:tr>
    </w:tbl>
    <w:p>
      <w:pPr>
        <w:pStyle w:val="BodyText"/>
        <w:spacing w:line="240" w:lineRule="auto" w:before="53"/>
        <w:ind w:right="0"/>
        <w:jc w:val="left"/>
      </w:pPr>
      <w:r>
        <w:rPr>
          <w:spacing w:val="-3"/>
        </w:rPr>
        <w:t>采用复合方式担保的具体情况说明</w:t>
      </w:r>
      <w:r>
        <w:rPr/>
      </w:r>
    </w:p>
    <w:p>
      <w:pPr>
        <w:spacing w:after="0" w:line="240" w:lineRule="auto"/>
        <w:jc w:val="left"/>
        <w:sectPr>
          <w:pgSz w:w="11910" w:h="16840"/>
          <w:pgMar w:header="741" w:footer="979" w:top="1060" w:bottom="1160" w:left="980" w:right="0"/>
        </w:sectPr>
      </w:pPr>
    </w:p>
    <w:p>
      <w:pPr>
        <w:spacing w:line="240" w:lineRule="auto" w:before="12"/>
        <w:rPr>
          <w:rFonts w:ascii="宋体" w:hAnsi="宋体" w:cs="宋体" w:eastAsia="宋体" w:hint="default"/>
          <w:sz w:val="24"/>
          <w:szCs w:val="24"/>
        </w:rPr>
      </w:pPr>
    </w:p>
    <w:p>
      <w:pPr>
        <w:pStyle w:val="Heading3"/>
        <w:spacing w:line="240" w:lineRule="auto" w:before="36"/>
        <w:ind w:right="0"/>
        <w:jc w:val="left"/>
        <w:rPr>
          <w:b w:val="0"/>
          <w:bCs w:val="0"/>
        </w:rPr>
      </w:pPr>
      <w:bookmarkStart w:name="（2）违规对外担保情况" w:id="92"/>
      <w:bookmarkEnd w:id="92"/>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公司报告期无违规对外担保情况。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公司报告期不存在委托理财。</w:t>
      </w:r>
    </w:p>
    <w:p>
      <w:pPr>
        <w:spacing w:line="240" w:lineRule="auto" w:before="0"/>
        <w:rPr>
          <w:rFonts w:ascii="宋体" w:hAnsi="宋体" w:cs="宋体" w:eastAsia="宋体" w:hint="default"/>
          <w:sz w:val="21"/>
          <w:szCs w:val="21"/>
        </w:rPr>
      </w:pPr>
    </w:p>
    <w:p>
      <w:pPr>
        <w:pStyle w:val="Heading3"/>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公司报告期不存在委托贷款。</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公司报告期不存在其他重大合同。</w:t>
      </w:r>
    </w:p>
    <w:p>
      <w:pPr>
        <w:spacing w:line="240" w:lineRule="auto" w:before="1"/>
        <w:rPr>
          <w:rFonts w:ascii="宋体" w:hAnsi="宋体" w:cs="宋体" w:eastAsia="宋体" w:hint="default"/>
          <w:sz w:val="18"/>
          <w:szCs w:val="18"/>
        </w:rPr>
      </w:pPr>
    </w:p>
    <w:p>
      <w:pPr>
        <w:spacing w:line="511" w:lineRule="auto" w:before="0"/>
        <w:ind w:left="153" w:right="8588" w:firstLine="0"/>
        <w:jc w:val="left"/>
        <w:rPr>
          <w:rFonts w:ascii="宋体" w:hAnsi="宋体" w:cs="宋体" w:eastAsia="宋体" w:hint="default"/>
          <w:sz w:val="18"/>
          <w:szCs w:val="18"/>
        </w:rPr>
      </w:pPr>
      <w:bookmarkStart w:name="十七、社会责任情况" w:id="97"/>
      <w:bookmarkEnd w:id="97"/>
      <w:r>
        <w:rPr/>
      </w:r>
      <w:r>
        <w:rPr>
          <w:rFonts w:ascii="宋体" w:hAnsi="宋体" w:cs="宋体" w:eastAsia="宋体" w:hint="default"/>
          <w:b/>
          <w:bCs/>
          <w:sz w:val="24"/>
          <w:szCs w:val="24"/>
        </w:rPr>
        <w:t>十七、社会责任情况</w:t>
      </w:r>
      <w:r>
        <w:rPr>
          <w:rFonts w:ascii="宋体" w:hAnsi="宋体" w:cs="宋体" w:eastAsia="宋体" w:hint="default"/>
          <w:b/>
          <w:bCs/>
          <w:w w:val="99"/>
          <w:sz w:val="24"/>
          <w:szCs w:val="24"/>
        </w:rPr>
        <w:t> </w:t>
      </w:r>
      <w:bookmarkStart w:name="1、履行社会责任情况" w:id="98"/>
      <w:bookmarkEnd w:id="9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、履行社会责任情况</w:t>
      </w:r>
      <w:r>
        <w:rPr>
          <w:rFonts w:ascii="宋体" w:hAnsi="宋体" w:cs="宋体" w:eastAsia="宋体" w:hint="default"/>
          <w:b/>
          <w:bCs/>
          <w:spacing w:val="-102"/>
          <w:sz w:val="21"/>
          <w:szCs w:val="21"/>
        </w:rPr>
        <w:t> </w:t>
      </w:r>
      <w:r>
        <w:rPr>
          <w:rFonts w:ascii="宋体" w:hAnsi="宋体" w:cs="宋体" w:eastAsia="宋体" w:hint="default"/>
          <w:sz w:val="18"/>
          <w:szCs w:val="18"/>
        </w:rPr>
        <w:t>无</w:t>
      </w:r>
    </w:p>
    <w:p>
      <w:pPr>
        <w:pStyle w:val="Heading3"/>
        <w:spacing w:line="240" w:lineRule="auto" w:before="150"/>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spacing w:val="-3"/>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62" w:lineRule="auto"/>
        <w:ind w:right="5655"/>
        <w:jc w:val="left"/>
      </w:pPr>
      <w:r>
        <w:rPr>
          <w:spacing w:val="-3"/>
        </w:rPr>
        <w:t>上市公司及其子公司是否属于环境保护部门公布的重点排污单位</w:t>
      </w:r>
      <w:r>
        <w:rPr>
          <w:spacing w:val="-9"/>
        </w:rPr>
        <w:t> </w:t>
      </w:r>
      <w:r>
        <w:rPr>
          <w:spacing w:val="-9"/>
        </w:rPr>
      </w:r>
      <w:r>
        <w:rPr/>
        <w:t>否</w:t>
      </w:r>
    </w:p>
    <w:p>
      <w:pPr>
        <w:spacing w:line="240" w:lineRule="auto" w:before="13"/>
        <w:rPr>
          <w:rFonts w:ascii="宋体" w:hAnsi="宋体" w:cs="宋体" w:eastAsia="宋体" w:hint="default"/>
          <w:sz w:val="16"/>
          <w:szCs w:val="16"/>
        </w:rPr>
      </w:pPr>
    </w:p>
    <w:p>
      <w:pPr>
        <w:pStyle w:val="Heading2"/>
        <w:spacing w:line="240" w:lineRule="auto"/>
        <w:ind w:right="0"/>
        <w:jc w:val="left"/>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7"/>
        <w:rPr>
          <w:rFonts w:ascii="宋体" w:hAnsi="宋体" w:cs="宋体" w:eastAsia="宋体" w:hint="default"/>
          <w:b/>
          <w:bCs/>
          <w:sz w:val="27"/>
          <w:szCs w:val="27"/>
        </w:rPr>
      </w:pPr>
    </w:p>
    <w:p>
      <w:pPr>
        <w:pStyle w:val="BodyText"/>
        <w:spacing w:line="338" w:lineRule="auto"/>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公司报告期不存在需要说明的其他重大事项。</w:t>
      </w:r>
    </w:p>
    <w:p>
      <w:pPr>
        <w:spacing w:after="0" w:line="338" w:lineRule="auto"/>
        <w:jc w:val="left"/>
        <w:sectPr>
          <w:pgSz w:w="11910" w:h="16840"/>
          <w:pgMar w:header="741" w:footer="979" w:top="1060" w:bottom="1160" w:left="980" w:right="0"/>
        </w:sectPr>
      </w:pPr>
    </w:p>
    <w:p>
      <w:pPr>
        <w:spacing w:line="240" w:lineRule="auto" w:before="5"/>
        <w:rPr>
          <w:rFonts w:ascii="宋体" w:hAnsi="宋体" w:cs="宋体" w:eastAsia="宋体" w:hint="default"/>
          <w:sz w:val="23"/>
          <w:szCs w:val="23"/>
        </w:rPr>
      </w:pPr>
    </w:p>
    <w:p>
      <w:pPr>
        <w:pStyle w:val="Heading2"/>
        <w:spacing w:line="240" w:lineRule="auto" w:before="26"/>
        <w:ind w:right="0"/>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741"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760" w:right="0"/>
        <w:jc w:val="left"/>
        <w:rPr>
          <w:b w:val="0"/>
          <w:bCs w:val="0"/>
        </w:rPr>
      </w:pPr>
      <w:bookmarkStart w:name="_TOC_250007" w:id="103"/>
      <w:bookmarkStart w:name="第六节股份变动及股东情况" w:id="104"/>
      <w:r>
        <w:rPr>
          <w:b w:val="0"/>
          <w:bCs w:val="0"/>
        </w:rPr>
      </w:r>
      <w:r>
        <w:rPr/>
        <w:t>第六节股份变动及股东情况</w:t>
      </w:r>
      <w:bookmarkEnd w:id="103"/>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688"/>
        <w:jc w:val="right"/>
      </w:pPr>
      <w:r>
        <w:rPr>
          <w:spacing w:val="-2"/>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1"/>
        <w:gridCol w:w="826"/>
        <w:gridCol w:w="821"/>
        <w:gridCol w:w="826"/>
        <w:gridCol w:w="821"/>
        <w:gridCol w:w="821"/>
        <w:gridCol w:w="821"/>
        <w:gridCol w:w="797"/>
        <w:gridCol w:w="792"/>
      </w:tblGrid>
      <w:tr>
        <w:trPr>
          <w:trHeight w:val="39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9"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61" w:right="0"/>
              <w:jc w:val="left"/>
              <w:rPr>
                <w:rFonts w:ascii="宋体" w:hAnsi="宋体" w:cs="宋体" w:eastAsia="宋体" w:hint="default"/>
                <w:sz w:val="18"/>
                <w:szCs w:val="18"/>
              </w:rPr>
            </w:pPr>
            <w:r>
              <w:rPr>
                <w:rFonts w:ascii="宋体" w:hAnsi="宋体" w:cs="宋体" w:eastAsia="宋体" w:hint="default"/>
                <w:spacing w:val="-3"/>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3"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317" w:right="36" w:hanging="270"/>
              <w:jc w:val="left"/>
              <w:rPr>
                <w:rFonts w:ascii="宋体" w:hAnsi="宋体" w:cs="宋体" w:eastAsia="宋体" w:hint="default"/>
                <w:sz w:val="18"/>
                <w:szCs w:val="18"/>
              </w:rPr>
            </w:pPr>
            <w:r>
              <w:rPr>
                <w:rFonts w:ascii="宋体" w:hAnsi="宋体" w:cs="宋体" w:eastAsia="宋体" w:hint="default"/>
                <w:sz w:val="18"/>
                <w:szCs w:val="18"/>
              </w:rPr>
              <w:t>公积金转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w:t>
            </w: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16"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1" w:type="dxa"/>
            <w:vMerge/>
            <w:tcBorders>
              <w:left w:val="single" w:sz="4" w:space="0" w:color="000000"/>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6"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2216"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265,187,2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04</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45.55%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17,903,20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95,828,11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-25,616,9</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18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88,114,39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353,301,6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42.41%</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一、有限售条件股份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8"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265,187,2</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04</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45.55%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17,903,20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95,828,11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-25,616,9</w:t>
            </w: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18</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88,114,39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353,301,6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42.41%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21,844,49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3.75%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6,908,832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-4,572,41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2,336,419</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24,180,91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2.90%</w:t>
            </w:r>
          </w:p>
        </w:tc>
      </w:tr>
      <w:tr>
        <w:trPr>
          <w:trHeight w:val="389"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其中：境内法人持股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243,342,7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41.80%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17,903,20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88,919,28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-2,104,45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85,777,97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329,120,6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39.51%</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境内自然人持股</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399"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其中：境外法人持股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3"/>
                <w:sz w:val="18"/>
                <w:szCs w:val="18"/>
              </w:rPr>
              <w:t>境外自然人持股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0"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317,007,4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38</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54.45%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137,049,7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25,616,91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162,666,6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479,674,0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57.59%</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二、无限售条件股份</w:t>
            </w:r>
          </w:p>
        </w:tc>
        <w:tc>
          <w:tcPr>
            <w:tcW w:w="821" w:type="dxa"/>
            <w:vMerge/>
            <w:tcBorders>
              <w:left w:val="single" w:sz="10"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4"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0"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317,007,4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38</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54.45%</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137,049,7</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42</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25,616,91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162,666,6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479,674,0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57.59%</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0.00%</w:t>
            </w:r>
          </w:p>
        </w:tc>
      </w:tr>
      <w:tr>
        <w:trPr>
          <w:trHeight w:val="158" w:hRule="exact"/>
        </w:trPr>
        <w:tc>
          <w:tcPr>
            <w:tcW w:w="2216" w:type="dxa"/>
            <w:tcBorders>
              <w:top w:val="single" w:sz="4" w:space="0" w:color="000000"/>
              <w:left w:val="single" w:sz="4" w:space="0" w:color="000000"/>
              <w:bottom w:val="nil" w:sz="6" w:space="0" w:color="auto"/>
              <w:right w:val="single" w:sz="4" w:space="0" w:color="000000"/>
            </w:tcBorders>
            <w:shd w:val="clear" w:color="auto" w:fill="D2D2D2"/>
          </w:tcPr>
          <w:p>
            <w:pPr/>
          </w:p>
        </w:tc>
        <w:tc>
          <w:tcPr>
            <w:tcW w:w="821" w:type="dxa"/>
            <w:vMerge w:val="restart"/>
            <w:tcBorders>
              <w:top w:val="single" w:sz="4" w:space="0" w:color="000000"/>
              <w:left w:val="single" w:sz="13" w:space="0" w:color="D2D2D2"/>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582,194,6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42</w:t>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100.00%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17,903,20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232,877,8</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56</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250,781,0</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56</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832,975,6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100.00%</w:t>
            </w:r>
          </w:p>
        </w:tc>
      </w:tr>
      <w:tr>
        <w:trPr>
          <w:trHeight w:val="394" w:hRule="exact"/>
        </w:trPr>
        <w:tc>
          <w:tcPr>
            <w:tcW w:w="22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1" w:type="dxa"/>
            <w:vMerge/>
            <w:tcBorders>
              <w:left w:val="single" w:sz="13" w:space="0" w:color="D2D2D2"/>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6"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58" w:hRule="exact"/>
        </w:trPr>
        <w:tc>
          <w:tcPr>
            <w:tcW w:w="2216" w:type="dxa"/>
            <w:tcBorders>
              <w:top w:val="nil" w:sz="6" w:space="0" w:color="auto"/>
              <w:left w:val="single" w:sz="4" w:space="0" w:color="000000"/>
              <w:bottom w:val="single" w:sz="4" w:space="0" w:color="000000"/>
              <w:right w:val="single" w:sz="4" w:space="0" w:color="000000"/>
            </w:tcBorders>
            <w:shd w:val="clear" w:color="auto" w:fill="D2D2D2"/>
          </w:tcPr>
          <w:p>
            <w:pPr/>
          </w:p>
        </w:tc>
        <w:tc>
          <w:tcPr>
            <w:tcW w:w="821" w:type="dxa"/>
            <w:vMerge/>
            <w:tcBorders>
              <w:left w:val="single" w:sz="13" w:space="0" w:color="D2D2D2"/>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6"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股份变动的原因</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0" w:firstLine="427"/>
        <w:jc w:val="left"/>
      </w:pPr>
      <w:r>
        <w:rPr>
          <w:rFonts w:ascii="Times New Roman" w:hAnsi="Times New Roman" w:cs="Times New Roman" w:eastAsia="Times New Roman" w:hint="default"/>
          <w:spacing w:val="-4"/>
        </w:rPr>
        <w:t>1</w:t>
      </w:r>
      <w:r>
        <w:rPr>
          <w:spacing w:val="-4"/>
        </w:rPr>
        <w:t>、公司报告期内，因公司董监高持股变动，导致高管锁定股增加</w:t>
      </w:r>
      <w:r>
        <w:rPr>
          <w:rFonts w:ascii="Times New Roman" w:hAnsi="Times New Roman" w:cs="Times New Roman" w:eastAsia="Times New Roman" w:hint="default"/>
          <w:spacing w:val="-4"/>
        </w:rPr>
        <w:t>2,891,111</w:t>
      </w:r>
      <w:r>
        <w:rPr>
          <w:spacing w:val="-4"/>
        </w:rPr>
        <w:t>股，即限售股增加</w:t>
      </w:r>
      <w:r>
        <w:rPr>
          <w:rFonts w:ascii="Times New Roman" w:hAnsi="Times New Roman" w:cs="Times New Roman" w:eastAsia="Times New Roman" w:hint="default"/>
          <w:spacing w:val="-4"/>
        </w:rPr>
        <w:t>2,891,111</w:t>
      </w:r>
      <w:r>
        <w:rPr>
          <w:spacing w:val="-4"/>
        </w:rPr>
        <w:t>股，同时</w:t>
      </w:r>
      <w:r>
        <w:rPr>
          <w:w w:val="101"/>
        </w:rPr>
        <w:t> </w:t>
      </w:r>
      <w:r>
        <w:rPr/>
        <w:t>无限售条件流通股减少</w:t>
      </w:r>
      <w:r>
        <w:rPr>
          <w:rFonts w:ascii="Times New Roman" w:hAnsi="Times New Roman" w:cs="Times New Roman" w:eastAsia="Times New Roman" w:hint="default"/>
        </w:rPr>
        <w:t>2,891,111</w:t>
      </w:r>
      <w:r>
        <w:rPr/>
        <w:t>股；</w:t>
      </w:r>
    </w:p>
    <w:p>
      <w:pPr>
        <w:pStyle w:val="BodyText"/>
        <w:spacing w:line="240" w:lineRule="auto" w:before="13"/>
        <w:ind w:left="580" w:right="0"/>
        <w:jc w:val="left"/>
      </w:pP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25</w:t>
      </w:r>
      <w:r>
        <w:rPr>
          <w:spacing w:val="-3"/>
        </w:rPr>
        <w:t>日，因公司</w:t>
      </w:r>
      <w:r>
        <w:rPr>
          <w:rFonts w:ascii="Times New Roman" w:hAnsi="Times New Roman" w:cs="Times New Roman" w:eastAsia="Times New Roman" w:hint="default"/>
          <w:spacing w:val="-3"/>
        </w:rPr>
        <w:t>2017</w:t>
      </w:r>
      <w:r>
        <w:rPr>
          <w:spacing w:val="-3"/>
        </w:rPr>
        <w:t>年发行股份及支付现金购买资产并募集配套资金暨关联交易新增的股份，部分</w:t>
      </w:r>
    </w:p>
    <w:p>
      <w:pPr>
        <w:spacing w:after="0" w:line="240" w:lineRule="auto"/>
        <w:jc w:val="left"/>
        <w:sectPr>
          <w:headerReference w:type="default" r:id="rId13"/>
          <w:footerReference w:type="default" r:id="rId14"/>
          <w:pgSz w:w="11910" w:h="16840"/>
          <w:pgMar w:header="871" w:footer="979" w:top="1100" w:bottom="1160" w:left="980" w:right="0"/>
          <w:pgNumType w:start="42"/>
        </w:sectPr>
      </w:pPr>
    </w:p>
    <w:p>
      <w:pPr>
        <w:spacing w:line="240" w:lineRule="auto" w:before="11"/>
        <w:rPr>
          <w:rFonts w:ascii="宋体" w:hAnsi="宋体" w:cs="宋体" w:eastAsia="宋体" w:hint="default"/>
          <w:sz w:val="21"/>
          <w:szCs w:val="21"/>
        </w:rPr>
      </w:pPr>
    </w:p>
    <w:p>
      <w:pPr>
        <w:pStyle w:val="BodyText"/>
        <w:spacing w:line="300" w:lineRule="auto" w:before="46"/>
        <w:ind w:right="0"/>
        <w:jc w:val="left"/>
      </w:pPr>
      <w:r>
        <w:rPr>
          <w:spacing w:val="-3"/>
        </w:rPr>
        <w:t>限售股解除限售并上市流通，从而导致首发后限售股减少</w:t>
      </w:r>
      <w:r>
        <w:rPr>
          <w:rFonts w:ascii="Times New Roman" w:hAnsi="Times New Roman" w:cs="Times New Roman" w:eastAsia="Times New Roman" w:hint="default"/>
          <w:spacing w:val="-3"/>
        </w:rPr>
        <w:t>11,734,791</w:t>
      </w:r>
      <w:r>
        <w:rPr>
          <w:spacing w:val="-3"/>
        </w:rPr>
        <w:t>股，即限售股减少</w:t>
      </w:r>
      <w:r>
        <w:rPr>
          <w:rFonts w:ascii="Times New Roman" w:hAnsi="Times New Roman" w:cs="Times New Roman" w:eastAsia="Times New Roman" w:hint="default"/>
          <w:spacing w:val="-3"/>
        </w:rPr>
        <w:t>11,734,791</w:t>
      </w:r>
      <w:r>
        <w:rPr>
          <w:spacing w:val="-3"/>
        </w:rPr>
        <w:t>股，同时无限售流</w:t>
      </w:r>
      <w:r>
        <w:rPr>
          <w:spacing w:val="3"/>
        </w:rPr>
        <w:t> </w:t>
      </w:r>
      <w:r>
        <w:rPr>
          <w:spacing w:val="3"/>
        </w:rPr>
      </w:r>
      <w:r>
        <w:rPr/>
        <w:t>通股相应增加</w:t>
      </w:r>
      <w:r>
        <w:rPr>
          <w:rFonts w:ascii="Times New Roman" w:hAnsi="Times New Roman" w:cs="Times New Roman" w:eastAsia="Times New Roman" w:hint="default"/>
        </w:rPr>
        <w:t>11,734,791</w:t>
      </w:r>
      <w:r>
        <w:rPr/>
        <w:t>股；</w:t>
      </w:r>
    </w:p>
    <w:p>
      <w:pPr>
        <w:pStyle w:val="BodyText"/>
        <w:spacing w:line="240" w:lineRule="auto" w:before="13"/>
        <w:ind w:left="580" w:right="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16</w:t>
      </w:r>
      <w:r>
        <w:rPr>
          <w:spacing w:val="-3"/>
        </w:rPr>
        <w:t>日公司非公开发行之第一期员工持股计划所持股份解除限售，从而导致首发后限售股减少</w:t>
      </w:r>
    </w:p>
    <w:p>
      <w:pPr>
        <w:pStyle w:val="BodyText"/>
        <w:spacing w:line="240" w:lineRule="auto" w:before="63"/>
        <w:ind w:right="0"/>
        <w:jc w:val="left"/>
      </w:pPr>
      <w:r>
        <w:rPr>
          <w:rFonts w:ascii="Times New Roman" w:hAnsi="Times New Roman" w:cs="Times New Roman" w:eastAsia="Times New Roman" w:hint="default"/>
        </w:rPr>
        <w:t>16,773,239</w:t>
      </w:r>
      <w:r>
        <w:rPr/>
        <w:t>股，即限售股减少</w:t>
      </w:r>
      <w:r>
        <w:rPr>
          <w:rFonts w:ascii="Times New Roman" w:hAnsi="Times New Roman" w:cs="Times New Roman" w:eastAsia="Times New Roman" w:hint="default"/>
        </w:rPr>
        <w:t>16,773,239</w:t>
      </w:r>
      <w:r>
        <w:rPr/>
        <w:t>股，同时无限售流通股相应增加</w:t>
      </w:r>
      <w:r>
        <w:rPr>
          <w:rFonts w:ascii="Times New Roman" w:hAnsi="Times New Roman" w:cs="Times New Roman" w:eastAsia="Times New Roman" w:hint="default"/>
        </w:rPr>
        <w:t>16,773,239</w:t>
      </w:r>
      <w:r>
        <w:rPr/>
        <w:t>股；</w:t>
      </w:r>
    </w:p>
    <w:p>
      <w:pPr>
        <w:pStyle w:val="BodyText"/>
        <w:spacing w:line="240" w:lineRule="auto" w:before="63"/>
        <w:ind w:left="580"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4</w:t>
      </w:r>
      <w:r>
        <w:rPr>
          <w:spacing w:val="-3"/>
        </w:rPr>
        <w:t>、</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日公司实施完成</w:t>
      </w:r>
      <w:r>
        <w:rPr>
          <w:rFonts w:ascii="Times New Roman" w:hAnsi="Times New Roman" w:cs="Times New Roman" w:eastAsia="Times New Roman" w:hint="default"/>
          <w:spacing w:val="-3"/>
        </w:rPr>
        <w:t>2019</w:t>
      </w:r>
      <w:r>
        <w:rPr>
          <w:spacing w:val="-3"/>
        </w:rPr>
        <w:t>年半年度权益分派方案，其方案中以资本公积金向全体股东每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4</w:t>
      </w:r>
    </w:p>
    <w:p>
      <w:pPr>
        <w:pStyle w:val="BodyText"/>
        <w:spacing w:line="240" w:lineRule="auto" w:before="63"/>
        <w:ind w:right="0"/>
        <w:jc w:val="left"/>
      </w:pPr>
      <w:r>
        <w:rPr/>
        <w:t>股，从而导致限售股增加</w:t>
      </w:r>
      <w:r>
        <w:rPr>
          <w:rFonts w:ascii="Times New Roman" w:hAnsi="Times New Roman" w:cs="Times New Roman" w:eastAsia="Times New Roman" w:hint="default"/>
        </w:rPr>
        <w:t>95,828,115</w:t>
      </w:r>
      <w:r>
        <w:rPr/>
        <w:t>股，无限售流通股增加</w:t>
      </w:r>
      <w:r>
        <w:rPr>
          <w:rFonts w:ascii="Times New Roman" w:hAnsi="Times New Roman" w:cs="Times New Roman" w:eastAsia="Times New Roman" w:hint="default"/>
        </w:rPr>
        <w:t>137,049,741</w:t>
      </w:r>
      <w:r>
        <w:rPr/>
        <w:t>股；</w:t>
      </w:r>
    </w:p>
    <w:p>
      <w:pPr>
        <w:pStyle w:val="BodyText"/>
        <w:spacing w:line="300" w:lineRule="auto" w:before="63"/>
        <w:ind w:right="1037" w:firstLine="427"/>
        <w:jc w:val="left"/>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日，公司</w:t>
      </w:r>
      <w:r>
        <w:rPr>
          <w:rFonts w:ascii="Times New Roman" w:hAnsi="Times New Roman" w:cs="Times New Roman" w:eastAsia="Times New Roman" w:hint="default"/>
          <w:spacing w:val="-2"/>
        </w:rPr>
        <w:t>2019</w:t>
      </w:r>
      <w:r>
        <w:rPr>
          <w:spacing w:val="-2"/>
        </w:rPr>
        <w:t>年限制性股权激励计划首次授予的限制性股票</w:t>
      </w:r>
      <w:r>
        <w:rPr>
          <w:rFonts w:ascii="Times New Roman" w:hAnsi="Times New Roman" w:cs="Times New Roman" w:eastAsia="Times New Roman" w:hint="default"/>
          <w:spacing w:val="-2"/>
        </w:rPr>
        <w:t>17,903,200</w:t>
      </w:r>
      <w:r>
        <w:rPr>
          <w:spacing w:val="-2"/>
        </w:rPr>
        <w:t>股上市，从而导致限售</w:t>
      </w:r>
      <w:r>
        <w:rPr>
          <w:w w:val="101"/>
        </w:rPr>
        <w:t> </w:t>
      </w:r>
      <w:r>
        <w:rPr/>
        <w:t>股增加</w:t>
      </w:r>
      <w:r>
        <w:rPr>
          <w:rFonts w:ascii="Times New Roman" w:hAnsi="Times New Roman" w:cs="Times New Roman" w:eastAsia="Times New Roman" w:hint="default"/>
        </w:rPr>
        <w:t>17,903,200</w:t>
      </w:r>
      <w:r>
        <w:rPr/>
        <w:t>股；</w:t>
      </w:r>
    </w:p>
    <w:p>
      <w:pPr>
        <w:pStyle w:val="BodyText"/>
        <w:spacing w:line="343" w:lineRule="auto" w:before="13"/>
        <w:ind w:right="2648" w:firstLine="427"/>
        <w:jc w:val="left"/>
      </w:pPr>
      <w:r>
        <w:rPr>
          <w:spacing w:val="-2"/>
        </w:rPr>
        <w:t>综上所述，公司有限售条件股份增加</w:t>
      </w:r>
      <w:r>
        <w:rPr>
          <w:rFonts w:ascii="Times New Roman" w:hAnsi="Times New Roman" w:cs="Times New Roman" w:eastAsia="Times New Roman" w:hint="default"/>
          <w:spacing w:val="-2"/>
        </w:rPr>
        <w:t>88,114,396</w:t>
      </w:r>
      <w:r>
        <w:rPr>
          <w:spacing w:val="-2"/>
        </w:rPr>
        <w:t>股，无限售条件股份增加</w:t>
      </w:r>
      <w:r>
        <w:rPr>
          <w:rFonts w:ascii="Times New Roman" w:hAnsi="Times New Roman" w:cs="Times New Roman" w:eastAsia="Times New Roman" w:hint="default"/>
          <w:spacing w:val="-2"/>
        </w:rPr>
        <w:t>162,666,660</w:t>
      </w:r>
      <w:r>
        <w:rPr>
          <w:spacing w:val="-2"/>
        </w:rPr>
        <w:t>股。</w:t>
      </w:r>
      <w:r>
        <w:rPr>
          <w:w w:val="101"/>
        </w:rPr>
        <w:t> </w:t>
      </w:r>
      <w:r>
        <w:rPr>
          <w:spacing w:val="-3"/>
        </w:rPr>
        <w:t>股份变动的批准情况</w:t>
      </w:r>
    </w:p>
    <w:p>
      <w:pPr>
        <w:pStyle w:val="BodyText"/>
        <w:spacing w:line="338" w:lineRule="auto" w:before="42"/>
        <w:ind w:right="914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股份变动的过户情况</w:t>
      </w:r>
    </w:p>
    <w:p>
      <w:pPr>
        <w:pStyle w:val="BodyText"/>
        <w:spacing w:line="343" w:lineRule="auto" w:before="41"/>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股份回购的实施进展情况</w:t>
      </w:r>
    </w:p>
    <w:p>
      <w:pPr>
        <w:pStyle w:val="BodyText"/>
        <w:spacing w:line="338" w:lineRule="auto" w:before="37"/>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采用集中竞价方式减持回购股份的实施进展情况</w:t>
      </w:r>
    </w:p>
    <w:p>
      <w:pPr>
        <w:pStyle w:val="BodyText"/>
        <w:spacing w:line="328" w:lineRule="auto" w:before="46"/>
        <w:ind w:right="1683"/>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股份变动对最近一年和最近一期基本每股收益和稀释每股收益、归属于公司普通股股东的每股净资产等财务指标的</w:t>
      </w:r>
      <w:r>
        <w:rPr>
          <w:spacing w:val="54"/>
        </w:rPr>
        <w:t> </w:t>
      </w:r>
      <w:r>
        <w:rPr>
          <w:spacing w:val="54"/>
        </w:rPr>
      </w:r>
      <w:r>
        <w:rPr/>
        <w:t>影响</w:t>
      </w:r>
    </w:p>
    <w:p>
      <w:pPr>
        <w:pStyle w:val="BodyText"/>
        <w:spacing w:line="343" w:lineRule="auto" w:before="48"/>
        <w:ind w:right="628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公司认为必要或证券监管机构要求披露的其他内容</w:t>
      </w:r>
    </w:p>
    <w:p>
      <w:pPr>
        <w:pStyle w:val="BodyText"/>
        <w:spacing w:line="240" w:lineRule="auto" w:before="37"/>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688"/>
        <w:jc w:val="right"/>
      </w:pP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922"/>
        <w:gridCol w:w="1488"/>
        <w:gridCol w:w="1205"/>
        <w:gridCol w:w="1560"/>
      </w:tblGrid>
      <w:tr>
        <w:trPr>
          <w:trHeight w:val="716"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648" w:right="104" w:hanging="539"/>
              <w:jc w:val="left"/>
              <w:rPr>
                <w:rFonts w:ascii="宋体" w:hAnsi="宋体" w:cs="宋体" w:eastAsia="宋体" w:hint="default"/>
                <w:sz w:val="18"/>
                <w:szCs w:val="18"/>
              </w:rPr>
            </w:pPr>
            <w:r>
              <w:rPr>
                <w:rFonts w:ascii="宋体" w:hAnsi="宋体" w:cs="宋体" w:eastAsia="宋体" w:hint="default"/>
                <w:spacing w:val="-3"/>
                <w:sz w:val="18"/>
                <w:szCs w:val="18"/>
              </w:rPr>
              <w:t>本期增加限售股</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数</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89"/>
              <w:jc w:val="left"/>
              <w:rPr>
                <w:rFonts w:ascii="宋体" w:hAnsi="宋体" w:cs="宋体" w:eastAsia="宋体" w:hint="default"/>
                <w:sz w:val="18"/>
                <w:szCs w:val="18"/>
              </w:rPr>
            </w:pPr>
            <w:r>
              <w:rPr>
                <w:rFonts w:ascii="宋体" w:hAnsi="宋体" w:cs="宋体" w:eastAsia="宋体" w:hint="default"/>
                <w:sz w:val="18"/>
                <w:szCs w:val="18"/>
              </w:rPr>
              <w:t>本期解除</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pacing w:val="-3"/>
                <w:sz w:val="18"/>
                <w:szCs w:val="18"/>
              </w:rPr>
              <w:t>拟解除限售日期</w:t>
            </w:r>
          </w:p>
        </w:tc>
      </w:tr>
      <w:tr>
        <w:trPr>
          <w:trHeight w:val="71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98,381,240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42,542,582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140,923,822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高管锁定股、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首发后限售股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首发后限售股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49,695,953</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23,112,383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72,808,336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23,174,188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8,864,095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32,038,283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19,638,668</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7,004,969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26,643,637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1022"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84"/>
              <w:jc w:val="left"/>
              <w:rPr>
                <w:rFonts w:ascii="宋体" w:hAnsi="宋体" w:cs="宋体" w:eastAsia="宋体" w:hint="default"/>
                <w:sz w:val="18"/>
                <w:szCs w:val="18"/>
              </w:rPr>
            </w:pPr>
            <w:r>
              <w:rPr>
                <w:rFonts w:ascii="宋体" w:hAnsi="宋体" w:cs="宋体" w:eastAsia="宋体" w:hint="default"/>
                <w:spacing w:val="-2"/>
                <w:sz w:val="18"/>
                <w:szCs w:val="18"/>
              </w:rPr>
              <w:t>赣州合纵投资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管理合伙企业</w:t>
            </w:r>
          </w:p>
          <w:p>
            <w:pPr>
              <w:pStyle w:val="TableParagraph"/>
              <w:spacing w:line="240" w:lineRule="auto" w:before="27"/>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17,272,080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6,908,832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24,180,912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首发后限售股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4"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10,016,851</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3,376,741</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13,393,592</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5,230,497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1,638,600</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6,869,097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03"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朱梅芬</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3,854,556</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1,961,822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5,816,378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首发后限售</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首发后限售股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5"/>
        <w:gridCol w:w="1488"/>
        <w:gridCol w:w="1489"/>
        <w:gridCol w:w="922"/>
        <w:gridCol w:w="1488"/>
        <w:gridCol w:w="1205"/>
        <w:gridCol w:w="1560"/>
      </w:tblGrid>
      <w:tr>
        <w:trPr>
          <w:trHeight w:val="984" w:hRule="exact"/>
        </w:trPr>
        <w:tc>
          <w:tcPr>
            <w:tcW w:w="1205"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3" w:right="84"/>
              <w:jc w:val="left"/>
              <w:rPr>
                <w:rFonts w:ascii="宋体" w:hAnsi="宋体" w:cs="宋体" w:eastAsia="宋体" w:hint="default"/>
                <w:sz w:val="18"/>
                <w:szCs w:val="18"/>
              </w:rPr>
            </w:pPr>
            <w:r>
              <w:rPr>
                <w:rFonts w:ascii="宋体" w:hAnsi="宋体" w:cs="宋体" w:eastAsia="宋体" w:hint="default"/>
                <w:spacing w:val="-2"/>
                <w:sz w:val="18"/>
                <w:szCs w:val="18"/>
              </w:rPr>
              <w:t>股、股权激励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限售股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日、股权</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激励限售股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pacing w:val="-3"/>
                <w:sz w:val="18"/>
                <w:szCs w:val="18"/>
              </w:rPr>
              <w:t>16</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日解限</w:t>
            </w:r>
            <w:r>
              <w:rPr>
                <w:rFonts w:ascii="宋体" w:hAnsi="宋体" w:cs="宋体" w:eastAsia="宋体" w:hint="default"/>
                <w:spacing w:val="-64"/>
                <w:sz w:val="18"/>
                <w:szCs w:val="18"/>
              </w:rPr>
              <w:t> </w:t>
            </w:r>
            <w:r>
              <w:rPr>
                <w:rFonts w:ascii="Times New Roman" w:hAnsi="Times New Roman" w:cs="Times New Roman" w:eastAsia="Times New Roman" w:hint="default"/>
                <w:spacing w:val="-5"/>
                <w:sz w:val="18"/>
                <w:szCs w:val="18"/>
              </w:rPr>
              <w:t>40%</w:t>
            </w:r>
            <w:r>
              <w:rPr>
                <w:rFonts w:ascii="Times New Roman" w:hAnsi="Times New Roman" w:cs="Times New Roman" w:eastAsia="Times New Roman" w:hint="default"/>
                <w:sz w:val="18"/>
                <w:szCs w:val="18"/>
              </w:rPr>
            </w:r>
          </w:p>
        </w:tc>
      </w:tr>
      <w:tr>
        <w:trPr>
          <w:trHeight w:val="716"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毛科娟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3,971,360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1,588,544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5,559,904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首发后限售股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715"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金友功</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1,343,254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537,302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1,880,556</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首发后限售股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首发后限售股</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2020</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w:t>
            </w:r>
          </w:p>
        </w:tc>
      </w:tr>
      <w:tr>
        <w:trPr>
          <w:trHeight w:val="1340" w:hRule="exact"/>
        </w:trPr>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32,608,557</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30,489,767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39,911,241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23,187,083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3" w:right="84"/>
              <w:jc w:val="left"/>
              <w:rPr>
                <w:rFonts w:ascii="宋体" w:hAnsi="宋体" w:cs="宋体" w:eastAsia="宋体" w:hint="default"/>
                <w:sz w:val="18"/>
                <w:szCs w:val="18"/>
              </w:rPr>
            </w:pPr>
            <w:r>
              <w:rPr>
                <w:rFonts w:ascii="宋体" w:hAnsi="宋体" w:cs="宋体" w:eastAsia="宋体" w:hint="default"/>
                <w:spacing w:val="-2"/>
                <w:sz w:val="18"/>
                <w:szCs w:val="18"/>
              </w:rPr>
              <w:t>高管锁定股、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首发后限售</w:t>
            </w:r>
            <w:r>
              <w:rPr>
                <w:rFonts w:ascii="宋体" w:hAnsi="宋体" w:cs="宋体" w:eastAsia="宋体" w:hint="default"/>
                <w:w w:val="101"/>
                <w:sz w:val="18"/>
                <w:szCs w:val="18"/>
              </w:rPr>
              <w:t> </w:t>
            </w:r>
            <w:r>
              <w:rPr>
                <w:rFonts w:ascii="宋体" w:hAnsi="宋体" w:cs="宋体" w:eastAsia="宋体" w:hint="default"/>
                <w:spacing w:val="-2"/>
                <w:sz w:val="18"/>
                <w:szCs w:val="18"/>
              </w:rPr>
              <w:t>股、股权激励</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限售股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398" w:hRule="exact"/>
        </w:trPr>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265,187,204</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128,025,637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39,911,241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353,301,600</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412"/>
        <w:gridCol w:w="1565"/>
        <w:gridCol w:w="1133"/>
        <w:gridCol w:w="1296"/>
        <w:gridCol w:w="1667"/>
        <w:gridCol w:w="1296"/>
        <w:gridCol w:w="1325"/>
      </w:tblGrid>
      <w:tr>
        <w:trPr>
          <w:trHeight w:val="716"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32" w:right="65" w:hanging="360"/>
              <w:jc w:val="left"/>
              <w:rPr>
                <w:rFonts w:ascii="宋体" w:hAnsi="宋体" w:cs="宋体" w:eastAsia="宋体" w:hint="default"/>
                <w:sz w:val="18"/>
                <w:szCs w:val="18"/>
              </w:rPr>
            </w:pPr>
            <w:r>
              <w:rPr>
                <w:rFonts w:ascii="宋体" w:hAnsi="宋体" w:cs="宋体" w:eastAsia="宋体" w:hint="default"/>
                <w:spacing w:val="-3"/>
                <w:sz w:val="18"/>
                <w:szCs w:val="18"/>
              </w:rPr>
              <w:t>股票及其衍生证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券名称</w:t>
            </w:r>
          </w:p>
        </w:tc>
        <w:tc>
          <w:tcPr>
            <w:tcW w:w="15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92" w:right="12" w:hanging="269"/>
              <w:jc w:val="left"/>
              <w:rPr>
                <w:rFonts w:ascii="宋体" w:hAnsi="宋体" w:cs="宋体" w:eastAsia="宋体" w:hint="default"/>
                <w:sz w:val="18"/>
                <w:szCs w:val="18"/>
              </w:rPr>
            </w:pPr>
            <w:r>
              <w:rPr>
                <w:rFonts w:ascii="宋体" w:hAnsi="宋体" w:cs="宋体" w:eastAsia="宋体" w:hint="default"/>
                <w:spacing w:val="-2"/>
                <w:sz w:val="18"/>
                <w:szCs w:val="18"/>
              </w:rPr>
              <w:t>发行价格（或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利率）</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66"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460" w:right="99" w:hanging="360"/>
              <w:jc w:val="left"/>
              <w:rPr>
                <w:rFonts w:ascii="宋体" w:hAnsi="宋体" w:cs="宋体" w:eastAsia="宋体" w:hint="default"/>
                <w:sz w:val="18"/>
                <w:szCs w:val="18"/>
              </w:rPr>
            </w:pPr>
            <w:r>
              <w:rPr>
                <w:rFonts w:ascii="宋体" w:hAnsi="宋体" w:cs="宋体" w:eastAsia="宋体" w:hint="default"/>
                <w:spacing w:val="-2"/>
                <w:sz w:val="18"/>
                <w:szCs w:val="18"/>
              </w:rPr>
              <w:t>获准上市交易</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数量</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398"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股票类</w:t>
            </w:r>
          </w:p>
        </w:tc>
      </w:tr>
      <w:tr>
        <w:trPr>
          <w:trHeight w:val="40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3.3357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6" w:right="0"/>
              <w:jc w:val="left"/>
              <w:rPr>
                <w:rFonts w:ascii="Times New Roman" w:hAnsi="Times New Roman" w:cs="Times New Roman" w:eastAsia="Times New Roman" w:hint="default"/>
                <w:sz w:val="18"/>
                <w:szCs w:val="18"/>
              </w:rPr>
            </w:pPr>
            <w:r>
              <w:rPr>
                <w:rFonts w:ascii="Times New Roman"/>
                <w:sz w:val="18"/>
              </w:rPr>
              <w:t>17,903,200</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1" w:right="0"/>
              <w:jc w:val="left"/>
              <w:rPr>
                <w:rFonts w:ascii="Times New Roman" w:hAnsi="Times New Roman" w:cs="Times New Roman" w:eastAsia="Times New Roman" w:hint="default"/>
                <w:sz w:val="18"/>
                <w:szCs w:val="18"/>
              </w:rPr>
            </w:pPr>
            <w:r>
              <w:rPr>
                <w:rFonts w:ascii="Times New Roman"/>
                <w:sz w:val="18"/>
              </w:rPr>
              <w:t>17,903,200</w:t>
            </w:r>
          </w:p>
        </w:tc>
        <w:tc>
          <w:tcPr>
            <w:tcW w:w="132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可转换公司债券、分离交易的可转换公司债券、公司债类</w:t>
            </w:r>
          </w:p>
        </w:tc>
      </w:tr>
      <w:tr>
        <w:trPr>
          <w:trHeight w:val="403" w:hRule="exact"/>
        </w:trPr>
        <w:tc>
          <w:tcPr>
            <w:tcW w:w="9695"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其他衍生证券类</w:t>
            </w:r>
          </w:p>
        </w:tc>
      </w:tr>
    </w:tbl>
    <w:p>
      <w:pPr>
        <w:pStyle w:val="BodyText"/>
        <w:spacing w:line="352" w:lineRule="auto" w:before="53"/>
        <w:ind w:left="580" w:right="1683" w:hanging="428"/>
        <w:jc w:val="left"/>
      </w:pPr>
      <w:r>
        <w:rPr>
          <w:spacing w:val="-3"/>
        </w:rPr>
        <w:t>报告期内证券发行（不含优先股）情况的说明</w:t>
      </w:r>
      <w:r>
        <w:rPr>
          <w:spacing w:val="-27"/>
        </w:rPr>
        <w:t> </w:t>
      </w:r>
      <w:r>
        <w:rPr>
          <w:spacing w:val="-27"/>
        </w:rPr>
      </w:r>
      <w:r>
        <w:rPr>
          <w:spacing w:val="-3"/>
        </w:rPr>
        <w:t>公司以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11</w:t>
      </w:r>
      <w:r>
        <w:rPr>
          <w:spacing w:val="-3"/>
        </w:rPr>
        <w:t>月</w:t>
      </w:r>
      <w:r>
        <w:rPr>
          <w:rFonts w:ascii="Times New Roman" w:hAnsi="Times New Roman" w:cs="Times New Roman" w:eastAsia="Times New Roman" w:hint="default"/>
          <w:spacing w:val="-3"/>
        </w:rPr>
        <w:t>27</w:t>
      </w:r>
      <w:r>
        <w:rPr>
          <w:spacing w:val="-3"/>
        </w:rPr>
        <w:t>日为授予日，以</w:t>
      </w:r>
      <w:r>
        <w:rPr>
          <w:rFonts w:ascii="Times New Roman" w:hAnsi="Times New Roman" w:cs="Times New Roman" w:eastAsia="Times New Roman" w:hint="default"/>
          <w:spacing w:val="-3"/>
        </w:rPr>
        <w:t>3.3357</w:t>
      </w:r>
      <w:r>
        <w:rPr>
          <w:spacing w:val="-3"/>
        </w:rPr>
        <w:t>元</w:t>
      </w:r>
      <w:r>
        <w:rPr>
          <w:rFonts w:ascii="Times New Roman" w:hAnsi="Times New Roman" w:cs="Times New Roman" w:eastAsia="Times New Roman" w:hint="default"/>
          <w:spacing w:val="-3"/>
        </w:rPr>
        <w:t>/</w:t>
      </w:r>
      <w:r>
        <w:rPr>
          <w:spacing w:val="-3"/>
        </w:rPr>
        <w:t>股的价格向</w:t>
      </w:r>
      <w:r>
        <w:rPr>
          <w:rFonts w:ascii="Times New Roman" w:hAnsi="Times New Roman" w:cs="Times New Roman" w:eastAsia="Times New Roman" w:hint="default"/>
          <w:spacing w:val="-3"/>
        </w:rPr>
        <w:t>121</w:t>
      </w:r>
      <w:r>
        <w:rPr>
          <w:spacing w:val="-3"/>
        </w:rPr>
        <w:t>名激励对象授予</w:t>
      </w:r>
      <w:r>
        <w:rPr>
          <w:rFonts w:ascii="Times New Roman" w:hAnsi="Times New Roman" w:cs="Times New Roman" w:eastAsia="Times New Roman" w:hint="default"/>
          <w:spacing w:val="-3"/>
        </w:rPr>
        <w:t>1790.32</w:t>
      </w:r>
      <w:r>
        <w:rPr>
          <w:spacing w:val="-3"/>
        </w:rPr>
        <w:t>万股限制性股票 </w:t>
      </w:r>
      <w:r>
        <w:rPr>
          <w:spacing w:val="63"/>
        </w:rPr>
        <w:t> </w:t>
      </w:r>
      <w:r>
        <w:rPr>
          <w:spacing w:val="-7"/>
        </w:rPr>
        <w:t>。本次股</w:t>
      </w:r>
    </w:p>
    <w:p>
      <w:pPr>
        <w:pStyle w:val="BodyText"/>
        <w:spacing w:line="218" w:lineRule="exact"/>
        <w:ind w:right="0"/>
        <w:jc w:val="left"/>
      </w:pPr>
      <w:r>
        <w:rPr>
          <w:spacing w:val="-3"/>
        </w:rPr>
        <w:t>权激励计划首次授予限制性股票已于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16</w:t>
      </w:r>
      <w:r>
        <w:rPr>
          <w:spacing w:val="-3"/>
        </w:rPr>
        <w:t>日在深圳证券交易所创业板上市。</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300" w:lineRule="auto" w:before="96"/>
        <w:ind w:right="0" w:firstLine="436"/>
        <w:jc w:val="left"/>
      </w:pPr>
      <w:r>
        <w:rPr>
          <w:rFonts w:ascii="Times New Roman" w:hAnsi="Times New Roman" w:cs="Times New Roman" w:eastAsia="Times New Roman" w:hint="default"/>
          <w:spacing w:val="-3"/>
        </w:rPr>
        <w:t>1</w:t>
      </w:r>
      <w:r>
        <w:rPr>
          <w:spacing w:val="-3"/>
        </w:rPr>
        <w:t>、公司实施了</w:t>
      </w:r>
      <w:r>
        <w:rPr>
          <w:rFonts w:ascii="Times New Roman" w:hAnsi="Times New Roman" w:cs="Times New Roman" w:eastAsia="Times New Roman" w:hint="default"/>
          <w:spacing w:val="-3"/>
        </w:rPr>
        <w:t>2019</w:t>
      </w:r>
      <w:r>
        <w:rPr>
          <w:spacing w:val="-3"/>
        </w:rPr>
        <w:t>年半年度权益分派：以公司总股本</w:t>
      </w:r>
      <w:r>
        <w:rPr>
          <w:rFonts w:ascii="Times New Roman" w:hAnsi="Times New Roman" w:cs="Times New Roman" w:eastAsia="Times New Roman" w:hint="default"/>
          <w:spacing w:val="-3"/>
        </w:rPr>
        <w:t>582,194,642</w:t>
      </w:r>
      <w:r>
        <w:rPr>
          <w:spacing w:val="-3"/>
        </w:rPr>
        <w:t>股为基数，向全体股东进行资本公积金转增</w:t>
      </w:r>
      <w:r>
        <w:rPr>
          <w:w w:val="101"/>
        </w:rPr>
        <w:t> </w:t>
      </w:r>
      <w:r>
        <w:rPr>
          <w:spacing w:val="-3"/>
        </w:rPr>
        <w:t>股本，每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4</w:t>
      </w:r>
      <w:r>
        <w:rPr>
          <w:spacing w:val="-3"/>
        </w:rPr>
        <w:t>股。分红前本公司总股本为</w:t>
      </w:r>
      <w:r>
        <w:rPr>
          <w:rFonts w:ascii="Times New Roman" w:hAnsi="Times New Roman" w:cs="Times New Roman" w:eastAsia="Times New Roman" w:hint="default"/>
          <w:spacing w:val="-3"/>
        </w:rPr>
        <w:t>582,194,642</w:t>
      </w:r>
      <w:r>
        <w:rPr>
          <w:spacing w:val="-3"/>
        </w:rPr>
        <w:t>股，分红后总股本增至</w:t>
      </w:r>
      <w:r>
        <w:rPr>
          <w:rFonts w:ascii="Times New Roman" w:hAnsi="Times New Roman" w:cs="Times New Roman" w:eastAsia="Times New Roman" w:hint="default"/>
          <w:spacing w:val="-3"/>
        </w:rPr>
        <w:t>815,072,498</w:t>
      </w:r>
      <w:r>
        <w:rPr>
          <w:spacing w:val="-3"/>
        </w:rPr>
        <w:t>股。本次权益分派股权</w:t>
      </w:r>
      <w:r>
        <w:rPr>
          <w:spacing w:val="80"/>
        </w:rPr>
        <w:t> </w:t>
      </w:r>
      <w:r>
        <w:rPr>
          <w:spacing w:val="80"/>
        </w:rPr>
      </w:r>
      <w:r>
        <w:rPr>
          <w:spacing w:val="-3"/>
        </w:rPr>
        <w:t>登记日为：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25</w:t>
      </w:r>
      <w:r>
        <w:rPr>
          <w:spacing w:val="-3"/>
        </w:rPr>
        <w:t>日，除权除息日为：</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26</w:t>
      </w:r>
      <w:r>
        <w:rPr>
          <w:spacing w:val="-3"/>
        </w:rPr>
        <w:t>日；</w:t>
      </w:r>
      <w:r>
        <w:rPr/>
      </w:r>
    </w:p>
    <w:p>
      <w:pPr>
        <w:pStyle w:val="BodyText"/>
        <w:spacing w:line="300" w:lineRule="auto" w:before="13"/>
        <w:ind w:right="0" w:firstLine="436"/>
        <w:jc w:val="left"/>
      </w:pPr>
      <w:r>
        <w:rPr>
          <w:rFonts w:ascii="Times New Roman" w:hAnsi="Times New Roman" w:cs="Times New Roman" w:eastAsia="Times New Roman" w:hint="default"/>
          <w:spacing w:val="-3"/>
        </w:rPr>
        <w:t>2</w:t>
      </w:r>
      <w:r>
        <w:rPr>
          <w:spacing w:val="-3"/>
        </w:rPr>
        <w:t>、公司实施了</w:t>
      </w:r>
      <w:r>
        <w:rPr>
          <w:rFonts w:ascii="Times New Roman" w:hAnsi="Times New Roman" w:cs="Times New Roman" w:eastAsia="Times New Roman" w:hint="default"/>
          <w:spacing w:val="-3"/>
        </w:rPr>
        <w:t>2019</w:t>
      </w:r>
      <w:r>
        <w:rPr>
          <w:spacing w:val="-3"/>
        </w:rPr>
        <w:t>年限制性股票激励计划，其首次授予的</w:t>
      </w:r>
      <w:r>
        <w:rPr>
          <w:rFonts w:ascii="Times New Roman" w:hAnsi="Times New Roman" w:cs="Times New Roman" w:eastAsia="Times New Roman" w:hint="default"/>
          <w:spacing w:val="-3"/>
        </w:rPr>
        <w:t>17,903,200</w:t>
      </w:r>
      <w:r>
        <w:rPr>
          <w:spacing w:val="-3"/>
        </w:rPr>
        <w:t>股股份，已于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16</w:t>
      </w:r>
      <w:r>
        <w:rPr>
          <w:spacing w:val="-3"/>
        </w:rPr>
        <w:t>日上市。上市</w:t>
      </w:r>
      <w:r>
        <w:rPr>
          <w:w w:val="101"/>
        </w:rPr>
        <w:t> </w:t>
      </w:r>
      <w:r>
        <w:rPr/>
        <w:t>后，公司股本增至</w:t>
      </w:r>
      <w:r>
        <w:rPr>
          <w:rFonts w:ascii="Times New Roman" w:hAnsi="Times New Roman" w:cs="Times New Roman" w:eastAsia="Times New Roman" w:hint="default"/>
        </w:rPr>
        <w:t>832,975,698</w:t>
      </w:r>
      <w:r>
        <w:rPr/>
        <w:t>。</w:t>
      </w:r>
    </w:p>
    <w:p>
      <w:pPr>
        <w:pStyle w:val="BodyText"/>
        <w:spacing w:line="300" w:lineRule="auto" w:before="13"/>
        <w:ind w:right="1140" w:firstLine="436"/>
        <w:jc w:val="left"/>
      </w:pP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11</w:t>
      </w:r>
      <w:r>
        <w:rPr>
          <w:spacing w:val="-3"/>
        </w:rPr>
        <w:t>日，公司已完成上述事项的工商变更手续，并在中国证监会指定的信息披露网站巨潮资讯网发布</w:t>
      </w:r>
      <w:r>
        <w:rPr>
          <w:w w:val="101"/>
        </w:rPr>
        <w:t> </w:t>
      </w:r>
      <w:r>
        <w:rPr/>
        <w:t>相关公告。</w:t>
      </w:r>
    </w:p>
    <w:p>
      <w:pPr>
        <w:spacing w:after="0" w:line="300"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46"/>
        <w:ind w:left="0" w:right="1127"/>
        <w:jc w:val="right"/>
      </w:pPr>
      <w:r>
        <w:rPr/>
        <w:pict>
          <v:shape style="position:absolute;margin-left:56.424pt;margin-top:-203.50528pt;width:479.25pt;height:239.1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31"/>
                    <w:gridCol w:w="3851"/>
                    <w:gridCol w:w="3188"/>
                  </w:tblGrid>
                  <w:tr>
                    <w:trPr>
                      <w:trHeight w:val="404" w:hRule="exact"/>
                    </w:trPr>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60" w:right="0"/>
                          <w:jc w:val="left"/>
                          <w:rPr>
                            <w:rFonts w:ascii="宋体" w:hAnsi="宋体" w:cs="宋体" w:eastAsia="宋体" w:hint="default"/>
                            <w:sz w:val="18"/>
                            <w:szCs w:val="18"/>
                          </w:rPr>
                        </w:pPr>
                        <w:r>
                          <w:rPr>
                            <w:rFonts w:ascii="宋体" w:hAnsi="宋体" w:cs="宋体" w:eastAsia="宋体" w:hint="default"/>
                            <w:sz w:val="18"/>
                            <w:szCs w:val="18"/>
                          </w:rPr>
                          <w:t>内部职工股的发行日期</w:t>
                        </w:r>
                      </w:p>
                    </w:tc>
                    <w:tc>
                      <w:tcPr>
                        <w:tcW w:w="3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33" w:right="0"/>
                          <w:jc w:val="left"/>
                          <w:rPr>
                            <w:rFonts w:ascii="宋体" w:hAnsi="宋体" w:cs="宋体" w:eastAsia="宋体" w:hint="default"/>
                            <w:sz w:val="18"/>
                            <w:szCs w:val="18"/>
                          </w:rPr>
                        </w:pPr>
                        <w:r>
                          <w:rPr>
                            <w:rFonts w:ascii="宋体" w:hAnsi="宋体" w:cs="宋体" w:eastAsia="宋体" w:hint="default"/>
                            <w:spacing w:val="-3"/>
                            <w:sz w:val="18"/>
                            <w:szCs w:val="18"/>
                          </w:rPr>
                          <w:t>内部职工股的发行价格（元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22" w:right="0"/>
                          <w:jc w:val="left"/>
                          <w:rPr>
                            <w:rFonts w:ascii="宋体" w:hAnsi="宋体" w:cs="宋体" w:eastAsia="宋体" w:hint="default"/>
                            <w:sz w:val="18"/>
                            <w:szCs w:val="18"/>
                          </w:rPr>
                        </w:pPr>
                        <w:r>
                          <w:rPr>
                            <w:rFonts w:ascii="宋体" w:hAnsi="宋体" w:cs="宋体" w:eastAsia="宋体" w:hint="default"/>
                            <w:spacing w:val="-3"/>
                            <w:sz w:val="18"/>
                            <w:szCs w:val="18"/>
                          </w:rPr>
                          <w:t>内部职工股的发行数量（股）</w:t>
                        </w:r>
                      </w:p>
                    </w:tc>
                  </w:tr>
                  <w:tr>
                    <w:trPr>
                      <w:trHeight w:val="403"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9,318,466</w:t>
                        </w:r>
                      </w:p>
                    </w:tc>
                  </w:tr>
                  <w:tr>
                    <w:trPr>
                      <w:trHeight w:val="398" w:hRule="exact"/>
                    </w:trPr>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3.3357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17,903,200</w:t>
                        </w:r>
                      </w:p>
                    </w:tc>
                  </w:tr>
                  <w:tr>
                    <w:trPr>
                      <w:trHeight w:val="3567" w:hRule="exact"/>
                    </w:trPr>
                    <w:tc>
                      <w:tcPr>
                        <w:tcW w:w="253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现存的内部职工股情况的说明</w:t>
                        </w:r>
                      </w:p>
                    </w:tc>
                    <w:tc>
                      <w:tcPr>
                        <w:tcW w:w="703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3"/>
                          <w:ind w:left="23" w:right="13" w:firstLine="4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33"/>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日，公司收到中国证监会出具的《关于核准北京合纵科技股份有</w:t>
                        </w:r>
                        <w:r>
                          <w:rPr>
                            <w:rFonts w:ascii="宋体" w:hAnsi="宋体" w:cs="宋体" w:eastAsia="宋体" w:hint="default"/>
                            <w:w w:val="101"/>
                            <w:sz w:val="18"/>
                            <w:szCs w:val="18"/>
                          </w:rPr>
                          <w:t> </w:t>
                        </w:r>
                        <w:r>
                          <w:rPr>
                            <w:rFonts w:ascii="宋体" w:hAnsi="宋体" w:cs="宋体" w:eastAsia="宋体" w:hint="default"/>
                            <w:spacing w:val="-8"/>
                            <w:w w:val="101"/>
                            <w:sz w:val="18"/>
                            <w:szCs w:val="18"/>
                          </w:rPr>
                          <w:t>限公司非公开发行股票的批复》（证监许可【</w:t>
                        </w:r>
                        <w:r>
                          <w:rPr>
                            <w:rFonts w:ascii="Times New Roman" w:hAnsi="Times New Roman" w:cs="Times New Roman" w:eastAsia="Times New Roman" w:hint="default"/>
                            <w:spacing w:val="-8"/>
                            <w:w w:val="101"/>
                            <w:sz w:val="18"/>
                            <w:szCs w:val="18"/>
                          </w:rPr>
                          <w:t>2016</w:t>
                        </w:r>
                        <w:r>
                          <w:rPr>
                            <w:rFonts w:ascii="宋体" w:hAnsi="宋体" w:cs="宋体" w:eastAsia="宋体" w:hint="default"/>
                            <w:spacing w:val="-8"/>
                            <w:w w:val="101"/>
                            <w:sz w:val="18"/>
                            <w:szCs w:val="18"/>
                          </w:rPr>
                          <w:t>】</w:t>
                        </w:r>
                        <w:r>
                          <w:rPr>
                            <w:rFonts w:ascii="Times New Roman" w:hAnsi="Times New Roman" w:cs="Times New Roman" w:eastAsia="Times New Roman" w:hint="default"/>
                            <w:spacing w:val="-8"/>
                            <w:w w:val="101"/>
                            <w:sz w:val="18"/>
                            <w:szCs w:val="18"/>
                          </w:rPr>
                          <w:t>1054</w:t>
                        </w:r>
                        <w:r>
                          <w:rPr>
                            <w:rFonts w:ascii="Times New Roman" w:hAnsi="Times New Roman" w:cs="Times New Roman" w:eastAsia="Times New Roman" w:hint="default"/>
                            <w:w w:val="101"/>
                            <w:sz w:val="18"/>
                            <w:szCs w:val="18"/>
                          </w:rPr>
                          <w:t> </w:t>
                        </w:r>
                        <w:r>
                          <w:rPr>
                            <w:rFonts w:ascii="宋体" w:hAnsi="宋体" w:cs="宋体" w:eastAsia="宋体" w:hint="default"/>
                            <w:spacing w:val="-10"/>
                            <w:w w:val="101"/>
                            <w:sz w:val="18"/>
                            <w:szCs w:val="18"/>
                          </w:rPr>
                          <w:t>号），核准公司非公开发行不超过</w:t>
                        </w:r>
                        <w:r>
                          <w:rPr>
                            <w:rFonts w:ascii="宋体" w:hAnsi="宋体" w:cs="宋体" w:eastAsia="宋体" w:hint="default"/>
                            <w:spacing w:val="-69"/>
                            <w:w w:val="101"/>
                            <w:sz w:val="18"/>
                            <w:szCs w:val="18"/>
                          </w:rPr>
                          <w:t> </w:t>
                        </w:r>
                        <w:r>
                          <w:rPr>
                            <w:rFonts w:ascii="宋体" w:hAnsi="宋体" w:cs="宋体" w:eastAsia="宋体" w:hint="default"/>
                            <w:spacing w:val="-69"/>
                            <w:w w:val="101"/>
                            <w:sz w:val="18"/>
                            <w:szCs w:val="18"/>
                          </w:rPr>
                        </w:r>
                        <w:r>
                          <w:rPr>
                            <w:rFonts w:ascii="Times New Roman" w:hAnsi="Times New Roman" w:cs="Times New Roman" w:eastAsia="Times New Roman" w:hint="default"/>
                            <w:sz w:val="18"/>
                            <w:szCs w:val="18"/>
                          </w:rPr>
                          <w:t>9,323,533 </w:t>
                        </w:r>
                        <w:r>
                          <w:rPr>
                            <w:rFonts w:ascii="宋体" w:hAnsi="宋体" w:cs="宋体" w:eastAsia="宋体" w:hint="default"/>
                            <w:spacing w:val="-5"/>
                            <w:sz w:val="18"/>
                            <w:szCs w:val="18"/>
                          </w:rPr>
                          <w:t>股新股。本次非公开发行的发行对象为合纵科技第一期员工持股计划，该员工持</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3"/>
                            <w:sz w:val="18"/>
                            <w:szCs w:val="18"/>
                          </w:rPr>
                          <w:t>股计划的出资人全部为公司员工。</w:t>
                        </w:r>
                      </w:p>
                      <w:p>
                        <w:pPr>
                          <w:pStyle w:val="TableParagraph"/>
                          <w:spacing w:line="240" w:lineRule="auto" w:before="63"/>
                          <w:ind w:left="4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日召开的第五届董事会第十二次会议、第五届监事会第七</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次会议，</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年第十一次临时股东大会审议通过了《关于</w:t>
                        </w:r>
                        <w:r>
                          <w:rPr>
                            <w:rFonts w:ascii="Times New Roman" w:hAnsi="Times New Roman" w:cs="Times New Roman" w:eastAsia="Times New Roman" w:hint="default"/>
                            <w:spacing w:val="-3"/>
                            <w:sz w:val="18"/>
                            <w:szCs w:val="18"/>
                          </w:rPr>
                          <w:t>&lt;</w:t>
                        </w:r>
                        <w:r>
                          <w:rPr>
                            <w:rFonts w:ascii="宋体" w:hAnsi="宋体" w:cs="宋体" w:eastAsia="宋体" w:hint="default"/>
                            <w:spacing w:val="-3"/>
                            <w:sz w:val="18"/>
                            <w:szCs w:val="18"/>
                          </w:rPr>
                          <w:t>北京</w:t>
                        </w:r>
                        <w:r>
                          <w:rPr>
                            <w:rFonts w:ascii="宋体" w:hAnsi="宋体" w:cs="宋体" w:eastAsia="宋体" w:hint="default"/>
                            <w:spacing w:val="-85"/>
                            <w:sz w:val="18"/>
                            <w:szCs w:val="18"/>
                          </w:rPr>
                          <w:t> </w:t>
                        </w:r>
                        <w:r>
                          <w:rPr>
                            <w:rFonts w:ascii="宋体" w:hAnsi="宋体" w:cs="宋体" w:eastAsia="宋体" w:hint="default"/>
                            <w:spacing w:val="-2"/>
                            <w:w w:val="101"/>
                            <w:sz w:val="18"/>
                            <w:szCs w:val="18"/>
                          </w:rPr>
                          <w:t>合纵科技股份有限公司</w:t>
                        </w:r>
                        <w:r>
                          <w:rPr>
                            <w:rFonts w:ascii="宋体" w:hAnsi="宋体" w:cs="宋体" w:eastAsia="宋体" w:hint="default"/>
                            <w:spacing w:val="-44"/>
                            <w:w w:val="101"/>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4"/>
                            <w:w w:val="101"/>
                            <w:sz w:val="18"/>
                            <w:szCs w:val="18"/>
                          </w:rPr>
                          <w:t> </w:t>
                        </w:r>
                        <w:r>
                          <w:rPr>
                            <w:rFonts w:ascii="宋体" w:hAnsi="宋体" w:cs="宋体" w:eastAsia="宋体" w:hint="default"/>
                            <w:spacing w:val="-6"/>
                            <w:w w:val="101"/>
                            <w:sz w:val="18"/>
                            <w:szCs w:val="18"/>
                          </w:rPr>
                          <w:t>年限制性股票激励计划（草案）</w:t>
                        </w:r>
                        <w:r>
                          <w:rPr>
                            <w:rFonts w:ascii="Times New Roman" w:hAnsi="Times New Roman" w:cs="Times New Roman" w:eastAsia="Times New Roman" w:hint="default"/>
                            <w:spacing w:val="-6"/>
                            <w:w w:val="101"/>
                            <w:sz w:val="18"/>
                            <w:szCs w:val="18"/>
                          </w:rPr>
                          <w:t>&gt;</w:t>
                        </w:r>
                        <w:r>
                          <w:rPr>
                            <w:rFonts w:ascii="宋体" w:hAnsi="宋体" w:cs="宋体" w:eastAsia="宋体" w:hint="default"/>
                            <w:spacing w:val="-6"/>
                            <w:w w:val="101"/>
                            <w:sz w:val="18"/>
                            <w:szCs w:val="18"/>
                          </w:rPr>
                          <w:t>及其摘要的议案》，</w:t>
                        </w:r>
                        <w:r>
                          <w:rPr>
                            <w:rFonts w:ascii="Times New Roman" w:hAnsi="Times New Roman" w:cs="Times New Roman" w:eastAsia="Times New Roman" w:hint="default"/>
                            <w:spacing w:val="-6"/>
                            <w:w w:val="101"/>
                            <w:sz w:val="18"/>
                            <w:szCs w:val="18"/>
                          </w:rPr>
                          <w:t>2019</w:t>
                        </w:r>
                        <w:r>
                          <w:rPr>
                            <w:rFonts w:ascii="Times New Roman" w:hAnsi="Times New Roman" w:cs="Times New Roman" w:eastAsia="Times New Roman" w:hint="default"/>
                            <w:spacing w:val="-4"/>
                            <w:w w:val="101"/>
                            <w:sz w:val="18"/>
                            <w:szCs w:val="18"/>
                          </w:rPr>
                          <w:t> </w:t>
                        </w:r>
                        <w:r>
                          <w:rPr>
                            <w:rFonts w:ascii="宋体" w:hAnsi="宋体" w:cs="宋体" w:eastAsia="宋体" w:hint="default"/>
                            <w:w w:val="101"/>
                            <w:sz w:val="18"/>
                            <w:szCs w:val="18"/>
                          </w:rPr>
                          <w:t>年</w:t>
                        </w:r>
                        <w:r>
                          <w:rPr>
                            <w:rFonts w:ascii="宋体" w:hAnsi="宋体" w:cs="宋体" w:eastAsia="宋体" w:hint="default"/>
                            <w:spacing w:val="-90"/>
                            <w:w w:val="101"/>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3"/>
                            <w:sz w:val="18"/>
                            <w:szCs w:val="18"/>
                          </w:rPr>
                          <w:t> </w:t>
                        </w:r>
                        <w:r>
                          <w:rPr>
                            <w:rFonts w:ascii="宋体" w:hAnsi="宋体" w:cs="宋体" w:eastAsia="宋体" w:hint="default"/>
                            <w:spacing w:val="-8"/>
                            <w:sz w:val="18"/>
                            <w:szCs w:val="18"/>
                          </w:rPr>
                          <w:t>日召开的第五届董事会第十九次会议、第五届监事会第九次会议，审议通过了《关</w:t>
                        </w:r>
                      </w:p>
                      <w:p>
                        <w:pPr>
                          <w:pStyle w:val="TableParagraph"/>
                          <w:spacing w:line="240" w:lineRule="auto" w:before="13"/>
                          <w:ind w:left="23" w:right="0"/>
                          <w:jc w:val="both"/>
                          <w:rPr>
                            <w:rFonts w:ascii="宋体" w:hAnsi="宋体" w:cs="宋体" w:eastAsia="宋体" w:hint="default"/>
                            <w:sz w:val="18"/>
                            <w:szCs w:val="18"/>
                          </w:rPr>
                        </w:pPr>
                        <w:r>
                          <w:rPr>
                            <w:rFonts w:ascii="宋体" w:hAnsi="宋体" w:cs="宋体" w:eastAsia="宋体" w:hint="default"/>
                            <w:w w:val="101"/>
                            <w:sz w:val="18"/>
                            <w:szCs w:val="18"/>
                          </w:rPr>
                          <w:t>于</w:t>
                        </w:r>
                        <w:r>
                          <w:rPr>
                            <w:rFonts w:ascii="宋体" w:hAnsi="宋体" w:cs="宋体" w:eastAsia="宋体" w:hint="default"/>
                            <w:spacing w:val="-5"/>
                            <w:w w:val="101"/>
                            <w:sz w:val="18"/>
                            <w:szCs w:val="18"/>
                          </w:rPr>
                          <w:t>向</w:t>
                        </w:r>
                        <w:r>
                          <w:rPr>
                            <w:rFonts w:ascii="宋体" w:hAnsi="宋体" w:cs="宋体" w:eastAsia="宋体" w:hint="default"/>
                            <w:w w:val="101"/>
                            <w:sz w:val="18"/>
                            <w:szCs w:val="18"/>
                          </w:rPr>
                          <w:t>公司</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w w:val="101"/>
                            <w:sz w:val="18"/>
                            <w:szCs w:val="18"/>
                          </w:rPr>
                          <w:t>限</w:t>
                        </w:r>
                        <w:r>
                          <w:rPr>
                            <w:rFonts w:ascii="宋体" w:hAnsi="宋体" w:cs="宋体" w:eastAsia="宋体" w:hint="default"/>
                            <w:spacing w:val="-5"/>
                            <w:w w:val="101"/>
                            <w:sz w:val="18"/>
                            <w:szCs w:val="18"/>
                          </w:rPr>
                          <w:t>制</w:t>
                        </w:r>
                        <w:r>
                          <w:rPr>
                            <w:rFonts w:ascii="宋体" w:hAnsi="宋体" w:cs="宋体" w:eastAsia="宋体" w:hint="default"/>
                            <w:w w:val="101"/>
                            <w:sz w:val="18"/>
                            <w:szCs w:val="18"/>
                          </w:rPr>
                          <w:t>性</w:t>
                        </w:r>
                        <w:r>
                          <w:rPr>
                            <w:rFonts w:ascii="宋体" w:hAnsi="宋体" w:cs="宋体" w:eastAsia="宋体" w:hint="default"/>
                            <w:spacing w:val="-5"/>
                            <w:w w:val="101"/>
                            <w:sz w:val="18"/>
                            <w:szCs w:val="18"/>
                          </w:rPr>
                          <w:t>股</w:t>
                        </w:r>
                        <w:r>
                          <w:rPr>
                            <w:rFonts w:ascii="宋体" w:hAnsi="宋体" w:cs="宋体" w:eastAsia="宋体" w:hint="default"/>
                            <w:w w:val="101"/>
                            <w:sz w:val="18"/>
                            <w:szCs w:val="18"/>
                          </w:rPr>
                          <w:t>票</w:t>
                        </w:r>
                        <w:r>
                          <w:rPr>
                            <w:rFonts w:ascii="宋体" w:hAnsi="宋体" w:cs="宋体" w:eastAsia="宋体" w:hint="default"/>
                            <w:spacing w:val="-5"/>
                            <w:w w:val="101"/>
                            <w:sz w:val="18"/>
                            <w:szCs w:val="18"/>
                          </w:rPr>
                          <w:t>激</w:t>
                        </w:r>
                        <w:r>
                          <w:rPr>
                            <w:rFonts w:ascii="宋体" w:hAnsi="宋体" w:cs="宋体" w:eastAsia="宋体" w:hint="default"/>
                            <w:w w:val="101"/>
                            <w:sz w:val="18"/>
                            <w:szCs w:val="18"/>
                          </w:rPr>
                          <w:t>励</w:t>
                        </w:r>
                        <w:r>
                          <w:rPr>
                            <w:rFonts w:ascii="宋体" w:hAnsi="宋体" w:cs="宋体" w:eastAsia="宋体" w:hint="default"/>
                            <w:spacing w:val="-5"/>
                            <w:w w:val="101"/>
                            <w:sz w:val="18"/>
                            <w:szCs w:val="18"/>
                          </w:rPr>
                          <w:t>计</w:t>
                        </w:r>
                        <w:r>
                          <w:rPr>
                            <w:rFonts w:ascii="宋体" w:hAnsi="宋体" w:cs="宋体" w:eastAsia="宋体" w:hint="default"/>
                            <w:w w:val="101"/>
                            <w:sz w:val="18"/>
                            <w:szCs w:val="18"/>
                          </w:rPr>
                          <w:t>划</w:t>
                        </w:r>
                        <w:r>
                          <w:rPr>
                            <w:rFonts w:ascii="宋体" w:hAnsi="宋体" w:cs="宋体" w:eastAsia="宋体" w:hint="default"/>
                            <w:spacing w:val="-5"/>
                            <w:w w:val="101"/>
                            <w:sz w:val="18"/>
                            <w:szCs w:val="18"/>
                          </w:rPr>
                          <w:t>激</w:t>
                        </w:r>
                        <w:r>
                          <w:rPr>
                            <w:rFonts w:ascii="宋体" w:hAnsi="宋体" w:cs="宋体" w:eastAsia="宋体" w:hint="default"/>
                            <w:w w:val="101"/>
                            <w:sz w:val="18"/>
                            <w:szCs w:val="18"/>
                          </w:rPr>
                          <w:t>励</w:t>
                        </w:r>
                        <w:r>
                          <w:rPr>
                            <w:rFonts w:ascii="宋体" w:hAnsi="宋体" w:cs="宋体" w:eastAsia="宋体" w:hint="default"/>
                            <w:spacing w:val="-5"/>
                            <w:w w:val="101"/>
                            <w:sz w:val="18"/>
                            <w:szCs w:val="18"/>
                          </w:rPr>
                          <w:t>对</w:t>
                        </w:r>
                        <w:r>
                          <w:rPr>
                            <w:rFonts w:ascii="宋体" w:hAnsi="宋体" w:cs="宋体" w:eastAsia="宋体" w:hint="default"/>
                            <w:w w:val="101"/>
                            <w:sz w:val="18"/>
                            <w:szCs w:val="18"/>
                          </w:rPr>
                          <w:t>象</w:t>
                        </w:r>
                        <w:r>
                          <w:rPr>
                            <w:rFonts w:ascii="宋体" w:hAnsi="宋体" w:cs="宋体" w:eastAsia="宋体" w:hint="default"/>
                            <w:spacing w:val="-5"/>
                            <w:w w:val="101"/>
                            <w:sz w:val="18"/>
                            <w:szCs w:val="18"/>
                          </w:rPr>
                          <w:t>首</w:t>
                        </w:r>
                        <w:r>
                          <w:rPr>
                            <w:rFonts w:ascii="宋体" w:hAnsi="宋体" w:cs="宋体" w:eastAsia="宋体" w:hint="default"/>
                            <w:w w:val="101"/>
                            <w:sz w:val="18"/>
                            <w:szCs w:val="18"/>
                          </w:rPr>
                          <w:t>次</w:t>
                        </w:r>
                        <w:r>
                          <w:rPr>
                            <w:rFonts w:ascii="宋体" w:hAnsi="宋体" w:cs="宋体" w:eastAsia="宋体" w:hint="default"/>
                            <w:spacing w:val="-5"/>
                            <w:w w:val="101"/>
                            <w:sz w:val="18"/>
                            <w:szCs w:val="18"/>
                          </w:rPr>
                          <w:t>授</w:t>
                        </w:r>
                        <w:r>
                          <w:rPr>
                            <w:rFonts w:ascii="宋体" w:hAnsi="宋体" w:cs="宋体" w:eastAsia="宋体" w:hint="default"/>
                            <w:w w:val="101"/>
                            <w:sz w:val="18"/>
                            <w:szCs w:val="18"/>
                          </w:rPr>
                          <w:t>予</w:t>
                        </w:r>
                        <w:r>
                          <w:rPr>
                            <w:rFonts w:ascii="宋体" w:hAnsi="宋体" w:cs="宋体" w:eastAsia="宋体" w:hint="default"/>
                            <w:spacing w:val="-5"/>
                            <w:w w:val="101"/>
                            <w:sz w:val="18"/>
                            <w:szCs w:val="18"/>
                          </w:rPr>
                          <w:t>限</w:t>
                        </w:r>
                        <w:r>
                          <w:rPr>
                            <w:rFonts w:ascii="宋体" w:hAnsi="宋体" w:cs="宋体" w:eastAsia="宋体" w:hint="default"/>
                            <w:w w:val="101"/>
                            <w:sz w:val="18"/>
                            <w:szCs w:val="18"/>
                          </w:rPr>
                          <w:t>制</w:t>
                        </w:r>
                        <w:r>
                          <w:rPr>
                            <w:rFonts w:ascii="宋体" w:hAnsi="宋体" w:cs="宋体" w:eastAsia="宋体" w:hint="default"/>
                            <w:spacing w:val="-5"/>
                            <w:w w:val="101"/>
                            <w:sz w:val="18"/>
                            <w:szCs w:val="18"/>
                          </w:rPr>
                          <w:t>性</w:t>
                        </w:r>
                        <w:r>
                          <w:rPr>
                            <w:rFonts w:ascii="宋体" w:hAnsi="宋体" w:cs="宋体" w:eastAsia="宋体" w:hint="default"/>
                            <w:w w:val="101"/>
                            <w:sz w:val="18"/>
                            <w:szCs w:val="18"/>
                          </w:rPr>
                          <w:t>股</w:t>
                        </w:r>
                        <w:r>
                          <w:rPr>
                            <w:rFonts w:ascii="宋体" w:hAnsi="宋体" w:cs="宋体" w:eastAsia="宋体" w:hint="default"/>
                            <w:spacing w:val="-5"/>
                            <w:w w:val="101"/>
                            <w:sz w:val="18"/>
                            <w:szCs w:val="18"/>
                          </w:rPr>
                          <w:t>票</w:t>
                        </w:r>
                        <w:r>
                          <w:rPr>
                            <w:rFonts w:ascii="宋体" w:hAnsi="宋体" w:cs="宋体" w:eastAsia="宋体" w:hint="default"/>
                            <w:w w:val="101"/>
                            <w:sz w:val="18"/>
                            <w:szCs w:val="18"/>
                          </w:rPr>
                          <w:t>的</w:t>
                        </w:r>
                        <w:r>
                          <w:rPr>
                            <w:rFonts w:ascii="宋体" w:hAnsi="宋体" w:cs="宋体" w:eastAsia="宋体" w:hint="default"/>
                            <w:spacing w:val="-5"/>
                            <w:w w:val="101"/>
                            <w:sz w:val="18"/>
                            <w:szCs w:val="18"/>
                          </w:rPr>
                          <w:t>议</w:t>
                        </w:r>
                        <w:r>
                          <w:rPr>
                            <w:rFonts w:ascii="宋体" w:hAnsi="宋体" w:cs="宋体" w:eastAsia="宋体" w:hint="default"/>
                            <w:w w:val="101"/>
                            <w:sz w:val="18"/>
                            <w:szCs w:val="18"/>
                          </w:rPr>
                          <w:t>案</w:t>
                        </w:r>
                        <w:r>
                          <w:rPr>
                            <w:rFonts w:ascii="宋体" w:hAnsi="宋体" w:cs="宋体" w:eastAsia="宋体" w:hint="default"/>
                            <w:spacing w:val="-92"/>
                            <w:w w:val="101"/>
                            <w:sz w:val="18"/>
                            <w:szCs w:val="18"/>
                          </w:rPr>
                          <w:t>》</w:t>
                        </w:r>
                        <w:r>
                          <w:rPr>
                            <w:rFonts w:ascii="宋体" w:hAnsi="宋体" w:cs="宋体" w:eastAsia="宋体" w:hint="default"/>
                            <w:spacing w:val="-44"/>
                            <w:w w:val="101"/>
                            <w:sz w:val="18"/>
                            <w:szCs w:val="18"/>
                          </w:rPr>
                          <w:t>，</w:t>
                        </w:r>
                        <w:r>
                          <w:rPr>
                            <w:rFonts w:ascii="宋体" w:hAnsi="宋体" w:cs="宋体" w:eastAsia="宋体" w:hint="default"/>
                            <w:w w:val="101"/>
                            <w:sz w:val="18"/>
                            <w:szCs w:val="18"/>
                          </w:rPr>
                          <w:t>本</w:t>
                        </w:r>
                        <w:r>
                          <w:rPr>
                            <w:rFonts w:ascii="宋体" w:hAnsi="宋体" w:cs="宋体" w:eastAsia="宋体" w:hint="default"/>
                            <w:spacing w:val="-5"/>
                            <w:w w:val="101"/>
                            <w:sz w:val="18"/>
                            <w:szCs w:val="18"/>
                          </w:rPr>
                          <w:t>次</w:t>
                        </w:r>
                        <w:r>
                          <w:rPr>
                            <w:rFonts w:ascii="宋体" w:hAnsi="宋体" w:cs="宋体" w:eastAsia="宋体" w:hint="default"/>
                            <w:w w:val="101"/>
                            <w:sz w:val="18"/>
                            <w:szCs w:val="18"/>
                          </w:rPr>
                          <w:t>限</w:t>
                        </w:r>
                        <w:r>
                          <w:rPr>
                            <w:rFonts w:ascii="宋体" w:hAnsi="宋体" w:cs="宋体" w:eastAsia="宋体" w:hint="default"/>
                            <w:spacing w:val="-5"/>
                            <w:w w:val="101"/>
                            <w:sz w:val="18"/>
                            <w:szCs w:val="18"/>
                          </w:rPr>
                          <w:t>制</w:t>
                        </w:r>
                        <w:r>
                          <w:rPr>
                            <w:rFonts w:ascii="宋体" w:hAnsi="宋体" w:cs="宋体" w:eastAsia="宋体" w:hint="default"/>
                            <w:w w:val="101"/>
                            <w:sz w:val="18"/>
                            <w:szCs w:val="18"/>
                          </w:rPr>
                          <w:t>性股</w:t>
                        </w:r>
                        <w:r>
                          <w:rPr>
                            <w:rFonts w:ascii="宋体" w:hAnsi="宋体" w:cs="宋体" w:eastAsia="宋体" w:hint="default"/>
                            <w:sz w:val="18"/>
                            <w:szCs w:val="18"/>
                          </w:rPr>
                        </w:r>
                      </w:p>
                      <w:p>
                        <w:pPr>
                          <w:pStyle w:val="TableParagraph"/>
                          <w:spacing w:line="304" w:lineRule="auto" w:before="63"/>
                          <w:ind w:left="23" w:right="103"/>
                          <w:jc w:val="both"/>
                          <w:rPr>
                            <w:rFonts w:ascii="宋体" w:hAnsi="宋体" w:cs="宋体" w:eastAsia="宋体" w:hint="default"/>
                            <w:sz w:val="18"/>
                            <w:szCs w:val="18"/>
                          </w:rPr>
                        </w:pPr>
                        <w:r>
                          <w:rPr>
                            <w:rFonts w:ascii="宋体" w:hAnsi="宋体" w:cs="宋体" w:eastAsia="宋体" w:hint="default"/>
                            <w:sz w:val="18"/>
                            <w:szCs w:val="18"/>
                          </w:rPr>
                          <w:t>权激励计划首次授予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17,903,200</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股股份，并已于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日在深交所创业板上市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本次限制性股权激励计划的出资人全部为公司员工。</w:t>
                        </w:r>
                      </w:p>
                    </w:tc>
                  </w:tr>
                </w:tbl>
                <w:p>
                  <w:pPr/>
                </w:p>
              </w:txbxContent>
            </v:textbox>
            <w10:wrap type="none"/>
          </v:shape>
        </w:pict>
      </w:r>
      <w:r>
        <w:rPr>
          <w:w w:val="101"/>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5"/>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688"/>
        <w:jc w:val="right"/>
      </w:pPr>
      <w:r>
        <w:rPr/>
        <w:pict>
          <v:shape style="position:absolute;margin-left:483.549988pt;margin-top:70.431732pt;width:58.35pt;height:31.2pt;mso-position-horizontal-relative:page;mso-position-vertical-relative:paragraph;z-index:-1057672" type="#_x0000_t202" filled="false" stroked="false">
            <v:textbox inset="0,0,0,0">
              <w:txbxContent>
                <w:p>
                  <w:pPr>
                    <w:pStyle w:val="BodyText"/>
                    <w:spacing w:line="208" w:lineRule="exact"/>
                    <w:ind w:left="0" w:right="0"/>
                    <w:jc w:val="left"/>
                  </w:pPr>
                  <w:r>
                    <w:rPr>
                      <w:w w:val="101"/>
                    </w:rPr>
                    <w:t>）</w:t>
                  </w:r>
                  <w:r>
                    <w:rPr/>
                  </w:r>
                </w:p>
              </w:txbxContent>
            </v:textbox>
            <w10:wrap type="none"/>
          </v:shape>
        </w:pict>
      </w:r>
      <w:r>
        <w:rPr/>
        <w:pict>
          <v:group style="position:absolute;margin-left:329.640015pt;margin-top:70.431732pt;width:52.85pt;height:31.2pt;mso-position-horizontal-relative:page;mso-position-vertical-relative:paragraph;z-index:-1057648" coordorigin="6593,1409" coordsize="1057,624">
            <v:shape style="position:absolute;left:6593;top:1409;width:1057;height:624" coordorigin="6593,1409" coordsize="1057,624" path="m6593,2033l7649,2033,7649,1409,6593,1409,6593,2033xe" filled="true" fillcolor="#ffffff" stroked="false">
              <v:path arrowok="t"/>
              <v:fill type="solid"/>
            </v:shape>
            <w10:wrap type="none"/>
          </v:group>
        </w:pict>
      </w:r>
      <w:r>
        <w:rPr/>
        <w:pict>
          <v:group style="position:absolute;margin-left:489.549988pt;margin-top:70.431732pt;width:52.35pt;height:31.2pt;mso-position-horizontal-relative:page;mso-position-vertical-relative:paragraph;z-index:-1057624" coordorigin="9791,1409" coordsize="1047,624">
            <v:shape style="position:absolute;left:9791;top:1409;width:1047;height:624" coordorigin="9791,1409" coordsize="1047,624" path="m9791,2033l10838,2033,10838,1409,9791,1409,9791,2033xe" filled="true" fillcolor="#ffffff" stroked="false">
              <v:path arrowok="t"/>
              <v:fill type="solid"/>
            </v:shape>
            <w10:wrap type="none"/>
          </v:group>
        </w:pict>
      </w:r>
      <w:r>
        <w:rPr>
          <w:spacing w:val="-2"/>
        </w:rPr>
        <w:t>单位：股</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1"/>
        <w:gridCol w:w="1202"/>
        <w:gridCol w:w="921"/>
        <w:gridCol w:w="1076"/>
        <w:gridCol w:w="1049"/>
        <w:gridCol w:w="1078"/>
        <w:gridCol w:w="916"/>
        <w:gridCol w:w="1200"/>
        <w:gridCol w:w="514"/>
        <w:gridCol w:w="552"/>
      </w:tblGrid>
      <w:tr>
        <w:trPr>
          <w:trHeight w:val="317"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18,129</w:t>
            </w:r>
          </w:p>
        </w:tc>
        <w:tc>
          <w:tcPr>
            <w:tcW w:w="92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7" w:right="166"/>
              <w:jc w:val="both"/>
              <w:rPr>
                <w:rFonts w:ascii="宋体" w:hAnsi="宋体" w:cs="宋体" w:eastAsia="宋体" w:hint="default"/>
                <w:sz w:val="18"/>
                <w:szCs w:val="18"/>
              </w:rPr>
            </w:pPr>
            <w:r>
              <w:rPr>
                <w:rFonts w:ascii="宋体" w:hAnsi="宋体" w:cs="宋体" w:eastAsia="宋体" w:hint="default"/>
                <w:sz w:val="18"/>
                <w:szCs w:val="18"/>
              </w:rPr>
              <w:t>年度报告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披露日前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上一月末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普通股股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东总数</w:t>
            </w:r>
          </w:p>
        </w:tc>
        <w:tc>
          <w:tcPr>
            <w:tcW w:w="1076" w:type="dxa"/>
            <w:vMerge w:val="restart"/>
            <w:tcBorders>
              <w:top w:val="single" w:sz="4" w:space="0" w:color="000000"/>
              <w:left w:val="single" w:sz="8"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37" w:right="0"/>
              <w:jc w:val="left"/>
              <w:rPr>
                <w:rFonts w:ascii="Times New Roman" w:hAnsi="Times New Roman" w:cs="Times New Roman" w:eastAsia="Times New Roman" w:hint="default"/>
                <w:sz w:val="18"/>
                <w:szCs w:val="18"/>
              </w:rPr>
            </w:pPr>
            <w:r>
              <w:rPr>
                <w:rFonts w:ascii="Times New Roman"/>
                <w:sz w:val="18"/>
              </w:rPr>
              <w:t>21,248</w:t>
            </w:r>
          </w:p>
        </w:tc>
        <w:tc>
          <w:tcPr>
            <w:tcW w:w="10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8" w:right="117"/>
              <w:jc w:val="both"/>
              <w:rPr>
                <w:rFonts w:ascii="宋体" w:hAnsi="宋体" w:cs="宋体" w:eastAsia="宋体" w:hint="default"/>
                <w:sz w:val="18"/>
                <w:szCs w:val="18"/>
              </w:rPr>
            </w:pPr>
            <w:r>
              <w:rPr>
                <w:rFonts w:ascii="宋体" w:hAnsi="宋体" w:cs="宋体" w:eastAsia="宋体" w:hint="default"/>
                <w:spacing w:val="-2"/>
                <w:sz w:val="18"/>
                <w:szCs w:val="18"/>
              </w:rPr>
              <w:t>报告期末表</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决权恢复的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优先股股东</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总数（如有</w:t>
            </w:r>
          </w:p>
          <w:p>
            <w:pPr>
              <w:pStyle w:val="TableParagraph"/>
              <w:spacing w:line="240" w:lineRule="auto" w:before="23"/>
              <w:ind w:left="18"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78" w:type="dxa"/>
            <w:vMerge w:val="restart"/>
            <w:tcBorders>
              <w:top w:val="single" w:sz="4" w:space="0" w:color="000000"/>
              <w:left w:val="single" w:sz="13"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p>
            <w:pPr>
              <w:pStyle w:val="TableParagraph"/>
              <w:spacing w:line="240" w:lineRule="auto" w:before="58"/>
              <w:ind w:left="-14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1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14" w:type="dxa"/>
            <w:tcBorders>
              <w:top w:val="single" w:sz="4" w:space="0" w:color="000000"/>
              <w:left w:val="single" w:sz="4" w:space="0" w:color="000000"/>
              <w:bottom w:val="nil" w:sz="6" w:space="0" w:color="auto"/>
              <w:right w:val="nil" w:sz="6" w:space="0" w:color="auto"/>
            </w:tcBorders>
          </w:tcPr>
          <w:p>
            <w:pPr/>
          </w:p>
        </w:tc>
        <w:tc>
          <w:tcPr>
            <w:tcW w:w="552" w:type="dxa"/>
            <w:tcBorders>
              <w:top w:val="single" w:sz="4" w:space="0" w:color="000000"/>
              <w:left w:val="nil" w:sz="6" w:space="0" w:color="auto"/>
              <w:bottom w:val="nil" w:sz="6" w:space="0" w:color="auto"/>
              <w:right w:val="single" w:sz="4" w:space="0" w:color="000000"/>
            </w:tcBorders>
          </w:tcPr>
          <w:p>
            <w:pPr/>
          </w:p>
        </w:tc>
      </w:tr>
      <w:tr>
        <w:trPr>
          <w:trHeight w:val="154"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211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7" w:right="98"/>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年度报告披露日前上一月</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3"/>
                <w:sz w:val="18"/>
                <w:szCs w:val="18"/>
              </w:rPr>
              <w:t>末表决权恢复的优先股股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pacing w:val="-14"/>
                <w:w w:val="101"/>
                <w:sz w:val="18"/>
                <w:szCs w:val="18"/>
              </w:rPr>
              <w:t>东总数（如有）（参见注</w:t>
            </w:r>
            <w:r>
              <w:rPr>
                <w:rFonts w:ascii="宋体" w:hAnsi="宋体" w:cs="宋体" w:eastAsia="宋体" w:hint="default"/>
                <w:spacing w:val="-50"/>
                <w:w w:val="101"/>
                <w:sz w:val="18"/>
                <w:szCs w:val="18"/>
              </w:rPr>
              <w:t> </w:t>
            </w:r>
            <w:r>
              <w:rPr>
                <w:rFonts w:ascii="Times New Roman" w:hAnsi="Times New Roman" w:cs="Times New Roman" w:eastAsia="Times New Roman" w:hint="default"/>
                <w:w w:val="101"/>
                <w:sz w:val="18"/>
                <w:szCs w:val="18"/>
              </w:rPr>
              <w:t>9</w:t>
            </w:r>
            <w:r>
              <w:rPr>
                <w:rFonts w:ascii="Times New Roman" w:hAnsi="Times New Roman" w:cs="Times New Roman" w:eastAsia="Times New Roman" w:hint="default"/>
                <w:sz w:val="18"/>
                <w:szCs w:val="18"/>
              </w:rPr>
            </w:r>
          </w:p>
        </w:tc>
        <w:tc>
          <w:tcPr>
            <w:tcW w:w="514" w:type="dxa"/>
            <w:tcBorders>
              <w:top w:val="nil" w:sz="6" w:space="0" w:color="auto"/>
              <w:left w:val="single" w:sz="10" w:space="0" w:color="D2D2D2"/>
              <w:bottom w:val="nil" w:sz="6" w:space="0" w:color="auto"/>
              <w:right w:val="nil" w:sz="6" w:space="0" w:color="auto"/>
            </w:tcBorders>
          </w:tcPr>
          <w:p>
            <w:pPr/>
          </w:p>
        </w:tc>
        <w:tc>
          <w:tcPr>
            <w:tcW w:w="552" w:type="dxa"/>
            <w:tcBorders>
              <w:top w:val="nil" w:sz="6" w:space="0" w:color="auto"/>
              <w:left w:val="nil" w:sz="6" w:space="0" w:color="auto"/>
              <w:bottom w:val="nil" w:sz="6" w:space="0" w:color="auto"/>
              <w:right w:val="single" w:sz="4" w:space="0" w:color="000000"/>
            </w:tcBorders>
          </w:tcPr>
          <w:p>
            <w:pPr/>
          </w:p>
        </w:tc>
      </w:tr>
      <w:tr>
        <w:trPr>
          <w:trHeight w:val="706" w:hRule="exact"/>
        </w:trPr>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报告期末普通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股股东总数</w:t>
            </w: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2117" w:type="dxa"/>
            <w:gridSpan w:val="2"/>
            <w:vMerge/>
            <w:tcBorders>
              <w:left w:val="single" w:sz="4" w:space="0" w:color="000000"/>
              <w:right w:val="single" w:sz="4" w:space="0" w:color="000000"/>
            </w:tcBorders>
            <w:shd w:val="clear" w:color="auto" w:fill="D2D2D2"/>
          </w:tcPr>
          <w:p>
            <w:pPr/>
          </w:p>
        </w:tc>
        <w:tc>
          <w:tcPr>
            <w:tcW w:w="514" w:type="dxa"/>
            <w:vMerge w:val="restart"/>
            <w:tcBorders>
              <w:top w:val="nil" w:sz="6" w:space="0" w:color="auto"/>
              <w:left w:val="single" w:sz="10" w:space="0" w:color="D2D2D2"/>
              <w:right w:val="nil" w:sz="6" w:space="0" w:color="auto"/>
            </w:tcBorders>
          </w:tcPr>
          <w:p>
            <w:pPr/>
          </w:p>
        </w:tc>
        <w:tc>
          <w:tcPr>
            <w:tcW w:w="552"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58"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tcBorders>
              <w:left w:val="single" w:sz="8" w:space="0" w:color="D2D2D2"/>
              <w:right w:val="single" w:sz="13" w:space="0" w:color="D2D2D2"/>
            </w:tcBorders>
          </w:tcPr>
          <w:p>
            <w:pPr/>
          </w:p>
        </w:tc>
        <w:tc>
          <w:tcPr>
            <w:tcW w:w="921" w:type="dxa"/>
            <w:vMerge/>
            <w:tcBorders>
              <w:left w:val="single" w:sz="4" w:space="0" w:color="000000"/>
              <w:right w:val="single" w:sz="4" w:space="0" w:color="000000"/>
            </w:tcBorders>
            <w:shd w:val="clear" w:color="auto" w:fill="D2D2D2"/>
          </w:tcPr>
          <w:p>
            <w:pPr/>
          </w:p>
        </w:tc>
        <w:tc>
          <w:tcPr>
            <w:tcW w:w="1076" w:type="dxa"/>
            <w:vMerge/>
            <w:tcBorders>
              <w:left w:val="single" w:sz="8" w:space="0" w:color="D2D2D2"/>
              <w:right w:val="single" w:sz="13" w:space="0" w:color="D2D2D2"/>
            </w:tcBorders>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13" w:space="0" w:color="D2D2D2"/>
              <w:right w:val="single" w:sz="10" w:space="0" w:color="D2D2D2"/>
            </w:tcBorders>
          </w:tcPr>
          <w:p>
            <w:pPr/>
          </w:p>
        </w:tc>
        <w:tc>
          <w:tcPr>
            <w:tcW w:w="2117" w:type="dxa"/>
            <w:gridSpan w:val="2"/>
            <w:vMerge/>
            <w:tcBorders>
              <w:left w:val="single" w:sz="4" w:space="0" w:color="000000"/>
              <w:bottom w:val="nil" w:sz="6" w:space="0" w:color="auto"/>
              <w:right w:val="single" w:sz="4" w:space="0" w:color="000000"/>
            </w:tcBorders>
            <w:shd w:val="clear" w:color="auto" w:fill="D2D2D2"/>
          </w:tcPr>
          <w:p>
            <w:pPr/>
          </w:p>
        </w:tc>
        <w:tc>
          <w:tcPr>
            <w:tcW w:w="514" w:type="dxa"/>
            <w:vMerge/>
            <w:tcBorders>
              <w:left w:val="single" w:sz="10" w:space="0" w:color="D2D2D2"/>
              <w:bottom w:val="nil" w:sz="6" w:space="0" w:color="auto"/>
              <w:right w:val="nil" w:sz="6" w:space="0" w:color="auto"/>
            </w:tcBorders>
          </w:tcPr>
          <w:p>
            <w:pPr/>
          </w:p>
        </w:tc>
        <w:tc>
          <w:tcPr>
            <w:tcW w:w="552" w:type="dxa"/>
            <w:tcBorders>
              <w:top w:val="nil" w:sz="6" w:space="0" w:color="auto"/>
              <w:left w:val="nil" w:sz="6" w:space="0" w:color="auto"/>
              <w:bottom w:val="nil" w:sz="6" w:space="0" w:color="auto"/>
              <w:right w:val="single" w:sz="4" w:space="0" w:color="000000"/>
            </w:tcBorders>
          </w:tcPr>
          <w:p>
            <w:pPr/>
          </w:p>
        </w:tc>
      </w:tr>
      <w:tr>
        <w:trPr>
          <w:trHeight w:val="322"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8" w:space="0" w:color="D2D2D2"/>
              <w:bottom w:val="single" w:sz="4" w:space="0" w:color="000000"/>
              <w:right w:val="single" w:sz="13" w:space="0" w:color="D2D2D2"/>
            </w:tcBorders>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8" w:space="0" w:color="D2D2D2"/>
              <w:bottom w:val="single" w:sz="4" w:space="0" w:color="000000"/>
              <w:right w:val="single" w:sz="13" w:space="0" w:color="D2D2D2"/>
            </w:tcBorders>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1078" w:type="dxa"/>
            <w:vMerge/>
            <w:tcBorders>
              <w:left w:val="single" w:sz="13" w:space="0" w:color="D2D2D2"/>
              <w:bottom w:val="single" w:sz="4" w:space="0" w:color="000000"/>
              <w:right w:val="single" w:sz="10" w:space="0" w:color="D2D2D2"/>
            </w:tcBorders>
          </w:tcPr>
          <w:p>
            <w:pPr/>
          </w:p>
        </w:tc>
        <w:tc>
          <w:tcPr>
            <w:tcW w:w="211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14" w:type="dxa"/>
            <w:tcBorders>
              <w:top w:val="nil" w:sz="6" w:space="0" w:color="auto"/>
              <w:left w:val="single" w:sz="4" w:space="0" w:color="000000"/>
              <w:bottom w:val="single" w:sz="4" w:space="0" w:color="000000"/>
              <w:right w:val="nil" w:sz="6" w:space="0" w:color="auto"/>
            </w:tcBorders>
          </w:tcPr>
          <w:p>
            <w:pPr/>
          </w:p>
        </w:tc>
        <w:tc>
          <w:tcPr>
            <w:tcW w:w="552" w:type="dxa"/>
            <w:tcBorders>
              <w:top w:val="nil" w:sz="6" w:space="0" w:color="auto"/>
              <w:left w:val="nil" w:sz="6" w:space="0" w:color="auto"/>
              <w:bottom w:val="single" w:sz="4" w:space="0" w:color="000000"/>
              <w:right w:val="single" w:sz="4" w:space="0" w:color="000000"/>
            </w:tcBorders>
          </w:tcPr>
          <w:p>
            <w:pPr/>
          </w:p>
        </w:tc>
      </w:tr>
      <w:tr>
        <w:trPr>
          <w:trHeight w:val="389" w:hRule="exact"/>
        </w:trPr>
        <w:tc>
          <w:tcPr>
            <w:tcW w:w="9710"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30"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28"/>
                <w:sz w:val="18"/>
                <w:szCs w:val="18"/>
              </w:rPr>
              <w:t> </w:t>
            </w: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以上的股东或前</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名股东持股情况</w:t>
            </w:r>
          </w:p>
        </w:tc>
      </w:tr>
      <w:tr>
        <w:trPr>
          <w:trHeight w:val="168" w:hRule="exact"/>
        </w:trPr>
        <w:tc>
          <w:tcPr>
            <w:tcW w:w="1201" w:type="dxa"/>
            <w:vMerge w:val="restart"/>
            <w:tcBorders>
              <w:top w:val="single" w:sz="4" w:space="0" w:color="000000"/>
              <w:left w:val="single" w:sz="4" w:space="0" w:color="000000"/>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
        </w:tc>
        <w:tc>
          <w:tcPr>
            <w:tcW w:w="921" w:type="dxa"/>
            <w:vMerge w:val="restart"/>
            <w:tcBorders>
              <w:top w:val="single" w:sz="4" w:space="0" w:color="000000"/>
              <w:left w:val="single" w:sz="4" w:space="0" w:color="000000"/>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2" w:right="81"/>
              <w:jc w:val="center"/>
              <w:rPr>
                <w:rFonts w:ascii="宋体" w:hAnsi="宋体" w:cs="宋体" w:eastAsia="宋体" w:hint="default"/>
                <w:sz w:val="18"/>
                <w:szCs w:val="18"/>
              </w:rPr>
            </w:pPr>
            <w:r>
              <w:rPr>
                <w:rFonts w:ascii="宋体" w:hAnsi="宋体" w:cs="宋体" w:eastAsia="宋体" w:hint="default"/>
                <w:spacing w:val="-2"/>
                <w:sz w:val="18"/>
                <w:szCs w:val="18"/>
              </w:rPr>
              <w:t>持有有限售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条件的股份</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数量</w:t>
            </w:r>
          </w:p>
        </w:tc>
        <w:tc>
          <w:tcPr>
            <w:tcW w:w="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89" w:right="89"/>
              <w:jc w:val="both"/>
              <w:rPr>
                <w:rFonts w:ascii="宋体" w:hAnsi="宋体" w:cs="宋体" w:eastAsia="宋体" w:hint="default"/>
                <w:sz w:val="18"/>
                <w:szCs w:val="18"/>
              </w:rPr>
            </w:pPr>
            <w:r>
              <w:rPr>
                <w:rFonts w:ascii="宋体" w:hAnsi="宋体" w:cs="宋体" w:eastAsia="宋体" w:hint="default"/>
                <w:sz w:val="18"/>
                <w:szCs w:val="18"/>
              </w:rPr>
              <w:t>持有无限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售条件的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tc>
        <w:tc>
          <w:tcPr>
            <w:tcW w:w="226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99" w:right="0"/>
              <w:jc w:val="left"/>
              <w:rPr>
                <w:rFonts w:ascii="宋体" w:hAnsi="宋体" w:cs="宋体" w:eastAsia="宋体" w:hint="default"/>
                <w:sz w:val="18"/>
                <w:szCs w:val="18"/>
              </w:rPr>
            </w:pPr>
            <w:r>
              <w:rPr>
                <w:rFonts w:ascii="宋体" w:hAnsi="宋体" w:cs="宋体" w:eastAsia="宋体" w:hint="default"/>
                <w:spacing w:val="-3"/>
                <w:sz w:val="18"/>
                <w:szCs w:val="18"/>
              </w:rPr>
              <w:t>质押或冻结情况</w:t>
            </w:r>
          </w:p>
        </w:tc>
      </w:tr>
      <w:tr>
        <w:trPr>
          <w:trHeight w:val="154"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264" w:right="80" w:hanging="183"/>
              <w:jc w:val="left"/>
              <w:rPr>
                <w:rFonts w:ascii="宋体" w:hAnsi="宋体" w:cs="宋体" w:eastAsia="宋体" w:hint="default"/>
                <w:sz w:val="18"/>
                <w:szCs w:val="18"/>
              </w:rPr>
            </w:pPr>
            <w:r>
              <w:rPr>
                <w:rFonts w:ascii="宋体" w:hAnsi="宋体" w:cs="宋体" w:eastAsia="宋体" w:hint="default"/>
                <w:spacing w:val="-2"/>
                <w:sz w:val="18"/>
                <w:szCs w:val="18"/>
              </w:rPr>
              <w:t>报告期末持</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股数量</w:t>
            </w:r>
          </w:p>
        </w:tc>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70" w:right="64"/>
              <w:jc w:val="left"/>
              <w:rPr>
                <w:rFonts w:ascii="宋体" w:hAnsi="宋体" w:cs="宋体" w:eastAsia="宋体" w:hint="default"/>
                <w:sz w:val="18"/>
                <w:szCs w:val="18"/>
              </w:rPr>
            </w:pPr>
            <w:r>
              <w:rPr>
                <w:rFonts w:ascii="宋体" w:hAnsi="宋体" w:cs="宋体" w:eastAsia="宋体" w:hint="default"/>
                <w:spacing w:val="-2"/>
                <w:sz w:val="18"/>
                <w:szCs w:val="18"/>
              </w:rPr>
              <w:t>报告期内增</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减变动情况</w:t>
            </w: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267" w:type="dxa"/>
            <w:gridSpan w:val="3"/>
            <w:vMerge/>
            <w:tcBorders>
              <w:left w:val="single" w:sz="4" w:space="0" w:color="000000"/>
              <w:right w:val="single" w:sz="4" w:space="0" w:color="000000"/>
            </w:tcBorders>
            <w:shd w:val="clear" w:color="auto" w:fill="D2D2D2"/>
          </w:tcPr>
          <w:p>
            <w:pPr/>
          </w:p>
        </w:tc>
      </w:tr>
      <w:tr>
        <w:trPr>
          <w:trHeight w:val="142" w:hRule="exact"/>
        </w:trPr>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2267"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201" w:type="dxa"/>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bottom w:val="nil" w:sz="6" w:space="0" w:color="auto"/>
              <w:right w:val="single" w:sz="4" w:space="0" w:color="000000"/>
            </w:tcBorders>
            <w:shd w:val="clear" w:color="auto" w:fill="D2D2D2"/>
          </w:tcPr>
          <w:p>
            <w:pPr/>
          </w:p>
        </w:tc>
        <w:tc>
          <w:tcPr>
            <w:tcW w:w="921"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right w:val="single" w:sz="4" w:space="0" w:color="000000"/>
            </w:tcBorders>
            <w:shd w:val="clear" w:color="auto" w:fill="D2D2D2"/>
          </w:tcPr>
          <w:p>
            <w:pPr/>
          </w:p>
        </w:tc>
        <w:tc>
          <w:tcPr>
            <w:tcW w:w="1049" w:type="dxa"/>
            <w:vMerge/>
            <w:tcBorders>
              <w:left w:val="single" w:sz="4" w:space="0" w:color="000000"/>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23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35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8" w:hRule="exact"/>
        </w:trPr>
        <w:tc>
          <w:tcPr>
            <w:tcW w:w="1201" w:type="dxa"/>
            <w:vMerge w:val="restart"/>
            <w:tcBorders>
              <w:top w:val="nil" w:sz="6" w:space="0" w:color="auto"/>
              <w:left w:val="single" w:sz="4" w:space="0" w:color="000000"/>
              <w:right w:val="single" w:sz="4" w:space="0" w:color="000000"/>
            </w:tcBorders>
            <w:shd w:val="clear" w:color="auto" w:fill="D2D2D2"/>
          </w:tcPr>
          <w:p>
            <w:pPr/>
          </w:p>
        </w:tc>
        <w:tc>
          <w:tcPr>
            <w:tcW w:w="1202" w:type="dxa"/>
            <w:vMerge w:val="restart"/>
            <w:tcBorders>
              <w:top w:val="nil" w:sz="6" w:space="0" w:color="auto"/>
              <w:left w:val="single" w:sz="4" w:space="0" w:color="000000"/>
              <w:right w:val="single" w:sz="4" w:space="0" w:color="000000"/>
            </w:tcBorders>
            <w:shd w:val="clear" w:color="auto" w:fill="D2D2D2"/>
          </w:tcPr>
          <w:p>
            <w:pPr/>
          </w:p>
        </w:tc>
        <w:tc>
          <w:tcPr>
            <w:tcW w:w="921" w:type="dxa"/>
            <w:vMerge w:val="restart"/>
            <w:tcBorders>
              <w:top w:val="nil" w:sz="6" w:space="0" w:color="auto"/>
              <w:left w:val="single" w:sz="4" w:space="0" w:color="000000"/>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1078" w:type="dxa"/>
            <w:vMerge/>
            <w:tcBorders>
              <w:left w:val="single" w:sz="4" w:space="0" w:color="000000"/>
              <w:right w:val="single" w:sz="4" w:space="0" w:color="000000"/>
            </w:tcBorders>
            <w:shd w:val="clear" w:color="auto" w:fill="D2D2D2"/>
          </w:tcPr>
          <w:p>
            <w:pPr/>
          </w:p>
        </w:tc>
        <w:tc>
          <w:tcPr>
            <w:tcW w:w="916" w:type="dxa"/>
            <w:vMerge/>
            <w:tcBorders>
              <w:left w:val="single" w:sz="4" w:space="0" w:color="000000"/>
              <w:right w:val="single" w:sz="4" w:space="0" w:color="000000"/>
            </w:tcBorders>
            <w:shd w:val="clear" w:color="auto" w:fill="D2D2D2"/>
          </w:tcPr>
          <w:p>
            <w:pPr/>
          </w:p>
        </w:tc>
        <w:tc>
          <w:tcPr>
            <w:tcW w:w="1200" w:type="dxa"/>
            <w:vMerge/>
            <w:tcBorders>
              <w:left w:val="single" w:sz="4" w:space="0" w:color="000000"/>
              <w:right w:val="single" w:sz="4" w:space="0" w:color="000000"/>
            </w:tcBorders>
            <w:shd w:val="clear" w:color="auto" w:fill="D2D2D2"/>
          </w:tcPr>
          <w:p>
            <w:pPr/>
          </w:p>
        </w:tc>
        <w:tc>
          <w:tcPr>
            <w:tcW w:w="1066" w:type="dxa"/>
            <w:gridSpan w:val="2"/>
            <w:vMerge/>
            <w:tcBorders>
              <w:left w:val="single" w:sz="4" w:space="0" w:color="000000"/>
              <w:right w:val="single" w:sz="4" w:space="0" w:color="000000"/>
            </w:tcBorders>
            <w:shd w:val="clear" w:color="auto" w:fill="D2D2D2"/>
          </w:tcPr>
          <w:p>
            <w:pPr/>
          </w:p>
        </w:tc>
      </w:tr>
      <w:tr>
        <w:trPr>
          <w:trHeight w:val="158" w:hRule="exact"/>
        </w:trPr>
        <w:tc>
          <w:tcPr>
            <w:tcW w:w="1201" w:type="dxa"/>
            <w:vMerge/>
            <w:tcBorders>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921"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8" w:type="dxa"/>
            <w:vMerge/>
            <w:tcBorders>
              <w:left w:val="single" w:sz="4" w:space="0" w:color="000000"/>
              <w:bottom w:val="single" w:sz="4" w:space="0" w:color="000000"/>
              <w:right w:val="single" w:sz="4" w:space="0" w:color="000000"/>
            </w:tcBorders>
            <w:shd w:val="clear" w:color="auto" w:fill="D2D2D2"/>
          </w:tcPr>
          <w:p>
            <w:pPr/>
          </w:p>
        </w:tc>
        <w:tc>
          <w:tcPr>
            <w:tcW w:w="916" w:type="dxa"/>
            <w:vMerge/>
            <w:tcBorders>
              <w:left w:val="single" w:sz="4" w:space="0" w:color="000000"/>
              <w:bottom w:val="single" w:sz="4" w:space="0" w:color="000000"/>
              <w:right w:val="single" w:sz="4" w:space="0" w:color="000000"/>
            </w:tcBorders>
            <w:shd w:val="clear" w:color="auto" w:fill="D2D2D2"/>
          </w:tcPr>
          <w:p>
            <w:pPr/>
          </w:p>
        </w:tc>
        <w:tc>
          <w:tcPr>
            <w:tcW w:w="1200" w:type="dxa"/>
            <w:vMerge/>
            <w:tcBorders>
              <w:left w:val="single" w:sz="4" w:space="0" w:color="000000"/>
              <w:bottom w:val="single" w:sz="4" w:space="0" w:color="000000"/>
              <w:right w:val="single" w:sz="4" w:space="0" w:color="000000"/>
            </w:tcBorders>
            <w:shd w:val="clear" w:color="auto" w:fill="D2D2D2"/>
          </w:tcPr>
          <w:p>
            <w:pPr/>
          </w:p>
        </w:tc>
        <w:tc>
          <w:tcPr>
            <w:tcW w:w="1066" w:type="dxa"/>
            <w:gridSpan w:val="2"/>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19.52%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162,561,680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31,666,694</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140,923,822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21,637,858</w:t>
            </w:r>
          </w:p>
        </w:tc>
        <w:tc>
          <w:tcPr>
            <w:tcW w:w="1200" w:type="dxa"/>
            <w:tcBorders>
              <w:top w:val="single" w:sz="44" w:space="0" w:color="D2D2D2"/>
              <w:left w:val="single" w:sz="4" w:space="0" w:color="000000"/>
              <w:bottom w:val="single" w:sz="4" w:space="0" w:color="000000"/>
              <w:right w:val="single" w:sz="4" w:space="0" w:color="000000"/>
            </w:tcBorders>
          </w:tcPr>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gridSpan w:val="2"/>
            <w:tcBorders>
              <w:top w:val="single" w:sz="44" w:space="0" w:color="D2D2D2"/>
              <w:left w:val="single" w:sz="4" w:space="0" w:color="000000"/>
              <w:bottom w:val="single" w:sz="4" w:space="0" w:color="000000"/>
              <w:right w:val="single" w:sz="4" w:space="0" w:color="000000"/>
            </w:tcBorders>
          </w:tcPr>
          <w:p>
            <w:pPr>
              <w:pStyle w:val="TableParagraph"/>
              <w:spacing w:line="240" w:lineRule="auto" w:before="45"/>
              <w:ind w:left="139" w:right="0"/>
              <w:jc w:val="left"/>
              <w:rPr>
                <w:rFonts w:ascii="Times New Roman" w:hAnsi="Times New Roman" w:cs="Times New Roman" w:eastAsia="Times New Roman" w:hint="default"/>
                <w:sz w:val="18"/>
                <w:szCs w:val="18"/>
              </w:rPr>
            </w:pPr>
            <w:r>
              <w:rPr>
                <w:rFonts w:ascii="Times New Roman"/>
                <w:sz w:val="18"/>
              </w:rPr>
              <w:t>128,496,368</w:t>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9.81%</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81,719,221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15,457,949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72,808,336</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8,910,885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5" w:right="0"/>
              <w:jc w:val="left"/>
              <w:rPr>
                <w:rFonts w:ascii="Times New Roman" w:hAnsi="Times New Roman" w:cs="Times New Roman" w:eastAsia="Times New Roman" w:hint="default"/>
                <w:sz w:val="18"/>
                <w:szCs w:val="18"/>
              </w:rPr>
            </w:pPr>
            <w:r>
              <w:rPr>
                <w:rFonts w:ascii="Times New Roman"/>
                <w:sz w:val="18"/>
              </w:rPr>
              <w:t>73,272,705</w:t>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4.49%</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37,422,304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7,483,387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32,038,283</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5,384,021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5" w:right="0"/>
              <w:jc w:val="left"/>
              <w:rPr>
                <w:rFonts w:ascii="Times New Roman" w:hAnsi="Times New Roman" w:cs="Times New Roman" w:eastAsia="Times New Roman" w:hint="default"/>
                <w:sz w:val="18"/>
                <w:szCs w:val="18"/>
              </w:rPr>
            </w:pPr>
            <w:r>
              <w:rPr>
                <w:rFonts w:ascii="Times New Roman"/>
                <w:sz w:val="18"/>
              </w:rPr>
              <w:t>33,229,104</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3.75%</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31,270,207</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5,895,315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26,643,637</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4,626,570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5" w:right="0"/>
              <w:jc w:val="left"/>
              <w:rPr>
                <w:rFonts w:ascii="Times New Roman" w:hAnsi="Times New Roman" w:cs="Times New Roman" w:eastAsia="Times New Roman" w:hint="default"/>
                <w:sz w:val="18"/>
                <w:szCs w:val="18"/>
              </w:rPr>
            </w:pPr>
            <w:r>
              <w:rPr>
                <w:rFonts w:ascii="Times New Roman"/>
                <w:sz w:val="18"/>
              </w:rPr>
              <w:t>11,036,200</w:t>
            </w: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80"/>
              <w:jc w:val="left"/>
              <w:rPr>
                <w:rFonts w:ascii="宋体" w:hAnsi="宋体" w:cs="宋体" w:eastAsia="宋体" w:hint="default"/>
                <w:sz w:val="18"/>
                <w:szCs w:val="18"/>
              </w:rPr>
            </w:pPr>
            <w:r>
              <w:rPr>
                <w:rFonts w:ascii="宋体" w:hAnsi="宋体" w:cs="宋体" w:eastAsia="宋体" w:hint="default"/>
                <w:spacing w:val="-2"/>
                <w:sz w:val="18"/>
                <w:szCs w:val="18"/>
              </w:rPr>
              <w:t>赣州合纵投资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管理合伙企业</w:t>
            </w:r>
          </w:p>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81"/>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2.90%</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24,180,912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8" w:right="0"/>
              <w:jc w:val="left"/>
              <w:rPr>
                <w:rFonts w:ascii="Times New Roman" w:hAnsi="Times New Roman" w:cs="Times New Roman" w:eastAsia="Times New Roman" w:hint="default"/>
                <w:sz w:val="18"/>
                <w:szCs w:val="18"/>
              </w:rPr>
            </w:pPr>
            <w:r>
              <w:rPr>
                <w:rFonts w:ascii="Times New Roman"/>
                <w:sz w:val="18"/>
              </w:rPr>
              <w:t>6,908,832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24,180,912</w:t>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19,328,400</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北京合纵科技</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2.82%</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23,482,534</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6,709,295</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9"/>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23,482,534</w:t>
            </w:r>
          </w:p>
        </w:tc>
        <w:tc>
          <w:tcPr>
            <w:tcW w:w="1200" w:type="dxa"/>
            <w:tcBorders>
              <w:top w:val="single" w:sz="4" w:space="0" w:color="000000"/>
              <w:left w:val="single" w:sz="4" w:space="0" w:color="000000"/>
              <w:bottom w:val="single" w:sz="4" w:space="0" w:color="000000"/>
              <w:right w:val="single" w:sz="4" w:space="0" w:color="000000"/>
            </w:tcBorders>
          </w:tcPr>
          <w:p>
            <w:pPr/>
          </w:p>
        </w:tc>
        <w:tc>
          <w:tcPr>
            <w:tcW w:w="1066"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201"/>
        <w:gridCol w:w="1196"/>
        <w:gridCol w:w="932"/>
        <w:gridCol w:w="1066"/>
        <w:gridCol w:w="1061"/>
        <w:gridCol w:w="1066"/>
        <w:gridCol w:w="922"/>
        <w:gridCol w:w="1205"/>
        <w:gridCol w:w="1061"/>
      </w:tblGrid>
      <w:tr>
        <w:trPr>
          <w:trHeight w:val="98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股份有限公司</w:t>
            </w:r>
          </w:p>
          <w:p>
            <w:pPr>
              <w:pStyle w:val="TableParagraph"/>
              <w:spacing w:line="321" w:lineRule="auto" w:before="76"/>
              <w:ind w:left="24" w:right="80"/>
              <w:jc w:val="left"/>
              <w:rPr>
                <w:rFonts w:ascii="宋体" w:hAnsi="宋体" w:cs="宋体" w:eastAsia="宋体" w:hint="default"/>
                <w:sz w:val="18"/>
                <w:szCs w:val="18"/>
              </w:rPr>
            </w:pPr>
            <w:r>
              <w:rPr>
                <w:rFonts w:ascii="宋体" w:hAnsi="宋体" w:cs="宋体" w:eastAsia="宋体" w:hint="default"/>
                <w:spacing w:val="-2"/>
                <w:sz w:val="18"/>
                <w:szCs w:val="18"/>
              </w:rPr>
              <w:t>－第一期员工</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持股计划</w:t>
            </w:r>
          </w:p>
        </w:tc>
        <w:tc>
          <w:tcPr>
            <w:tcW w:w="1196"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14,848,123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2,092,321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13,393,592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1,454,531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7,321,860</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李智军</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11,428,515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2,035,110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11,428,515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11,415,600</w:t>
            </w:r>
          </w:p>
        </w:tc>
      </w:tr>
      <w:tr>
        <w:trPr>
          <w:trHeight w:val="102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0"/>
              <w:jc w:val="both"/>
              <w:rPr>
                <w:rFonts w:ascii="宋体" w:hAnsi="宋体" w:cs="宋体" w:eastAsia="宋体" w:hint="default"/>
                <w:sz w:val="18"/>
                <w:szCs w:val="18"/>
              </w:rPr>
            </w:pPr>
            <w:r>
              <w:rPr>
                <w:rFonts w:ascii="宋体" w:hAnsi="宋体" w:cs="宋体" w:eastAsia="宋体" w:hint="default"/>
                <w:spacing w:val="-2"/>
                <w:sz w:val="18"/>
                <w:szCs w:val="18"/>
              </w:rPr>
              <w:t>江门市科恒实</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业股份有限公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 w:right="75"/>
              <w:jc w:val="left"/>
              <w:rPr>
                <w:rFonts w:ascii="宋体" w:hAnsi="宋体" w:cs="宋体" w:eastAsia="宋体" w:hint="default"/>
                <w:sz w:val="18"/>
                <w:szCs w:val="18"/>
              </w:rPr>
            </w:pPr>
            <w:r>
              <w:rPr>
                <w:rFonts w:ascii="宋体" w:hAnsi="宋体" w:cs="宋体" w:eastAsia="宋体" w:hint="default"/>
                <w:spacing w:val="-2"/>
                <w:sz w:val="18"/>
                <w:szCs w:val="18"/>
              </w:rPr>
              <w:t>境内非国有法</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8,818,227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2,519,493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8,818,227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8,794,800</w:t>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8,332,795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1,790,798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6,869,097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1,463,698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6,587,558</w:t>
            </w:r>
          </w:p>
        </w:tc>
      </w:tr>
      <w:tr>
        <w:trPr>
          <w:trHeight w:val="1027"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战略投资者或一般法人因配售</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新股成为前</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0" w:lineRule="auto" w:before="4"/>
              <w:ind w:left="24"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pacing w:val="-5"/>
                <w:w w:val="101"/>
                <w:sz w:val="18"/>
                <w:szCs w:val="18"/>
              </w:rPr>
              <w:t>如</w:t>
            </w:r>
            <w:r>
              <w:rPr>
                <w:rFonts w:ascii="宋体" w:hAnsi="宋体" w:cs="宋体" w:eastAsia="宋体" w:hint="default"/>
                <w:w w:val="101"/>
                <w:sz w:val="18"/>
                <w:szCs w:val="18"/>
              </w:rPr>
              <w:t>有</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w:t>
            </w:r>
            <w:r>
              <w:rPr>
                <w:rFonts w:ascii="宋体" w:hAnsi="宋体" w:cs="宋体" w:eastAsia="宋体" w:hint="default"/>
                <w:w w:val="101"/>
                <w:sz w:val="18"/>
                <w:szCs w:val="18"/>
              </w:rPr>
              <w:t>参见注</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4</w:t>
            </w:r>
            <w:r>
              <w:rPr>
                <w:rFonts w:ascii="宋体" w:hAnsi="宋体" w:cs="宋体" w:eastAsia="宋体" w:hint="default"/>
                <w:w w:val="101"/>
                <w:sz w:val="18"/>
                <w:szCs w:val="18"/>
              </w:rPr>
              <w:t>）</w:t>
            </w:r>
            <w:r>
              <w:rPr>
                <w:rFonts w:ascii="宋体" w:hAnsi="宋体" w:cs="宋体" w:eastAsia="宋体" w:hint="default"/>
                <w:sz w:val="18"/>
                <w:szCs w:val="18"/>
              </w:rPr>
            </w:r>
          </w:p>
        </w:tc>
        <w:tc>
          <w:tcPr>
            <w:tcW w:w="7313" w:type="dxa"/>
            <w:gridSpan w:val="7"/>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6"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7"/>
              <w:jc w:val="left"/>
              <w:rPr>
                <w:rFonts w:ascii="宋体" w:hAnsi="宋体" w:cs="宋体" w:eastAsia="宋体" w:hint="default"/>
                <w:sz w:val="18"/>
                <w:szCs w:val="18"/>
              </w:rPr>
            </w:pPr>
            <w:r>
              <w:rPr>
                <w:rFonts w:ascii="宋体" w:hAnsi="宋体" w:cs="宋体" w:eastAsia="宋体" w:hint="default"/>
                <w:spacing w:val="-3"/>
                <w:sz w:val="18"/>
                <w:szCs w:val="18"/>
              </w:rPr>
              <w:t>上述股东关联关系或一致行动</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的说明</w:t>
            </w:r>
          </w:p>
        </w:tc>
        <w:tc>
          <w:tcPr>
            <w:tcW w:w="7313" w:type="dxa"/>
            <w:gridSpan w:val="7"/>
            <w:tcBorders>
              <w:top w:val="single" w:sz="4" w:space="0" w:color="000000"/>
              <w:left w:val="single" w:sz="10" w:space="0" w:color="D2D2D2"/>
              <w:bottom w:val="single" w:sz="4" w:space="0" w:color="000000"/>
              <w:right w:val="single" w:sz="4" w:space="0" w:color="000000"/>
            </w:tcBorders>
          </w:tcPr>
          <w:p>
            <w:pPr>
              <w:pStyle w:val="TableParagraph"/>
              <w:spacing w:line="304" w:lineRule="auto" w:before="54"/>
              <w:ind w:left="16" w:right="70"/>
              <w:jc w:val="left"/>
              <w:rPr>
                <w:rFonts w:ascii="宋体" w:hAnsi="宋体" w:cs="宋体" w:eastAsia="宋体" w:hint="default"/>
                <w:sz w:val="18"/>
                <w:szCs w:val="18"/>
              </w:rPr>
            </w:pPr>
            <w:r>
              <w:rPr>
                <w:rFonts w:ascii="宋体" w:hAnsi="宋体" w:cs="宋体" w:eastAsia="宋体" w:hint="default"/>
                <w:spacing w:val="-3"/>
                <w:sz w:val="18"/>
                <w:szCs w:val="18"/>
              </w:rPr>
              <w:t>上述股东中，控股股东刘泽刚与韦强、张仁增、何昀、高星于</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30"/>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日签订《共同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w w:val="101"/>
                <w:sz w:val="18"/>
                <w:szCs w:val="18"/>
              </w:rPr>
              <w:t>控制及一致行动协议》，属一致行动人。</w:t>
            </w:r>
            <w:r>
              <w:rPr>
                <w:rFonts w:ascii="宋体" w:hAnsi="宋体" w:cs="宋体" w:eastAsia="宋体" w:hint="default"/>
                <w:spacing w:val="-8"/>
                <w:sz w:val="18"/>
                <w:szCs w:val="18"/>
              </w:rPr>
            </w:r>
          </w:p>
        </w:tc>
      </w:tr>
      <w:tr>
        <w:trPr>
          <w:trHeight w:val="403" w:hRule="exact"/>
        </w:trPr>
        <w:tc>
          <w:tcPr>
            <w:tcW w:w="971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名无限售条件股东持股情况</w:t>
            </w:r>
          </w:p>
        </w:tc>
      </w:tr>
      <w:tr>
        <w:trPr>
          <w:trHeight w:val="206" w:hRule="exact"/>
        </w:trPr>
        <w:tc>
          <w:tcPr>
            <w:tcW w:w="239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7"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2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87" w:hRule="exact"/>
        </w:trPr>
        <w:tc>
          <w:tcPr>
            <w:tcW w:w="239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7"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166" w:right="0"/>
              <w:jc w:val="left"/>
              <w:rPr>
                <w:rFonts w:ascii="宋体" w:hAnsi="宋体" w:cs="宋体" w:eastAsia="宋体" w:hint="default"/>
                <w:sz w:val="18"/>
                <w:szCs w:val="18"/>
              </w:rPr>
            </w:pPr>
            <w:r>
              <w:rPr>
                <w:rFonts w:ascii="宋体" w:hAnsi="宋体" w:cs="宋体" w:eastAsia="宋体" w:hint="default"/>
                <w:spacing w:val="-3"/>
                <w:sz w:val="18"/>
                <w:szCs w:val="18"/>
              </w:rPr>
              <w:t>报告期末持有无限售条件股份数量</w:t>
            </w:r>
          </w:p>
        </w:tc>
        <w:tc>
          <w:tcPr>
            <w:tcW w:w="226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96" w:type="dxa"/>
            <w:gridSpan w:val="2"/>
            <w:vMerge/>
            <w:tcBorders>
              <w:left w:val="single" w:sz="4" w:space="0" w:color="000000"/>
              <w:bottom w:val="nil" w:sz="6" w:space="0" w:color="auto"/>
              <w:right w:val="single" w:sz="4" w:space="0" w:color="000000"/>
            </w:tcBorders>
            <w:shd w:val="clear" w:color="auto" w:fill="D2D2D2"/>
          </w:tcPr>
          <w:p>
            <w:pPr/>
          </w:p>
        </w:tc>
        <w:tc>
          <w:tcPr>
            <w:tcW w:w="5047" w:type="dxa"/>
            <w:gridSpan w:val="5"/>
            <w:vMerge/>
            <w:tcBorders>
              <w:left w:val="single" w:sz="4" w:space="0" w:color="000000"/>
              <w:bottom w:val="nil" w:sz="6" w:space="0" w:color="auto"/>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50"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39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7"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3"/>
                <w:sz w:val="18"/>
                <w:szCs w:val="18"/>
              </w:rPr>
              <w:t>第一期员工持股计划</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23,482,534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23,482,534</w:t>
            </w:r>
          </w:p>
        </w:tc>
      </w:tr>
      <w:tr>
        <w:trPr>
          <w:trHeight w:val="403"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21,637,858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21,637,858</w:t>
            </w:r>
          </w:p>
        </w:tc>
      </w:tr>
      <w:tr>
        <w:trPr>
          <w:trHeight w:val="398"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李智军</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11,428,515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11,428,515</w:t>
            </w:r>
          </w:p>
        </w:tc>
      </w:tr>
      <w:tr>
        <w:trPr>
          <w:trHeight w:val="404"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8,910,885</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8,910,885</w:t>
            </w:r>
          </w:p>
        </w:tc>
      </w:tr>
      <w:tr>
        <w:trPr>
          <w:trHeight w:val="403"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江门市科恒实业股份有限公司</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8,818,227</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8,818,227</w:t>
            </w:r>
          </w:p>
        </w:tc>
      </w:tr>
      <w:tr>
        <w:trPr>
          <w:trHeight w:val="403"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高维</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6,782,300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6,782,300</w:t>
            </w:r>
          </w:p>
        </w:tc>
      </w:tr>
      <w:tr>
        <w:trPr>
          <w:trHeight w:val="398"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琚存旭</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6,675,413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6,675,413</w:t>
            </w:r>
          </w:p>
        </w:tc>
      </w:tr>
      <w:tr>
        <w:trPr>
          <w:trHeight w:val="404"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张建仙</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5,662,948</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5,662,948</w:t>
            </w:r>
          </w:p>
        </w:tc>
      </w:tr>
      <w:tr>
        <w:trPr>
          <w:trHeight w:val="715"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长沙臻泰新能源投资企业（有</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限合伙）</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5,635,294</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5,635,294</w:t>
            </w:r>
          </w:p>
        </w:tc>
      </w:tr>
      <w:tr>
        <w:trPr>
          <w:trHeight w:val="403" w:hRule="exact"/>
        </w:trPr>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504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5,384,021</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5,384,021</w:t>
            </w:r>
          </w:p>
        </w:tc>
      </w:tr>
      <w:tr>
        <w:trPr>
          <w:trHeight w:val="1335"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名无限售流通股股东之</w:t>
            </w:r>
          </w:p>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w w:val="101"/>
                <w:sz w:val="18"/>
                <w:szCs w:val="18"/>
              </w:rPr>
              <w:t>间</w:t>
            </w:r>
            <w:r>
              <w:rPr>
                <w:rFonts w:ascii="宋体" w:hAnsi="宋体" w:cs="宋体" w:eastAsia="宋体" w:hint="default"/>
                <w:spacing w:val="-92"/>
                <w:w w:val="101"/>
                <w:sz w:val="18"/>
                <w:szCs w:val="18"/>
              </w:rPr>
              <w:t>，</w:t>
            </w:r>
            <w:r>
              <w:rPr>
                <w:rFonts w:ascii="宋体" w:hAnsi="宋体" w:cs="宋体" w:eastAsia="宋体" w:hint="default"/>
                <w:spacing w:val="-5"/>
                <w:w w:val="101"/>
                <w:sz w:val="18"/>
                <w:szCs w:val="18"/>
              </w:rPr>
              <w:t>以</w:t>
            </w:r>
            <w:r>
              <w:rPr>
                <w:rFonts w:ascii="宋体" w:hAnsi="宋体" w:cs="宋体" w:eastAsia="宋体" w:hint="default"/>
                <w:w w:val="101"/>
                <w:sz w:val="18"/>
                <w:szCs w:val="18"/>
              </w:rPr>
              <w:t>及前</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5"/>
                <w:w w:val="101"/>
                <w:sz w:val="18"/>
                <w:szCs w:val="18"/>
              </w:rPr>
              <w:t>名</w:t>
            </w:r>
            <w:r>
              <w:rPr>
                <w:rFonts w:ascii="宋体" w:hAnsi="宋体" w:cs="宋体" w:eastAsia="宋体" w:hint="default"/>
                <w:w w:val="101"/>
                <w:sz w:val="18"/>
                <w:szCs w:val="18"/>
              </w:rPr>
              <w:t>无</w:t>
            </w:r>
            <w:r>
              <w:rPr>
                <w:rFonts w:ascii="宋体" w:hAnsi="宋体" w:cs="宋体" w:eastAsia="宋体" w:hint="default"/>
                <w:spacing w:val="-5"/>
                <w:w w:val="101"/>
                <w:sz w:val="18"/>
                <w:szCs w:val="18"/>
              </w:rPr>
              <w:t>限</w:t>
            </w:r>
            <w:r>
              <w:rPr>
                <w:rFonts w:ascii="宋体" w:hAnsi="宋体" w:cs="宋体" w:eastAsia="宋体" w:hint="default"/>
                <w:w w:val="101"/>
                <w:sz w:val="18"/>
                <w:szCs w:val="18"/>
              </w:rPr>
              <w:t>售</w:t>
            </w:r>
            <w:r>
              <w:rPr>
                <w:rFonts w:ascii="宋体" w:hAnsi="宋体" w:cs="宋体" w:eastAsia="宋体" w:hint="default"/>
                <w:spacing w:val="-5"/>
                <w:w w:val="101"/>
                <w:sz w:val="18"/>
                <w:szCs w:val="18"/>
              </w:rPr>
              <w:t>流</w:t>
            </w:r>
            <w:r>
              <w:rPr>
                <w:rFonts w:ascii="宋体" w:hAnsi="宋体" w:cs="宋体" w:eastAsia="宋体" w:hint="default"/>
                <w:w w:val="101"/>
                <w:sz w:val="18"/>
                <w:szCs w:val="18"/>
              </w:rPr>
              <w:t>通股</w:t>
            </w:r>
            <w:r>
              <w:rPr>
                <w:rFonts w:ascii="宋体" w:hAnsi="宋体" w:cs="宋体" w:eastAsia="宋体" w:hint="default"/>
                <w:sz w:val="18"/>
                <w:szCs w:val="18"/>
              </w:rPr>
            </w:r>
          </w:p>
          <w:p>
            <w:pPr>
              <w:pStyle w:val="TableParagraph"/>
              <w:spacing w:line="304" w:lineRule="auto" w:before="63"/>
              <w:ind w:left="24" w:right="103"/>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名股东之间关联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关系或一致行动的说明</w:t>
            </w:r>
          </w:p>
        </w:tc>
        <w:tc>
          <w:tcPr>
            <w:tcW w:w="73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、公司前十大股东中控股股东刘泽刚与韦强、张仁增、何昀和高星为一致行动人；</w:t>
            </w:r>
          </w:p>
          <w:p>
            <w:pPr>
              <w:pStyle w:val="TableParagraph"/>
              <w:spacing w:line="240" w:lineRule="auto" w:before="10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、公司无法确定前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7"/>
                <w:sz w:val="18"/>
                <w:szCs w:val="18"/>
              </w:rPr>
              <w:t> </w:t>
            </w:r>
            <w:r>
              <w:rPr>
                <w:rFonts w:ascii="宋体" w:hAnsi="宋体" w:cs="宋体" w:eastAsia="宋体" w:hint="default"/>
                <w:spacing w:val="-3"/>
                <w:sz w:val="18"/>
                <w:szCs w:val="18"/>
              </w:rPr>
              <w:t>名无限售流通股的其他股东是否存在关联关系。</w:t>
            </w:r>
          </w:p>
        </w:tc>
      </w:tr>
      <w:tr>
        <w:trPr>
          <w:trHeight w:val="716" w:hRule="exact"/>
        </w:trPr>
        <w:tc>
          <w:tcPr>
            <w:tcW w:w="23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3"/>
                <w:sz w:val="18"/>
                <w:szCs w:val="18"/>
              </w:rPr>
              <w:t>参与融资融券业务股东情况说</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12"/>
                <w:w w:val="101"/>
                <w:sz w:val="18"/>
                <w:szCs w:val="18"/>
              </w:rPr>
              <w:t>明（如有）（参见注</w:t>
            </w:r>
            <w:r>
              <w:rPr>
                <w:rFonts w:ascii="宋体" w:hAnsi="宋体" w:cs="宋体" w:eastAsia="宋体" w:hint="default"/>
                <w:spacing w:val="-46"/>
                <w:w w:val="101"/>
                <w:sz w:val="18"/>
                <w:szCs w:val="18"/>
              </w:rPr>
              <w:t> </w:t>
            </w:r>
            <w:r>
              <w:rPr>
                <w:rFonts w:ascii="Times New Roman" w:hAnsi="Times New Roman" w:cs="Times New Roman" w:eastAsia="Times New Roman" w:hint="default"/>
                <w:spacing w:val="-3"/>
                <w:w w:val="101"/>
                <w:sz w:val="18"/>
                <w:szCs w:val="18"/>
              </w:rPr>
              <w:t>5</w:t>
            </w:r>
            <w:r>
              <w:rPr>
                <w:rFonts w:ascii="宋体" w:hAnsi="宋体" w:cs="宋体" w:eastAsia="宋体" w:hint="default"/>
                <w:spacing w:val="-3"/>
                <w:w w:val="101"/>
                <w:sz w:val="18"/>
                <w:szCs w:val="18"/>
              </w:rPr>
              <w:t>）</w:t>
            </w:r>
            <w:r>
              <w:rPr>
                <w:rFonts w:ascii="宋体" w:hAnsi="宋体" w:cs="宋体" w:eastAsia="宋体" w:hint="default"/>
                <w:spacing w:val="-3"/>
                <w:sz w:val="18"/>
                <w:szCs w:val="18"/>
              </w:rPr>
            </w:r>
          </w:p>
        </w:tc>
        <w:tc>
          <w:tcPr>
            <w:tcW w:w="7313"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3"/>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名无限售条件普通股股东在报告期内是否进行约定购回交易</w:t>
      </w:r>
    </w:p>
    <w:p>
      <w:pPr>
        <w:pStyle w:val="BodyText"/>
        <w:spacing w:line="240" w:lineRule="auto" w:before="10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 </w:t>
      </w:r>
      <w:r>
        <w:rPr>
          <w:rFonts w:ascii="Times New Roman" w:hAnsi="Times New Roman" w:cs="Times New Roman" w:eastAsia="Times New Roman" w:hint="default"/>
        </w:rPr>
        <w:t>10 </w:t>
      </w:r>
      <w:r>
        <w:rPr/>
        <w:t>名普通股股东、前 </w:t>
      </w:r>
      <w:r>
        <w:rPr>
          <w:rFonts w:ascii="Times New Roman" w:hAnsi="Times New Roman" w:cs="Times New Roman" w:eastAsia="Times New Roman" w:hint="default"/>
        </w:rPr>
        <w:t>10</w:t>
      </w:r>
      <w:r>
        <w:rPr>
          <w:rFonts w:ascii="Times New Roman" w:hAnsi="Times New Roman" w:cs="Times New Roman" w:eastAsia="Times New Roman" w:hint="default"/>
          <w:spacing w:val="-17"/>
        </w:rPr>
        <w:t> </w:t>
      </w:r>
      <w:r>
        <w:rPr>
          <w:spacing w:val="-3"/>
        </w:rPr>
        <w:t>名无限售条件普通股股东在报告期内未进行约定购回交易。</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684"/>
        <w:jc w:val="left"/>
      </w:pPr>
      <w:r>
        <w:rPr>
          <w:spacing w:val="-3"/>
        </w:rPr>
        <w:t>控股股东性质：自然人控股</w:t>
      </w:r>
      <w:r>
        <w:rPr>
          <w:spacing w:val="-51"/>
        </w:rPr>
        <w:t> </w:t>
      </w:r>
      <w:r>
        <w:rPr>
          <w:spacing w:val="-51"/>
        </w:rPr>
      </w:r>
      <w:r>
        <w:rPr/>
        <w:t>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20"/>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97" w:right="0"/>
              <w:jc w:val="left"/>
              <w:rPr>
                <w:rFonts w:ascii="宋体" w:hAnsi="宋体" w:cs="宋体" w:eastAsia="宋体" w:hint="default"/>
                <w:sz w:val="18"/>
                <w:szCs w:val="18"/>
              </w:rPr>
            </w:pPr>
            <w:r>
              <w:rPr>
                <w:rFonts w:ascii="宋体" w:hAnsi="宋体" w:cs="宋体" w:eastAsia="宋体" w:hint="default"/>
                <w:spacing w:val="-3"/>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6"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4"/>
              <w:jc w:val="left"/>
              <w:rPr>
                <w:rFonts w:ascii="宋体" w:hAnsi="宋体" w:cs="宋体" w:eastAsia="宋体" w:hint="default"/>
                <w:sz w:val="18"/>
                <w:szCs w:val="18"/>
              </w:rPr>
            </w:pPr>
            <w:r>
              <w:rPr>
                <w:rFonts w:ascii="宋体" w:hAnsi="宋体" w:cs="宋体" w:eastAsia="宋体" w:hint="default"/>
                <w:spacing w:val="-3"/>
                <w:sz w:val="18"/>
                <w:szCs w:val="18"/>
              </w:rPr>
              <w:t>刘泽刚先生为公司创始人，自公司设立以来，刘泽刚一直担任本公司董事长，</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月兼任公司总经理。</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8"/>
              <w:jc w:val="left"/>
              <w:rPr>
                <w:rFonts w:ascii="宋体" w:hAnsi="宋体" w:cs="宋体" w:eastAsia="宋体" w:hint="default"/>
                <w:sz w:val="18"/>
                <w:szCs w:val="18"/>
              </w:rPr>
            </w:pPr>
            <w:r>
              <w:rPr>
                <w:rFonts w:ascii="宋体" w:hAnsi="宋体" w:cs="宋体" w:eastAsia="宋体" w:hint="default"/>
                <w:spacing w:val="-3"/>
                <w:sz w:val="18"/>
                <w:szCs w:val="18"/>
              </w:rPr>
              <w:t>报告期内控股和参股的其他境内外上市公</w:t>
            </w:r>
            <w:r>
              <w:rPr>
                <w:rFonts w:ascii="宋体" w:hAnsi="宋体" w:cs="宋体" w:eastAsia="宋体" w:hint="default"/>
                <w:spacing w:val="-33"/>
                <w:sz w:val="18"/>
                <w:szCs w:val="18"/>
              </w:rPr>
              <w:t> </w:t>
            </w:r>
            <w:r>
              <w:rPr>
                <w:rFonts w:ascii="宋体" w:hAnsi="宋体" w:cs="宋体" w:eastAsia="宋体" w:hint="default"/>
                <w:spacing w:val="-33"/>
                <w:sz w:val="18"/>
                <w:szCs w:val="18"/>
              </w:rPr>
            </w:r>
            <w:r>
              <w:rPr>
                <w:rFonts w:ascii="宋体" w:hAnsi="宋体" w:cs="宋体" w:eastAsia="宋体" w:hint="default"/>
                <w:sz w:val="18"/>
                <w:szCs w:val="18"/>
              </w:rPr>
              <w:t>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67"/>
        <w:ind w:right="0"/>
        <w:jc w:val="left"/>
      </w:pPr>
      <w:r>
        <w:rPr/>
        <w:t>控股股东报告期内变更</w:t>
      </w:r>
    </w:p>
    <w:p>
      <w:pPr>
        <w:pStyle w:val="BodyText"/>
        <w:spacing w:line="343" w:lineRule="auto" w:before="115"/>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公司报告期控股股东未发生变更。</w:t>
      </w:r>
    </w:p>
    <w:p>
      <w:pPr>
        <w:spacing w:line="240" w:lineRule="auto" w:before="5"/>
        <w:rPr>
          <w:rFonts w:ascii="宋体" w:hAnsi="宋体" w:cs="宋体" w:eastAsia="宋体" w:hint="default"/>
          <w:sz w:val="20"/>
          <w:szCs w:val="20"/>
        </w:rPr>
      </w:pPr>
    </w:p>
    <w:p>
      <w:pPr>
        <w:pStyle w:val="Heading3"/>
        <w:spacing w:line="240" w:lineRule="auto"/>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7"/>
          <w:szCs w:val="27"/>
        </w:rPr>
      </w:pPr>
    </w:p>
    <w:p>
      <w:pPr>
        <w:pStyle w:val="BodyText"/>
        <w:spacing w:line="357" w:lineRule="auto"/>
        <w:ind w:right="7684"/>
        <w:jc w:val="left"/>
      </w:pPr>
      <w:r>
        <w:rPr>
          <w:spacing w:val="-3"/>
        </w:rPr>
        <w:t>实际控制人性质：境内自然人</w:t>
      </w:r>
      <w:r>
        <w:rPr>
          <w:spacing w:val="-50"/>
        </w:rPr>
        <w:t> </w:t>
      </w:r>
      <w:r>
        <w:rPr>
          <w:spacing w:val="-50"/>
        </w:rPr>
      </w:r>
      <w:r>
        <w:rPr>
          <w:spacing w:val="-3"/>
        </w:rPr>
        <w:t>实际控制人类型：自然人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7"/>
          <w:szCs w:val="17"/>
        </w:rPr>
      </w:pPr>
    </w:p>
    <w:p>
      <w:pPr>
        <w:pStyle w:val="BodyText"/>
        <w:spacing w:line="240" w:lineRule="auto"/>
        <w:ind w:left="0" w:right="1342"/>
        <w:jc w:val="right"/>
      </w:pPr>
      <w:r>
        <w:rPr/>
        <w:pict>
          <v:shape style="position:absolute;margin-left:56.424pt;margin-top:-272.158264pt;width:468.65pt;height:341.05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0"/>
                    <w:gridCol w:w="3563"/>
                    <w:gridCol w:w="1844"/>
                    <w:gridCol w:w="2252"/>
                  </w:tblGrid>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实际控制人姓名</w:t>
                        </w:r>
                      </w:p>
                    </w:tc>
                    <w:tc>
                      <w:tcPr>
                        <w:tcW w:w="3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2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3" w:right="18"/>
                          <w:jc w:val="left"/>
                          <w:rPr>
                            <w:rFonts w:ascii="宋体" w:hAnsi="宋体" w:cs="宋体" w:eastAsia="宋体" w:hint="default"/>
                            <w:sz w:val="18"/>
                            <w:szCs w:val="18"/>
                          </w:rPr>
                        </w:pPr>
                        <w:r>
                          <w:rPr>
                            <w:rFonts w:ascii="宋体" w:hAnsi="宋体" w:cs="宋体" w:eastAsia="宋体" w:hint="default"/>
                            <w:sz w:val="18"/>
                            <w:szCs w:val="18"/>
                          </w:rPr>
                          <w:t>是否取得其他国家或地区居</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留权</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一致行动（含协议、亲属、同一控制）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9"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一致行动（含协议、亲属、同一控制）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一致行动（含协议、亲属、同一控制）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3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一致行动（含协议、亲属、同一控制）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2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371" w:hRule="exact"/>
                    </w:trPr>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主要职业及职务</w:t>
                        </w:r>
                      </w:p>
                    </w:tc>
                    <w:tc>
                      <w:tcPr>
                        <w:tcW w:w="76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刘泽刚先生为公司创始人之一，自公司设立以来一直担任本公司董事长，</w:t>
                        </w:r>
                        <w:r>
                          <w:rPr>
                            <w:rFonts w:ascii="Times New Roman" w:hAnsi="Times New Roman" w:cs="Times New Roman" w:eastAsia="Times New Roman" w:hint="default"/>
                            <w:spacing w:val="-5"/>
                            <w:sz w:val="18"/>
                            <w:szCs w:val="18"/>
                          </w:rPr>
                          <w:t>1997  </w:t>
                        </w:r>
                        <w:r>
                          <w:rPr>
                            <w:rFonts w:ascii="宋体" w:hAnsi="宋体" w:cs="宋体" w:eastAsia="宋体" w:hint="default"/>
                            <w:sz w:val="18"/>
                            <w:szCs w:val="18"/>
                          </w:rPr>
                          <w:t>月 </w:t>
                        </w:r>
                        <w:r>
                          <w:rPr>
                            <w:rFonts w:ascii="Times New Roman" w:hAnsi="Times New Roman" w:cs="Times New Roman" w:eastAsia="Times New Roman" w:hint="default"/>
                            <w:sz w:val="18"/>
                            <w:szCs w:val="18"/>
                          </w:rPr>
                          <w:t>4 </w:t>
                        </w:r>
                        <w:r>
                          <w:rPr>
                            <w:rFonts w:ascii="宋体" w:hAnsi="宋体" w:cs="宋体" w:eastAsia="宋体" w:hint="default"/>
                            <w:sz w:val="18"/>
                            <w:szCs w:val="18"/>
                          </w:rPr>
                          <w:t>月至</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2016</w:t>
                        </w:r>
                      </w:p>
                      <w:p>
                        <w:pPr>
                          <w:pStyle w:val="TableParagraph"/>
                          <w:spacing w:line="304" w:lineRule="auto" w:before="58"/>
                          <w:ind w:left="24" w:right="23"/>
                          <w:jc w:val="left"/>
                          <w:rPr>
                            <w:rFonts w:ascii="宋体" w:hAnsi="宋体" w:cs="宋体" w:eastAsia="宋体" w:hint="default"/>
                            <w:sz w:val="18"/>
                            <w:szCs w:val="18"/>
                          </w:rPr>
                        </w:pPr>
                        <w:r>
                          <w:rPr>
                            <w:rFonts w:ascii="宋体" w:hAnsi="宋体" w:cs="宋体" w:eastAsia="宋体" w:hint="default"/>
                            <w:sz w:val="18"/>
                            <w:szCs w:val="18"/>
                          </w:rPr>
                          <w:t>年 </w:t>
                        </w:r>
                        <w:r>
                          <w:rPr>
                            <w:rFonts w:ascii="Times New Roman" w:hAnsi="Times New Roman" w:cs="Times New Roman" w:eastAsia="Times New Roman" w:hint="default"/>
                            <w:sz w:val="18"/>
                            <w:szCs w:val="18"/>
                          </w:rPr>
                          <w:t>8 </w:t>
                        </w:r>
                        <w:r>
                          <w:rPr>
                            <w:rFonts w:ascii="宋体" w:hAnsi="宋体" w:cs="宋体" w:eastAsia="宋体" w:hint="default"/>
                            <w:spacing w:val="-3"/>
                            <w:sz w:val="18"/>
                            <w:szCs w:val="18"/>
                          </w:rPr>
                          <w:t>月兼任公司总经理。现任公司董事长，目前还担任北京中关村民营科技实业家协会副会长、</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中关村高新技术企业协会副会长及民建中央十一届能源与资源环境委员会副主任；</w:t>
                        </w:r>
                      </w:p>
                      <w:p>
                        <w:pPr>
                          <w:pStyle w:val="TableParagraph"/>
                          <w:spacing w:line="240" w:lineRule="auto" w:before="71"/>
                          <w:ind w:left="422" w:right="0"/>
                          <w:jc w:val="left"/>
                          <w:rPr>
                            <w:rFonts w:ascii="宋体" w:hAnsi="宋体" w:cs="宋体" w:eastAsia="宋体" w:hint="default"/>
                            <w:sz w:val="18"/>
                            <w:szCs w:val="18"/>
                          </w:rPr>
                        </w:pPr>
                        <w:r>
                          <w:rPr>
                            <w:rFonts w:ascii="宋体" w:hAnsi="宋体" w:cs="宋体" w:eastAsia="宋体" w:hint="default"/>
                            <w:spacing w:val="-3"/>
                            <w:sz w:val="18"/>
                            <w:szCs w:val="18"/>
                          </w:rPr>
                          <w:t>韦强先生为公司创始人之一，现任公司董事、总经理；</w:t>
                        </w:r>
                      </w:p>
                      <w:p>
                        <w:pPr>
                          <w:pStyle w:val="TableParagraph"/>
                          <w:spacing w:line="304" w:lineRule="auto" w:before="110"/>
                          <w:ind w:left="24" w:right="18" w:firstLine="398"/>
                          <w:jc w:val="left"/>
                          <w:rPr>
                            <w:rFonts w:ascii="宋体" w:hAnsi="宋体" w:cs="宋体" w:eastAsia="宋体" w:hint="default"/>
                            <w:sz w:val="18"/>
                            <w:szCs w:val="18"/>
                          </w:rPr>
                        </w:pPr>
                        <w:r>
                          <w:rPr>
                            <w:rFonts w:ascii="宋体" w:hAnsi="宋体" w:cs="宋体" w:eastAsia="宋体" w:hint="default"/>
                            <w:sz w:val="18"/>
                            <w:szCs w:val="18"/>
                          </w:rPr>
                          <w:t>张仁增先生 </w:t>
                        </w:r>
                        <w:r>
                          <w:rPr>
                            <w:rFonts w:ascii="Times New Roman" w:hAnsi="Times New Roman" w:cs="Times New Roman" w:eastAsia="Times New Roman" w:hint="default"/>
                            <w:sz w:val="18"/>
                            <w:szCs w:val="18"/>
                          </w:rPr>
                          <w:t>1998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月至今担任公司董事，历任项目经理、总裁办主任，现分管行政后勤</w:t>
                        </w:r>
                        <w:r>
                          <w:rPr>
                            <w:rFonts w:ascii="宋体" w:hAnsi="宋体" w:cs="宋体" w:eastAsia="宋体" w:hint="default"/>
                            <w:w w:val="101"/>
                            <w:sz w:val="18"/>
                            <w:szCs w:val="18"/>
                          </w:rPr>
                          <w:t> </w:t>
                        </w:r>
                        <w:r>
                          <w:rPr>
                            <w:rFonts w:ascii="宋体" w:hAnsi="宋体" w:cs="宋体" w:eastAsia="宋体" w:hint="default"/>
                            <w:sz w:val="18"/>
                            <w:szCs w:val="18"/>
                          </w:rPr>
                          <w:t>中心；</w:t>
                        </w:r>
                      </w:p>
                      <w:p>
                        <w:pPr>
                          <w:pStyle w:val="TableParagraph"/>
                          <w:spacing w:line="240" w:lineRule="auto" w:before="62"/>
                          <w:ind w:left="4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何昀先生</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6"/>
                            <w:sz w:val="18"/>
                            <w:szCs w:val="18"/>
                          </w:rPr>
                          <w:t>月，何昀先生在本公司担任华北大区销售经理；</w:t>
                        </w:r>
                        <w:r>
                          <w:rPr>
                            <w:rFonts w:ascii="Times New Roman" w:hAnsi="Times New Roman" w:cs="Times New Roman" w:eastAsia="Times New Roman" w:hint="default"/>
                            <w:spacing w:val="-6"/>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pacing w:val="-3"/>
                            <w:sz w:val="18"/>
                            <w:szCs w:val="18"/>
                          </w:rPr>
                          <w:t>月至今，担任本公司董事、营销总部销售总监；</w:t>
                        </w:r>
                      </w:p>
                      <w:p>
                        <w:pPr>
                          <w:pStyle w:val="TableParagraph"/>
                          <w:spacing w:line="304" w:lineRule="auto" w:before="115"/>
                          <w:ind w:left="24" w:right="108" w:firstLine="398"/>
                          <w:jc w:val="left"/>
                          <w:rPr>
                            <w:rFonts w:ascii="宋体" w:hAnsi="宋体" w:cs="宋体" w:eastAsia="宋体" w:hint="default"/>
                            <w:sz w:val="18"/>
                            <w:szCs w:val="18"/>
                          </w:rPr>
                        </w:pPr>
                        <w:r>
                          <w:rPr>
                            <w:rFonts w:ascii="宋体" w:hAnsi="宋体" w:cs="宋体" w:eastAsia="宋体" w:hint="default"/>
                            <w:sz w:val="18"/>
                            <w:szCs w:val="18"/>
                          </w:rPr>
                          <w:t>高星女士</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pacing w:val="-5"/>
                            <w:sz w:val="18"/>
                            <w:szCs w:val="18"/>
                          </w:rPr>
                          <w:t>月，高星女士任本公司销售中心经理；</w:t>
                        </w:r>
                        <w:r>
                          <w:rPr>
                            <w:rFonts w:ascii="Times New Roman" w:hAnsi="Times New Roman" w:cs="Times New Roman" w:eastAsia="Times New Roman" w:hint="default"/>
                            <w:spacing w:val="-5"/>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月至今</w:t>
                        </w:r>
                        <w:r>
                          <w:rPr>
                            <w:rFonts w:ascii="宋体" w:hAnsi="宋体" w:cs="宋体" w:eastAsia="宋体" w:hint="default"/>
                            <w:w w:val="101"/>
                            <w:sz w:val="18"/>
                            <w:szCs w:val="18"/>
                          </w:rPr>
                          <w:t> </w:t>
                        </w:r>
                        <w:r>
                          <w:rPr>
                            <w:rFonts w:ascii="宋体" w:hAnsi="宋体" w:cs="宋体" w:eastAsia="宋体" w:hint="default"/>
                            <w:spacing w:val="-3"/>
                            <w:sz w:val="18"/>
                            <w:szCs w:val="18"/>
                          </w:rPr>
                          <w:t>担任公司董事，历任人力资源部经理，现任总经理助理。</w:t>
                        </w:r>
                      </w:p>
                    </w:tc>
                  </w:tr>
                  <w:tr>
                    <w:trPr>
                      <w:trHeight w:val="716" w:hRule="exact"/>
                    </w:trPr>
                    <w:tc>
                      <w:tcPr>
                        <w:tcW w:w="17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3"/>
                          <w:ind w:left="24" w:right="12"/>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年曾控股的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境内外上市公司情况</w:t>
                        </w:r>
                      </w:p>
                    </w:tc>
                    <w:tc>
                      <w:tcPr>
                        <w:tcW w:w="765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
              </w:txbxContent>
            </v:textbox>
            <w10:wrap type="none"/>
          </v:shape>
        </w:pict>
      </w:r>
      <w:r>
        <w:rPr>
          <w:w w:val="101"/>
        </w:rPr>
        <w:t>，</w:t>
      </w:r>
      <w:r>
        <w:rPr/>
      </w:r>
    </w:p>
    <w:p>
      <w:pPr>
        <w:spacing w:after="0" w:line="240" w:lineRule="auto"/>
        <w:jc w:val="right"/>
        <w:sectPr>
          <w:pgSz w:w="11910" w:h="16840"/>
          <w:pgMar w:header="871" w:footer="979" w:top="1100" w:bottom="1160" w:left="980" w:right="0"/>
        </w:sectPr>
      </w:pPr>
    </w:p>
    <w:p>
      <w:pPr>
        <w:spacing w:line="240" w:lineRule="auto" w:before="2"/>
        <w:rPr>
          <w:rFonts w:ascii="宋体" w:hAnsi="宋体" w:cs="宋体" w:eastAsia="宋体" w:hint="default"/>
          <w:sz w:val="25"/>
          <w:szCs w:val="25"/>
        </w:rPr>
      </w:pPr>
    </w:p>
    <w:p>
      <w:pPr>
        <w:pStyle w:val="BodyText"/>
        <w:spacing w:line="240" w:lineRule="auto" w:before="46"/>
        <w:ind w:right="0"/>
        <w:jc w:val="left"/>
      </w:pPr>
      <w:r>
        <w:rPr>
          <w:spacing w:val="-3"/>
        </w:rPr>
        <w:t>实际控制人报告期内变更</w:t>
      </w:r>
    </w:p>
    <w:p>
      <w:pPr>
        <w:pStyle w:val="BodyText"/>
        <w:spacing w:line="348" w:lineRule="auto" w:before="119"/>
        <w:ind w:right="668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公司报告期实际控制人未发生变更。</w:t>
      </w:r>
      <w:r>
        <w:rPr>
          <w:spacing w:val="-39"/>
        </w:rPr>
        <w:t> </w:t>
      </w:r>
      <w:r>
        <w:rPr>
          <w:spacing w:val="-39"/>
        </w:rPr>
      </w:r>
      <w:r>
        <w:rPr>
          <w:spacing w:val="-3"/>
        </w:rPr>
        <w:t>公司与实际控制人之间的产权及控制关系的方框图</w:t>
      </w:r>
    </w:p>
    <w:p>
      <w:pPr>
        <w:spacing w:line="240" w:lineRule="auto" w:before="11"/>
        <w:rPr>
          <w:rFonts w:ascii="宋体" w:hAnsi="宋体" w:cs="宋体" w:eastAsia="宋体" w:hint="default"/>
          <w:sz w:val="17"/>
          <w:szCs w:val="17"/>
        </w:rPr>
      </w:pPr>
    </w:p>
    <w:p>
      <w:pPr>
        <w:spacing w:line="3948" w:lineRule="exact"/>
        <w:ind w:left="1756" w:right="0" w:firstLine="0"/>
        <w:rPr>
          <w:rFonts w:ascii="宋体" w:hAnsi="宋体" w:cs="宋体" w:eastAsia="宋体" w:hint="default"/>
          <w:sz w:val="20"/>
          <w:szCs w:val="20"/>
        </w:rPr>
      </w:pPr>
      <w:r>
        <w:rPr>
          <w:rFonts w:ascii="宋体" w:hAnsi="宋体" w:cs="宋体" w:eastAsia="宋体" w:hint="default"/>
          <w:position w:val="-78"/>
          <w:sz w:val="20"/>
          <w:szCs w:val="20"/>
        </w:rPr>
        <w:drawing>
          <wp:inline distT="0" distB="0" distL="0" distR="0">
            <wp:extent cx="3720557" cy="250745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3720557" cy="2507456"/>
                    </a:xfrm>
                    <a:prstGeom prst="rect">
                      <a:avLst/>
                    </a:prstGeom>
                  </pic:spPr>
                </pic:pic>
              </a:graphicData>
            </a:graphic>
          </wp:inline>
        </w:drawing>
      </w:r>
      <w:r>
        <w:rPr>
          <w:rFonts w:ascii="宋体" w:hAnsi="宋体" w:cs="宋体" w:eastAsia="宋体" w:hint="default"/>
          <w:position w:val="-78"/>
          <w:sz w:val="20"/>
          <w:szCs w:val="20"/>
        </w:rPr>
      </w:r>
    </w:p>
    <w:p>
      <w:pPr>
        <w:spacing w:line="240" w:lineRule="auto" w:before="12"/>
        <w:rPr>
          <w:rFonts w:ascii="宋体" w:hAnsi="宋体" w:cs="宋体" w:eastAsia="宋体" w:hint="default"/>
          <w:sz w:val="20"/>
          <w:szCs w:val="20"/>
        </w:rPr>
      </w:pPr>
    </w:p>
    <w:p>
      <w:pPr>
        <w:pStyle w:val="BodyText"/>
        <w:spacing w:line="240" w:lineRule="auto"/>
        <w:ind w:right="0"/>
        <w:jc w:val="left"/>
      </w:pPr>
      <w:r>
        <w:rPr>
          <w:spacing w:val="-3"/>
        </w:rPr>
        <w:t>实际控制人通过信托或其他资产管理方式控制公司</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1"/>
        </w:rPr>
        <w:t> </w:t>
      </w:r>
      <w:r>
        <w:rPr>
          <w:rFonts w:ascii="Times New Roman" w:hAnsi="Times New Roman" w:cs="Times New Roman" w:eastAsia="Times New Roman" w:hint="default"/>
        </w:rPr>
        <w:t>10%</w:t>
      </w:r>
      <w:r>
        <w:rPr/>
        <w:t>以上的法人股东</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365" w:right="0"/>
        <w:jc w:val="left"/>
        <w:rPr>
          <w:b w:val="0"/>
          <w:bCs w:val="0"/>
        </w:rPr>
      </w:pPr>
      <w:bookmarkStart w:name="_TOC_250006" w:id="118"/>
      <w:bookmarkStart w:name="第七节优先股相关情况" w:id="119"/>
      <w:r>
        <w:rPr>
          <w:b w:val="0"/>
          <w:bCs w:val="0"/>
        </w:rPr>
      </w:r>
      <w:r>
        <w:rPr/>
        <w:t>第七节优先股相关情况</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6"/>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报告期公司不存在优先股。</w:t>
      </w:r>
    </w:p>
    <w:p>
      <w:pPr>
        <w:spacing w:after="0" w:line="338" w:lineRule="auto"/>
        <w:jc w:val="left"/>
        <w:sectPr>
          <w:headerReference w:type="default" r:id="rId16"/>
          <w:footerReference w:type="default" r:id="rId17"/>
          <w:pgSz w:w="11910" w:h="16840"/>
          <w:pgMar w:header="871" w:footer="979" w:top="1100" w:bottom="1160" w:left="980" w:right="0"/>
          <w:pgNumType w:start="49"/>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2722" w:right="0"/>
        <w:jc w:val="left"/>
        <w:rPr>
          <w:b w:val="0"/>
          <w:bCs w:val="0"/>
        </w:rPr>
      </w:pPr>
      <w:bookmarkStart w:name="_TOC_250005" w:id="120"/>
      <w:bookmarkStart w:name="第八节可转换公司债券相关情况" w:id="121"/>
      <w:r>
        <w:rPr>
          <w:b w:val="0"/>
          <w:bCs w:val="0"/>
        </w:rPr>
      </w:r>
      <w:r>
        <w:rPr/>
        <w:t>第八节可转换公司债券相关情况</w:t>
      </w:r>
      <w:bookmarkEnd w:id="120"/>
      <w:r>
        <w:rPr>
          <w:b w:val="0"/>
          <w:bCs w:val="0"/>
        </w:rPr>
      </w:r>
    </w:p>
    <w:p>
      <w:pPr>
        <w:spacing w:line="240" w:lineRule="auto" w:before="12"/>
        <w:rPr>
          <w:rFonts w:ascii="宋体" w:hAnsi="宋体" w:cs="宋体" w:eastAsia="宋体" w:hint="default"/>
          <w:b/>
          <w:bCs/>
          <w:sz w:val="42"/>
          <w:szCs w:val="42"/>
        </w:rPr>
      </w:pPr>
    </w:p>
    <w:p>
      <w:pPr>
        <w:pStyle w:val="BodyText"/>
        <w:spacing w:line="338" w:lineRule="auto"/>
        <w:ind w:right="7684"/>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报告期公司不存在可转换公司债券。</w:t>
      </w:r>
    </w:p>
    <w:p>
      <w:pPr>
        <w:spacing w:after="0" w:line="338"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1757" w:right="0"/>
        <w:jc w:val="left"/>
        <w:rPr>
          <w:b w:val="0"/>
          <w:bCs w:val="0"/>
        </w:rPr>
      </w:pPr>
      <w:bookmarkStart w:name="_TOC_250004" w:id="122"/>
      <w:bookmarkStart w:name="第九节董事、监事、高级管理人员和员工情况" w:id="123"/>
      <w:r>
        <w:rPr>
          <w:b w:val="0"/>
          <w:bCs w:val="0"/>
        </w:rPr>
      </w:r>
      <w:r>
        <w:rPr/>
        <w:t>第九节董事、监事、高级管理人员和员工情况</w:t>
      </w:r>
      <w:bookmarkEnd w:id="122"/>
      <w:r>
        <w:rPr>
          <w:b w:val="0"/>
          <w:bCs w:val="0"/>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586"/>
        <w:gridCol w:w="639"/>
        <w:gridCol w:w="922"/>
        <w:gridCol w:w="850"/>
        <w:gridCol w:w="802"/>
        <w:gridCol w:w="797"/>
        <w:gridCol w:w="797"/>
        <w:gridCol w:w="797"/>
        <w:gridCol w:w="802"/>
      </w:tblGrid>
      <w:tr>
        <w:trPr>
          <w:trHeight w:val="102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11"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0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3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73" w:right="89" w:hanging="178"/>
              <w:jc w:val="left"/>
              <w:rPr>
                <w:rFonts w:ascii="宋体" w:hAnsi="宋体" w:cs="宋体" w:eastAsia="宋体" w:hint="default"/>
                <w:sz w:val="18"/>
                <w:szCs w:val="18"/>
              </w:rPr>
            </w:pPr>
            <w:r>
              <w:rPr>
                <w:rFonts w:ascii="宋体" w:hAnsi="宋体" w:cs="宋体" w:eastAsia="宋体" w:hint="default"/>
                <w:sz w:val="18"/>
                <w:szCs w:val="18"/>
              </w:rPr>
              <w:t>任期起始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9" w:right="50" w:hanging="178"/>
              <w:jc w:val="left"/>
              <w:rPr>
                <w:rFonts w:ascii="宋体" w:hAnsi="宋体" w:cs="宋体" w:eastAsia="宋体" w:hint="default"/>
                <w:sz w:val="18"/>
                <w:szCs w:val="18"/>
              </w:rPr>
            </w:pPr>
            <w:r>
              <w:rPr>
                <w:rFonts w:ascii="宋体" w:hAnsi="宋体" w:cs="宋体" w:eastAsia="宋体" w:hint="default"/>
                <w:sz w:val="18"/>
                <w:szCs w:val="18"/>
              </w:rPr>
              <w:t>任期终止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日期</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6"/>
              <w:jc w:val="left"/>
              <w:rPr>
                <w:rFonts w:ascii="宋体" w:hAnsi="宋体" w:cs="宋体" w:eastAsia="宋体" w:hint="default"/>
                <w:sz w:val="18"/>
                <w:szCs w:val="18"/>
              </w:rPr>
            </w:pPr>
            <w:r>
              <w:rPr>
                <w:rFonts w:ascii="宋体" w:hAnsi="宋体" w:cs="宋体" w:eastAsia="宋体" w:hint="default"/>
                <w:sz w:val="18"/>
                <w:szCs w:val="18"/>
              </w:rPr>
              <w:t>本期增持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33" w:right="27"/>
              <w:jc w:val="left"/>
              <w:rPr>
                <w:rFonts w:ascii="宋体" w:hAnsi="宋体" w:cs="宋体" w:eastAsia="宋体" w:hint="default"/>
                <w:sz w:val="18"/>
                <w:szCs w:val="18"/>
              </w:rPr>
            </w:pPr>
            <w:r>
              <w:rPr>
                <w:rFonts w:ascii="宋体" w:hAnsi="宋体" w:cs="宋体" w:eastAsia="宋体" w:hint="default"/>
                <w:sz w:val="18"/>
                <w:szCs w:val="18"/>
              </w:rPr>
              <w:t>本期减持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股份数量</w:t>
            </w:r>
          </w:p>
          <w:p>
            <w:pPr>
              <w:pStyle w:val="TableParagraph"/>
              <w:spacing w:line="240" w:lineRule="auto" w:before="27"/>
              <w:ind w:left="12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4" w:firstLine="9"/>
              <w:jc w:val="left"/>
              <w:rPr>
                <w:rFonts w:ascii="宋体" w:hAnsi="宋体" w:cs="宋体" w:eastAsia="宋体" w:hint="default"/>
                <w:sz w:val="18"/>
                <w:szCs w:val="18"/>
              </w:rPr>
            </w:pPr>
            <w:r>
              <w:rPr>
                <w:rFonts w:ascii="宋体" w:hAnsi="宋体" w:cs="宋体" w:eastAsia="宋体" w:hint="default"/>
                <w:sz w:val="18"/>
                <w:szCs w:val="18"/>
              </w:rPr>
              <w:t>其他增减</w:t>
            </w:r>
            <w:r>
              <w:rPr>
                <w:rFonts w:ascii="宋体" w:hAnsi="宋体" w:cs="宋体" w:eastAsia="宋体" w:hint="default"/>
                <w:w w:val="101"/>
                <w:sz w:val="18"/>
                <w:szCs w:val="18"/>
              </w:rPr>
              <w:t> </w:t>
            </w:r>
            <w:r>
              <w:rPr>
                <w:rFonts w:ascii="宋体" w:hAnsi="宋体" w:cs="宋体" w:eastAsia="宋体" w:hint="default"/>
                <w:spacing w:val="-22"/>
                <w:w w:val="101"/>
                <w:sz w:val="18"/>
                <w:szCs w:val="18"/>
              </w:rPr>
              <w:t>变动（股）</w:t>
            </w:r>
            <w:r>
              <w:rPr>
                <w:rFonts w:ascii="宋体" w:hAnsi="宋体" w:cs="宋体" w:eastAsia="宋体" w:hint="default"/>
                <w:sz w:val="18"/>
                <w:szCs w:val="18"/>
              </w:rPr>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数（股）</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130,894,9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-14,779,5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46,446,19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162,561,6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80</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66,261,27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-7,890,40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23,348,34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81,719,22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29,938,91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-3,208,70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10,692,08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37,422,30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25,374,89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-3,039,03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8,934,345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31,270,20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12,755,80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4,242,321</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14,848,12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36"/>
              <w:jc w:val="left"/>
              <w:rPr>
                <w:rFonts w:ascii="宋体" w:hAnsi="宋体" w:cs="宋体" w:eastAsia="宋体" w:hint="default"/>
                <w:sz w:val="18"/>
                <w:szCs w:val="18"/>
              </w:rPr>
            </w:pPr>
            <w:r>
              <w:rPr>
                <w:rFonts w:ascii="宋体" w:hAnsi="宋体" w:cs="宋体" w:eastAsia="宋体" w:hint="default"/>
                <w:sz w:val="18"/>
                <w:szCs w:val="18"/>
              </w:rPr>
              <w:t>董事、副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1,657,251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642,900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1,900,151</w:t>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36"/>
              <w:jc w:val="left"/>
              <w:rPr>
                <w:rFonts w:ascii="宋体" w:hAnsi="宋体" w:cs="宋体" w:eastAsia="宋体" w:hint="default"/>
                <w:sz w:val="18"/>
                <w:szCs w:val="18"/>
              </w:rPr>
            </w:pPr>
            <w:r>
              <w:rPr>
                <w:rFonts w:ascii="宋体" w:hAnsi="宋体" w:cs="宋体" w:eastAsia="宋体" w:hint="default"/>
                <w:sz w:val="18"/>
                <w:szCs w:val="18"/>
              </w:rPr>
              <w:t>监事会主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6,541,997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-790,001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2,580,799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8,332,795</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郭言娜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张舒</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jc w:val="both"/>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书、副总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1"/>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700,000</w:t>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364,000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364,000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586"/>
        <w:gridCol w:w="639"/>
        <w:gridCol w:w="922"/>
        <w:gridCol w:w="850"/>
        <w:gridCol w:w="802"/>
        <w:gridCol w:w="797"/>
        <w:gridCol w:w="797"/>
        <w:gridCol w:w="797"/>
        <w:gridCol w:w="802"/>
      </w:tblGrid>
      <w:tr>
        <w:trPr>
          <w:trHeight w:val="360"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1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396"/>
              <w:jc w:val="right"/>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p>
          <w:p>
            <w:pPr>
              <w:pStyle w:val="TableParagraph"/>
              <w:spacing w:line="240" w:lineRule="auto" w:before="67"/>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350,000</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350,000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339"/>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273,425,1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-32,257,6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98,300,99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339,468,4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81</w:t>
            </w:r>
          </w:p>
        </w:tc>
      </w:tr>
    </w:tbl>
    <w:p>
      <w:pPr>
        <w:spacing w:line="240" w:lineRule="auto" w:before="9"/>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6"/>
          <w:szCs w:val="6"/>
        </w:rPr>
      </w:pPr>
    </w:p>
    <w:tbl>
      <w:tblPr>
        <w:tblW w:w="0" w:type="auto"/>
        <w:jc w:val="left"/>
        <w:tblInd w:w="326" w:type="dxa"/>
        <w:tblLayout w:type="fixed"/>
        <w:tblCellMar>
          <w:top w:w="0" w:type="dxa"/>
          <w:left w:w="0" w:type="dxa"/>
          <w:bottom w:w="0" w:type="dxa"/>
          <w:right w:w="0" w:type="dxa"/>
        </w:tblCellMar>
        <w:tblLook w:val="01E0"/>
      </w:tblPr>
      <w:tblGrid>
        <w:gridCol w:w="1330"/>
        <w:gridCol w:w="1330"/>
        <w:gridCol w:w="1330"/>
        <w:gridCol w:w="1681"/>
        <w:gridCol w:w="3615"/>
      </w:tblGrid>
      <w:tr>
        <w:trPr>
          <w:trHeight w:val="398"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届满离任</w:t>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三、任职情况" w:id="126"/>
      <w:bookmarkEnd w:id="126"/>
      <w:r>
        <w:rPr>
          <w:b w:val="0"/>
          <w:bCs w:val="0"/>
        </w:rPr>
      </w:r>
      <w:r>
        <w:rPr/>
        <w:t>三、任职情况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公司现任董事、监事、高级管理人员专业背景、主要工作经历以及目前在公司的主要职责</w:t>
      </w:r>
    </w:p>
    <w:p>
      <w:pPr>
        <w:pStyle w:val="BodyText"/>
        <w:spacing w:line="333" w:lineRule="auto" w:before="119"/>
        <w:ind w:left="513" w:right="1037"/>
        <w:jc w:val="left"/>
        <w:rPr>
          <w:rFonts w:ascii="Times New Roman" w:hAnsi="Times New Roman" w:cs="Times New Roman" w:eastAsia="Times New Roman" w:hint="default"/>
        </w:rPr>
      </w:pPr>
      <w:r>
        <w:rPr>
          <w:rFonts w:ascii="Times New Roman" w:hAnsi="Times New Roman" w:cs="Times New Roman" w:eastAsia="Times New Roman" w:hint="default"/>
          <w:b/>
          <w:bCs/>
        </w:rPr>
        <w:t>1</w:t>
      </w:r>
      <w:r>
        <w:rPr>
          <w:rFonts w:ascii="宋体" w:hAnsi="宋体" w:cs="宋体" w:eastAsia="宋体" w:hint="default"/>
          <w:b/>
          <w:bCs/>
        </w:rPr>
        <w:t>、董事会成员</w:t>
      </w:r>
      <w:r>
        <w:rPr>
          <w:rFonts w:ascii="宋体" w:hAnsi="宋体" w:cs="宋体" w:eastAsia="宋体" w:hint="default"/>
          <w:b/>
          <w:bCs/>
          <w:spacing w:val="-85"/>
        </w:rPr>
        <w:t> </w:t>
      </w:r>
      <w:r>
        <w:rPr>
          <w:spacing w:val="-7"/>
        </w:rPr>
        <w:t>刘泽刚先生，</w:t>
      </w:r>
      <w:r>
        <w:rPr>
          <w:rFonts w:ascii="Times New Roman" w:hAnsi="Times New Roman" w:cs="Times New Roman" w:eastAsia="Times New Roman" w:hint="default"/>
          <w:spacing w:val="-7"/>
        </w:rPr>
        <w:t>1966</w:t>
      </w:r>
      <w:r>
        <w:rPr>
          <w:spacing w:val="-7"/>
        </w:rPr>
        <w:t>年生，中国国籍。</w:t>
      </w:r>
      <w:r>
        <w:rPr>
          <w:rFonts w:ascii="Times New Roman" w:hAnsi="Times New Roman" w:cs="Times New Roman" w:eastAsia="Times New Roman" w:hint="default"/>
          <w:spacing w:val="-7"/>
        </w:rPr>
        <w:t>1989</w:t>
      </w:r>
      <w:r>
        <w:rPr>
          <w:spacing w:val="-7"/>
        </w:rPr>
        <w:t>年</w:t>
      </w:r>
      <w:r>
        <w:rPr>
          <w:rFonts w:ascii="Times New Roman" w:hAnsi="Times New Roman" w:cs="Times New Roman" w:eastAsia="Times New Roman" w:hint="default"/>
          <w:spacing w:val="-7"/>
        </w:rPr>
        <w:t>7</w:t>
      </w:r>
      <w:r>
        <w:rPr>
          <w:spacing w:val="-7"/>
        </w:rPr>
        <w:t>月毕业于南京河海大学（原华东水利学院），获学士学位。</w:t>
      </w:r>
      <w:r>
        <w:rPr>
          <w:rFonts w:ascii="Times New Roman" w:hAnsi="Times New Roman" w:cs="Times New Roman" w:eastAsia="Times New Roman" w:hint="default"/>
          <w:spacing w:val="-7"/>
        </w:rPr>
        <w:t>1989</w:t>
      </w:r>
      <w:r>
        <w:rPr>
          <w:spacing w:val="-7"/>
        </w:rPr>
        <w:t>年</w:t>
      </w:r>
      <w:r>
        <w:rPr>
          <w:rFonts w:ascii="Times New Roman" w:hAnsi="Times New Roman" w:cs="Times New Roman" w:eastAsia="Times New Roman" w:hint="default"/>
          <w:spacing w:val="-7"/>
        </w:rPr>
        <w:t>7</w:t>
      </w:r>
      <w:r>
        <w:rPr>
          <w:spacing w:val="-7"/>
        </w:rPr>
        <w:t>月至</w:t>
      </w:r>
      <w:r>
        <w:rPr>
          <w:rFonts w:ascii="Times New Roman" w:hAnsi="Times New Roman" w:cs="Times New Roman" w:eastAsia="Times New Roman" w:hint="default"/>
          <w:spacing w:val="-7"/>
        </w:rPr>
        <w:t>1991</w:t>
      </w:r>
    </w:p>
    <w:p>
      <w:pPr>
        <w:pStyle w:val="BodyText"/>
        <w:spacing w:line="234" w:lineRule="exact"/>
        <w:ind w:right="0"/>
        <w:jc w:val="left"/>
      </w:pPr>
      <w:r>
        <w:rPr>
          <w:spacing w:val="-4"/>
        </w:rPr>
        <w:t>年</w:t>
      </w:r>
      <w:r>
        <w:rPr>
          <w:rFonts w:ascii="Times New Roman" w:hAnsi="Times New Roman" w:cs="Times New Roman" w:eastAsia="Times New Roman" w:hint="default"/>
          <w:spacing w:val="-4"/>
        </w:rPr>
        <w:t>9</w:t>
      </w:r>
      <w:r>
        <w:rPr>
          <w:spacing w:val="-4"/>
        </w:rPr>
        <w:t>月，在能源部水电二局（现中电建建筑集团公司）从事房建电气施工技术工作。</w:t>
      </w:r>
      <w:r>
        <w:rPr>
          <w:rFonts w:ascii="Times New Roman" w:hAnsi="Times New Roman" w:cs="Times New Roman" w:eastAsia="Times New Roman" w:hint="default"/>
          <w:spacing w:val="-4"/>
        </w:rPr>
        <w:t>1997</w:t>
      </w:r>
      <w:r>
        <w:rPr>
          <w:spacing w:val="-4"/>
        </w:rPr>
        <w:t>年</w:t>
      </w:r>
      <w:r>
        <w:rPr>
          <w:rFonts w:ascii="Times New Roman" w:hAnsi="Times New Roman" w:cs="Times New Roman" w:eastAsia="Times New Roman" w:hint="default"/>
          <w:spacing w:val="-4"/>
        </w:rPr>
        <w:t>4</w:t>
      </w:r>
      <w:r>
        <w:rPr>
          <w:spacing w:val="-4"/>
        </w:rPr>
        <w:t>月，刘泽刚与韦强等人出资设立</w:t>
      </w:r>
    </w:p>
    <w:p>
      <w:pPr>
        <w:pStyle w:val="BodyText"/>
        <w:spacing w:line="304" w:lineRule="auto" w:before="63"/>
        <w:ind w:right="0"/>
        <w:jc w:val="left"/>
      </w:pPr>
      <w:r>
        <w:rPr>
          <w:spacing w:val="-4"/>
        </w:rPr>
        <w:t>了合纵科技，刘泽刚一直担任本公司董事长，</w:t>
      </w:r>
      <w:r>
        <w:rPr>
          <w:rFonts w:ascii="Times New Roman" w:hAnsi="Times New Roman" w:cs="Times New Roman" w:eastAsia="Times New Roman" w:hint="default"/>
          <w:spacing w:val="-4"/>
        </w:rPr>
        <w:t>1997</w:t>
      </w:r>
      <w:r>
        <w:rPr>
          <w:spacing w:val="-4"/>
        </w:rPr>
        <w:t>月</w:t>
      </w:r>
      <w:r>
        <w:rPr>
          <w:rFonts w:ascii="Times New Roman" w:hAnsi="Times New Roman" w:cs="Times New Roman" w:eastAsia="Times New Roman" w:hint="default"/>
          <w:spacing w:val="-4"/>
        </w:rPr>
        <w:t>4</w:t>
      </w:r>
      <w:r>
        <w:rPr>
          <w:spacing w:val="-4"/>
        </w:rPr>
        <w:t>月至</w:t>
      </w: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8</w:t>
      </w:r>
      <w:r>
        <w:rPr>
          <w:spacing w:val="-4"/>
        </w:rPr>
        <w:t>月兼任公司总经理。刘泽刚目前还担任北京中关村民营科</w:t>
      </w:r>
      <w:r>
        <w:rPr>
          <w:spacing w:val="63"/>
        </w:rPr>
        <w:t> </w:t>
      </w:r>
      <w:r>
        <w:rPr>
          <w:spacing w:val="63"/>
        </w:rPr>
      </w:r>
      <w:r>
        <w:rPr>
          <w:spacing w:val="-3"/>
        </w:rPr>
        <w:t>技实业家协会副会长、中关村高新技术企业协会副会长及民建中央十一届能源与资源环境委员会副主任。</w:t>
      </w:r>
    </w:p>
    <w:p>
      <w:pPr>
        <w:pStyle w:val="BodyText"/>
        <w:spacing w:line="302" w:lineRule="auto" w:before="61"/>
        <w:ind w:right="1122" w:firstLine="360"/>
        <w:jc w:val="both"/>
      </w:pPr>
      <w:r>
        <w:rPr>
          <w:spacing w:val="-5"/>
        </w:rPr>
        <w:t>韦强先生，</w:t>
      </w:r>
      <w:r>
        <w:rPr>
          <w:rFonts w:ascii="Times New Roman" w:hAnsi="Times New Roman" w:cs="Times New Roman" w:eastAsia="Times New Roman" w:hint="default"/>
          <w:spacing w:val="-5"/>
        </w:rPr>
        <w:t>1966</w:t>
      </w:r>
      <w:r>
        <w:rPr>
          <w:spacing w:val="-5"/>
        </w:rPr>
        <w:t>年生，中国国籍。</w:t>
      </w:r>
      <w:r>
        <w:rPr>
          <w:rFonts w:ascii="Times New Roman" w:hAnsi="Times New Roman" w:cs="Times New Roman" w:eastAsia="Times New Roman" w:hint="default"/>
          <w:spacing w:val="-5"/>
        </w:rPr>
        <w:t>1991</w:t>
      </w:r>
      <w:r>
        <w:rPr>
          <w:spacing w:val="-5"/>
        </w:rPr>
        <w:t>年</w:t>
      </w:r>
      <w:r>
        <w:rPr>
          <w:rFonts w:ascii="Times New Roman" w:hAnsi="Times New Roman" w:cs="Times New Roman" w:eastAsia="Times New Roman" w:hint="default"/>
          <w:spacing w:val="-5"/>
        </w:rPr>
        <w:t>8</w:t>
      </w:r>
      <w:r>
        <w:rPr>
          <w:spacing w:val="-5"/>
        </w:rPr>
        <w:t>月毕业于长沙理工大学（原长沙电力学院），获学士学位。</w:t>
      </w:r>
      <w:r>
        <w:rPr>
          <w:rFonts w:ascii="Times New Roman" w:hAnsi="Times New Roman" w:cs="Times New Roman" w:eastAsia="Times New Roman" w:hint="default"/>
          <w:spacing w:val="-5"/>
        </w:rPr>
        <w:t>1991</w:t>
      </w:r>
      <w:r>
        <w:rPr>
          <w:spacing w:val="-5"/>
        </w:rPr>
        <w:t>年</w:t>
      </w:r>
      <w:r>
        <w:rPr>
          <w:rFonts w:ascii="Times New Roman" w:hAnsi="Times New Roman" w:cs="Times New Roman" w:eastAsia="Times New Roman" w:hint="default"/>
          <w:spacing w:val="-5"/>
        </w:rPr>
        <w:t>10</w:t>
      </w:r>
      <w:r>
        <w:rPr>
          <w:spacing w:val="-5"/>
        </w:rPr>
        <w:t>月至</w:t>
      </w:r>
      <w:r>
        <w:rPr>
          <w:rFonts w:ascii="Times New Roman" w:hAnsi="Times New Roman" w:cs="Times New Roman" w:eastAsia="Times New Roman" w:hint="default"/>
          <w:spacing w:val="-5"/>
        </w:rPr>
        <w:t>1995</w:t>
      </w:r>
      <w:r>
        <w:rPr>
          <w:rFonts w:ascii="Times New Roman" w:hAnsi="Times New Roman" w:cs="Times New Roman" w:eastAsia="Times New Roman" w:hint="default"/>
          <w:w w:val="101"/>
        </w:rPr>
        <w:t> </w:t>
      </w:r>
      <w:r>
        <w:rPr>
          <w:spacing w:val="-3"/>
        </w:rPr>
        <w:t>年</w:t>
      </w:r>
      <w:r>
        <w:rPr>
          <w:rFonts w:ascii="Times New Roman" w:hAnsi="Times New Roman" w:cs="Times New Roman" w:eastAsia="Times New Roman" w:hint="default"/>
          <w:spacing w:val="-3"/>
        </w:rPr>
        <w:t>5</w:t>
      </w:r>
      <w:r>
        <w:rPr>
          <w:spacing w:val="-3"/>
        </w:rPr>
        <w:t>月，任河南省电力公司办公室工作。</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4</w:t>
      </w:r>
      <w:r>
        <w:rPr>
          <w:spacing w:val="-3"/>
        </w:rPr>
        <w:t>月，韦强与刘泽刚等人出资设立了合纵科技。</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4</w:t>
      </w:r>
      <w:r>
        <w:rPr>
          <w:spacing w:val="-3"/>
        </w:rPr>
        <w:t>月至今，韦强历任公</w:t>
      </w:r>
      <w:r>
        <w:rPr>
          <w:spacing w:val="2"/>
        </w:rPr>
        <w:t> </w:t>
      </w:r>
      <w:r>
        <w:rPr>
          <w:spacing w:val="2"/>
        </w:rPr>
      </w:r>
      <w:r>
        <w:rPr>
          <w:spacing w:val="-3"/>
        </w:rPr>
        <w:t>司副总经理，现任公司董事、总经理。</w:t>
      </w:r>
    </w:p>
    <w:p>
      <w:pPr>
        <w:pStyle w:val="BodyText"/>
        <w:spacing w:line="304" w:lineRule="auto" w:before="68"/>
        <w:ind w:right="1031" w:firstLine="360"/>
        <w:jc w:val="both"/>
      </w:pPr>
      <w:r>
        <w:rPr>
          <w:spacing w:val="-4"/>
        </w:rPr>
        <w:t>韩国良先生，</w:t>
      </w:r>
      <w:r>
        <w:rPr>
          <w:rFonts w:ascii="Times New Roman" w:hAnsi="Times New Roman" w:cs="Times New Roman" w:eastAsia="Times New Roman" w:hint="default"/>
          <w:spacing w:val="-4"/>
        </w:rPr>
        <w:t>1965</w:t>
      </w:r>
      <w:r>
        <w:rPr>
          <w:spacing w:val="-4"/>
        </w:rPr>
        <w:t>年生，中国国籍。</w:t>
      </w:r>
      <w:r>
        <w:rPr>
          <w:rFonts w:ascii="Times New Roman" w:hAnsi="Times New Roman" w:cs="Times New Roman" w:eastAsia="Times New Roman" w:hint="default"/>
          <w:spacing w:val="-4"/>
        </w:rPr>
        <w:t>1987</w:t>
      </w:r>
      <w:r>
        <w:rPr>
          <w:spacing w:val="-4"/>
        </w:rPr>
        <w:t>年</w:t>
      </w:r>
      <w:r>
        <w:rPr>
          <w:rFonts w:ascii="Times New Roman" w:hAnsi="Times New Roman" w:cs="Times New Roman" w:eastAsia="Times New Roman" w:hint="default"/>
          <w:spacing w:val="-4"/>
        </w:rPr>
        <w:t>7</w:t>
      </w:r>
      <w:r>
        <w:rPr>
          <w:spacing w:val="-4"/>
        </w:rPr>
        <w:t>月毕业于南京工学院电气技术专业，获学士学位。</w:t>
      </w:r>
      <w:r>
        <w:rPr>
          <w:rFonts w:ascii="Times New Roman" w:hAnsi="Times New Roman" w:cs="Times New Roman" w:eastAsia="Times New Roman" w:hint="default"/>
          <w:spacing w:val="-4"/>
        </w:rPr>
        <w:t>1987</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8</w:t>
      </w:r>
      <w:r>
        <w:rPr>
          <w:spacing w:val="-4"/>
        </w:rPr>
        <w:t>月，</w:t>
      </w:r>
      <w:r>
        <w:rPr>
          <w:w w:val="101"/>
        </w:rPr>
        <w:t> </w:t>
      </w:r>
      <w:r>
        <w:rPr>
          <w:spacing w:val="-3"/>
        </w:rPr>
        <w:t>历任江苏省南通供电公司用电业务员、检修专责、线损专责、主任工程师等职；</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9</w:t>
      </w:r>
      <w:r>
        <w:rPr>
          <w:spacing w:val="-3"/>
        </w:rPr>
        <w:t>月至今，任公司董事、副总经理。</w:t>
      </w:r>
    </w:p>
    <w:p>
      <w:pPr>
        <w:pStyle w:val="BodyText"/>
        <w:spacing w:line="302" w:lineRule="auto" w:before="42"/>
        <w:ind w:right="1036" w:firstLine="360"/>
        <w:jc w:val="both"/>
      </w:pPr>
      <w:r>
        <w:rPr>
          <w:spacing w:val="-4"/>
        </w:rPr>
        <w:t>张仁增先生，</w:t>
      </w:r>
      <w:r>
        <w:rPr>
          <w:rFonts w:ascii="Times New Roman" w:hAnsi="Times New Roman" w:cs="Times New Roman" w:eastAsia="Times New Roman" w:hint="default"/>
          <w:spacing w:val="-4"/>
        </w:rPr>
        <w:t>1967</w:t>
      </w:r>
      <w:r>
        <w:rPr>
          <w:spacing w:val="-4"/>
        </w:rPr>
        <w:t>年生，中国国籍。</w:t>
      </w:r>
      <w:r>
        <w:rPr>
          <w:rFonts w:ascii="Times New Roman" w:hAnsi="Times New Roman" w:cs="Times New Roman" w:eastAsia="Times New Roman" w:hint="default"/>
          <w:spacing w:val="-4"/>
        </w:rPr>
        <w:t>1990</w:t>
      </w:r>
      <w:r>
        <w:rPr>
          <w:spacing w:val="-4"/>
        </w:rPr>
        <w:t>年</w:t>
      </w:r>
      <w:r>
        <w:rPr>
          <w:rFonts w:ascii="Times New Roman" w:hAnsi="Times New Roman" w:cs="Times New Roman" w:eastAsia="Times New Roman" w:hint="default"/>
          <w:spacing w:val="-4"/>
        </w:rPr>
        <w:t>7</w:t>
      </w:r>
      <w:r>
        <w:rPr>
          <w:spacing w:val="-4"/>
        </w:rPr>
        <w:t>月毕业于北方交通大学，</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7</w:t>
      </w:r>
      <w:r>
        <w:rPr>
          <w:spacing w:val="-4"/>
        </w:rPr>
        <w:t>月获得北京航空航天大学软件工程领域工</w:t>
      </w:r>
      <w:r>
        <w:rPr>
          <w:w w:val="101"/>
        </w:rPr>
        <w:t> </w:t>
      </w:r>
      <w:r>
        <w:rPr>
          <w:spacing w:val="-2"/>
        </w:rPr>
        <w:t>程硕士学位。</w:t>
      </w:r>
      <w:r>
        <w:rPr>
          <w:rFonts w:ascii="Times New Roman" w:hAnsi="Times New Roman" w:cs="Times New Roman" w:eastAsia="Times New Roman" w:hint="default"/>
          <w:spacing w:val="-2"/>
        </w:rPr>
        <w:t>1990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1995</w:t>
      </w:r>
      <w:r>
        <w:rPr>
          <w:spacing w:val="-2"/>
        </w:rPr>
        <w:t>年</w:t>
      </w:r>
      <w:r>
        <w:rPr>
          <w:rFonts w:ascii="Times New Roman" w:hAnsi="Times New Roman" w:cs="Times New Roman" w:eastAsia="Times New Roman" w:hint="default"/>
          <w:spacing w:val="-2"/>
        </w:rPr>
        <w:t>3</w:t>
      </w:r>
      <w:r>
        <w:rPr>
          <w:spacing w:val="-2"/>
        </w:rPr>
        <w:t>月在北京铁路局丰台机务段技术部门工作。</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10</w:t>
      </w:r>
      <w:r>
        <w:rPr>
          <w:spacing w:val="-2"/>
        </w:rPr>
        <w:t>月，张仁增先生任北京</w:t>
      </w:r>
      <w:r>
        <w:rPr>
          <w:spacing w:val="40"/>
        </w:rPr>
        <w:t> </w:t>
      </w:r>
      <w:r>
        <w:rPr>
          <w:spacing w:val="40"/>
        </w:rPr>
      </w:r>
      <w:r>
        <w:rPr>
          <w:spacing w:val="-6"/>
        </w:rPr>
        <w:t>聚能达科技有限公司监事、销售经理；</w:t>
      </w:r>
      <w:r>
        <w:rPr>
          <w:rFonts w:ascii="Times New Roman" w:hAnsi="Times New Roman" w:cs="Times New Roman" w:eastAsia="Times New Roman" w:hint="default"/>
          <w:spacing w:val="-6"/>
        </w:rPr>
        <w:t>1998</w:t>
      </w:r>
      <w:r>
        <w:rPr>
          <w:spacing w:val="-6"/>
        </w:rPr>
        <w:t>年</w:t>
      </w:r>
      <w:r>
        <w:rPr>
          <w:rFonts w:ascii="Times New Roman" w:hAnsi="Times New Roman" w:cs="Times New Roman" w:eastAsia="Times New Roman" w:hint="default"/>
          <w:spacing w:val="-6"/>
        </w:rPr>
        <w:t>12</w:t>
      </w:r>
      <w:r>
        <w:rPr>
          <w:spacing w:val="-6"/>
        </w:rPr>
        <w:t>月至今，担任公司董事，历任项目经理、总裁办主任，现分管行政后勤中心。</w:t>
      </w:r>
    </w:p>
    <w:p>
      <w:pPr>
        <w:pStyle w:val="BodyText"/>
        <w:spacing w:line="304" w:lineRule="auto" w:before="45"/>
        <w:ind w:right="1122" w:firstLine="360"/>
        <w:jc w:val="both"/>
      </w:pPr>
      <w:r>
        <w:rPr>
          <w:spacing w:val="-4"/>
        </w:rPr>
        <w:t>何昀先生，</w:t>
      </w:r>
      <w:r>
        <w:rPr>
          <w:rFonts w:ascii="Times New Roman" w:hAnsi="Times New Roman" w:cs="Times New Roman" w:eastAsia="Times New Roman" w:hint="default"/>
          <w:spacing w:val="-4"/>
        </w:rPr>
        <w:t>1972</w:t>
      </w:r>
      <w:r>
        <w:rPr>
          <w:spacing w:val="-4"/>
        </w:rPr>
        <w:t>年生，中国国籍。</w:t>
      </w:r>
      <w:r>
        <w:rPr>
          <w:rFonts w:ascii="Times New Roman" w:hAnsi="Times New Roman" w:cs="Times New Roman" w:eastAsia="Times New Roman" w:hint="default"/>
          <w:spacing w:val="-4"/>
        </w:rPr>
        <w:t>1996</w:t>
      </w:r>
      <w:r>
        <w:rPr>
          <w:spacing w:val="-4"/>
        </w:rPr>
        <w:t>年</w:t>
      </w:r>
      <w:r>
        <w:rPr>
          <w:rFonts w:ascii="Times New Roman" w:hAnsi="Times New Roman" w:cs="Times New Roman" w:eastAsia="Times New Roman" w:hint="default"/>
          <w:spacing w:val="-4"/>
        </w:rPr>
        <w:t>7</w:t>
      </w:r>
      <w:r>
        <w:rPr>
          <w:spacing w:val="-4"/>
        </w:rPr>
        <w:t>月毕业于长沙电力学院电力系统及自动化专业。</w:t>
      </w:r>
      <w:r>
        <w:rPr>
          <w:rFonts w:ascii="Times New Roman" w:hAnsi="Times New Roman" w:cs="Times New Roman" w:eastAsia="Times New Roman" w:hint="default"/>
          <w:spacing w:val="-4"/>
        </w:rPr>
        <w:t>1999</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12</w:t>
      </w:r>
      <w:r>
        <w:rPr>
          <w:spacing w:val="-4"/>
        </w:rPr>
        <w:t>月，何</w:t>
      </w:r>
      <w:r>
        <w:rPr>
          <w:w w:val="101"/>
        </w:rPr>
        <w:t> </w:t>
      </w:r>
      <w:r>
        <w:rPr>
          <w:spacing w:val="-3"/>
        </w:rPr>
        <w:t>昀先生在本公司担任华北大区销售经理；</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w:t>
      </w:r>
      <w:r>
        <w:rPr>
          <w:spacing w:val="-3"/>
        </w:rPr>
        <w:t>月至今，担任公司董事、营销总部销售总监。</w:t>
      </w:r>
    </w:p>
    <w:p>
      <w:pPr>
        <w:pStyle w:val="BodyText"/>
        <w:spacing w:line="304" w:lineRule="auto" w:before="47"/>
        <w:ind w:right="1126" w:firstLine="360"/>
        <w:jc w:val="both"/>
      </w:pPr>
      <w:r>
        <w:rPr>
          <w:spacing w:val="-1"/>
        </w:rPr>
        <w:t>高星女士，</w:t>
      </w:r>
      <w:r>
        <w:rPr>
          <w:rFonts w:ascii="Times New Roman" w:hAnsi="Times New Roman" w:cs="Times New Roman" w:eastAsia="Times New Roman" w:hint="default"/>
          <w:spacing w:val="-1"/>
        </w:rPr>
        <w:t>1972</w:t>
      </w:r>
      <w:r>
        <w:rPr>
          <w:spacing w:val="-1"/>
        </w:rPr>
        <w:t>年生，中国国籍。</w:t>
      </w:r>
      <w:r>
        <w:rPr>
          <w:rFonts w:ascii="Times New Roman" w:hAnsi="Times New Roman" w:cs="Times New Roman" w:eastAsia="Times New Roman" w:hint="default"/>
          <w:spacing w:val="-1"/>
        </w:rPr>
        <w:t>1996</w:t>
      </w:r>
      <w:r>
        <w:rPr>
          <w:spacing w:val="-1"/>
        </w:rPr>
        <w:t>年</w:t>
      </w:r>
      <w:r>
        <w:rPr>
          <w:rFonts w:ascii="Times New Roman" w:hAnsi="Times New Roman" w:cs="Times New Roman" w:eastAsia="Times New Roman" w:hint="default"/>
          <w:spacing w:val="-1"/>
        </w:rPr>
        <w:t>7</w:t>
      </w:r>
      <w:r>
        <w:rPr>
          <w:spacing w:val="-1"/>
        </w:rPr>
        <w:t>月毕业于华北电力大学电气技术专业，获工学学士学位。</w:t>
      </w:r>
      <w:r>
        <w:rPr>
          <w:rFonts w:ascii="Times New Roman" w:hAnsi="Times New Roman" w:cs="Times New Roman" w:eastAsia="Times New Roman" w:hint="default"/>
          <w:spacing w:val="-1"/>
        </w:rPr>
        <w:t>1999</w:t>
      </w:r>
      <w:r>
        <w:rPr>
          <w:spacing w:val="-1"/>
        </w:rPr>
        <w:t>年</w:t>
      </w:r>
      <w:r>
        <w:rPr>
          <w:rFonts w:ascii="Times New Roman" w:hAnsi="Times New Roman" w:cs="Times New Roman" w:eastAsia="Times New Roman" w:hint="default"/>
          <w:spacing w:val="-1"/>
        </w:rPr>
        <w:t>5</w:t>
      </w:r>
      <w:r>
        <w:rPr>
          <w:spacing w:val="-1"/>
        </w:rPr>
        <w:t>月至</w:t>
      </w:r>
      <w:r>
        <w:rPr>
          <w:rFonts w:ascii="Times New Roman" w:hAnsi="Times New Roman" w:cs="Times New Roman" w:eastAsia="Times New Roman" w:hint="default"/>
          <w:spacing w:val="-1"/>
        </w:rPr>
        <w:t>2006</w:t>
      </w:r>
      <w:r>
        <w:rPr>
          <w:rFonts w:ascii="Times New Roman" w:hAnsi="Times New Roman" w:cs="Times New Roman" w:eastAsia="Times New Roman" w:hint="default"/>
          <w:w w:val="101"/>
        </w:rPr>
        <w:t> </w:t>
      </w:r>
      <w:r>
        <w:rPr>
          <w:spacing w:val="-3"/>
        </w:rPr>
        <w:t>年</w:t>
      </w:r>
      <w:r>
        <w:rPr>
          <w:rFonts w:ascii="Times New Roman" w:hAnsi="Times New Roman" w:cs="Times New Roman" w:eastAsia="Times New Roman" w:hint="default"/>
          <w:spacing w:val="-3"/>
        </w:rPr>
        <w:t>12</w:t>
      </w:r>
      <w:r>
        <w:rPr>
          <w:spacing w:val="-3"/>
        </w:rPr>
        <w:t>月，高星女士任本公司销售中心经理；</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1</w:t>
      </w:r>
      <w:r>
        <w:rPr>
          <w:spacing w:val="-3"/>
        </w:rPr>
        <w:t>月至今，担任公司董事，历任人力资源部经理，现任总经理助理。</w:t>
      </w:r>
    </w:p>
    <w:p>
      <w:pPr>
        <w:pStyle w:val="BodyText"/>
        <w:spacing w:line="302" w:lineRule="auto" w:before="42"/>
        <w:ind w:right="0" w:firstLine="360"/>
        <w:jc w:val="left"/>
      </w:pPr>
      <w:r>
        <w:rPr>
          <w:spacing w:val="-4"/>
        </w:rPr>
        <w:t>张为华先生，</w:t>
      </w:r>
      <w:r>
        <w:rPr>
          <w:rFonts w:ascii="Times New Roman" w:hAnsi="Times New Roman" w:cs="Times New Roman" w:eastAsia="Times New Roman" w:hint="default"/>
          <w:spacing w:val="-4"/>
        </w:rPr>
        <w:t>1965</w:t>
      </w:r>
      <w:r>
        <w:rPr>
          <w:spacing w:val="-4"/>
        </w:rPr>
        <w:t>年生，中国国籍，中共党员，法学硕士。</w:t>
      </w:r>
      <w:r>
        <w:rPr>
          <w:rFonts w:ascii="Times New Roman" w:hAnsi="Times New Roman" w:cs="Times New Roman" w:eastAsia="Times New Roman" w:hint="default"/>
          <w:spacing w:val="-4"/>
        </w:rPr>
        <w:t>1986</w:t>
      </w:r>
      <w:r>
        <w:rPr>
          <w:spacing w:val="-4"/>
        </w:rPr>
        <w:t>年</w:t>
      </w:r>
      <w:r>
        <w:rPr>
          <w:rFonts w:ascii="Times New Roman" w:hAnsi="Times New Roman" w:cs="Times New Roman" w:eastAsia="Times New Roman" w:hint="default"/>
          <w:spacing w:val="-4"/>
        </w:rPr>
        <w:t>7</w:t>
      </w:r>
      <w:r>
        <w:rPr>
          <w:spacing w:val="-4"/>
        </w:rPr>
        <w:t>月，毕业于中央民族大学法律系，获法学学士学位；</w:t>
      </w:r>
      <w:r>
        <w:rPr>
          <w:w w:val="101"/>
        </w:rPr>
        <w:t> </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7</w:t>
      </w:r>
      <w:r>
        <w:rPr>
          <w:spacing w:val="-3"/>
        </w:rPr>
        <w:t>月，获北京大学法学院法学硕士学位；</w:t>
      </w:r>
      <w:r>
        <w:rPr>
          <w:rFonts w:ascii="Times New Roman" w:hAnsi="Times New Roman" w:cs="Times New Roman" w:eastAsia="Times New Roman" w:hint="default"/>
          <w:spacing w:val="-3"/>
        </w:rPr>
        <w:t>1999</w:t>
      </w:r>
      <w:r>
        <w:rPr>
          <w:spacing w:val="-3"/>
        </w:rPr>
        <w:t>年</w:t>
      </w:r>
      <w:r>
        <w:rPr>
          <w:rFonts w:ascii="Times New Roman" w:hAnsi="Times New Roman" w:cs="Times New Roman" w:eastAsia="Times New Roman" w:hint="default"/>
          <w:spacing w:val="-3"/>
        </w:rPr>
        <w:t>7</w:t>
      </w:r>
      <w:r>
        <w:rPr>
          <w:spacing w:val="-3"/>
        </w:rPr>
        <w:t>月，获（美国）华盛顿大学法学院硕士学位。</w:t>
      </w:r>
      <w:r>
        <w:rPr>
          <w:rFonts w:ascii="Times New Roman" w:hAnsi="Times New Roman" w:cs="Times New Roman" w:eastAsia="Times New Roman" w:hint="default"/>
          <w:spacing w:val="-3"/>
        </w:rPr>
        <w:t>1986</w:t>
      </w:r>
      <w:r>
        <w:rPr>
          <w:spacing w:val="-3"/>
        </w:rPr>
        <w:t>年</w:t>
      </w:r>
      <w:r>
        <w:rPr>
          <w:rFonts w:ascii="Times New Roman" w:hAnsi="Times New Roman" w:cs="Times New Roman" w:eastAsia="Times New Roman" w:hint="default"/>
          <w:spacing w:val="-3"/>
        </w:rPr>
        <w:t>7</w:t>
      </w:r>
      <w:r>
        <w:rPr>
          <w:spacing w:val="-3"/>
        </w:rPr>
        <w:t>月至</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7"/>
        </w:rPr>
        <w:t> </w:t>
      </w:r>
      <w:r>
        <w:rPr>
          <w:spacing w:val="-3"/>
        </w:rPr>
        <w:t>月，任中央民族大学法学院教师；</w:t>
      </w:r>
      <w:r>
        <w:rPr>
          <w:rFonts w:ascii="Times New Roman" w:hAnsi="Times New Roman" w:cs="Times New Roman" w:eastAsia="Times New Roman" w:hint="default"/>
          <w:spacing w:val="-3"/>
        </w:rPr>
        <w:t>1991</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11</w:t>
      </w:r>
      <w:r>
        <w:rPr>
          <w:spacing w:val="-3"/>
        </w:rPr>
        <w:t>月，北京市大成律师事务所兼职律师；</w:t>
      </w:r>
      <w:r>
        <w:rPr>
          <w:rFonts w:ascii="Times New Roman" w:hAnsi="Times New Roman" w:cs="Times New Roman" w:eastAsia="Times New Roman" w:hint="default"/>
          <w:spacing w:val="-3"/>
        </w:rPr>
        <w:t>2001</w:t>
      </w:r>
      <w:r>
        <w:rPr>
          <w:spacing w:val="-3"/>
        </w:rPr>
        <w:t>年</w:t>
      </w:r>
      <w:r>
        <w:rPr>
          <w:rFonts w:ascii="Times New Roman" w:hAnsi="Times New Roman" w:cs="Times New Roman" w:eastAsia="Times New Roman" w:hint="default"/>
          <w:spacing w:val="-3"/>
        </w:rPr>
        <w:t>12</w:t>
      </w:r>
      <w:r>
        <w:rPr>
          <w:spacing w:val="-3"/>
        </w:rPr>
        <w:t>月至今，任北京市</w:t>
      </w:r>
      <w:r>
        <w:rPr>
          <w:spacing w:val="11"/>
        </w:rPr>
        <w:t> </w:t>
      </w:r>
      <w:r>
        <w:rPr>
          <w:spacing w:val="11"/>
        </w:rPr>
      </w:r>
      <w:r>
        <w:rPr>
          <w:spacing w:val="-3"/>
        </w:rPr>
        <w:t>六合金证律师事务所律师；</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12</w:t>
      </w:r>
      <w:r>
        <w:rPr>
          <w:spacing w:val="-3"/>
        </w:rPr>
        <w:t>月至今，任保定银行股份有限公司独立董事；</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月至今，任北京合纵科技股份有</w:t>
      </w:r>
      <w:r>
        <w:rPr>
          <w:spacing w:val="3"/>
        </w:rPr>
        <w:t> </w:t>
      </w:r>
      <w:r>
        <w:rPr>
          <w:spacing w:val="3"/>
        </w:rPr>
      </w:r>
      <w:r>
        <w:rPr/>
        <w:t>限公司独立董事。</w:t>
      </w:r>
    </w:p>
    <w:p>
      <w:pPr>
        <w:pStyle w:val="BodyText"/>
        <w:spacing w:line="300" w:lineRule="auto" w:before="63"/>
        <w:ind w:right="1122" w:firstLine="360"/>
        <w:jc w:val="both"/>
      </w:pPr>
      <w:r>
        <w:rPr>
          <w:spacing w:val="-2"/>
        </w:rPr>
        <w:t>刘卫东先生，</w:t>
      </w:r>
      <w:r>
        <w:rPr>
          <w:rFonts w:ascii="Times New Roman" w:hAnsi="Times New Roman" w:cs="Times New Roman" w:eastAsia="Times New Roman" w:hint="default"/>
          <w:spacing w:val="-2"/>
        </w:rPr>
        <w:t>1961</w:t>
      </w:r>
      <w:r>
        <w:rPr>
          <w:spacing w:val="-2"/>
        </w:rPr>
        <w:t>年生，现为清华大学电机系高电压与绝缘技术研究所研究员，清华大学</w:t>
      </w:r>
      <w:r>
        <w:rPr>
          <w:rFonts w:ascii="Times New Roman" w:hAnsi="Times New Roman" w:cs="Times New Roman" w:eastAsia="Times New Roman" w:hint="default"/>
          <w:spacing w:val="-2"/>
        </w:rPr>
        <w:t>-</w:t>
      </w:r>
      <w:r>
        <w:rPr>
          <w:spacing w:val="-2"/>
        </w:rPr>
        <w:t>平高集团电气技术联合研究</w:t>
      </w:r>
      <w:r>
        <w:rPr>
          <w:w w:val="101"/>
        </w:rPr>
        <w:t> </w:t>
      </w:r>
      <w:r>
        <w:rPr>
          <w:spacing w:val="-4"/>
        </w:rPr>
        <w:t>中心主任。</w:t>
      </w:r>
      <w:r>
        <w:rPr>
          <w:rFonts w:ascii="Times New Roman" w:hAnsi="Times New Roman" w:cs="Times New Roman" w:eastAsia="Times New Roman" w:hint="default"/>
          <w:spacing w:val="-4"/>
        </w:rPr>
        <w:t>1982</w:t>
      </w:r>
      <w:r>
        <w:rPr>
          <w:spacing w:val="-4"/>
        </w:rPr>
        <w:t>年上海交通大学电工与计算机科学系本科毕业，获工学学士学位；</w:t>
      </w:r>
      <w:r>
        <w:rPr>
          <w:rFonts w:ascii="Times New Roman" w:hAnsi="Times New Roman" w:cs="Times New Roman" w:eastAsia="Times New Roman" w:hint="default"/>
          <w:spacing w:val="-4"/>
        </w:rPr>
        <w:t>1985</w:t>
      </w:r>
      <w:r>
        <w:rPr>
          <w:spacing w:val="-4"/>
        </w:rPr>
        <w:t>年清华大学电机系硕士毕业，获工学</w:t>
      </w:r>
      <w:r>
        <w:rPr>
          <w:spacing w:val="57"/>
        </w:rPr>
        <w:t> </w:t>
      </w:r>
      <w:r>
        <w:rPr>
          <w:spacing w:val="57"/>
        </w:rPr>
      </w:r>
      <w:r>
        <w:rPr>
          <w:spacing w:val="-2"/>
        </w:rPr>
        <w:t>硕士学位；</w:t>
      </w:r>
      <w:r>
        <w:rPr>
          <w:rFonts w:ascii="Times New Roman" w:hAnsi="Times New Roman" w:cs="Times New Roman" w:eastAsia="Times New Roman" w:hint="default"/>
          <w:spacing w:val="-2"/>
        </w:rPr>
        <w:t>1989</w:t>
      </w:r>
      <w:r>
        <w:rPr>
          <w:spacing w:val="-2"/>
        </w:rPr>
        <w:t>年清华大学电机系博士毕业，获工学博士学位；</w:t>
      </w:r>
      <w:r>
        <w:rPr>
          <w:rFonts w:ascii="Times New Roman" w:hAnsi="Times New Roman" w:cs="Times New Roman" w:eastAsia="Times New Roman" w:hint="default"/>
          <w:spacing w:val="-2"/>
        </w:rPr>
        <w:t>1989</w:t>
      </w:r>
      <w:r>
        <w:rPr>
          <w:spacing w:val="-2"/>
        </w:rPr>
        <w:t>年至今在清华大学电机系任教，</w:t>
      </w:r>
      <w:r>
        <w:rPr>
          <w:rFonts w:ascii="Times New Roman" w:hAnsi="Times New Roman" w:cs="Times New Roman" w:eastAsia="Times New Roman" w:hint="default"/>
          <w:spacing w:val="-2"/>
        </w:rPr>
        <w:t>1990-1992</w:t>
      </w:r>
      <w:r>
        <w:rPr>
          <w:spacing w:val="-2"/>
        </w:rPr>
        <w:t>年英国利物</w:t>
      </w:r>
      <w:r>
        <w:rPr>
          <w:spacing w:val="73"/>
        </w:rPr>
        <w:t> </w:t>
      </w:r>
      <w:r>
        <w:rPr>
          <w:spacing w:val="73"/>
        </w:rPr>
      </w:r>
      <w:r>
        <w:rPr>
          <w:spacing w:val="-3"/>
        </w:rPr>
        <w:t>浦大学访问学者，</w:t>
      </w:r>
      <w:r>
        <w:rPr>
          <w:rFonts w:ascii="Times New Roman" w:hAnsi="Times New Roman" w:cs="Times New Roman" w:eastAsia="Times New Roman" w:hint="default"/>
          <w:spacing w:val="-3"/>
        </w:rPr>
        <w:t>1996-1998</w:t>
      </w:r>
      <w:r>
        <w:rPr>
          <w:spacing w:val="-3"/>
        </w:rPr>
        <w:t>年清华大学电机系副系主任，</w:t>
      </w:r>
      <w:r>
        <w:rPr>
          <w:rFonts w:ascii="Times New Roman" w:hAnsi="Times New Roman" w:cs="Times New Roman" w:eastAsia="Times New Roman" w:hint="default"/>
          <w:spacing w:val="-3"/>
        </w:rPr>
        <w:t>1997-2005</w:t>
      </w:r>
      <w:r>
        <w:rPr>
          <w:spacing w:val="-3"/>
        </w:rPr>
        <w:t>年清华大学电力系统控制和仿真国家重点实验室常务副</w:t>
      </w:r>
      <w:r>
        <w:rPr>
          <w:spacing w:val="70"/>
        </w:rPr>
        <w:t> </w:t>
      </w:r>
      <w:r>
        <w:rPr>
          <w:spacing w:val="70"/>
        </w:rPr>
      </w:r>
      <w:r>
        <w:rPr>
          <w:spacing w:val="-4"/>
        </w:rPr>
        <w:t>主任，</w:t>
      </w:r>
      <w:r>
        <w:rPr>
          <w:rFonts w:ascii="Times New Roman" w:hAnsi="Times New Roman" w:cs="Times New Roman" w:eastAsia="Times New Roman" w:hint="default"/>
          <w:spacing w:val="-4"/>
        </w:rPr>
        <w:t>1994</w:t>
      </w:r>
      <w:r>
        <w:rPr>
          <w:spacing w:val="-4"/>
        </w:rPr>
        <w:t>年任副教授，</w:t>
      </w:r>
      <w:r>
        <w:rPr>
          <w:rFonts w:ascii="Times New Roman" w:hAnsi="Times New Roman" w:cs="Times New Roman" w:eastAsia="Times New Roman" w:hint="default"/>
          <w:spacing w:val="-4"/>
        </w:rPr>
        <w:t>2003</w:t>
      </w:r>
      <w:r>
        <w:rPr>
          <w:spacing w:val="-4"/>
        </w:rPr>
        <w:t>年任研究员。中国电机工程学会和中国电工技术学会会员；《高压电器》期刊编委，中国电机</w:t>
      </w:r>
    </w:p>
    <w:p>
      <w:pPr>
        <w:spacing w:after="0" w:line="300"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7" w:lineRule="auto" w:before="46"/>
        <w:ind w:right="1122"/>
        <w:jc w:val="both"/>
      </w:pPr>
      <w:r>
        <w:rPr>
          <w:spacing w:val="-4"/>
        </w:rPr>
        <w:t>工程学会变电专业委员会委员，中国电工技术学会电弧与电接触专委会委员，高压开关标委会委员，熔断器标委会委员。主</w:t>
      </w:r>
      <w:r>
        <w:rPr>
          <w:spacing w:val="40"/>
        </w:rPr>
        <w:t> </w:t>
      </w:r>
      <w:r>
        <w:rPr>
          <w:spacing w:val="40"/>
        </w:rPr>
      </w:r>
      <w:r>
        <w:rPr>
          <w:spacing w:val="-3"/>
        </w:rPr>
        <w:t>要从事高压电器领域的研究，和国内外电力行业和电力设备制造行业有广泛合作研究，主要研究方向：（</w:t>
      </w:r>
      <w:r>
        <w:rPr>
          <w:rFonts w:ascii="Times New Roman" w:hAnsi="Times New Roman" w:cs="Times New Roman" w:eastAsia="Times New Roman" w:hint="default"/>
          <w:spacing w:val="-3"/>
        </w:rPr>
        <w:t>1</w:t>
      </w:r>
      <w:r>
        <w:rPr>
          <w:spacing w:val="-3"/>
        </w:rPr>
        <w:t>）高电压断路器</w:t>
      </w:r>
      <w:r>
        <w:rPr>
          <w:spacing w:val="76"/>
        </w:rPr>
        <w:t> </w:t>
      </w:r>
      <w:r>
        <w:rPr>
          <w:spacing w:val="76"/>
        </w:rPr>
      </w:r>
      <w:r>
        <w:rPr>
          <w:spacing w:val="-3"/>
        </w:rPr>
        <w:t>电弧特性：通过实验和仿真，研究高电压断路器的电弧特性和影响因素，为提高断路器开断性能提供技术支持；（</w:t>
      </w:r>
      <w:r>
        <w:rPr>
          <w:rFonts w:ascii="Times New Roman" w:hAnsi="Times New Roman" w:cs="Times New Roman" w:eastAsia="Times New Roman" w:hint="default"/>
          <w:spacing w:val="-3"/>
        </w:rPr>
        <w:t>2</w:t>
      </w:r>
      <w:r>
        <w:rPr>
          <w:spacing w:val="-3"/>
        </w:rPr>
        <w:t>）电力</w:t>
      </w:r>
      <w:r>
        <w:rPr>
          <w:spacing w:val="77"/>
        </w:rPr>
        <w:t> </w:t>
      </w:r>
      <w:r>
        <w:rPr>
          <w:spacing w:val="77"/>
        </w:rPr>
      </w:r>
      <w:r>
        <w:rPr>
          <w:spacing w:val="-4"/>
        </w:rPr>
        <w:t>系统操作过电压：针对电力系统中开关运行的不同电路条件，研究开关操作产生的系统暂态和过电压，包括特快速暂态过电</w:t>
      </w:r>
      <w:r>
        <w:rPr>
          <w:spacing w:val="44"/>
        </w:rPr>
        <w:t> </w:t>
      </w:r>
      <w:r>
        <w:rPr>
          <w:spacing w:val="44"/>
        </w:rPr>
      </w:r>
      <w:r>
        <w:rPr>
          <w:spacing w:val="-2"/>
        </w:rPr>
        <w:t>压（</w:t>
      </w:r>
      <w:r>
        <w:rPr>
          <w:rFonts w:ascii="Times New Roman" w:hAnsi="Times New Roman" w:cs="Times New Roman" w:eastAsia="Times New Roman" w:hint="default"/>
          <w:spacing w:val="-2"/>
        </w:rPr>
        <w:t>VFTO</w:t>
      </w:r>
      <w:r>
        <w:rPr>
          <w:spacing w:val="-2"/>
        </w:rPr>
        <w:t>）、电力设备暂态壳体电位升（</w:t>
      </w:r>
      <w:r>
        <w:rPr>
          <w:rFonts w:ascii="Times New Roman" w:hAnsi="Times New Roman" w:cs="Times New Roman" w:eastAsia="Times New Roman" w:hint="default"/>
          <w:spacing w:val="-2"/>
        </w:rPr>
        <w:t>TEVR</w:t>
      </w:r>
      <w:r>
        <w:rPr>
          <w:spacing w:val="-2"/>
        </w:rPr>
        <w:t>）和真空开关开断过电压等，研究对不同形式过电压进行测量、分析和抑</w:t>
      </w:r>
      <w:r>
        <w:rPr>
          <w:spacing w:val="79"/>
        </w:rPr>
        <w:t> </w:t>
      </w:r>
      <w:r>
        <w:rPr>
          <w:spacing w:val="79"/>
        </w:rPr>
      </w:r>
      <w:r>
        <w:rPr>
          <w:spacing w:val="-1"/>
        </w:rPr>
        <w:t>制的技术，减小电力系统过电压的危害；（</w:t>
      </w:r>
      <w:r>
        <w:rPr>
          <w:rFonts w:ascii="Times New Roman" w:hAnsi="Times New Roman" w:cs="Times New Roman" w:eastAsia="Times New Roman" w:hint="default"/>
          <w:spacing w:val="-1"/>
        </w:rPr>
        <w:t>3</w:t>
      </w:r>
      <w:r>
        <w:rPr>
          <w:spacing w:val="-1"/>
        </w:rPr>
        <w:t>）电力设备状态检测和故障诊断：针对开关、断路器、</w:t>
      </w:r>
      <w:r>
        <w:rPr>
          <w:rFonts w:ascii="Times New Roman" w:hAnsi="Times New Roman" w:cs="Times New Roman" w:eastAsia="Times New Roman" w:hint="default"/>
          <w:spacing w:val="-1"/>
        </w:rPr>
        <w:t>GIS</w:t>
      </w:r>
      <w:r>
        <w:rPr>
          <w:spacing w:val="-1"/>
        </w:rPr>
        <w:t>和互感器等主要电</w:t>
      </w:r>
      <w:r>
        <w:rPr>
          <w:spacing w:val="47"/>
        </w:rPr>
        <w:t> </w:t>
      </w:r>
      <w:r>
        <w:rPr>
          <w:spacing w:val="-4"/>
        </w:rPr>
        <w:t>力设备，研究和建立对其局部放电、介质损耗、温升等设备运行状态量进行状态检测和故障诊断的技术，满足电力设备状态</w:t>
      </w:r>
      <w:r>
        <w:rPr>
          <w:spacing w:val="40"/>
        </w:rPr>
        <w:t> </w:t>
      </w:r>
      <w:r>
        <w:rPr>
          <w:spacing w:val="40"/>
        </w:rPr>
      </w:r>
      <w:r>
        <w:rPr>
          <w:spacing w:val="-3"/>
        </w:rPr>
        <w:t>维修和智能化电力设备发展的需求；（</w:t>
      </w:r>
      <w:r>
        <w:rPr>
          <w:rFonts w:ascii="Times New Roman" w:hAnsi="Times New Roman" w:cs="Times New Roman" w:eastAsia="Times New Roman" w:hint="default"/>
          <w:spacing w:val="-3"/>
        </w:rPr>
        <w:t>4</w:t>
      </w:r>
      <w:r>
        <w:rPr>
          <w:spacing w:val="-3"/>
        </w:rPr>
        <w:t>）电力系统故障电流限制器技术：研究和探索新型限流原理，提出了基于工频零点</w:t>
      </w:r>
      <w:r>
        <w:rPr>
          <w:spacing w:val="75"/>
        </w:rPr>
        <w:t> </w:t>
      </w:r>
      <w:r>
        <w:rPr>
          <w:spacing w:val="75"/>
        </w:rPr>
      </w:r>
      <w:r>
        <w:rPr>
          <w:spacing w:val="-3"/>
        </w:rPr>
        <w:t>电流转移的限流器方式，解决电力系统故障电流增大导致的断路器开断困难。</w:t>
      </w:r>
    </w:p>
    <w:p>
      <w:pPr>
        <w:pStyle w:val="BodyText"/>
        <w:spacing w:line="312" w:lineRule="auto" w:before="60"/>
        <w:ind w:right="1124" w:firstLine="360"/>
        <w:jc w:val="both"/>
      </w:pPr>
      <w:r>
        <w:rPr>
          <w:spacing w:val="-3"/>
        </w:rPr>
        <w:t>张金鑫先生，</w:t>
      </w:r>
      <w:r>
        <w:rPr>
          <w:rFonts w:ascii="Times New Roman" w:hAnsi="Times New Roman" w:cs="Times New Roman" w:eastAsia="Times New Roman" w:hint="default"/>
          <w:spacing w:val="-3"/>
        </w:rPr>
        <w:t>1971</w:t>
      </w:r>
      <w:r>
        <w:rPr>
          <w:spacing w:val="-3"/>
        </w:rPr>
        <w:t>年生</w:t>
      </w:r>
      <w:r>
        <w:rPr>
          <w:rFonts w:ascii="Times New Roman" w:hAnsi="Times New Roman" w:cs="Times New Roman" w:eastAsia="Times New Roman" w:hint="default"/>
          <w:spacing w:val="-3"/>
        </w:rPr>
        <w:t>,</w:t>
      </w:r>
      <w:r>
        <w:rPr>
          <w:spacing w:val="-3"/>
        </w:rPr>
        <w:t>毕业于北京交通大学</w:t>
      </w:r>
      <w:r>
        <w:rPr>
          <w:rFonts w:ascii="Times New Roman" w:hAnsi="Times New Roman" w:cs="Times New Roman" w:eastAsia="Times New Roman" w:hint="default"/>
          <w:spacing w:val="-3"/>
        </w:rPr>
        <w:t>,</w:t>
      </w:r>
      <w:r>
        <w:rPr>
          <w:spacing w:val="-3"/>
        </w:rPr>
        <w:t>博士研究生学历，博士学位。现任诚通基金管理有限公司执行总监，兼任</w:t>
      </w:r>
      <w:r>
        <w:rPr>
          <w:w w:val="101"/>
        </w:rPr>
        <w:t> </w:t>
      </w:r>
      <w:r>
        <w:rPr>
          <w:spacing w:val="-4"/>
        </w:rPr>
        <w:t>合纵科技、同济堂、锦波生物独立董事。曾任北京交通大学经济管理学院会计系副主任、中国企业兼并重组研究中心执行主</w:t>
      </w:r>
      <w:r>
        <w:rPr>
          <w:spacing w:val="40"/>
        </w:rPr>
        <w:t> </w:t>
      </w:r>
      <w:r>
        <w:rPr>
          <w:spacing w:val="40"/>
        </w:rPr>
      </w:r>
      <w:r>
        <w:rPr>
          <w:spacing w:val="-4"/>
        </w:rPr>
        <w:t>任、中国管理现代化研究会并购重组研究专业委员会秘书长、北京随视传媒科技股份有限公司监事会主席，也曾服务于第一</w:t>
      </w:r>
      <w:r>
        <w:rPr>
          <w:spacing w:val="43"/>
        </w:rPr>
        <w:t> </w:t>
      </w:r>
      <w:r>
        <w:rPr>
          <w:spacing w:val="43"/>
        </w:rPr>
      </w:r>
      <w:r>
        <w:rPr>
          <w:spacing w:val="-2"/>
        </w:rPr>
        <w:t>创业证券及联想集团。他是加州大学洛杉矶分校访问学者，著有《并购谁</w:t>
      </w:r>
      <w:r>
        <w:rPr>
          <w:rFonts w:ascii="Times New Roman" w:hAnsi="Times New Roman" w:cs="Times New Roman" w:eastAsia="Times New Roman" w:hint="default"/>
          <w:spacing w:val="-2"/>
        </w:rPr>
        <w:t>-</w:t>
      </w:r>
      <w:r>
        <w:rPr>
          <w:spacing w:val="-2"/>
        </w:rPr>
        <w:t>并购双方资源匹配战略分析》、《企业并购》、</w:t>
      </w:r>
    </w:p>
    <w:p>
      <w:pPr>
        <w:pStyle w:val="BodyText"/>
        <w:spacing w:line="312" w:lineRule="auto" w:before="3"/>
        <w:ind w:right="1124"/>
        <w:jc w:val="both"/>
      </w:pPr>
      <w:r>
        <w:rPr>
          <w:spacing w:val="-2"/>
        </w:rPr>
        <w:t>《股权投资》，主编《中国企业并购年鉴》（</w:t>
      </w:r>
      <w:r>
        <w:rPr>
          <w:rFonts w:ascii="Times New Roman" w:hAnsi="Times New Roman" w:cs="Times New Roman" w:eastAsia="Times New Roman" w:hint="default"/>
          <w:spacing w:val="-2"/>
        </w:rPr>
        <w:t>2006-2013</w:t>
      </w:r>
      <w:r>
        <w:rPr>
          <w:spacing w:val="-2"/>
        </w:rPr>
        <w:t>各年度）、《中央企业并购年鉴</w:t>
      </w:r>
      <w:r>
        <w:rPr>
          <w:rFonts w:ascii="Times New Roman" w:hAnsi="Times New Roman" w:cs="Times New Roman" w:eastAsia="Times New Roman" w:hint="default"/>
          <w:spacing w:val="-2"/>
        </w:rPr>
        <w:t>2010</w:t>
      </w:r>
      <w:r>
        <w:rPr>
          <w:spacing w:val="-2"/>
        </w:rPr>
        <w:t>》，在《会计研究》、《财政</w:t>
      </w:r>
      <w:r>
        <w:rPr>
          <w:spacing w:val="64"/>
        </w:rPr>
        <w:t> </w:t>
      </w:r>
      <w:r>
        <w:rPr>
          <w:spacing w:val="64"/>
        </w:rPr>
      </w:r>
      <w:r>
        <w:rPr>
          <w:spacing w:val="-4"/>
        </w:rPr>
        <w:t>研究》等期刊发表学术论文数十篇。他曾主持完成了《中央企业战略性重组研究》、《中央企业跨国并购问题研究》、《中</w:t>
      </w:r>
      <w:r>
        <w:rPr>
          <w:spacing w:val="40"/>
        </w:rPr>
        <w:t> </w:t>
      </w:r>
      <w:r>
        <w:rPr>
          <w:spacing w:val="40"/>
        </w:rPr>
      </w:r>
      <w:r>
        <w:rPr>
          <w:spacing w:val="-3"/>
        </w:rPr>
        <w:t>国资本市场并购套利策略理论与实证》等多项部级课题。</w:t>
      </w:r>
    </w:p>
    <w:p>
      <w:pPr>
        <w:pStyle w:val="Heading4"/>
        <w:spacing w:line="240" w:lineRule="auto" w:before="65"/>
        <w:ind w:right="0"/>
        <w:jc w:val="left"/>
        <w:rPr>
          <w:b w:val="0"/>
          <w:bCs w:val="0"/>
        </w:rPr>
      </w:pPr>
      <w:r>
        <w:rPr>
          <w:rFonts w:ascii="Times New Roman" w:hAnsi="Times New Roman" w:cs="Times New Roman" w:eastAsia="Times New Roman" w:hint="default"/>
        </w:rPr>
        <w:t>2</w:t>
      </w:r>
      <w:r>
        <w:rPr/>
        <w:t>、监事会成员</w:t>
      </w:r>
      <w:r>
        <w:rPr>
          <w:b w:val="0"/>
          <w:bCs w:val="0"/>
        </w:rPr>
      </w:r>
    </w:p>
    <w:p>
      <w:pPr>
        <w:pStyle w:val="BodyText"/>
        <w:spacing w:line="302" w:lineRule="auto" w:before="96"/>
        <w:ind w:right="1122" w:firstLine="360"/>
        <w:jc w:val="both"/>
      </w:pPr>
      <w:r>
        <w:rPr>
          <w:spacing w:val="-4"/>
        </w:rPr>
        <w:t>王维平先生，</w:t>
      </w:r>
      <w:r>
        <w:rPr>
          <w:rFonts w:ascii="Times New Roman" w:hAnsi="Times New Roman" w:cs="Times New Roman" w:eastAsia="Times New Roman" w:hint="default"/>
          <w:spacing w:val="-4"/>
        </w:rPr>
        <w:t>1966</w:t>
      </w:r>
      <w:r>
        <w:rPr>
          <w:spacing w:val="-4"/>
        </w:rPr>
        <w:t>年生，中国国籍，工程师。</w:t>
      </w:r>
      <w:r>
        <w:rPr>
          <w:rFonts w:ascii="Times New Roman" w:hAnsi="Times New Roman" w:cs="Times New Roman" w:eastAsia="Times New Roman" w:hint="default"/>
          <w:spacing w:val="-4"/>
        </w:rPr>
        <w:t>1992</w:t>
      </w:r>
      <w:r>
        <w:rPr>
          <w:rFonts w:ascii="Times New Roman" w:hAnsi="Times New Roman" w:cs="Times New Roman" w:eastAsia="Times New Roman" w:hint="default"/>
          <w:spacing w:val="15"/>
        </w:rPr>
        <w:t> </w:t>
      </w:r>
      <w:r>
        <w:rPr>
          <w:spacing w:val="-4"/>
        </w:rPr>
        <w:t>年</w:t>
      </w:r>
      <w:r>
        <w:rPr>
          <w:rFonts w:ascii="Times New Roman" w:hAnsi="Times New Roman" w:cs="Times New Roman" w:eastAsia="Times New Roman" w:hint="default"/>
          <w:spacing w:val="-4"/>
        </w:rPr>
        <w:t>7</w:t>
      </w:r>
      <w:r>
        <w:rPr>
          <w:spacing w:val="-4"/>
        </w:rPr>
        <w:t>月，毕业于西安科技大学（原西安矿业学院）通信工程专业，获</w:t>
      </w:r>
      <w:r>
        <w:rPr>
          <w:w w:val="101"/>
        </w:rPr>
        <w:t> </w:t>
      </w:r>
      <w:r>
        <w:rPr>
          <w:spacing w:val="-4"/>
        </w:rPr>
        <w:t>学士学位。</w:t>
      </w:r>
      <w:r>
        <w:rPr>
          <w:rFonts w:ascii="Times New Roman" w:hAnsi="Times New Roman" w:cs="Times New Roman" w:eastAsia="Times New Roman" w:hint="default"/>
          <w:spacing w:val="-4"/>
        </w:rPr>
        <w:t>1992</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1996</w:t>
      </w:r>
      <w:r>
        <w:rPr>
          <w:spacing w:val="-4"/>
        </w:rPr>
        <w:t>年</w:t>
      </w:r>
      <w:r>
        <w:rPr>
          <w:rFonts w:ascii="Times New Roman" w:hAnsi="Times New Roman" w:cs="Times New Roman" w:eastAsia="Times New Roman" w:hint="default"/>
          <w:spacing w:val="-4"/>
        </w:rPr>
        <w:t>7</w:t>
      </w:r>
      <w:r>
        <w:rPr>
          <w:spacing w:val="-4"/>
        </w:rPr>
        <w:t>月，北京工业职业技术学院（原北京煤炭工业学校），教师；</w:t>
      </w:r>
      <w:r>
        <w:rPr>
          <w:rFonts w:ascii="Times New Roman" w:hAnsi="Times New Roman" w:cs="Times New Roman" w:eastAsia="Times New Roman" w:hint="default"/>
          <w:spacing w:val="-4"/>
        </w:rPr>
        <w:t>1996</w:t>
      </w:r>
      <w:r>
        <w:rPr>
          <w:spacing w:val="-4"/>
        </w:rPr>
        <w:t>年</w:t>
      </w:r>
      <w:r>
        <w:rPr>
          <w:rFonts w:ascii="Times New Roman" w:hAnsi="Times New Roman" w:cs="Times New Roman" w:eastAsia="Times New Roman" w:hint="default"/>
          <w:spacing w:val="-4"/>
        </w:rPr>
        <w:t>8</w:t>
      </w:r>
      <w:r>
        <w:rPr>
          <w:spacing w:val="-4"/>
        </w:rPr>
        <w:t>月至</w:t>
      </w:r>
      <w:r>
        <w:rPr>
          <w:rFonts w:ascii="Times New Roman" w:hAnsi="Times New Roman" w:cs="Times New Roman" w:eastAsia="Times New Roman" w:hint="default"/>
          <w:spacing w:val="-4"/>
        </w:rPr>
        <w:t>1997</w:t>
      </w:r>
      <w:r>
        <w:rPr>
          <w:spacing w:val="-4"/>
        </w:rPr>
        <w:t>年</w:t>
      </w:r>
      <w:r>
        <w:rPr>
          <w:rFonts w:ascii="Times New Roman" w:hAnsi="Times New Roman" w:cs="Times New Roman" w:eastAsia="Times New Roman" w:hint="default"/>
          <w:spacing w:val="-4"/>
        </w:rPr>
        <w:t>8</w:t>
      </w:r>
      <w:r>
        <w:rPr>
          <w:spacing w:val="-4"/>
        </w:rPr>
        <w:t>月，北京</w:t>
      </w:r>
      <w:r>
        <w:rPr>
          <w:spacing w:val="81"/>
        </w:rPr>
        <w:t> </w:t>
      </w:r>
      <w:r>
        <w:rPr>
          <w:spacing w:val="81"/>
        </w:rPr>
      </w:r>
      <w:r>
        <w:rPr>
          <w:spacing w:val="-4"/>
        </w:rPr>
        <w:t>正信通信技术有限公司，工程师；</w:t>
      </w:r>
      <w:r>
        <w:rPr>
          <w:rFonts w:ascii="Times New Roman" w:hAnsi="Times New Roman" w:cs="Times New Roman" w:eastAsia="Times New Roman" w:hint="default"/>
          <w:spacing w:val="-4"/>
        </w:rPr>
        <w:t>1997</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2</w:t>
      </w:r>
      <w:r>
        <w:rPr>
          <w:spacing w:val="-4"/>
        </w:rPr>
        <w:t>月，历任公司通信产品部经理、采购供应部经理、生产部总经理、行</w:t>
      </w:r>
      <w:r>
        <w:rPr>
          <w:spacing w:val="61"/>
        </w:rPr>
        <w:t> </w:t>
      </w:r>
      <w:r>
        <w:rPr>
          <w:spacing w:val="61"/>
        </w:rPr>
      </w:r>
      <w:r>
        <w:rPr>
          <w:spacing w:val="-3"/>
        </w:rPr>
        <w:t>政部经理、基建部经理等职；</w:t>
      </w:r>
      <w:r>
        <w:rPr>
          <w:rFonts w:ascii="Times New Roman" w:hAnsi="Times New Roman" w:cs="Times New Roman" w:eastAsia="Times New Roman" w:hint="default"/>
          <w:spacing w:val="-3"/>
        </w:rPr>
        <w:t>2007</w:t>
      </w:r>
      <w:r>
        <w:rPr>
          <w:spacing w:val="-3"/>
        </w:rPr>
        <w:t>年</w:t>
      </w:r>
      <w:r>
        <w:rPr>
          <w:rFonts w:ascii="Times New Roman" w:hAnsi="Times New Roman" w:cs="Times New Roman" w:eastAsia="Times New Roman" w:hint="default"/>
          <w:spacing w:val="-3"/>
        </w:rPr>
        <w:t>3</w:t>
      </w:r>
      <w:r>
        <w:rPr>
          <w:spacing w:val="-3"/>
        </w:rPr>
        <w:t>月至今，任公司监事会主席。</w:t>
      </w:r>
    </w:p>
    <w:p>
      <w:pPr>
        <w:pStyle w:val="BodyText"/>
        <w:spacing w:line="302" w:lineRule="auto" w:before="44"/>
        <w:ind w:right="1122" w:firstLine="360"/>
        <w:jc w:val="both"/>
      </w:pPr>
      <w:r>
        <w:rPr>
          <w:spacing w:val="-2"/>
        </w:rPr>
        <w:t>郭言娜女士，</w:t>
      </w:r>
      <w:r>
        <w:rPr>
          <w:rFonts w:ascii="Times New Roman" w:hAnsi="Times New Roman" w:cs="Times New Roman" w:eastAsia="Times New Roman" w:hint="default"/>
          <w:spacing w:val="-2"/>
        </w:rPr>
        <w:t>1987</w:t>
      </w:r>
      <w:r>
        <w:rPr>
          <w:spacing w:val="-2"/>
        </w:rPr>
        <w:t>年生，中国国籍，初级会计师。</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月，毕业于中国矿业大学（北京），获学士学位。</w:t>
      </w:r>
      <w:r>
        <w:rPr>
          <w:rFonts w:ascii="Times New Roman" w:hAnsi="Times New Roman" w:cs="Times New Roman" w:eastAsia="Times New Roman" w:hint="default"/>
          <w:spacing w:val="-2"/>
        </w:rPr>
        <w:t>2013.5.21</w:t>
      </w:r>
      <w:r>
        <w:rPr>
          <w:rFonts w:ascii="Times New Roman" w:hAnsi="Times New Roman" w:cs="Times New Roman" w:eastAsia="Times New Roman" w:hint="default"/>
          <w:w w:val="101"/>
        </w:rPr>
        <w:t> </w:t>
      </w:r>
      <w:r>
        <w:rPr>
          <w:spacing w:val="-3"/>
        </w:rPr>
        <w:t>取得初级会计师专业技术资格证书，</w:t>
      </w: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5</w:t>
      </w:r>
      <w:r>
        <w:rPr>
          <w:spacing w:val="-3"/>
        </w:rPr>
        <w:t>月至</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月，任北京意诚信通智能卡股份有限公司商务助理；</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5</w:t>
      </w:r>
      <w:r>
        <w:rPr>
          <w:spacing w:val="-3"/>
        </w:rPr>
        <w:t>月至</w:t>
      </w:r>
      <w:r>
        <w:rPr>
          <w:spacing w:val="3"/>
        </w:rPr>
        <w:t> </w:t>
      </w:r>
      <w:r>
        <w:rPr>
          <w:spacing w:val="-3"/>
        </w:rPr>
        <w:t>今，任公司财务部会计。</w:t>
      </w:r>
    </w:p>
    <w:p>
      <w:pPr>
        <w:pStyle w:val="BodyText"/>
        <w:spacing w:line="302" w:lineRule="auto" w:before="68"/>
        <w:ind w:right="1122" w:firstLine="360"/>
        <w:jc w:val="both"/>
      </w:pPr>
      <w:r>
        <w:rPr>
          <w:spacing w:val="-2"/>
        </w:rPr>
        <w:t>张全中先生，</w:t>
      </w:r>
      <w:r>
        <w:rPr>
          <w:rFonts w:ascii="Times New Roman" w:hAnsi="Times New Roman" w:cs="Times New Roman" w:eastAsia="Times New Roman" w:hint="default"/>
          <w:spacing w:val="-2"/>
        </w:rPr>
        <w:t>1967</w:t>
      </w:r>
      <w:r>
        <w:rPr>
          <w:spacing w:val="-2"/>
        </w:rPr>
        <w:t>年生，中国国籍。</w:t>
      </w:r>
      <w:r>
        <w:rPr>
          <w:rFonts w:ascii="Times New Roman" w:hAnsi="Times New Roman" w:cs="Times New Roman" w:eastAsia="Times New Roman" w:hint="default"/>
          <w:spacing w:val="-2"/>
        </w:rPr>
        <w:t>1988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7</w:t>
      </w:r>
      <w:r>
        <w:rPr>
          <w:spacing w:val="-2"/>
        </w:rPr>
        <w:t>月，就读于华东工学院机电一体化专业。</w:t>
      </w:r>
      <w:r>
        <w:rPr>
          <w:rFonts w:ascii="Times New Roman" w:hAnsi="Times New Roman" w:cs="Times New Roman" w:eastAsia="Times New Roman" w:hint="default"/>
          <w:spacing w:val="-2"/>
        </w:rPr>
        <w:t>1991</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2004</w:t>
      </w:r>
      <w:r>
        <w:rPr>
          <w:spacing w:val="-2"/>
        </w:rPr>
        <w:t>年</w:t>
      </w:r>
      <w:r>
        <w:rPr>
          <w:w w:val="101"/>
        </w:rPr>
        <w:t> </w:t>
      </w:r>
      <w:r>
        <w:rPr>
          <w:rFonts w:ascii="Times New Roman" w:hAnsi="Times New Roman" w:cs="Times New Roman" w:eastAsia="Times New Roman" w:hint="default"/>
          <w:spacing w:val="-4"/>
        </w:rPr>
        <w:t>11</w:t>
      </w:r>
      <w:r>
        <w:rPr>
          <w:spacing w:val="-4"/>
        </w:rPr>
        <w:t>月，任平顶山市矿山机械厂副总经理、总工程师；</w:t>
      </w:r>
      <w:r>
        <w:rPr>
          <w:rFonts w:ascii="Times New Roman" w:hAnsi="Times New Roman" w:cs="Times New Roman" w:eastAsia="Times New Roman" w:hint="default"/>
          <w:spacing w:val="-4"/>
        </w:rPr>
        <w:t>2004</w:t>
      </w:r>
      <w:r>
        <w:rPr>
          <w:spacing w:val="-4"/>
        </w:rPr>
        <w:t>年</w:t>
      </w:r>
      <w:r>
        <w:rPr>
          <w:rFonts w:ascii="Times New Roman" w:hAnsi="Times New Roman" w:cs="Times New Roman" w:eastAsia="Times New Roman" w:hint="default"/>
          <w:spacing w:val="-4"/>
        </w:rPr>
        <w:t>12</w:t>
      </w:r>
      <w:r>
        <w:rPr>
          <w:spacing w:val="-4"/>
        </w:rPr>
        <w:t>月至</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6</w:t>
      </w:r>
      <w:r>
        <w:rPr>
          <w:spacing w:val="-4"/>
        </w:rPr>
        <w:t>月，任公司生产部总经理；</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7</w:t>
      </w:r>
      <w:r>
        <w:rPr>
          <w:spacing w:val="-4"/>
        </w:rPr>
        <w:t>月至今，历任</w:t>
      </w:r>
      <w:r>
        <w:rPr>
          <w:spacing w:val="76"/>
        </w:rPr>
        <w:t> </w:t>
      </w:r>
      <w:r>
        <w:rPr>
          <w:spacing w:val="76"/>
        </w:rPr>
      </w:r>
      <w:r>
        <w:rPr>
          <w:spacing w:val="-3"/>
        </w:rPr>
        <w:t>公司营销服务中心副经理、基建部副总经理。现任公司柱上事业部总经理、监事。</w:t>
      </w:r>
    </w:p>
    <w:p>
      <w:pPr>
        <w:pStyle w:val="BodyText"/>
        <w:spacing w:line="350" w:lineRule="auto" w:before="68"/>
        <w:ind w:left="513" w:right="5655"/>
        <w:jc w:val="left"/>
      </w:pPr>
      <w:r>
        <w:rPr>
          <w:rFonts w:ascii="Times New Roman" w:hAnsi="Times New Roman" w:cs="Times New Roman" w:eastAsia="Times New Roman" w:hint="default"/>
          <w:b/>
          <w:bCs/>
        </w:rPr>
        <w:t>3</w:t>
      </w:r>
      <w:r>
        <w:rPr>
          <w:rFonts w:ascii="宋体" w:hAnsi="宋体" w:cs="宋体" w:eastAsia="宋体" w:hint="default"/>
          <w:b/>
          <w:bCs/>
        </w:rPr>
        <w:t>、高级管理人员</w:t>
      </w:r>
      <w:r>
        <w:rPr>
          <w:rFonts w:ascii="宋体" w:hAnsi="宋体" w:cs="宋体" w:eastAsia="宋体" w:hint="default"/>
          <w:b/>
          <w:bCs/>
          <w:spacing w:val="-88"/>
        </w:rPr>
        <w:t> </w:t>
      </w:r>
      <w:r>
        <w:rPr>
          <w:rFonts w:ascii="宋体" w:hAnsi="宋体" w:cs="宋体" w:eastAsia="宋体" w:hint="default"/>
          <w:b/>
          <w:bCs/>
          <w:spacing w:val="-88"/>
        </w:rPr>
      </w:r>
      <w:r>
        <w:rPr>
          <w:spacing w:val="-3"/>
        </w:rPr>
        <w:t>韦强先生，现任本公司总经理，简历见董事会介绍。</w:t>
      </w:r>
      <w:r>
        <w:rPr>
          <w:spacing w:val="-21"/>
        </w:rPr>
        <w:t> </w:t>
      </w:r>
      <w:r>
        <w:rPr>
          <w:spacing w:val="-21"/>
        </w:rPr>
      </w:r>
      <w:r>
        <w:rPr>
          <w:spacing w:val="-3"/>
        </w:rPr>
        <w:t>韩国良先生，现任本公司副总经理，简历见董事会介绍。</w:t>
      </w:r>
    </w:p>
    <w:p>
      <w:pPr>
        <w:pStyle w:val="BodyText"/>
        <w:spacing w:line="302" w:lineRule="auto" w:before="27"/>
        <w:ind w:right="1122" w:firstLine="360"/>
        <w:jc w:val="both"/>
      </w:pPr>
      <w:r>
        <w:rPr>
          <w:spacing w:val="-4"/>
        </w:rPr>
        <w:t>冯峥先生，</w:t>
      </w:r>
      <w:r>
        <w:rPr>
          <w:rFonts w:ascii="Times New Roman" w:hAnsi="Times New Roman" w:cs="Times New Roman" w:eastAsia="Times New Roman" w:hint="default"/>
          <w:spacing w:val="-4"/>
        </w:rPr>
        <w:t>1971</w:t>
      </w:r>
      <w:r>
        <w:rPr>
          <w:spacing w:val="-4"/>
        </w:rPr>
        <w:t>年生，中国国籍。</w:t>
      </w:r>
      <w:r>
        <w:rPr>
          <w:rFonts w:ascii="Times New Roman" w:hAnsi="Times New Roman" w:cs="Times New Roman" w:eastAsia="Times New Roman" w:hint="default"/>
          <w:spacing w:val="-4"/>
        </w:rPr>
        <w:t>1994</w:t>
      </w:r>
      <w:r>
        <w:rPr>
          <w:spacing w:val="-4"/>
        </w:rPr>
        <w:t>年</w:t>
      </w:r>
      <w:r>
        <w:rPr>
          <w:rFonts w:ascii="Times New Roman" w:hAnsi="Times New Roman" w:cs="Times New Roman" w:eastAsia="Times New Roman" w:hint="default"/>
          <w:spacing w:val="-4"/>
        </w:rPr>
        <w:t>7</w:t>
      </w:r>
      <w:r>
        <w:rPr>
          <w:spacing w:val="-4"/>
        </w:rPr>
        <w:t>月，毕业于北京电子工程学院电子工程专业，获学士学位；</w:t>
      </w:r>
      <w:r>
        <w:rPr>
          <w:rFonts w:ascii="Times New Roman" w:hAnsi="Times New Roman" w:cs="Times New Roman" w:eastAsia="Times New Roman" w:hint="default"/>
          <w:spacing w:val="-4"/>
        </w:rPr>
        <w:t>1997</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2000</w:t>
      </w:r>
      <w:r>
        <w:rPr>
          <w:rFonts w:ascii="Times New Roman" w:hAnsi="Times New Roman" w:cs="Times New Roman" w:eastAsia="Times New Roman" w:hint="default"/>
          <w:w w:val="101"/>
        </w:rPr>
        <w:t> </w:t>
      </w:r>
      <w:r>
        <w:rPr>
          <w:spacing w:val="-4"/>
        </w:rPr>
        <w:t>年</w:t>
      </w:r>
      <w:r>
        <w:rPr>
          <w:rFonts w:ascii="Times New Roman" w:hAnsi="Times New Roman" w:cs="Times New Roman" w:eastAsia="Times New Roman" w:hint="default"/>
          <w:spacing w:val="-4"/>
        </w:rPr>
        <w:t>3</w:t>
      </w:r>
      <w:r>
        <w:rPr>
          <w:spacing w:val="-4"/>
        </w:rPr>
        <w:t>月，就读于北方交通大学工商管理专业，获硕士学位。</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10</w:t>
      </w:r>
      <w:r>
        <w:rPr>
          <w:spacing w:val="-4"/>
        </w:rPr>
        <w:t>月至</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8</w:t>
      </w:r>
      <w:r>
        <w:rPr>
          <w:spacing w:val="-4"/>
        </w:rPr>
        <w:t>月，担任国家广电总局中数大正网络传输公</w:t>
      </w:r>
      <w:r>
        <w:rPr>
          <w:spacing w:val="60"/>
        </w:rPr>
        <w:t> </w:t>
      </w:r>
      <w:r>
        <w:rPr>
          <w:spacing w:val="60"/>
        </w:rPr>
      </w:r>
      <w:r>
        <w:rPr>
          <w:spacing w:val="-4"/>
        </w:rPr>
        <w:t>司技术总监；</w:t>
      </w:r>
      <w:r>
        <w:rPr>
          <w:rFonts w:ascii="Times New Roman" w:hAnsi="Times New Roman" w:cs="Times New Roman" w:eastAsia="Times New Roman" w:hint="default"/>
          <w:spacing w:val="-4"/>
        </w:rPr>
        <w:t>2001</w:t>
      </w:r>
      <w:r>
        <w:rPr>
          <w:spacing w:val="-4"/>
        </w:rPr>
        <w:t>年</w:t>
      </w:r>
      <w:r>
        <w:rPr>
          <w:rFonts w:ascii="Times New Roman" w:hAnsi="Times New Roman" w:cs="Times New Roman" w:eastAsia="Times New Roman" w:hint="default"/>
          <w:spacing w:val="-4"/>
        </w:rPr>
        <w:t>9</w:t>
      </w:r>
      <w:r>
        <w:rPr>
          <w:spacing w:val="-4"/>
        </w:rPr>
        <w:t>月至</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月，在中国风险投资有限公司任高级投资经理；</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3</w:t>
      </w:r>
      <w:r>
        <w:rPr>
          <w:spacing w:val="-4"/>
        </w:rPr>
        <w:t>月至</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7</w:t>
      </w:r>
      <w:r>
        <w:rPr>
          <w:spacing w:val="-4"/>
        </w:rPr>
        <w:t>月，任公司董事会秘</w:t>
      </w:r>
      <w:r>
        <w:rPr>
          <w:spacing w:val="80"/>
        </w:rPr>
        <w:t> </w:t>
      </w:r>
      <w:r>
        <w:rPr>
          <w:spacing w:val="80"/>
        </w:rPr>
      </w:r>
      <w:r>
        <w:rPr>
          <w:spacing w:val="-3"/>
        </w:rPr>
        <w:t>书，</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24</w:t>
      </w:r>
      <w:r>
        <w:rPr>
          <w:spacing w:val="-3"/>
        </w:rPr>
        <w:t>日起兼任公司副总经理，现任公司副总经理。</w:t>
      </w:r>
    </w:p>
    <w:p>
      <w:pPr>
        <w:pStyle w:val="BodyText"/>
        <w:spacing w:line="302" w:lineRule="auto" w:before="45"/>
        <w:ind w:right="1122" w:firstLine="360"/>
        <w:jc w:val="both"/>
      </w:pPr>
      <w:r>
        <w:rPr>
          <w:spacing w:val="-1"/>
        </w:rPr>
        <w:t>张舒先生，</w:t>
      </w:r>
      <w:r>
        <w:rPr>
          <w:spacing w:val="4"/>
        </w:rPr>
        <w:t> </w:t>
      </w:r>
      <w:r>
        <w:rPr>
          <w:rFonts w:ascii="Times New Roman" w:hAnsi="Times New Roman" w:cs="Times New Roman" w:eastAsia="Times New Roman" w:hint="default"/>
          <w:spacing w:val="-2"/>
        </w:rPr>
        <w:t>1984</w:t>
      </w:r>
      <w:r>
        <w:rPr>
          <w:spacing w:val="-2"/>
        </w:rPr>
        <w:t>年生，中国国籍，无境外永久居留权。</w:t>
      </w:r>
      <w:r>
        <w:rPr>
          <w:rFonts w:ascii="Times New Roman" w:hAnsi="Times New Roman" w:cs="Times New Roman" w:eastAsia="Times New Roman" w:hint="default"/>
          <w:spacing w:val="-2"/>
        </w:rPr>
        <w:t>2012</w:t>
      </w:r>
      <w:r>
        <w:rPr>
          <w:spacing w:val="-2"/>
        </w:rPr>
        <w:t>年毕业于清华大学电气工程专业，获工学博士学位。</w:t>
      </w:r>
      <w:r>
        <w:rPr>
          <w:rFonts w:ascii="Times New Roman" w:hAnsi="Times New Roman" w:cs="Times New Roman" w:eastAsia="Times New Roman" w:hint="default"/>
          <w:spacing w:val="-2"/>
        </w:rPr>
        <w:t>2012</w:t>
      </w:r>
      <w:r>
        <w:rPr>
          <w:rFonts w:ascii="Times New Roman" w:hAnsi="Times New Roman" w:cs="Times New Roman" w:eastAsia="Times New Roman" w:hint="default"/>
          <w:w w:val="101"/>
        </w:rPr>
        <w:t> </w:t>
      </w:r>
      <w:r>
        <w:rPr>
          <w:spacing w:val="-4"/>
        </w:rPr>
        <w:t>年</w:t>
      </w:r>
      <w:r>
        <w:rPr>
          <w:rFonts w:ascii="Times New Roman" w:hAnsi="Times New Roman" w:cs="Times New Roman" w:eastAsia="Times New Roman" w:hint="default"/>
          <w:spacing w:val="-4"/>
        </w:rPr>
        <w:t>7</w:t>
      </w:r>
      <w:r>
        <w:rPr>
          <w:spacing w:val="-4"/>
        </w:rPr>
        <w:t>月至</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月，任职于电力规划设计总院规划部工程师，国泰君安证券股份有限公司研究所分析师，北京千方集团有限</w:t>
      </w:r>
      <w:r>
        <w:rPr>
          <w:spacing w:val="56"/>
        </w:rPr>
        <w:t> </w:t>
      </w:r>
      <w:r>
        <w:rPr>
          <w:spacing w:val="56"/>
        </w:rPr>
      </w:r>
      <w:r>
        <w:rPr>
          <w:spacing w:val="-3"/>
        </w:rPr>
        <w:t>公司投资部投资总监。</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月至今，历任北京合纵科技股份有限公司总裁助理，现任公司副总裁、董事会秘书。</w:t>
      </w:r>
    </w:p>
    <w:p>
      <w:pPr>
        <w:pStyle w:val="BodyText"/>
        <w:spacing w:line="302" w:lineRule="auto" w:before="49"/>
        <w:ind w:right="0" w:firstLine="360"/>
        <w:jc w:val="left"/>
      </w:pPr>
      <w:r>
        <w:rPr>
          <w:spacing w:val="-4"/>
        </w:rPr>
        <w:t>张晓屹先生，</w:t>
      </w:r>
      <w:r>
        <w:rPr>
          <w:rFonts w:ascii="Times New Roman" w:hAnsi="Times New Roman" w:cs="Times New Roman" w:eastAsia="Times New Roman" w:hint="default"/>
          <w:spacing w:val="-4"/>
        </w:rPr>
        <w:t>1975</w:t>
      </w:r>
      <w:r>
        <w:rPr>
          <w:spacing w:val="-4"/>
        </w:rPr>
        <w:t>年生，中级会计师，中国国籍。</w:t>
      </w:r>
      <w:r>
        <w:rPr>
          <w:rFonts w:ascii="Times New Roman" w:hAnsi="Times New Roman" w:cs="Times New Roman" w:eastAsia="Times New Roman" w:hint="default"/>
          <w:spacing w:val="-4"/>
        </w:rPr>
        <w:t>2000</w:t>
      </w:r>
      <w:r>
        <w:rPr>
          <w:spacing w:val="-4"/>
        </w:rPr>
        <w:t>年</w:t>
      </w:r>
      <w:r>
        <w:rPr>
          <w:rFonts w:ascii="Times New Roman" w:hAnsi="Times New Roman" w:cs="Times New Roman" w:eastAsia="Times New Roman" w:hint="default"/>
          <w:spacing w:val="-4"/>
        </w:rPr>
        <w:t>7</w:t>
      </w:r>
      <w:r>
        <w:rPr>
          <w:spacing w:val="-4"/>
        </w:rPr>
        <w:t>月，毕业于北京机械工业学院会计学专业，</w:t>
      </w:r>
      <w:r>
        <w:rPr>
          <w:rFonts w:ascii="Times New Roman" w:hAnsi="Times New Roman" w:cs="Times New Roman" w:eastAsia="Times New Roman" w:hint="default"/>
          <w:spacing w:val="-4"/>
        </w:rPr>
        <w:t>2013</w:t>
      </w:r>
      <w:r>
        <w:rPr>
          <w:spacing w:val="-4"/>
        </w:rPr>
        <w:t>年</w:t>
      </w:r>
      <w:r>
        <w:rPr>
          <w:rFonts w:ascii="Times New Roman" w:hAnsi="Times New Roman" w:cs="Times New Roman" w:eastAsia="Times New Roman" w:hint="default"/>
          <w:spacing w:val="-4"/>
        </w:rPr>
        <w:t>6</w:t>
      </w:r>
      <w:r>
        <w:rPr>
          <w:spacing w:val="-4"/>
        </w:rPr>
        <w:t>月至</w:t>
      </w:r>
      <w:r>
        <w:rPr>
          <w:rFonts w:ascii="Times New Roman" w:hAnsi="Times New Roman" w:cs="Times New Roman" w:eastAsia="Times New Roman" w:hint="default"/>
          <w:spacing w:val="-4"/>
        </w:rPr>
        <w:t>2014</w:t>
      </w:r>
      <w:r>
        <w:rPr>
          <w:rFonts w:ascii="Times New Roman" w:hAnsi="Times New Roman" w:cs="Times New Roman" w:eastAsia="Times New Roman" w:hint="default"/>
          <w:w w:val="101"/>
        </w:rPr>
        <w:t> </w:t>
      </w:r>
      <w:r>
        <w:rPr/>
        <w:t>年</w:t>
      </w:r>
      <w:r>
        <w:rPr>
          <w:rFonts w:ascii="Times New Roman" w:hAnsi="Times New Roman" w:cs="Times New Roman" w:eastAsia="Times New Roman" w:hint="default"/>
        </w:rPr>
        <w:t>4</w:t>
      </w:r>
      <w:r>
        <w:rPr/>
        <w:t>月，参加北京大学实战型</w:t>
      </w:r>
      <w:r>
        <w:rPr>
          <w:rFonts w:ascii="Times New Roman" w:hAnsi="Times New Roman" w:cs="Times New Roman" w:eastAsia="Times New Roman" w:hint="default"/>
        </w:rPr>
        <w:t>CFO</w:t>
      </w:r>
      <w:r>
        <w:rPr/>
        <w:t>高级研修班学习。</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7</w:t>
      </w:r>
      <w:r>
        <w:rPr/>
        <w:t>月，在中和会计师事务所工作，</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2003</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4"/>
        </w:rPr>
        <w:t>年</w:t>
      </w:r>
      <w:r>
        <w:rPr>
          <w:rFonts w:ascii="Times New Roman" w:hAnsi="Times New Roman" w:cs="Times New Roman" w:eastAsia="Times New Roman" w:hint="default"/>
          <w:spacing w:val="-4"/>
        </w:rPr>
        <w:t>6</w:t>
      </w:r>
      <w:r>
        <w:rPr>
          <w:spacing w:val="-4"/>
        </w:rPr>
        <w:t>月，在天一会计师事务所工作，</w:t>
      </w:r>
      <w:r>
        <w:rPr>
          <w:rFonts w:ascii="Times New Roman" w:hAnsi="Times New Roman" w:cs="Times New Roman" w:eastAsia="Times New Roman" w:hint="default"/>
          <w:spacing w:val="-4"/>
        </w:rPr>
        <w:t>2003</w:t>
      </w:r>
      <w:r>
        <w:rPr>
          <w:spacing w:val="-4"/>
        </w:rPr>
        <w:t>年</w:t>
      </w:r>
      <w:r>
        <w:rPr>
          <w:rFonts w:ascii="Times New Roman" w:hAnsi="Times New Roman" w:cs="Times New Roman" w:eastAsia="Times New Roman" w:hint="default"/>
          <w:spacing w:val="-4"/>
        </w:rPr>
        <w:t>6</w:t>
      </w:r>
      <w:r>
        <w:rPr>
          <w:spacing w:val="-4"/>
        </w:rPr>
        <w:t>月至</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8</w:t>
      </w:r>
      <w:r>
        <w:rPr>
          <w:spacing w:val="-4"/>
        </w:rPr>
        <w:t>月，先后任北京利德华福电气技术有限公司财务部会计、财务经理，</w:t>
      </w:r>
      <w:r>
        <w:rPr>
          <w:spacing w:val="61"/>
        </w:rPr>
        <w:t> </w:t>
      </w:r>
      <w:r>
        <w:rPr>
          <w:spacing w:val="61"/>
        </w:rPr>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9</w:t>
      </w:r>
      <w:r>
        <w:rPr>
          <w:spacing w:val="-2"/>
        </w:rPr>
        <w:t>月，任北京住力电通科技有限公司财务总监，</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月，任北京碧海舟腐蚀防护工业股</w:t>
      </w:r>
      <w:r>
        <w:rPr>
          <w:spacing w:val="38"/>
        </w:rPr>
        <w:t> </w:t>
      </w:r>
      <w:r>
        <w:rPr>
          <w:spacing w:val="38"/>
        </w:rPr>
      </w:r>
      <w:r>
        <w:rPr>
          <w:spacing w:val="-3"/>
        </w:rPr>
        <w:t>份有限公司财务总监。</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5</w:t>
      </w:r>
      <w:r>
        <w:rPr>
          <w:spacing w:val="-3"/>
        </w:rPr>
        <w:t>月至今，任北京合纵科技股份有限公司财务总监。</w:t>
      </w:r>
    </w:p>
    <w:p>
      <w:pPr>
        <w:pStyle w:val="BodyText"/>
        <w:spacing w:line="240" w:lineRule="auto" w:before="49"/>
        <w:ind w:right="0"/>
        <w:jc w:val="both"/>
      </w:pPr>
      <w:r>
        <w:rPr>
          <w:spacing w:val="-3"/>
        </w:rPr>
        <w:t>在股东单位任职情况</w:t>
      </w:r>
    </w:p>
    <w:p>
      <w:pPr>
        <w:spacing w:after="0" w:line="240" w:lineRule="auto"/>
        <w:jc w:val="both"/>
        <w:sectPr>
          <w:pgSz w:w="11910" w:h="16840"/>
          <w:pgMar w:header="871" w:footer="979" w:top="1100" w:bottom="1160" w:left="980" w:right="0"/>
        </w:sectPr>
      </w:pPr>
    </w:p>
    <w:p>
      <w:pPr>
        <w:spacing w:line="240" w:lineRule="auto" w:before="3"/>
        <w:rPr>
          <w:rFonts w:ascii="宋体" w:hAnsi="宋体" w:cs="宋体" w:eastAsia="宋体" w:hint="default"/>
          <w:sz w:val="22"/>
          <w:szCs w:val="22"/>
        </w:rPr>
      </w:pPr>
      <w:r>
        <w:rPr/>
        <w:pict>
          <v:group style="position:absolute;margin-left:322.920013pt;margin-top:599.450012pt;width:74.2pt;height:28pt;mso-position-horizontal-relative:page;mso-position-vertical-relative:page;z-index:-1057552" coordorigin="6458,11989" coordsize="1484,560">
            <v:group style="position:absolute;left:6458;top:11989;width:1484;height:154" coordorigin="6458,11989" coordsize="1484,154">
              <v:shape style="position:absolute;left:6458;top:11989;width:1484;height:154" coordorigin="6458,11989" coordsize="1484,154" path="m6458,12143l7942,12143,7942,11989,6458,11989,6458,12143xe" filled="true" fillcolor="#ffffff" stroked="false">
                <v:path arrowok="t"/>
                <v:fill type="solid"/>
              </v:shape>
            </v:group>
            <v:group style="position:absolute;left:6470;top:12143;width:2;height:394" coordorigin="6470,12143" coordsize="2,394">
              <v:shape style="position:absolute;left:6470;top:12143;width:2;height:394" coordorigin="6470,12143" coordsize="0,394" path="m6470,12143l6470,12536e" filled="false" stroked="true" strokeweight="1.2pt" strokecolor="#ffffff">
                <v:path arrowok="t"/>
              </v:shape>
            </v:group>
            <v:group style="position:absolute;left:6482;top:12143;width:1436;height:394" coordorigin="6482,12143" coordsize="1436,394">
              <v:shape style="position:absolute;left:6482;top:12143;width:1436;height:394" coordorigin="6482,12143" coordsize="1436,394" path="m6482,12536l7918,12536,7918,12143,6482,12143,6482,12536xe" filled="true" fillcolor="#ffffff" stroked="false">
                <v:path arrowok="t"/>
                <v:fill type="solid"/>
              </v:shape>
            </v:group>
            <w10:wrap type="none"/>
          </v:group>
        </w:pict>
      </w: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7"/>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3054"/>
        <w:gridCol w:w="1066"/>
        <w:gridCol w:w="1493"/>
        <w:gridCol w:w="1556"/>
        <w:gridCol w:w="1421"/>
      </w:tblGrid>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7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6" w:right="75"/>
              <w:jc w:val="left"/>
              <w:rPr>
                <w:rFonts w:ascii="宋体" w:hAnsi="宋体" w:cs="宋体" w:eastAsia="宋体" w:hint="default"/>
                <w:sz w:val="18"/>
                <w:szCs w:val="18"/>
              </w:rPr>
            </w:pPr>
            <w:r>
              <w:rPr>
                <w:rFonts w:ascii="宋体" w:hAnsi="宋体" w:cs="宋体" w:eastAsia="宋体" w:hint="default"/>
                <w:spacing w:val="-2"/>
                <w:sz w:val="18"/>
                <w:szCs w:val="18"/>
              </w:rPr>
              <w:t>在股东单位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8"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63" w:right="70" w:hanging="87"/>
              <w:jc w:val="left"/>
              <w:rPr>
                <w:rFonts w:ascii="宋体" w:hAnsi="宋体" w:cs="宋体" w:eastAsia="宋体" w:hint="default"/>
                <w:sz w:val="18"/>
                <w:szCs w:val="18"/>
              </w:rPr>
            </w:pPr>
            <w:r>
              <w:rPr>
                <w:rFonts w:ascii="宋体" w:hAnsi="宋体" w:cs="宋体" w:eastAsia="宋体" w:hint="default"/>
                <w:spacing w:val="-3"/>
                <w:sz w:val="18"/>
                <w:szCs w:val="18"/>
              </w:rPr>
              <w:t>在股东单位是否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北京合纵实科电力科技有限公司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刘泽刚</w:t>
            </w:r>
            <w:r>
              <w:rPr>
                <w:rFonts w:ascii="宋体" w:hAnsi="宋体" w:cs="宋体" w:eastAsia="宋体" w:hint="default"/>
                <w:sz w:val="18"/>
                <w:szCs w:val="18"/>
              </w:rPr>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总</w:t>
            </w:r>
            <w:r>
              <w:rPr>
                <w:rFonts w:ascii="宋体" w:hAnsi="宋体" w:cs="宋体" w:eastAsia="宋体" w:hint="default"/>
                <w:spacing w:val="-5"/>
                <w:w w:val="101"/>
                <w:sz w:val="18"/>
                <w:szCs w:val="18"/>
              </w:rPr>
              <w:t>经</w:t>
            </w:r>
            <w:r>
              <w:rPr>
                <w:rFonts w:ascii="宋体" w:hAnsi="宋体" w:cs="宋体" w:eastAsia="宋体" w:hint="default"/>
                <w:w w:val="101"/>
                <w:sz w:val="18"/>
                <w:szCs w:val="18"/>
              </w:rPr>
              <w:t>理</w:t>
            </w:r>
            <w:r>
              <w:rPr>
                <w:rFonts w:ascii="宋体" w:hAnsi="宋体" w:cs="宋体" w:eastAsia="宋体" w:hint="default"/>
                <w:spacing w:val="-77"/>
                <w:w w:val="101"/>
                <w:sz w:val="18"/>
                <w:szCs w:val="18"/>
              </w:rPr>
              <w:t>、</w:t>
            </w:r>
            <w:r>
              <w:rPr>
                <w:rFonts w:ascii="宋体" w:hAnsi="宋体" w:cs="宋体" w:eastAsia="宋体" w:hint="default"/>
                <w:w w:val="101"/>
                <w:sz w:val="18"/>
                <w:szCs w:val="18"/>
              </w:rPr>
              <w:t>董事</w:t>
            </w:r>
            <w:r>
              <w:rPr>
                <w:rFonts w:ascii="宋体" w:hAnsi="宋体" w:cs="宋体" w:eastAsia="宋体" w:hint="default"/>
                <w:sz w:val="18"/>
                <w:szCs w:val="18"/>
              </w:rPr>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天津合纵电力设备有限公司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4"/>
                <w:w w:val="101"/>
                <w:sz w:val="18"/>
                <w:szCs w:val="18"/>
              </w:rPr>
              <w:t>执行董事、经</w:t>
            </w:r>
            <w:r>
              <w:rPr>
                <w:rFonts w:ascii="宋体" w:hAnsi="宋体" w:cs="宋体" w:eastAsia="宋体" w:hint="default"/>
                <w:w w:val="101"/>
                <w:sz w:val="18"/>
                <w:szCs w:val="18"/>
              </w:rPr>
              <w:t> </w:t>
            </w:r>
            <w:r>
              <w:rPr>
                <w:rFonts w:ascii="宋体" w:hAnsi="宋体" w:cs="宋体" w:eastAsia="宋体" w:hint="default"/>
                <w:sz w:val="18"/>
                <w:szCs w:val="18"/>
              </w:rPr>
              <w:t>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江苏鹏创电力设计有限公司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4"/>
                <w:w w:val="101"/>
                <w:sz w:val="18"/>
                <w:szCs w:val="18"/>
              </w:rPr>
              <w:t>董事、副总经</w:t>
            </w:r>
            <w:r>
              <w:rPr>
                <w:rFonts w:ascii="宋体" w:hAnsi="宋体" w:cs="宋体" w:eastAsia="宋体" w:hint="default"/>
                <w:w w:val="101"/>
                <w:sz w:val="18"/>
                <w:szCs w:val="18"/>
              </w:rPr>
              <w:t> </w:t>
            </w:r>
            <w:r>
              <w:rPr>
                <w:rFonts w:ascii="宋体" w:hAnsi="宋体" w:cs="宋体" w:eastAsia="宋体" w:hint="default"/>
                <w:sz w:val="18"/>
                <w:szCs w:val="18"/>
              </w:rPr>
              <w:t>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江苏鹏创电力设计有限公司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郭言娜</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1"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张舒</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7"/>
              <w:jc w:val="left"/>
              <w:rPr>
                <w:rFonts w:ascii="宋体" w:hAnsi="宋体" w:cs="宋体" w:eastAsia="宋体" w:hint="default"/>
                <w:sz w:val="18"/>
                <w:szCs w:val="18"/>
              </w:rPr>
            </w:pPr>
            <w:r>
              <w:rPr>
                <w:rFonts w:ascii="宋体" w:hAnsi="宋体" w:cs="宋体" w:eastAsia="宋体" w:hint="default"/>
                <w:spacing w:val="-2"/>
                <w:sz w:val="18"/>
                <w:szCs w:val="18"/>
              </w:rPr>
              <w:t>董事会秘书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副总经理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3"/>
              <w:ind w:left="-14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0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北京合纵科技股份有限公司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4" w:hRule="exact"/>
        </w:trPr>
        <w:tc>
          <w:tcPr>
            <w:tcW w:w="1201" w:type="dxa"/>
            <w:tcBorders>
              <w:top w:val="single" w:sz="4" w:space="0" w:color="000000"/>
              <w:left w:val="single" w:sz="4" w:space="0" w:color="000000"/>
              <w:bottom w:val="single" w:sz="8" w:space="0" w:color="D2D2D2"/>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3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财务负责人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在股东单位任</w:t>
            </w:r>
          </w:p>
        </w:tc>
        <w:tc>
          <w:tcPr>
            <w:tcW w:w="8591"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3"/>
        <w:rPr>
          <w:rFonts w:ascii="宋体" w:hAnsi="宋体" w:cs="宋体" w:eastAsia="宋体" w:hint="default"/>
          <w:sz w:val="24"/>
          <w:szCs w:val="24"/>
        </w:rPr>
      </w:pPr>
      <w:r>
        <w:rPr/>
        <w:pict>
          <v:group style="position:absolute;margin-left:308.760010pt;margin-top:224.469986pt;width:73.95pt;height:27.85pt;mso-position-horizontal-relative:page;mso-position-vertical-relative:page;z-index:-1057480" coordorigin="6175,4489" coordsize="1479,557">
            <v:group style="position:absolute;left:6175;top:4489;width:1479;height:154" coordorigin="6175,4489" coordsize="1479,154">
              <v:shape style="position:absolute;left:6175;top:4489;width:1479;height:154" coordorigin="6175,4489" coordsize="1479,154" path="m6175,4643l7654,4643,7654,4489,6175,4489,6175,4643xe" filled="true" fillcolor="#ffffff" stroked="false">
                <v:path arrowok="t"/>
                <v:fill type="solid"/>
              </v:shape>
            </v:group>
            <v:group style="position:absolute;left:6185;top:4643;width:2;height:394" coordorigin="6185,4643" coordsize="2,394">
              <v:shape style="position:absolute;left:6185;top:4643;width:2;height:394" coordorigin="6185,4643" coordsize="0,394" path="m6185,4643l6185,5037e" filled="false" stroked="true" strokeweight=".95999pt" strokecolor="#ffffff">
                <v:path arrowok="t"/>
              </v:shape>
            </v:group>
            <v:group style="position:absolute;left:6194;top:4643;width:1436;height:394" coordorigin="6194,4643" coordsize="1436,394">
              <v:shape style="position:absolute;left:6194;top:4643;width:1436;height:394" coordorigin="6194,4643" coordsize="1436,394" path="m6194,5037l7630,5037,7630,4643,6194,4643,6194,5037xe" filled="true" fillcolor="#ffffff" stroked="false">
                <v:path arrowok="t"/>
                <v:fill type="solid"/>
              </v:shape>
            </v:group>
            <w10:wrap type="none"/>
          </v:group>
        </w:pict>
      </w:r>
    </w:p>
    <w:p>
      <w:pPr>
        <w:spacing w:line="379"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90.05pt;height:19pt;mso-position-horizontal-relative:char;mso-position-vertical-relative:line" coordorigin="0,0" coordsize="9801,380">
            <v:group style="position:absolute;left:22;top:14;width:2;height:351" coordorigin="22,14" coordsize="2,351">
              <v:shape style="position:absolute;left:22;top:14;width:2;height:351" coordorigin="22,14" coordsize="0,351" path="m22,14l22,365e" filled="false" stroked="true" strokeweight="1.2pt" strokecolor="#d2d2d2">
                <v:path arrowok="t"/>
              </v:shape>
            </v:group>
            <v:group style="position:absolute;left:1191;top:14;width:2;height:351" coordorigin="1191,14" coordsize="2,351">
              <v:shape style="position:absolute;left:1191;top:14;width:2;height:351" coordorigin="1191,14" coordsize="0,351" path="m1191,14l1191,365e" filled="false" stroked="true" strokeweight=".96pt" strokecolor="#d2d2d2">
                <v:path arrowok="t"/>
              </v:shape>
            </v:group>
            <v:group style="position:absolute;left:34;top:14;width:1148;height:351" coordorigin="34,14" coordsize="1148,351">
              <v:shape style="position:absolute;left:34;top:14;width:1148;height:351" coordorigin="34,14" coordsize="1148,351" path="m34,365l1181,365,1181,14,34,14,34,365xe" filled="true" fillcolor="#d2d2d2" stroked="false">
                <v:path arrowok="t"/>
                <v:fill type="solid"/>
              </v:shape>
            </v:group>
            <v:group style="position:absolute;left:10;top:10;width:1191;height:2" coordorigin="10,10" coordsize="1191,2">
              <v:shape style="position:absolute;left:10;top:10;width:1191;height:2" coordorigin="10,10" coordsize="1191,0" path="m10,10l1200,10e" filled="false" stroked="true" strokeweight=".48pt" strokecolor="#000000">
                <v:path arrowok="t"/>
              </v:shape>
            </v:group>
            <v:group style="position:absolute;left:1210;top:10;width:8581;height:2" coordorigin="1210,10" coordsize="8581,2">
              <v:shape style="position:absolute;left:1210;top:10;width:8581;height:2" coordorigin="1210,10" coordsize="8581,0" path="m1210,10l9791,10e" filled="false" stroked="true" strokeweight=".48pt" strokecolor="#000000">
                <v:path arrowok="t"/>
              </v:shape>
            </v:group>
            <v:group style="position:absolute;left:5;top:5;width:2;height:370" coordorigin="5,5" coordsize="2,370">
              <v:shape style="position:absolute;left:5;top:5;width:2;height:370" coordorigin="5,5" coordsize="0,370" path="m5,5l5,374e" filled="false" stroked="true" strokeweight=".48pt" strokecolor="#000000">
                <v:path arrowok="t"/>
              </v:shape>
            </v:group>
            <v:group style="position:absolute;left:10;top:370;width:1191;height:2" coordorigin="10,370" coordsize="1191,2">
              <v:shape style="position:absolute;left:10;top:370;width:1191;height:2" coordorigin="10,370" coordsize="1191,0" path="m10,370l1200,370e" filled="false" stroked="true" strokeweight=".48pt" strokecolor="#000000">
                <v:path arrowok="t"/>
              </v:shape>
            </v:group>
            <v:group style="position:absolute;left:1205;top:5;width:2;height:370" coordorigin="1205,5" coordsize="2,370">
              <v:shape style="position:absolute;left:1205;top:5;width:2;height:370" coordorigin="1205,5" coordsize="0,370" path="m1205,5l1205,374e" filled="false" stroked="true" strokeweight=".48pt" strokecolor="#000000">
                <v:path arrowok="t"/>
              </v:shape>
            </v:group>
            <v:group style="position:absolute;left:1210;top:370;width:8581;height:2" coordorigin="1210,370" coordsize="8581,2">
              <v:shape style="position:absolute;left:1210;top:370;width:8581;height:2" coordorigin="1210,370" coordsize="8581,0" path="m1210,370l9791,370e" filled="false" stroked="true" strokeweight=".48pt" strokecolor="#000000">
                <v:path arrowok="t"/>
              </v:shape>
            </v:group>
            <v:group style="position:absolute;left:9796;top:5;width:2;height:370" coordorigin="9796,5" coordsize="2,370">
              <v:shape style="position:absolute;left:9796;top:5;width:2;height:370" coordorigin="9796,5" coordsize="0,370" path="m9796,5l9796,374e" filled="false" stroked="true" strokeweight=".47998pt" strokecolor="#000000">
                <v:path arrowok="t"/>
              </v:shape>
              <v:shape style="position:absolute;left:5;top:10;width:1191;height:360" type="#_x0000_t202" filled="false" stroked="false">
                <v:textbox inset="0,0,0,0">
                  <w:txbxContent>
                    <w:p>
                      <w:pPr>
                        <w:spacing w:before="20"/>
                        <w:ind w:left="28" w:right="0" w:firstLine="0"/>
                        <w:jc w:val="left"/>
                        <w:rPr>
                          <w:rFonts w:ascii="宋体" w:hAnsi="宋体" w:cs="宋体" w:eastAsia="宋体" w:hint="default"/>
                          <w:sz w:val="18"/>
                          <w:szCs w:val="18"/>
                        </w:rPr>
                      </w:pPr>
                      <w:r>
                        <w:rPr>
                          <w:rFonts w:ascii="宋体" w:hAnsi="宋体" w:cs="宋体" w:eastAsia="宋体" w:hint="default"/>
                          <w:sz w:val="18"/>
                          <w:szCs w:val="18"/>
                        </w:rPr>
                        <w:t>职情况的说明</w:t>
                      </w:r>
                    </w:p>
                  </w:txbxContent>
                </v:textbox>
                <w10:wrap type="none"/>
              </v:shape>
            </v:group>
          </v:group>
        </w:pict>
      </w:r>
      <w:r>
        <w:rPr>
          <w:rFonts w:ascii="宋体" w:hAnsi="宋体" w:cs="宋体" w:eastAsia="宋体" w:hint="default"/>
          <w:position w:val="-7"/>
          <w:sz w:val="20"/>
          <w:szCs w:val="20"/>
        </w:rPr>
      </w:r>
    </w:p>
    <w:p>
      <w:pPr>
        <w:pStyle w:val="BodyText"/>
        <w:spacing w:line="240" w:lineRule="auto" w:before="49"/>
        <w:ind w:right="0"/>
        <w:jc w:val="left"/>
      </w:pPr>
      <w:r>
        <w:rPr>
          <w:spacing w:val="-3"/>
        </w:rPr>
        <w:t>在其他单位任职情况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201"/>
        <w:gridCol w:w="2771"/>
        <w:gridCol w:w="1061"/>
        <w:gridCol w:w="1493"/>
        <w:gridCol w:w="1700"/>
        <w:gridCol w:w="1417"/>
      </w:tblGrid>
      <w:tr>
        <w:trPr>
          <w:trHeight w:val="713"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7"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84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76" w:right="70"/>
              <w:jc w:val="left"/>
              <w:rPr>
                <w:rFonts w:ascii="宋体" w:hAnsi="宋体" w:cs="宋体" w:eastAsia="宋体" w:hint="default"/>
                <w:sz w:val="18"/>
                <w:szCs w:val="18"/>
              </w:rPr>
            </w:pPr>
            <w:r>
              <w:rPr>
                <w:rFonts w:ascii="宋体" w:hAnsi="宋体" w:cs="宋体" w:eastAsia="宋体" w:hint="default"/>
                <w:spacing w:val="-2"/>
                <w:sz w:val="18"/>
                <w:szCs w:val="18"/>
              </w:rPr>
              <w:t>在其他单位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担任的职务</w:t>
            </w: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63" w:right="66" w:hanging="87"/>
              <w:jc w:val="left"/>
              <w:rPr>
                <w:rFonts w:ascii="宋体" w:hAnsi="宋体" w:cs="宋体" w:eastAsia="宋体" w:hint="default"/>
                <w:sz w:val="18"/>
                <w:szCs w:val="18"/>
              </w:rPr>
            </w:pPr>
            <w:r>
              <w:rPr>
                <w:rFonts w:ascii="宋体" w:hAnsi="宋体" w:cs="宋体" w:eastAsia="宋体" w:hint="default"/>
                <w:spacing w:val="-3"/>
                <w:sz w:val="18"/>
                <w:szCs w:val="18"/>
              </w:rPr>
              <w:t>在其他单位是否</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领取报酬津贴</w:t>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北京市六合金证律师事务所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律师</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保定银行股份有限公司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9"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pacing w:val="-3"/>
                <w:sz w:val="18"/>
                <w:szCs w:val="18"/>
              </w:rPr>
              <w:t>清华大学电机系</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教师</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北京交通大学经济管理学院</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123"/>
              <w:jc w:val="left"/>
              <w:rPr>
                <w:rFonts w:ascii="宋体" w:hAnsi="宋体" w:cs="宋体" w:eastAsia="宋体" w:hint="default"/>
                <w:sz w:val="18"/>
                <w:szCs w:val="18"/>
              </w:rPr>
            </w:pPr>
            <w:r>
              <w:rPr>
                <w:rFonts w:ascii="宋体" w:hAnsi="宋体" w:cs="宋体" w:eastAsia="宋体" w:hint="default"/>
                <w:spacing w:val="-2"/>
                <w:sz w:val="18"/>
                <w:szCs w:val="18"/>
              </w:rPr>
              <w:t>会计学讲师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副教授</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195" w:lineRule="exact" w:before="58"/>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p>
            <w:pPr>
              <w:pStyle w:val="TableParagraph"/>
              <w:spacing w:line="20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3"/>
                <w:sz w:val="18"/>
                <w:szCs w:val="18"/>
              </w:rPr>
              <w:t>中国企业兼并重组研究中心</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3" w:right="12"/>
              <w:jc w:val="left"/>
              <w:rPr>
                <w:rFonts w:ascii="宋体" w:hAnsi="宋体" w:cs="宋体" w:eastAsia="宋体" w:hint="default"/>
                <w:sz w:val="18"/>
                <w:szCs w:val="18"/>
              </w:rPr>
            </w:pPr>
            <w:r>
              <w:rPr>
                <w:rFonts w:ascii="宋体" w:hAnsi="宋体" w:cs="宋体" w:eastAsia="宋体" w:hint="default"/>
                <w:spacing w:val="-14"/>
                <w:w w:val="101"/>
                <w:sz w:val="18"/>
                <w:szCs w:val="18"/>
              </w:rPr>
              <w:t>副主任、执行</w:t>
            </w:r>
            <w:r>
              <w:rPr>
                <w:rFonts w:ascii="宋体" w:hAnsi="宋体" w:cs="宋体" w:eastAsia="宋体" w:hint="default"/>
                <w:spacing w:val="-90"/>
                <w:w w:val="101"/>
                <w:sz w:val="18"/>
                <w:szCs w:val="18"/>
              </w:rPr>
              <w:t> </w:t>
            </w:r>
            <w:r>
              <w:rPr>
                <w:rFonts w:ascii="宋体" w:hAnsi="宋体" w:cs="宋体" w:eastAsia="宋体" w:hint="default"/>
                <w:spacing w:val="-90"/>
                <w:w w:val="101"/>
                <w:sz w:val="18"/>
                <w:szCs w:val="18"/>
              </w:rPr>
            </w:r>
            <w:r>
              <w:rPr>
                <w:rFonts w:ascii="宋体" w:hAnsi="宋体" w:cs="宋体" w:eastAsia="宋体" w:hint="default"/>
                <w:sz w:val="18"/>
                <w:szCs w:val="18"/>
              </w:rPr>
              <w:t>主任</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403"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诚通基金管理有限公司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副总监</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398"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2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北京随视传媒科技股份有限公司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日</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是</w:t>
            </w:r>
            <w:r>
              <w:rPr>
                <w:rFonts w:ascii="宋体" w:hAnsi="宋体" w:cs="宋体" w:eastAsia="宋体" w:hint="default"/>
                <w:sz w:val="18"/>
                <w:szCs w:val="18"/>
              </w:rPr>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80"/>
              <w:jc w:val="left"/>
              <w:rPr>
                <w:rFonts w:ascii="宋体" w:hAnsi="宋体" w:cs="宋体" w:eastAsia="宋体" w:hint="default"/>
                <w:sz w:val="18"/>
                <w:szCs w:val="18"/>
              </w:rPr>
            </w:pPr>
            <w:r>
              <w:rPr>
                <w:rFonts w:ascii="宋体" w:hAnsi="宋体" w:cs="宋体" w:eastAsia="宋体" w:hint="default"/>
                <w:spacing w:val="-2"/>
                <w:sz w:val="18"/>
                <w:szCs w:val="18"/>
              </w:rPr>
              <w:t>在其他单位任</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职情况的说明</w:t>
            </w:r>
          </w:p>
        </w:tc>
        <w:tc>
          <w:tcPr>
            <w:tcW w:w="8442"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pStyle w:val="BodyText"/>
        <w:spacing w:line="240" w:lineRule="auto" w:before="54"/>
        <w:ind w:right="0"/>
        <w:jc w:val="left"/>
      </w:pPr>
      <w:r>
        <w:rPr>
          <w:spacing w:val="-3"/>
        </w:rPr>
        <w:t>公司现任及报告期内离任董事、监事和高级管理人员近三年证券监管机构处罚的情况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8"/>
        <w:rPr>
          <w:rFonts w:ascii="宋体" w:hAnsi="宋体" w:cs="宋体" w:eastAsia="宋体" w:hint="default"/>
          <w:b/>
          <w:bCs/>
          <w:sz w:val="27"/>
          <w:szCs w:val="27"/>
        </w:rPr>
      </w:pPr>
    </w:p>
    <w:p>
      <w:pPr>
        <w:pStyle w:val="BodyText"/>
        <w:spacing w:line="240" w:lineRule="auto"/>
        <w:ind w:right="0"/>
        <w:jc w:val="left"/>
      </w:pPr>
      <w:r>
        <w:rPr>
          <w:spacing w:val="-3"/>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43" w:type="dxa"/>
        <w:tblLayout w:type="fixed"/>
        <w:tblCellMar>
          <w:top w:w="0" w:type="dxa"/>
          <w:left w:w="0" w:type="dxa"/>
          <w:bottom w:w="0" w:type="dxa"/>
          <w:right w:w="0" w:type="dxa"/>
        </w:tblCellMar>
        <w:tblLook w:val="01E0"/>
      </w:tblPr>
      <w:tblGrid>
        <w:gridCol w:w="4110"/>
        <w:gridCol w:w="5109"/>
      </w:tblGrid>
      <w:tr>
        <w:trPr>
          <w:trHeight w:val="1282" w:hRule="exact"/>
        </w:trPr>
        <w:tc>
          <w:tcPr>
            <w:tcW w:w="41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董事、监事、高级管理人员报酬的决策程序</w:t>
            </w:r>
          </w:p>
        </w:tc>
        <w:tc>
          <w:tcPr>
            <w:tcW w:w="510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9" w:right="41"/>
              <w:jc w:val="left"/>
              <w:rPr>
                <w:rFonts w:ascii="宋体" w:hAnsi="宋体" w:cs="宋体" w:eastAsia="宋体" w:hint="default"/>
                <w:sz w:val="18"/>
                <w:szCs w:val="18"/>
              </w:rPr>
            </w:pPr>
            <w:r>
              <w:rPr>
                <w:rFonts w:ascii="宋体" w:hAnsi="宋体" w:cs="宋体" w:eastAsia="宋体" w:hint="default"/>
                <w:spacing w:val="-3"/>
                <w:sz w:val="18"/>
                <w:szCs w:val="18"/>
              </w:rPr>
              <w:t>按照《高级管理人员薪酬考核管理办法》及公司现行其他工资制</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度和业绩考核规定，由董事会薪酬与考核委员会根据岗位绩效评</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pacing w:val="-3"/>
                <w:sz w:val="18"/>
                <w:szCs w:val="18"/>
              </w:rPr>
              <w:t>价结果及薪酬分配政策提出上述人员的绩效薪酬数额和奖惩方</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式，提交公司董事会审核批准。</w:t>
            </w:r>
          </w:p>
        </w:tc>
      </w:tr>
      <w:tr>
        <w:trPr>
          <w:trHeight w:val="658" w:hRule="exact"/>
        </w:trPr>
        <w:tc>
          <w:tcPr>
            <w:tcW w:w="41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董事、监事、高级管理人员报酬确定依据</w:t>
            </w:r>
          </w:p>
        </w:tc>
        <w:tc>
          <w:tcPr>
            <w:tcW w:w="510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9" w:right="42"/>
              <w:jc w:val="left"/>
              <w:rPr>
                <w:rFonts w:ascii="宋体" w:hAnsi="宋体" w:cs="宋体" w:eastAsia="宋体" w:hint="default"/>
                <w:sz w:val="18"/>
                <w:szCs w:val="18"/>
              </w:rPr>
            </w:pPr>
            <w:r>
              <w:rPr>
                <w:rFonts w:ascii="宋体" w:hAnsi="宋体" w:cs="宋体" w:eastAsia="宋体" w:hint="default"/>
                <w:spacing w:val="-3"/>
                <w:sz w:val="18"/>
                <w:szCs w:val="18"/>
              </w:rPr>
              <w:t>根据公司盈利水平及各董事、监事、高级管理人员的分工及履职</w:t>
            </w:r>
            <w:r>
              <w:rPr>
                <w:rFonts w:ascii="宋体" w:hAnsi="宋体" w:cs="宋体" w:eastAsia="宋体" w:hint="default"/>
                <w:spacing w:val="-9"/>
                <w:sz w:val="18"/>
                <w:szCs w:val="18"/>
              </w:rPr>
              <w:t> </w:t>
            </w:r>
            <w:r>
              <w:rPr>
                <w:rFonts w:ascii="宋体" w:hAnsi="宋体" w:cs="宋体" w:eastAsia="宋体" w:hint="default"/>
                <w:spacing w:val="-9"/>
                <w:sz w:val="18"/>
                <w:szCs w:val="18"/>
              </w:rPr>
            </w:r>
            <w:r>
              <w:rPr>
                <w:rFonts w:ascii="宋体" w:hAnsi="宋体" w:cs="宋体" w:eastAsia="宋体" w:hint="default"/>
                <w:sz w:val="18"/>
                <w:szCs w:val="18"/>
              </w:rPr>
              <w:t>情况确定。</w:t>
            </w:r>
          </w:p>
        </w:tc>
      </w:tr>
      <w:tr>
        <w:trPr>
          <w:trHeight w:val="343" w:hRule="exact"/>
        </w:trPr>
        <w:tc>
          <w:tcPr>
            <w:tcW w:w="41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董事、监事和高级管理人员报酬的实际支付情况</w:t>
            </w:r>
          </w:p>
        </w:tc>
        <w:tc>
          <w:tcPr>
            <w:tcW w:w="51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4"/>
                <w:sz w:val="18"/>
                <w:szCs w:val="18"/>
              </w:rPr>
              <w:t>公司董事、监事、高级管理人员共</w:t>
            </w:r>
            <w:r>
              <w:rPr>
                <w:rFonts w:ascii="Times New Roman" w:hAnsi="Times New Roman" w:cs="Times New Roman" w:eastAsia="Times New Roman" w:hint="default"/>
                <w:spacing w:val="-4"/>
                <w:sz w:val="18"/>
                <w:szCs w:val="18"/>
              </w:rPr>
              <w:t>15</w:t>
            </w:r>
            <w:r>
              <w:rPr>
                <w:rFonts w:ascii="宋体" w:hAnsi="宋体" w:cs="宋体" w:eastAsia="宋体" w:hint="default"/>
                <w:spacing w:val="-4"/>
                <w:sz w:val="18"/>
                <w:szCs w:val="18"/>
              </w:rPr>
              <w:t>人，各项报酬均已按时支付</w:t>
            </w:r>
          </w:p>
        </w:tc>
      </w:tr>
    </w:tbl>
    <w:p>
      <w:pPr>
        <w:spacing w:line="240" w:lineRule="auto" w:before="12"/>
        <w:rPr>
          <w:rFonts w:ascii="宋体" w:hAnsi="宋体" w:cs="宋体" w:eastAsia="宋体" w:hint="default"/>
          <w:sz w:val="24"/>
          <w:szCs w:val="24"/>
        </w:rPr>
      </w:pPr>
    </w:p>
    <w:p>
      <w:pPr>
        <w:pStyle w:val="BodyText"/>
        <w:spacing w:line="240" w:lineRule="auto" w:before="46"/>
        <w:ind w:right="0"/>
        <w:jc w:val="left"/>
      </w:pPr>
      <w:r>
        <w:rPr>
          <w:spacing w:val="-3"/>
        </w:rPr>
        <w:t>公司报告期内董事、监事和高级管理人员报酬情况</w:t>
      </w:r>
    </w:p>
    <w:p>
      <w:pPr>
        <w:pStyle w:val="BodyText"/>
        <w:spacing w:line="240" w:lineRule="auto" w:before="115"/>
        <w:ind w:left="0" w:right="1122"/>
        <w:jc w:val="right"/>
      </w:pPr>
      <w:r>
        <w:rPr>
          <w:spacing w:val="-2"/>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71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1" w:right="46" w:hanging="183"/>
              <w:jc w:val="left"/>
              <w:rPr>
                <w:rFonts w:ascii="宋体" w:hAnsi="宋体" w:cs="宋体" w:eastAsia="宋体" w:hint="default"/>
                <w:sz w:val="18"/>
                <w:szCs w:val="18"/>
              </w:rPr>
            </w:pPr>
            <w:r>
              <w:rPr>
                <w:rFonts w:ascii="宋体" w:hAnsi="宋体" w:cs="宋体" w:eastAsia="宋体" w:hint="default"/>
                <w:spacing w:val="-3"/>
                <w:sz w:val="18"/>
                <w:szCs w:val="18"/>
              </w:rPr>
              <w:t>从公司获得的税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前报酬总额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0" w:right="46" w:hanging="183"/>
              <w:jc w:val="left"/>
              <w:rPr>
                <w:rFonts w:ascii="宋体" w:hAnsi="宋体" w:cs="宋体" w:eastAsia="宋体" w:hint="default"/>
                <w:sz w:val="18"/>
                <w:szCs w:val="18"/>
              </w:rPr>
            </w:pPr>
            <w:r>
              <w:rPr>
                <w:rFonts w:ascii="宋体" w:hAnsi="宋体" w:cs="宋体" w:eastAsia="宋体" w:hint="default"/>
                <w:spacing w:val="-3"/>
                <w:sz w:val="18"/>
                <w:szCs w:val="18"/>
              </w:rPr>
              <w:t>是否在公司关联</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方获取报酬</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80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23.52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王小鑫</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郭言娜</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女</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52</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47.23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张舒</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35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40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男</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36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6"/>
              <w:ind w:right="9"/>
              <w:jc w:val="right"/>
              <w:rPr>
                <w:rFonts w:ascii="Times New Roman" w:hAnsi="Times New Roman" w:cs="Times New Roman" w:eastAsia="Times New Roman" w:hint="default"/>
                <w:sz w:val="18"/>
                <w:szCs w:val="18"/>
              </w:rPr>
            </w:pPr>
            <w:r>
              <w:rPr>
                <w:rFonts w:ascii="Times New Roman"/>
                <w:spacing w:val="-1"/>
                <w:sz w:val="18"/>
              </w:rPr>
              <w:t>544.23</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871" w:footer="979" w:top="1100" w:bottom="1160" w:left="980" w:right="0"/>
        </w:sectPr>
      </w:pPr>
    </w:p>
    <w:p>
      <w:pPr>
        <w:pStyle w:val="BodyText"/>
        <w:spacing w:line="240" w:lineRule="auto" w:before="53"/>
        <w:ind w:right="0"/>
        <w:jc w:val="left"/>
      </w:pPr>
      <w:r>
        <w:rPr>
          <w:spacing w:val="-3"/>
        </w:rPr>
        <w:t>公司董事、高级管理人员报告期内被授予的股权激励情况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t>单位：股</w:t>
      </w:r>
    </w:p>
    <w:p>
      <w:pPr>
        <w:spacing w:after="0" w:line="240" w:lineRule="auto"/>
        <w:jc w:val="left"/>
        <w:sectPr>
          <w:type w:val="continuous"/>
          <w:pgSz w:w="11910" w:h="16840"/>
          <w:pgMar w:top="1060" w:bottom="1160" w:left="980" w:right="0"/>
          <w:cols w:num="2" w:equalWidth="0">
            <w:col w:w="4657" w:space="4265"/>
            <w:col w:w="2008"/>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4"/>
        <w:gridCol w:w="869"/>
        <w:gridCol w:w="869"/>
        <w:gridCol w:w="869"/>
        <w:gridCol w:w="869"/>
        <w:gridCol w:w="874"/>
        <w:gridCol w:w="869"/>
        <w:gridCol w:w="869"/>
        <w:gridCol w:w="869"/>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可行权股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pacing w:val="-2"/>
                <w:sz w:val="18"/>
                <w:szCs w:val="18"/>
              </w:rPr>
              <w:t>报告期内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已行权股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60" w:firstLine="48"/>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w w:val="101"/>
                <w:sz w:val="18"/>
                <w:szCs w:val="18"/>
              </w:rPr>
              <w:t> </w:t>
            </w:r>
            <w:r>
              <w:rPr>
                <w:rFonts w:ascii="宋体" w:hAnsi="宋体" w:cs="宋体" w:eastAsia="宋体" w:hint="default"/>
                <w:sz w:val="18"/>
                <w:szCs w:val="18"/>
              </w:rPr>
              <w:t>已行权股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数行权价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1"/>
                <w:sz w:val="18"/>
                <w:szCs w:val="18"/>
              </w:rPr>
              <w:t>格（元</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2" w:lineRule="auto"/>
              <w:ind w:left="48" w:right="38" w:firstLine="1"/>
              <w:jc w:val="center"/>
              <w:rPr>
                <w:rFonts w:ascii="Times New Roman" w:hAnsi="Times New Roman" w:cs="Times New Roman" w:eastAsia="Times New Roman" w:hint="default"/>
                <w:sz w:val="18"/>
                <w:szCs w:val="18"/>
              </w:rPr>
            </w:pPr>
            <w:r>
              <w:rPr>
                <w:rFonts w:ascii="宋体" w:hAnsi="宋体" w:cs="宋体" w:eastAsia="宋体" w:hint="default"/>
                <w:sz w:val="18"/>
                <w:szCs w:val="18"/>
              </w:rPr>
              <w:t>报告期末</w:t>
            </w:r>
            <w:r>
              <w:rPr>
                <w:rFonts w:ascii="宋体" w:hAnsi="宋体" w:cs="宋体" w:eastAsia="宋体" w:hint="default"/>
                <w:w w:val="101"/>
                <w:sz w:val="18"/>
                <w:szCs w:val="18"/>
              </w:rPr>
              <w:t> </w:t>
            </w:r>
            <w:r>
              <w:rPr>
                <w:rFonts w:ascii="宋体" w:hAnsi="宋体" w:cs="宋体" w:eastAsia="宋体" w:hint="default"/>
                <w:spacing w:val="-2"/>
                <w:sz w:val="18"/>
                <w:szCs w:val="18"/>
              </w:rPr>
              <w:t>市价（元</w:t>
            </w:r>
            <w:r>
              <w:rPr>
                <w:rFonts w:ascii="Times New Roman" w:hAnsi="Times New Roman" w:cs="Times New Roman" w:eastAsia="Times New Roman" w:hint="default"/>
                <w:spacing w:val="-2"/>
                <w:sz w:val="18"/>
                <w:szCs w:val="18"/>
              </w:rPr>
              <w:t>/</w:t>
            </w:r>
          </w:p>
          <w:p>
            <w:pPr>
              <w:pStyle w:val="TableParagraph"/>
              <w:spacing w:line="197" w:lineRule="exact" w:before="8"/>
              <w:ind w:left="5" w:right="0"/>
              <w:jc w:val="center"/>
              <w:rPr>
                <w:rFonts w:ascii="宋体" w:hAnsi="宋体" w:cs="宋体" w:eastAsia="宋体" w:hint="default"/>
                <w:sz w:val="18"/>
                <w:szCs w:val="18"/>
              </w:rPr>
            </w:pPr>
            <w:r>
              <w:rPr>
                <w:rFonts w:ascii="宋体" w:hAnsi="宋体" w:cs="宋体" w:eastAsia="宋体" w:hint="default"/>
                <w:sz w:val="18"/>
                <w:szCs w:val="18"/>
              </w:rPr>
              <w:t>股）</w:t>
            </w:r>
          </w:p>
          <w:p>
            <w:pPr>
              <w:pStyle w:val="TableParagraph"/>
              <w:spacing w:line="197" w:lineRule="exact"/>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期初持有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5"/>
              <w:jc w:val="center"/>
              <w:rPr>
                <w:rFonts w:ascii="宋体" w:hAnsi="宋体" w:cs="宋体" w:eastAsia="宋体" w:hint="default"/>
                <w:sz w:val="18"/>
                <w:szCs w:val="18"/>
              </w:rPr>
            </w:pPr>
            <w:r>
              <w:rPr>
                <w:rFonts w:ascii="宋体" w:hAnsi="宋体" w:cs="宋体" w:eastAsia="宋体" w:hint="default"/>
                <w:spacing w:val="-2"/>
                <w:sz w:val="18"/>
                <w:szCs w:val="18"/>
              </w:rPr>
              <w:t>本期已解</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锁股份数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72" w:right="60"/>
              <w:jc w:val="center"/>
              <w:rPr>
                <w:rFonts w:ascii="宋体" w:hAnsi="宋体" w:cs="宋体" w:eastAsia="宋体" w:hint="default"/>
                <w:sz w:val="18"/>
                <w:szCs w:val="18"/>
              </w:rPr>
            </w:pPr>
            <w:r>
              <w:rPr>
                <w:rFonts w:ascii="宋体" w:hAnsi="宋体" w:cs="宋体" w:eastAsia="宋体" w:hint="default"/>
                <w:spacing w:val="-2"/>
                <w:sz w:val="18"/>
                <w:szCs w:val="18"/>
              </w:rPr>
              <w:t>报告期新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授予限制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性股票数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47" w:right="38" w:firstLine="1"/>
              <w:jc w:val="center"/>
              <w:rPr>
                <w:rFonts w:ascii="宋体" w:hAnsi="宋体" w:cs="宋体" w:eastAsia="宋体" w:hint="default"/>
                <w:sz w:val="18"/>
                <w:szCs w:val="18"/>
              </w:rPr>
            </w:pPr>
            <w:r>
              <w:rPr>
                <w:rFonts w:ascii="宋体" w:hAnsi="宋体" w:cs="宋体" w:eastAsia="宋体" w:hint="default"/>
                <w:sz w:val="18"/>
                <w:szCs w:val="18"/>
              </w:rPr>
              <w:t>限制性股</w:t>
            </w:r>
            <w:r>
              <w:rPr>
                <w:rFonts w:ascii="宋体" w:hAnsi="宋体" w:cs="宋体" w:eastAsia="宋体" w:hint="default"/>
                <w:w w:val="101"/>
                <w:sz w:val="18"/>
                <w:szCs w:val="18"/>
              </w:rPr>
              <w:t> </w:t>
            </w:r>
            <w:r>
              <w:rPr>
                <w:rFonts w:ascii="宋体" w:hAnsi="宋体" w:cs="宋体" w:eastAsia="宋体" w:hint="default"/>
                <w:sz w:val="18"/>
                <w:szCs w:val="18"/>
              </w:rPr>
              <w:t>票的授予</w:t>
            </w:r>
            <w:r>
              <w:rPr>
                <w:rFonts w:ascii="宋体" w:hAnsi="宋体" w:cs="宋体" w:eastAsia="宋体" w:hint="default"/>
                <w:w w:val="101"/>
                <w:sz w:val="18"/>
                <w:szCs w:val="18"/>
              </w:rPr>
              <w:t> </w:t>
            </w:r>
            <w:r>
              <w:rPr>
                <w:rFonts w:ascii="宋体" w:hAnsi="宋体" w:cs="宋体" w:eastAsia="宋体" w:hint="default"/>
                <w:spacing w:val="-2"/>
                <w:sz w:val="18"/>
                <w:szCs w:val="18"/>
              </w:rPr>
              <w:t>价格（元</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71" w:right="60"/>
              <w:jc w:val="both"/>
              <w:rPr>
                <w:rFonts w:ascii="宋体" w:hAnsi="宋体" w:cs="宋体" w:eastAsia="宋体" w:hint="default"/>
                <w:sz w:val="18"/>
                <w:szCs w:val="18"/>
              </w:rPr>
            </w:pPr>
            <w:r>
              <w:rPr>
                <w:rFonts w:ascii="宋体" w:hAnsi="宋体" w:cs="宋体" w:eastAsia="宋体" w:hint="default"/>
                <w:sz w:val="18"/>
                <w:szCs w:val="18"/>
              </w:rPr>
              <w:t>期末持有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限制性股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票数量</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2"/>
              <w:jc w:val="left"/>
              <w:rPr>
                <w:rFonts w:ascii="宋体" w:hAnsi="宋体" w:cs="宋体" w:eastAsia="宋体" w:hint="default"/>
                <w:sz w:val="18"/>
                <w:szCs w:val="18"/>
              </w:rPr>
            </w:pPr>
            <w:r>
              <w:rPr>
                <w:rFonts w:ascii="宋体" w:hAnsi="宋体" w:cs="宋体" w:eastAsia="宋体" w:hint="default"/>
                <w:spacing w:val="-19"/>
                <w:w w:val="101"/>
                <w:sz w:val="18"/>
                <w:szCs w:val="18"/>
              </w:rPr>
              <w:t>董事、副总</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3.3357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140,000</w:t>
            </w:r>
          </w:p>
        </w:tc>
      </w:tr>
      <w:tr>
        <w:trPr>
          <w:trHeight w:val="398"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冯峥</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5" w:right="0"/>
              <w:jc w:val="left"/>
              <w:rPr>
                <w:rFonts w:ascii="Times New Roman" w:hAnsi="Times New Roman" w:cs="Times New Roman" w:eastAsia="Times New Roman" w:hint="default"/>
                <w:sz w:val="18"/>
                <w:szCs w:val="18"/>
              </w:rPr>
            </w:pPr>
            <w:r>
              <w:rPr>
                <w:rFonts w:ascii="Times New Roman"/>
                <w:sz w:val="18"/>
              </w:rPr>
              <w:t>3.3357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364,000</w:t>
            </w:r>
          </w:p>
        </w:tc>
      </w:tr>
      <w:tr>
        <w:trPr>
          <w:trHeight w:val="71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张舒</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董事会秘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3.3357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700,000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84"/>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45" w:right="0"/>
              <w:jc w:val="left"/>
              <w:rPr>
                <w:rFonts w:ascii="Times New Roman" w:hAnsi="Times New Roman" w:cs="Times New Roman" w:eastAsia="Times New Roman" w:hint="default"/>
                <w:sz w:val="18"/>
                <w:szCs w:val="18"/>
              </w:rPr>
            </w:pPr>
            <w:r>
              <w:rPr>
                <w:rFonts w:ascii="Times New Roman"/>
                <w:sz w:val="18"/>
              </w:rPr>
              <w:t>3.3357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350,000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1,554,000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369"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1,554,000</w:t>
            </w: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4"/>
              <w:jc w:val="left"/>
              <w:rPr>
                <w:rFonts w:ascii="宋体" w:hAnsi="宋体" w:cs="宋体" w:eastAsia="宋体" w:hint="default"/>
                <w:sz w:val="18"/>
                <w:szCs w:val="18"/>
              </w:rPr>
            </w:pPr>
            <w:r>
              <w:rPr>
                <w:rFonts w:ascii="宋体" w:hAnsi="宋体" w:cs="宋体" w:eastAsia="宋体" w:hint="default"/>
                <w:sz w:val="18"/>
                <w:szCs w:val="18"/>
              </w:rPr>
              <w:t>备注（如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w:t>
            </w:r>
          </w:p>
        </w:tc>
        <w:tc>
          <w:tcPr>
            <w:tcW w:w="8700" w:type="dxa"/>
            <w:gridSpan w:val="10"/>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五、公司员工情况" w:id="128"/>
      <w:bookmarkEnd w:id="128"/>
      <w:r>
        <w:rPr>
          <w:b w:val="0"/>
          <w:bCs w:val="0"/>
        </w:rPr>
      </w:r>
      <w:r>
        <w:rPr/>
        <w:t>五、公司员工情况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399"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母公司在职员工的数量（人）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273</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主要子公司在职员工的数量（人）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1,321</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在职员工的数量合计（人）</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4768"/>
        <w:gridCol w:w="4790"/>
      </w:tblGrid>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当期领取薪酬员工总人数（人）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1,594</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母公司及主要子公司需承担费用的离退休职工人数（人）</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89"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587" w:right="0"/>
              <w:jc w:val="left"/>
              <w:rPr>
                <w:rFonts w:ascii="宋体" w:hAnsi="宋体" w:cs="宋体" w:eastAsia="宋体" w:hint="default"/>
                <w:sz w:val="18"/>
                <w:szCs w:val="18"/>
              </w:rPr>
            </w:pPr>
            <w:r>
              <w:rPr>
                <w:rFonts w:ascii="宋体" w:hAnsi="宋体" w:cs="宋体" w:eastAsia="宋体" w:hint="default"/>
                <w:spacing w:val="-3"/>
                <w:sz w:val="18"/>
                <w:szCs w:val="18"/>
              </w:rPr>
              <w:t>专业构成人数（人）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757</w:t>
            </w:r>
          </w:p>
        </w:tc>
      </w:tr>
      <w:tr>
        <w:trPr>
          <w:trHeight w:val="401"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101</w:t>
            </w:r>
          </w:p>
        </w:tc>
      </w:tr>
      <w:tr>
        <w:trPr>
          <w:trHeight w:val="401"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z w:val="18"/>
              </w:rPr>
              <w:t>334</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38</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364</w:t>
            </w:r>
          </w:p>
        </w:tc>
      </w:tr>
      <w:tr>
        <w:trPr>
          <w:trHeight w:val="408"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1,594</w:t>
            </w:r>
          </w:p>
        </w:tc>
      </w:tr>
      <w:tr>
        <w:trPr>
          <w:trHeight w:val="389" w:hRule="exact"/>
        </w:trPr>
        <w:tc>
          <w:tcPr>
            <w:tcW w:w="95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9"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1"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研究生及以上</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43</w:t>
            </w:r>
          </w:p>
        </w:tc>
      </w:tr>
      <w:tr>
        <w:trPr>
          <w:trHeight w:val="398"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420</w:t>
            </w:r>
          </w:p>
        </w:tc>
      </w:tr>
      <w:tr>
        <w:trPr>
          <w:trHeight w:val="404"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756</w:t>
            </w:r>
          </w:p>
        </w:tc>
      </w:tr>
      <w:tr>
        <w:trPr>
          <w:trHeight w:val="403" w:hRule="exact"/>
        </w:trPr>
        <w:tc>
          <w:tcPr>
            <w:tcW w:w="4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1,594</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268"/>
        <w:jc w:val="left"/>
      </w:pPr>
      <w:r>
        <w:rPr>
          <w:spacing w:val="-3"/>
        </w:rPr>
        <w:t>公司雇员之薪酬包括薪金、津贴等。公司实行全员劳动合同制，依据《中华人民共和国劳动法》和地方相关法规、规范</w:t>
      </w:r>
      <w:r>
        <w:rPr>
          <w:w w:val="101"/>
        </w:rPr>
        <w:t> </w:t>
      </w:r>
      <w:r>
        <w:rPr>
          <w:spacing w:val="-3"/>
        </w:rPr>
        <w:t>性文件，公司与员工签订《劳动合同书》，公司按国家有关法律、法规及地方相关社会保险政策，为员工办理养老、医疗、</w:t>
      </w:r>
      <w:r>
        <w:rPr>
          <w:spacing w:val="66"/>
        </w:rPr>
        <w:t> </w:t>
      </w:r>
      <w:r>
        <w:rPr>
          <w:spacing w:val="66"/>
        </w:rPr>
      </w:r>
      <w:r>
        <w:rPr>
          <w:spacing w:val="-3"/>
        </w:rPr>
        <w:t>工伤、失业、生育的社会保险和住房公积金。</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3" w:firstLine="360"/>
        <w:jc w:val="both"/>
      </w:pPr>
      <w:r>
        <w:rPr>
          <w:spacing w:val="-4"/>
        </w:rPr>
        <w:t>公司一直十分重视员工的培训和发展工作，制定了系列的培训计划与人才培育项目，全面加强员工培训工作，包括新员</w:t>
      </w:r>
      <w:r>
        <w:rPr>
          <w:w w:val="101"/>
        </w:rPr>
        <w:t> </w:t>
      </w:r>
      <w:r>
        <w:rPr>
          <w:spacing w:val="-4"/>
        </w:rPr>
        <w:t>工入职培训、新员工公司文化理念培训、新员工试用期间岗位技能培训实习、在职员工业务与管理技能培训、一线员工的操</w:t>
      </w:r>
      <w:r>
        <w:rPr>
          <w:spacing w:val="40"/>
        </w:rPr>
        <w:t> </w:t>
      </w:r>
      <w:r>
        <w:rPr>
          <w:spacing w:val="40"/>
        </w:rPr>
      </w:r>
      <w:r>
        <w:rPr>
          <w:spacing w:val="-4"/>
        </w:rPr>
        <w:t>作技能培训、管理干部员管理提升培训、员工晋级、调岗职业技能需求培训等，不断提升公司员工素质和能力，提升员工和</w:t>
      </w:r>
      <w:r>
        <w:rPr>
          <w:spacing w:val="40"/>
        </w:rPr>
        <w:t> </w:t>
      </w:r>
      <w:r>
        <w:rPr>
          <w:spacing w:val="40"/>
        </w:rPr>
      </w:r>
      <w:r>
        <w:rPr>
          <w:spacing w:val="-3"/>
        </w:rPr>
        <w:t>部门工作效率，为公司战略目标的实现提供坚实的基础和确实的保障。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7"/>
        <w:ind w:right="0"/>
        <w:jc w:val="left"/>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3752"/>
        <w:jc w:val="center"/>
        <w:rPr>
          <w:b w:val="0"/>
          <w:bCs w:val="0"/>
        </w:rPr>
      </w:pPr>
      <w:bookmarkStart w:name="_TOC_250003" w:id="133"/>
      <w:bookmarkStart w:name="第十节公司治理" w:id="134"/>
      <w:r>
        <w:rPr>
          <w:b w:val="0"/>
          <w:bCs w:val="0"/>
        </w:rPr>
      </w:r>
      <w:r>
        <w:rPr/>
        <w:t>第十节公司治理</w:t>
      </w:r>
      <w:bookmarkEnd w:id="133"/>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left="580" w:right="0"/>
        <w:jc w:val="left"/>
      </w:pPr>
      <w:r>
        <w:rPr>
          <w:spacing w:val="-3"/>
        </w:rPr>
        <w:t>报告期内，公司根据《公司法》、《证券法》、《上市公司治理准则》、《深圳证券交易所创业板股票上市规则》、</w:t>
      </w:r>
    </w:p>
    <w:p>
      <w:pPr>
        <w:pStyle w:val="BodyText"/>
        <w:spacing w:line="319" w:lineRule="auto" w:before="76"/>
        <w:ind w:right="1123"/>
        <w:jc w:val="both"/>
      </w:pPr>
      <w:r>
        <w:rPr>
          <w:spacing w:val="-4"/>
        </w:rPr>
        <w:t>《深圳证券交易所创业板上市公司规范运作指引》等法律、法规的要求，不断完善法人治理结构，建立行之有效的内控管理</w:t>
      </w:r>
      <w:r>
        <w:rPr>
          <w:spacing w:val="40"/>
        </w:rPr>
        <w:t> </w:t>
      </w:r>
      <w:r>
        <w:rPr>
          <w:spacing w:val="40"/>
        </w:rPr>
      </w:r>
      <w:r>
        <w:rPr>
          <w:spacing w:val="-4"/>
        </w:rPr>
        <w:t>体系，确保公司规范运作。公司股东大会、董事会、监事会的召集、召开、表决程序符合有关法律、法规的要求，且均严格</w:t>
      </w:r>
      <w:r>
        <w:rPr>
          <w:spacing w:val="40"/>
        </w:rPr>
        <w:t> </w:t>
      </w:r>
      <w:r>
        <w:rPr>
          <w:spacing w:val="40"/>
        </w:rPr>
      </w:r>
      <w:r>
        <w:rPr>
          <w:spacing w:val="-4"/>
        </w:rPr>
        <w:t>按照相关法律法规，履行各自的权利和义务，公司重大生产经营决策、投资决策及财务决策均按照《公司章程》及有关内控</w:t>
      </w:r>
      <w:r>
        <w:rPr>
          <w:spacing w:val="40"/>
        </w:rPr>
        <w:t> </w:t>
      </w:r>
      <w:r>
        <w:rPr>
          <w:spacing w:val="40"/>
        </w:rPr>
      </w:r>
      <w:r>
        <w:rPr>
          <w:spacing w:val="-4"/>
        </w:rPr>
        <w:t>制度规定的程序和规则进行，截至报告期末，上述机构和人员依法运作，未出现违法、违规现象和重大缺陷，能够切实履行</w:t>
      </w:r>
      <w:r>
        <w:rPr>
          <w:spacing w:val="40"/>
        </w:rPr>
        <w:t> </w:t>
      </w:r>
      <w:r>
        <w:rPr>
          <w:spacing w:val="40"/>
        </w:rPr>
      </w:r>
      <w:r>
        <w:rPr>
          <w:spacing w:val="-3"/>
        </w:rPr>
        <w:t>应尽的职责和义务。</w:t>
      </w:r>
    </w:p>
    <w:p>
      <w:pPr>
        <w:pStyle w:val="BodyText"/>
        <w:spacing w:line="240" w:lineRule="auto" w:before="60"/>
        <w:ind w:right="0"/>
        <w:jc w:val="both"/>
      </w:pPr>
      <w:r>
        <w:rPr>
          <w:spacing w:val="-3"/>
        </w:rPr>
        <w:t>公司治理的实际状况与中国证监会发布的有关上市公司治理的规范性文件是否存在重大差异</w:t>
      </w:r>
    </w:p>
    <w:p>
      <w:pPr>
        <w:pStyle w:val="BodyText"/>
        <w:spacing w:line="343" w:lineRule="auto" w:before="115"/>
        <w:ind w:right="2963"/>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公司治理的实际状况与中国证监会发布的有关上市公司治理的规范性文件不存在重大差异。</w:t>
      </w:r>
    </w:p>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spacing w:val="-3"/>
        </w:rPr>
        <w:t>公司不存在与控股股东在业务、人员、资产、机构、财务等方面不能保证独立性、不能保持自主经营能力的情况。</w:t>
      </w:r>
    </w:p>
    <w:p>
      <w:pPr>
        <w:spacing w:line="240" w:lineRule="auto" w:before="10"/>
        <w:rPr>
          <w:rFonts w:ascii="宋体" w:hAnsi="宋体" w:cs="宋体" w:eastAsia="宋体" w:hint="default"/>
          <w:sz w:val="24"/>
          <w:szCs w:val="24"/>
        </w:rPr>
      </w:pPr>
    </w:p>
    <w:p>
      <w:pPr>
        <w:pStyle w:val="Heading2"/>
        <w:spacing w:line="240" w:lineRule="auto"/>
        <w:ind w:right="0"/>
        <w:jc w:val="both"/>
        <w:rPr>
          <w:b w:val="0"/>
          <w:bCs w:val="0"/>
        </w:rPr>
      </w:pPr>
      <w:bookmarkStart w:name="三、同业竞争情况" w:id="137"/>
      <w:bookmarkEnd w:id="137"/>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both"/>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both"/>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9"/>
        <w:gridCol w:w="1522"/>
        <w:gridCol w:w="1489"/>
        <w:gridCol w:w="1594"/>
        <w:gridCol w:w="1594"/>
        <w:gridCol w:w="1916"/>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7"/>
              <w:jc w:val="right"/>
              <w:rPr>
                <w:rFonts w:ascii="宋体" w:hAnsi="宋体" w:cs="宋体" w:eastAsia="宋体" w:hint="default"/>
                <w:sz w:val="18"/>
                <w:szCs w:val="18"/>
              </w:rPr>
            </w:pPr>
            <w:r>
              <w:rPr>
                <w:rFonts w:ascii="宋体" w:hAnsi="宋体" w:cs="宋体" w:eastAsia="宋体" w:hint="default"/>
                <w:spacing w:val="-2"/>
                <w:sz w:val="18"/>
                <w:szCs w:val="18"/>
              </w:rPr>
              <w:t>会议类型</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 w:right="0"/>
              <w:jc w:val="left"/>
              <w:rPr>
                <w:rFonts w:ascii="宋体" w:hAnsi="宋体" w:cs="宋体" w:eastAsia="宋体" w:hint="default"/>
                <w:sz w:val="18"/>
                <w:szCs w:val="18"/>
              </w:rPr>
            </w:pPr>
            <w:r>
              <w:rPr>
                <w:rFonts w:ascii="宋体" w:hAnsi="宋体" w:cs="宋体" w:eastAsia="宋体" w:hint="default"/>
                <w:spacing w:val="-3"/>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年第一次临时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年第二次临时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年第三次临时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年第四次临时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年第五次临时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pacing w:val="-2"/>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年年度股东大</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01"/>
              <w:jc w:val="right"/>
              <w:rPr>
                <w:rFonts w:ascii="宋体" w:hAnsi="宋体" w:cs="宋体" w:eastAsia="宋体" w:hint="default"/>
                <w:sz w:val="18"/>
                <w:szCs w:val="18"/>
              </w:rPr>
            </w:pPr>
            <w:r>
              <w:rPr>
                <w:rFonts w:ascii="宋体" w:hAnsi="宋体" w:cs="宋体" w:eastAsia="宋体" w:hint="default"/>
                <w:spacing w:val="-2"/>
                <w:sz w:val="18"/>
                <w:szCs w:val="18"/>
              </w:rPr>
              <w:t>年度股东大会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4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48" w:type="dxa"/>
        <w:tblLayout w:type="fixed"/>
        <w:tblCellMar>
          <w:top w:w="0" w:type="dxa"/>
          <w:left w:w="0" w:type="dxa"/>
          <w:bottom w:w="0" w:type="dxa"/>
          <w:right w:w="0" w:type="dxa"/>
        </w:tblCellMar>
        <w:tblLook w:val="01E0"/>
      </w:tblPr>
      <w:tblGrid>
        <w:gridCol w:w="1599"/>
        <w:gridCol w:w="1522"/>
        <w:gridCol w:w="1489"/>
        <w:gridCol w:w="1594"/>
        <w:gridCol w:w="1594"/>
        <w:gridCol w:w="1916"/>
      </w:tblGrid>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年第六次临时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年第七次临时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8"/>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年第八次临时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年第九次临时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年第十次临时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0"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年第十一次临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9"/>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年第十二次临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年第十三次临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81"/>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r>
        <w:trPr>
          <w:trHeight w:val="716"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4" w:right="7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pacing w:val="-3"/>
                <w:sz w:val="18"/>
                <w:szCs w:val="18"/>
              </w:rPr>
              <w:t>年第十四次临</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时股东大会</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pacing w:val="-3"/>
                <w:sz w:val="18"/>
                <w:szCs w:val="18"/>
              </w:rPr>
              <w:t>（</w:t>
            </w:r>
            <w:hyperlink r:id="rId12">
              <w:r>
                <w:rPr>
                  <w:rFonts w:ascii="Times New Roman" w:hAnsi="Times New Roman" w:cs="Times New Roman" w:eastAsia="Times New Roman" w:hint="default"/>
                  <w:spacing w:val="-3"/>
                  <w:sz w:val="18"/>
                  <w:szCs w:val="18"/>
                </w:rPr>
                <w:t>www.cninfo.com.cn</w:t>
              </w:r>
            </w:hyperlink>
            <w:r>
              <w:rPr>
                <w:rFonts w:ascii="宋体" w:hAnsi="宋体" w:cs="宋体" w:eastAsia="宋体" w:hint="default"/>
                <w:spacing w:val="-3"/>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6"/>
        <w:gridCol w:w="1167"/>
        <w:gridCol w:w="1162"/>
        <w:gridCol w:w="1167"/>
        <w:gridCol w:w="1162"/>
        <w:gridCol w:w="1162"/>
        <w:gridCol w:w="1162"/>
        <w:gridCol w:w="1167"/>
      </w:tblGrid>
      <w:tr>
        <w:trPr>
          <w:trHeight w:val="404" w:hRule="exact"/>
        </w:trPr>
        <w:tc>
          <w:tcPr>
            <w:tcW w:w="9575"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pacing w:val="-3"/>
                <w:sz w:val="18"/>
                <w:szCs w:val="18"/>
              </w:rPr>
              <w:t>独立董事出席董事会及股东大会的情况</w:t>
            </w:r>
          </w:p>
        </w:tc>
      </w:tr>
      <w:tr>
        <w:trPr>
          <w:trHeight w:val="1027"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本报告期应参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现场出席董事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8" w:right="31"/>
              <w:jc w:val="left"/>
              <w:rPr>
                <w:rFonts w:ascii="宋体" w:hAnsi="宋体" w:cs="宋体" w:eastAsia="宋体" w:hint="default"/>
                <w:sz w:val="18"/>
                <w:szCs w:val="18"/>
              </w:rPr>
            </w:pPr>
            <w:r>
              <w:rPr>
                <w:rFonts w:ascii="宋体" w:hAnsi="宋体" w:cs="宋体" w:eastAsia="宋体" w:hint="default"/>
                <w:spacing w:val="-2"/>
                <w:sz w:val="18"/>
                <w:szCs w:val="18"/>
              </w:rPr>
              <w:t>以通讯方式参</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加董事会次数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07" w:right="27" w:hanging="269"/>
              <w:jc w:val="left"/>
              <w:rPr>
                <w:rFonts w:ascii="宋体" w:hAnsi="宋体" w:cs="宋体" w:eastAsia="宋体" w:hint="default"/>
                <w:sz w:val="18"/>
                <w:szCs w:val="18"/>
              </w:rPr>
            </w:pPr>
            <w:r>
              <w:rPr>
                <w:rFonts w:ascii="宋体" w:hAnsi="宋体" w:cs="宋体" w:eastAsia="宋体" w:hint="default"/>
                <w:spacing w:val="-2"/>
                <w:sz w:val="18"/>
                <w:szCs w:val="18"/>
              </w:rPr>
              <w:t>委托出席董事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89" w:right="27" w:hanging="452"/>
              <w:jc w:val="left"/>
              <w:rPr>
                <w:rFonts w:ascii="宋体" w:hAnsi="宋体" w:cs="宋体" w:eastAsia="宋体" w:hint="default"/>
                <w:sz w:val="18"/>
                <w:szCs w:val="18"/>
              </w:rPr>
            </w:pPr>
            <w:r>
              <w:rPr>
                <w:rFonts w:ascii="宋体" w:hAnsi="宋体" w:cs="宋体" w:eastAsia="宋体" w:hint="default"/>
                <w:spacing w:val="-2"/>
                <w:sz w:val="18"/>
                <w:szCs w:val="18"/>
              </w:rPr>
              <w:t>缺席董事会次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8" w:right="27"/>
              <w:jc w:val="center"/>
              <w:rPr>
                <w:rFonts w:ascii="宋体" w:hAnsi="宋体" w:cs="宋体" w:eastAsia="宋体" w:hint="default"/>
                <w:sz w:val="18"/>
                <w:szCs w:val="18"/>
              </w:rPr>
            </w:pPr>
            <w:r>
              <w:rPr>
                <w:rFonts w:ascii="宋体" w:hAnsi="宋体" w:cs="宋体" w:eastAsia="宋体" w:hint="default"/>
                <w:spacing w:val="-2"/>
                <w:sz w:val="18"/>
                <w:szCs w:val="18"/>
              </w:rPr>
              <w:t>是否连续两次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2"/>
                <w:sz w:val="18"/>
                <w:szCs w:val="18"/>
              </w:rPr>
              <w:t>未亲自参加董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事会会议</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403" w:right="26" w:hanging="360"/>
              <w:jc w:val="left"/>
              <w:rPr>
                <w:rFonts w:ascii="宋体" w:hAnsi="宋体" w:cs="宋体" w:eastAsia="宋体" w:hint="default"/>
                <w:sz w:val="18"/>
                <w:szCs w:val="18"/>
              </w:rPr>
            </w:pPr>
            <w:r>
              <w:rPr>
                <w:rFonts w:ascii="宋体" w:hAnsi="宋体" w:cs="宋体" w:eastAsia="宋体" w:hint="default"/>
                <w:spacing w:val="-2"/>
                <w:sz w:val="18"/>
                <w:szCs w:val="18"/>
              </w:rPr>
              <w:t>出席股东大会</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次数</w:t>
            </w:r>
          </w:p>
        </w:tc>
      </w:tr>
      <w:tr>
        <w:trPr>
          <w:trHeight w:val="398"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4"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21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pStyle w:val="BodyText"/>
        <w:spacing w:line="362" w:lineRule="auto" w:before="53"/>
        <w:ind w:right="6287"/>
        <w:jc w:val="left"/>
      </w:pPr>
      <w:r>
        <w:rPr>
          <w:spacing w:val="-3"/>
        </w:rPr>
        <w:t>连续两次未亲自出席董事会的说明</w:t>
      </w:r>
      <w:r>
        <w:rPr>
          <w:spacing w:val="-44"/>
        </w:rPr>
        <w:t> </w:t>
      </w:r>
      <w:r>
        <w:rPr>
          <w:spacing w:val="-44"/>
        </w:rPr>
      </w:r>
      <w:r>
        <w:rPr>
          <w:spacing w:val="-3"/>
        </w:rPr>
        <w:t>独立董事不存在连续两次未亲自出席董事会情形。</w:t>
      </w:r>
    </w:p>
    <w:p>
      <w:pPr>
        <w:spacing w:line="240" w:lineRule="auto" w:before="4"/>
        <w:rPr>
          <w:rFonts w:ascii="宋体" w:hAnsi="宋体" w:cs="宋体" w:eastAsia="宋体" w:hint="default"/>
          <w:sz w:val="19"/>
          <w:szCs w:val="19"/>
        </w:rPr>
      </w:pPr>
    </w:p>
    <w:p>
      <w:pPr>
        <w:pStyle w:val="Heading3"/>
        <w:spacing w:line="240" w:lineRule="auto"/>
        <w:ind w:right="0"/>
        <w:jc w:val="left"/>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独立董事对公司有关事项是否提出异议</w:t>
      </w:r>
    </w:p>
    <w:p>
      <w:pPr>
        <w:spacing w:after="0" w:line="24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338" w:lineRule="auto" w:before="46"/>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独立董事对公司有关建议是否被采纳</w:t>
      </w:r>
    </w:p>
    <w:p>
      <w:pPr>
        <w:pStyle w:val="BodyText"/>
        <w:spacing w:line="338" w:lineRule="auto" w:before="115"/>
        <w:ind w:right="6287"/>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3"/>
        </w:rPr>
        <w:t> </w:t>
      </w:r>
      <w:r>
        <w:rPr>
          <w:spacing w:val="-3"/>
        </w:rPr>
        <w:t>独立董事对公司有关建议被采纳或未被采纳的说明</w:t>
      </w:r>
    </w:p>
    <w:p>
      <w:pPr>
        <w:pStyle w:val="BodyText"/>
        <w:spacing w:line="314" w:lineRule="auto" w:before="41"/>
        <w:ind w:right="1123" w:firstLine="427"/>
        <w:jc w:val="both"/>
      </w:pPr>
      <w:r>
        <w:rPr>
          <w:spacing w:val="-3"/>
        </w:rPr>
        <w:t>公司独立董事严格按照《公司法》、《证券法》、《关于在上市公司建立独立董事制度的指导意见》、《深圳证券交</w:t>
      </w:r>
      <w:r>
        <w:rPr>
          <w:w w:val="101"/>
        </w:rPr>
        <w:t> </w:t>
      </w:r>
      <w:r>
        <w:rPr>
          <w:spacing w:val="-4"/>
        </w:rPr>
        <w:t>易所创业板上市公司规范运作指引》、《关于加强社会公众股股东权益保护的若干规定》、《公司章程》、《独立董事工作</w:t>
      </w:r>
      <w:r>
        <w:rPr>
          <w:spacing w:val="40"/>
        </w:rPr>
        <w:t> </w:t>
      </w:r>
      <w:r>
        <w:rPr>
          <w:spacing w:val="40"/>
        </w:rPr>
      </w:r>
      <w:r>
        <w:rPr>
          <w:spacing w:val="-4"/>
        </w:rPr>
        <w:t>制度》等相关法律、法规、规章的规定和要求，在</w:t>
      </w:r>
      <w:r>
        <w:rPr>
          <w:rFonts w:ascii="Times New Roman" w:hAnsi="Times New Roman" w:cs="Times New Roman" w:eastAsia="Times New Roman" w:hint="default"/>
          <w:spacing w:val="-4"/>
        </w:rPr>
        <w:t>2019</w:t>
      </w:r>
      <w:r>
        <w:rPr>
          <w:spacing w:val="-4"/>
        </w:rPr>
        <w:t>年度工作中，诚实、勤勉、独立地履行职责，积极出席相关会议，认</w:t>
      </w:r>
      <w:r>
        <w:rPr>
          <w:spacing w:val="48"/>
        </w:rPr>
        <w:t> </w:t>
      </w:r>
      <w:r>
        <w:rPr>
          <w:spacing w:val="48"/>
        </w:rPr>
      </w:r>
      <w:r>
        <w:rPr>
          <w:spacing w:val="-4"/>
        </w:rPr>
        <w:t>真审议董事会各项议案，对公司重大事项发表了独立意见，充分发挥了独立董事及各专业委员会的作用。一方面，严格审核</w:t>
      </w:r>
      <w:r>
        <w:rPr>
          <w:spacing w:val="40"/>
        </w:rPr>
        <w:t> </w:t>
      </w:r>
      <w:r>
        <w:rPr>
          <w:spacing w:val="40"/>
        </w:rPr>
      </w:r>
      <w:r>
        <w:rPr>
          <w:spacing w:val="-4"/>
        </w:rPr>
        <w:t>公司提交董事会的相关事项，维护公司和公众股东的合法权益，促进公司规范运作；另一方面发挥自己的专业优势，积极关</w:t>
      </w:r>
      <w:r>
        <w:rPr>
          <w:spacing w:val="40"/>
        </w:rPr>
        <w:t> </w:t>
      </w:r>
      <w:r>
        <w:rPr>
          <w:spacing w:val="40"/>
        </w:rPr>
      </w:r>
      <w:r>
        <w:rPr>
          <w:spacing w:val="-3"/>
        </w:rPr>
        <w:t>注和参与研究公司的发展，为公司的审计工作及内控、薪酬激励、提名任命、战略规划等工作提出了意见和建议。</w:t>
      </w:r>
    </w:p>
    <w:p>
      <w:pPr>
        <w:spacing w:line="240" w:lineRule="auto" w:before="6"/>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11"/>
        <w:rPr>
          <w:rFonts w:ascii="宋体" w:hAnsi="宋体" w:cs="宋体" w:eastAsia="宋体" w:hint="default"/>
          <w:b/>
          <w:bCs/>
          <w:sz w:val="26"/>
          <w:szCs w:val="26"/>
        </w:rPr>
      </w:pPr>
    </w:p>
    <w:p>
      <w:pPr>
        <w:pStyle w:val="BodyText"/>
        <w:spacing w:line="309" w:lineRule="auto"/>
        <w:ind w:left="513" w:right="1037"/>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审计委员会的履职情况：</w:t>
      </w:r>
      <w:r>
        <w:rPr>
          <w:spacing w:val="-88"/>
        </w:rPr>
        <w:t> </w:t>
      </w:r>
      <w:r>
        <w:rPr>
          <w:spacing w:val="-88"/>
        </w:rPr>
      </w:r>
      <w:r>
        <w:rPr>
          <w:spacing w:val="-3"/>
        </w:rPr>
        <w:t>公司董事会审计委员会本着勤勉尽责的原则，充分发挥监督作用，报告期内主要履行了以下职责：</w:t>
      </w:r>
      <w:r>
        <w:rPr>
          <w:spacing w:val="36"/>
        </w:rPr>
        <w:t> </w:t>
      </w:r>
      <w:r>
        <w:rPr>
          <w:spacing w:val="36"/>
        </w:rPr>
      </w:r>
      <w:r>
        <w:rPr>
          <w:spacing w:val="-4"/>
        </w:rPr>
        <w:t>报告期内，公司审计委员会严格按照《审计委员会工作细则》的相关要求，共召开审计委员会会议四次，对公司全年生</w:t>
      </w:r>
    </w:p>
    <w:p>
      <w:pPr>
        <w:pStyle w:val="BodyText"/>
        <w:spacing w:line="316" w:lineRule="auto" w:before="24"/>
        <w:ind w:right="1124"/>
        <w:jc w:val="both"/>
      </w:pPr>
      <w:r>
        <w:rPr>
          <w:spacing w:val="-4"/>
        </w:rPr>
        <w:t>产经营情况和重大事项进展情况的进行了监控，与审计会计师进行沟通，制定年度审计计划并对年度审计工作进行安排，并</w:t>
      </w:r>
      <w:r>
        <w:rPr>
          <w:spacing w:val="43"/>
        </w:rPr>
        <w:t> </w:t>
      </w:r>
      <w:r>
        <w:rPr>
          <w:spacing w:val="43"/>
        </w:rPr>
      </w:r>
      <w:r>
        <w:rPr>
          <w:spacing w:val="-4"/>
        </w:rPr>
        <w:t>就审计过程中发现的问题与相关人员进行有效沟通，同时，审议审计部提交的年度审计计划及总结，切实履行了审计委员会</w:t>
      </w:r>
      <w:r>
        <w:rPr>
          <w:spacing w:val="43"/>
        </w:rPr>
        <w:t> </w:t>
      </w:r>
      <w:r>
        <w:rPr>
          <w:spacing w:val="43"/>
        </w:rPr>
      </w:r>
      <w:r>
        <w:rPr/>
        <w:t>工作职责。</w:t>
      </w:r>
    </w:p>
    <w:p>
      <w:pPr>
        <w:pStyle w:val="BodyText"/>
        <w:spacing w:line="307" w:lineRule="auto" w:before="19"/>
        <w:ind w:left="513" w:right="1037"/>
        <w:jc w:val="left"/>
      </w:pPr>
      <w:r>
        <w:rPr>
          <w:rFonts w:ascii="Times New Roman" w:hAnsi="Times New Roman" w:cs="Times New Roman" w:eastAsia="Times New Roman" w:hint="default"/>
          <w:spacing w:val="-3"/>
        </w:rPr>
        <w:t>(</w:t>
      </w:r>
      <w:r>
        <w:rPr>
          <w:spacing w:val="-3"/>
        </w:rPr>
        <w:t>二</w:t>
      </w:r>
      <w:r>
        <w:rPr>
          <w:rFonts w:ascii="Times New Roman" w:hAnsi="Times New Roman" w:cs="Times New Roman" w:eastAsia="Times New Roman" w:hint="default"/>
          <w:spacing w:val="-3"/>
        </w:rPr>
        <w:t>)</w:t>
      </w:r>
      <w:r>
        <w:rPr>
          <w:spacing w:val="-3"/>
        </w:rPr>
        <w:t>提名委员会履职情况：</w:t>
      </w:r>
      <w:r>
        <w:rPr>
          <w:spacing w:val="-52"/>
        </w:rPr>
        <w:t> </w:t>
      </w:r>
      <w:r>
        <w:rPr>
          <w:spacing w:val="-52"/>
        </w:rPr>
      </w:r>
      <w:r>
        <w:rPr>
          <w:spacing w:val="-3"/>
        </w:rPr>
        <w:t>报告期内，提名委员会召开专业委员会会议和沟通会两次，对公司董事、高级管理人员的人选进行了讨论。</w:t>
      </w:r>
      <w:r>
        <w:rPr>
          <w:spacing w:val="48"/>
        </w:rPr>
        <w:t> </w:t>
      </w:r>
      <w:r>
        <w:rPr>
          <w:spacing w:val="48"/>
        </w:rPr>
      </w:r>
      <w:r>
        <w:rPr>
          <w:rFonts w:ascii="Times New Roman" w:hAnsi="Times New Roman" w:cs="Times New Roman" w:eastAsia="Times New Roman" w:hint="default"/>
          <w:spacing w:val="-3"/>
        </w:rPr>
        <w:t>(</w:t>
      </w:r>
      <w:r>
        <w:rPr>
          <w:spacing w:val="-3"/>
        </w:rPr>
        <w:t>三</w:t>
      </w:r>
      <w:r>
        <w:rPr>
          <w:rFonts w:ascii="Times New Roman" w:hAnsi="Times New Roman" w:cs="Times New Roman" w:eastAsia="Times New Roman" w:hint="default"/>
          <w:spacing w:val="-3"/>
        </w:rPr>
        <w:t>)</w:t>
      </w:r>
      <w:r>
        <w:rPr>
          <w:spacing w:val="-3"/>
        </w:rPr>
        <w:t>薪酬与考核委员会履职情况：</w:t>
      </w:r>
      <w:r>
        <w:rPr>
          <w:spacing w:val="-40"/>
        </w:rPr>
        <w:t> </w:t>
      </w:r>
      <w:r>
        <w:rPr>
          <w:spacing w:val="-40"/>
        </w:rPr>
      </w:r>
      <w:r>
        <w:rPr>
          <w:spacing w:val="-4"/>
        </w:rPr>
        <w:t>报告期内，薪酬与考核委员会对公司第五届董事董事、监事和高级管理人员薪酬等事项进行了讨论与审议，认为公司董</w:t>
      </w:r>
    </w:p>
    <w:p>
      <w:pPr>
        <w:pStyle w:val="BodyText"/>
        <w:spacing w:line="312" w:lineRule="auto" w:before="26"/>
        <w:ind w:right="0"/>
        <w:jc w:val="left"/>
      </w:pPr>
      <w:r>
        <w:rPr/>
        <w:t>事及高级管理人员的薪酬发放符合公司薪酬管理制度的规定，不存在违反公司薪酬管理制度及与薪酬管理制度不一致的情</w:t>
      </w:r>
      <w:r>
        <w:rPr>
          <w:spacing w:val="12"/>
        </w:rPr>
        <w:t> </w:t>
      </w:r>
      <w:r>
        <w:rPr>
          <w:spacing w:val="12"/>
        </w:rPr>
      </w:r>
      <w:r>
        <w:rPr>
          <w:spacing w:val="-4"/>
        </w:rPr>
        <w:t>形。报告期内，对公司</w:t>
      </w:r>
      <w:r>
        <w:rPr>
          <w:rFonts w:ascii="Times New Roman" w:hAnsi="Times New Roman" w:cs="Times New Roman" w:eastAsia="Times New Roman" w:hint="default"/>
          <w:spacing w:val="-4"/>
        </w:rPr>
        <w:t>2019</w:t>
      </w:r>
      <w:r>
        <w:rPr>
          <w:spacing w:val="-4"/>
        </w:rPr>
        <w:t>年限制性股权激励计划考核管理办法、激励对象名单进行审核、考核，认为公司</w:t>
      </w:r>
      <w:r>
        <w:rPr>
          <w:rFonts w:ascii="Times New Roman" w:hAnsi="Times New Roman" w:cs="Times New Roman" w:eastAsia="Times New Roman" w:hint="default"/>
          <w:spacing w:val="-4"/>
        </w:rPr>
        <w:t>2019</w:t>
      </w:r>
      <w:r>
        <w:rPr>
          <w:spacing w:val="-4"/>
        </w:rPr>
        <w:t>年的限制性</w:t>
      </w:r>
      <w:r>
        <w:rPr>
          <w:spacing w:val="57"/>
        </w:rPr>
        <w:t> </w:t>
      </w:r>
      <w:r>
        <w:rPr>
          <w:spacing w:val="57"/>
        </w:rPr>
      </w:r>
      <w:r>
        <w:rPr>
          <w:spacing w:val="-3"/>
        </w:rPr>
        <w:t>股权激励计划的考核管理办法的制定及激励对象名单符合《公司法》、《证券法》《上市公司股权激励管理办法》等法律、</w:t>
      </w:r>
      <w:r>
        <w:rPr>
          <w:spacing w:val="66"/>
        </w:rPr>
        <w:t> </w:t>
      </w:r>
      <w:r>
        <w:rPr>
          <w:spacing w:val="66"/>
        </w:rPr>
      </w:r>
      <w:r>
        <w:rPr>
          <w:spacing w:val="-3"/>
        </w:rPr>
        <w:t>法规、规范性文件及《公司章程》的规定。</w:t>
      </w:r>
    </w:p>
    <w:p>
      <w:pPr>
        <w:pStyle w:val="BodyText"/>
        <w:spacing w:line="300" w:lineRule="auto" w:before="22"/>
        <w:ind w:left="513" w:right="2648"/>
        <w:jc w:val="left"/>
      </w:pPr>
      <w:r>
        <w:rPr>
          <w:rFonts w:ascii="Times New Roman" w:hAnsi="Times New Roman" w:cs="Times New Roman" w:eastAsia="Times New Roman" w:hint="default"/>
          <w:spacing w:val="-3"/>
        </w:rPr>
        <w:t>(</w:t>
      </w:r>
      <w:r>
        <w:rPr>
          <w:spacing w:val="-3"/>
        </w:rPr>
        <w:t>四</w:t>
      </w:r>
      <w:r>
        <w:rPr>
          <w:rFonts w:ascii="Times New Roman" w:hAnsi="Times New Roman" w:cs="Times New Roman" w:eastAsia="Times New Roman" w:hint="default"/>
          <w:spacing w:val="-3"/>
        </w:rPr>
        <w:t>)</w:t>
      </w:r>
      <w:r>
        <w:rPr>
          <w:spacing w:val="-3"/>
        </w:rPr>
        <w:t>战略委员会履职情况：</w:t>
      </w:r>
      <w:r>
        <w:rPr>
          <w:spacing w:val="-52"/>
        </w:rPr>
        <w:t> </w:t>
      </w:r>
      <w:r>
        <w:rPr>
          <w:spacing w:val="-52"/>
        </w:rPr>
      </w:r>
      <w:r>
        <w:rPr>
          <w:spacing w:val="-3"/>
        </w:rPr>
        <w:t>报告期内，公司未单独召开战略委员会会议，战略委员会需讨论的事项在董事会会议上合并讨论。</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bookmarkStart w:name="七、监事会工作情况" w:id="146"/>
      <w:bookmarkEnd w:id="146"/>
      <w:r>
        <w:rPr>
          <w:b w:val="0"/>
          <w:bCs w:val="0"/>
        </w:rPr>
      </w:r>
      <w:r>
        <w:rPr/>
        <w:t>七、监事会工作情况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监事会在报告期内的监督活动中发现公司是否存在风险</w:t>
      </w:r>
    </w:p>
    <w:p>
      <w:pPr>
        <w:pStyle w:val="BodyText"/>
        <w:spacing w:line="343" w:lineRule="auto" w:before="115"/>
        <w:ind w:right="6680"/>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4"/>
        </w:rPr>
        <w:t> </w:t>
      </w:r>
      <w:r>
        <w:rPr>
          <w:spacing w:val="-3"/>
        </w:rPr>
        <w:t>公司监事会对报告期内的监督事项无异议。</w:t>
      </w:r>
    </w:p>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3"/>
        <w:rPr>
          <w:rFonts w:ascii="宋体" w:hAnsi="宋体" w:cs="宋体" w:eastAsia="宋体" w:hint="default"/>
          <w:b/>
          <w:bCs/>
          <w:sz w:val="27"/>
          <w:szCs w:val="27"/>
        </w:rPr>
      </w:pPr>
    </w:p>
    <w:p>
      <w:pPr>
        <w:pStyle w:val="BodyText"/>
        <w:spacing w:line="316" w:lineRule="auto"/>
        <w:ind w:right="1123" w:firstLine="427"/>
        <w:jc w:val="both"/>
      </w:pPr>
      <w:r>
        <w:rPr>
          <w:spacing w:val="-3"/>
        </w:rPr>
        <w:t>公司建立了完善的高级管理人员绩效考评体系和薪酬制度，高级管理人员的工作绩效与其收入直接挂钩。高级管理人</w:t>
      </w:r>
      <w:r>
        <w:rPr>
          <w:w w:val="101"/>
        </w:rPr>
        <w:t> </w:t>
      </w:r>
      <w:r>
        <w:rPr>
          <w:spacing w:val="-4"/>
        </w:rPr>
        <w:t>员的聘任公开、透明，符合法律、法规的规定。公司董事会下设的提名、薪酬和考核委员会负责对公司董事及高级管理人员</w:t>
      </w:r>
    </w:p>
    <w:p>
      <w:pPr>
        <w:spacing w:after="0" w:line="316"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left"/>
      </w:pPr>
      <w:r>
        <w:rPr>
          <w:spacing w:val="-3"/>
        </w:rPr>
        <w:t>进行绩效考核。</w:t>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九、内部控制评价报告" w:id="148"/>
      <w:bookmarkEnd w:id="148"/>
      <w:r>
        <w:rPr>
          <w:b w:val="0"/>
          <w:bCs w:val="0"/>
        </w:rPr>
      </w: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3"/>
        <w:rPr>
          <w:rFonts w:ascii="宋体" w:hAnsi="宋体" w:cs="宋体" w:eastAsia="宋体" w:hint="default"/>
          <w:b/>
          <w:bCs/>
          <w:sz w:val="27"/>
          <w:szCs w:val="27"/>
        </w:rPr>
      </w:pPr>
    </w:p>
    <w:p>
      <w:pPr>
        <w:pStyle w:val="BodyText"/>
        <w:tabs>
          <w:tab w:pos="3374" w:val="left" w:leader="none"/>
        </w:tabs>
        <w:spacing w:line="240" w:lineRule="auto" w:before="46"/>
        <w:ind w:left="182" w:right="0"/>
        <w:jc w:val="left"/>
      </w:pPr>
      <w:r>
        <w:rPr/>
        <w:pict>
          <v:group style="position:absolute;margin-left:56.424pt;margin-top:-1.108313pt;width:479pt;height:534.4pt;mso-position-horizontal-relative:page;mso-position-vertical-relative:paragraph;z-index:-1057432" coordorigin="1128,-22" coordsize="9580,10688">
            <v:group style="position:absolute;left:1150;top:-8;width:2;height:394" coordorigin="1150,-8" coordsize="2,394">
              <v:shape style="position:absolute;left:1150;top:-8;width:2;height:394" coordorigin="1150,-8" coordsize="0,394" path="m1150,-8l1150,386e" filled="false" stroked="true" strokeweight="1.2pt" strokecolor="#d2d2d2">
                <v:path arrowok="t"/>
              </v:shape>
            </v:group>
            <v:group style="position:absolute;left:4314;top:-8;width:2;height:394" coordorigin="4314,-8" coordsize="2,394">
              <v:shape style="position:absolute;left:4314;top:-8;width:2;height:394" coordorigin="4314,-8" coordsize="0,394" path="m4314,-8l4314,386e" filled="false" stroked="true" strokeweight="1.2pt" strokecolor="#d2d2d2">
                <v:path arrowok="t"/>
              </v:shape>
            </v:group>
            <v:group style="position:absolute;left:1162;top:-8;width:3141;height:394" coordorigin="1162,-8" coordsize="3141,394">
              <v:shape style="position:absolute;left:1162;top:-8;width:3141;height:394" coordorigin="1162,-8" coordsize="3141,394" path="m1162,386l4302,386,4302,-8,1162,-8,1162,386xe" filled="true" fillcolor="#d2d2d2" stroked="false">
                <v:path arrowok="t"/>
                <v:fill type="solid"/>
              </v:shape>
            </v:group>
            <v:group style="position:absolute;left:1138;top:-13;width:3184;height:2" coordorigin="1138,-13" coordsize="3184,2">
              <v:shape style="position:absolute;left:1138;top:-13;width:3184;height:2" coordorigin="1138,-13" coordsize="3184,0" path="m1138,-13l4321,-13e" filled="false" stroked="true" strokeweight=".48pt" strokecolor="#000000">
                <v:path arrowok="t"/>
              </v:shape>
            </v:group>
            <v:group style="position:absolute;left:4331;top:-13;width:6368;height:2" coordorigin="4331,-13" coordsize="6368,2">
              <v:shape style="position:absolute;left:4331;top:-13;width:6368;height:2" coordorigin="4331,-13" coordsize="6368,0" path="m4331,-13l10698,-13e" filled="false" stroked="true" strokeweight=".48pt" strokecolor="#000000">
                <v:path arrowok="t"/>
              </v:shape>
            </v:group>
            <v:group style="position:absolute;left:1150;top:395;width:2;height:394" coordorigin="1150,395" coordsize="2,394">
              <v:shape style="position:absolute;left:1150;top:395;width:2;height:394" coordorigin="1150,395" coordsize="0,394" path="m1150,395l1150,789e" filled="false" stroked="true" strokeweight="1.2pt" strokecolor="#d2d2d2">
                <v:path arrowok="t"/>
              </v:shape>
            </v:group>
            <v:group style="position:absolute;left:4314;top:395;width:2;height:394" coordorigin="4314,395" coordsize="2,394">
              <v:shape style="position:absolute;left:4314;top:395;width:2;height:394" coordorigin="4314,395" coordsize="0,394" path="m4314,395l4314,789e" filled="false" stroked="true" strokeweight="1.2pt" strokecolor="#d2d2d2">
                <v:path arrowok="t"/>
              </v:shape>
            </v:group>
            <v:group style="position:absolute;left:1162;top:395;width:3141;height:394" coordorigin="1162,395" coordsize="3141,394">
              <v:shape style="position:absolute;left:1162;top:395;width:3141;height:394" coordorigin="1162,395" coordsize="3141,394" path="m1162,789l4302,789,4302,395,1162,395,1162,789xe" filled="true" fillcolor="#d2d2d2" stroked="false">
                <v:path arrowok="t"/>
                <v:fill type="solid"/>
              </v:shape>
            </v:group>
            <v:group style="position:absolute;left:1138;top:391;width:3184;height:2" coordorigin="1138,391" coordsize="3184,2">
              <v:shape style="position:absolute;left:1138;top:391;width:3184;height:2" coordorigin="1138,391" coordsize="3184,0" path="m1138,391l4321,391e" filled="false" stroked="true" strokeweight=".48pt" strokecolor="#000000">
                <v:path arrowok="t"/>
              </v:shape>
            </v:group>
            <v:group style="position:absolute;left:4331;top:391;width:6368;height:2" coordorigin="4331,391" coordsize="6368,2">
              <v:shape style="position:absolute;left:4331;top:391;width:6368;height:2" coordorigin="4331,391" coordsize="6368,0" path="m4331,391l10698,391e" filled="false" stroked="true" strokeweight=".48pt" strokecolor="#000000">
                <v:path arrowok="t"/>
              </v:shape>
            </v:group>
            <v:group style="position:absolute;left:1150;top:799;width:2;height:707" coordorigin="1150,799" coordsize="2,707">
              <v:shape style="position:absolute;left:1150;top:799;width:2;height:707" coordorigin="1150,799" coordsize="0,707" path="m1150,799l1150,1505e" filled="false" stroked="true" strokeweight="1.2pt" strokecolor="#d2d2d2">
                <v:path arrowok="t"/>
              </v:shape>
            </v:group>
            <v:group style="position:absolute;left:4314;top:799;width:2;height:707" coordorigin="4314,799" coordsize="2,707">
              <v:shape style="position:absolute;left:4314;top:799;width:2;height:707" coordorigin="4314,799" coordsize="0,707" path="m4314,799l4314,1505e" filled="false" stroked="true" strokeweight="1.2pt" strokecolor="#d2d2d2">
                <v:path arrowok="t"/>
              </v:shape>
            </v:group>
            <v:group style="position:absolute;left:1162;top:799;width:3141;height:351" coordorigin="1162,799" coordsize="3141,351">
              <v:shape style="position:absolute;left:1162;top:799;width:3141;height:351" coordorigin="1162,799" coordsize="3141,351" path="m1162,1149l4302,1149,4302,799,1162,799,1162,1149xe" filled="true" fillcolor="#d2d2d2" stroked="false">
                <v:path arrowok="t"/>
                <v:fill type="solid"/>
              </v:shape>
            </v:group>
            <v:group style="position:absolute;left:1162;top:1149;width:3141;height:356" coordorigin="1162,1149" coordsize="3141,356">
              <v:shape style="position:absolute;left:1162;top:1149;width:3141;height:356" coordorigin="1162,1149" coordsize="3141,356" path="m1162,1505l4302,1505,4302,1149,1162,1149,1162,1505xe" filled="true" fillcolor="#d2d2d2" stroked="false">
                <v:path arrowok="t"/>
                <v:fill type="solid"/>
              </v:shape>
            </v:group>
            <v:group style="position:absolute;left:1138;top:794;width:3184;height:2" coordorigin="1138,794" coordsize="3184,2">
              <v:shape style="position:absolute;left:1138;top:794;width:3184;height:2" coordorigin="1138,794" coordsize="3184,0" path="m1138,794l4321,794e" filled="false" stroked="true" strokeweight=".48001pt" strokecolor="#000000">
                <v:path arrowok="t"/>
              </v:shape>
            </v:group>
            <v:group style="position:absolute;left:4331;top:794;width:6368;height:2" coordorigin="4331,794" coordsize="6368,2">
              <v:shape style="position:absolute;left:4331;top:794;width:6368;height:2" coordorigin="4331,794" coordsize="6368,0" path="m4331,794l10698,794e" filled="false" stroked="true" strokeweight=".48001pt" strokecolor="#000000">
                <v:path arrowok="t"/>
              </v:shape>
            </v:group>
            <v:group style="position:absolute;left:1150;top:1514;width:2;height:701" coordorigin="1150,1514" coordsize="2,701">
              <v:shape style="position:absolute;left:1150;top:1514;width:2;height:701" coordorigin="1150,1514" coordsize="0,701" path="m1150,1514l1150,2215e" filled="false" stroked="true" strokeweight="1.2pt" strokecolor="#d2d2d2">
                <v:path arrowok="t"/>
              </v:shape>
            </v:group>
            <v:group style="position:absolute;left:4314;top:1514;width:2;height:701" coordorigin="4314,1514" coordsize="2,701">
              <v:shape style="position:absolute;left:4314;top:1514;width:2;height:701" coordorigin="4314,1514" coordsize="0,701" path="m4314,1514l4314,2215e" filled="false" stroked="true" strokeweight="1.2pt" strokecolor="#d2d2d2">
                <v:path arrowok="t"/>
              </v:shape>
            </v:group>
            <v:group style="position:absolute;left:1162;top:1514;width:3141;height:351" coordorigin="1162,1514" coordsize="3141,351">
              <v:shape style="position:absolute;left:1162;top:1514;width:3141;height:351" coordorigin="1162,1514" coordsize="3141,351" path="m1162,1865l4302,1865,4302,1514,1162,1514,1162,1865xe" filled="true" fillcolor="#d2d2d2" stroked="false">
                <v:path arrowok="t"/>
                <v:fill type="solid"/>
              </v:shape>
            </v:group>
            <v:group style="position:absolute;left:1162;top:1865;width:3141;height:351" coordorigin="1162,1865" coordsize="3141,351">
              <v:shape style="position:absolute;left:1162;top:1865;width:3141;height:351" coordorigin="1162,1865" coordsize="3141,351" path="m1162,2215l4302,2215,4302,1865,1162,1865,1162,2215xe" filled="true" fillcolor="#d2d2d2" stroked="false">
                <v:path arrowok="t"/>
                <v:fill type="solid"/>
              </v:shape>
            </v:group>
            <v:group style="position:absolute;left:1138;top:1510;width:3184;height:2" coordorigin="1138,1510" coordsize="3184,2">
              <v:shape style="position:absolute;left:1138;top:1510;width:3184;height:2" coordorigin="1138,1510" coordsize="3184,0" path="m1138,1510l4321,1510e" filled="false" stroked="true" strokeweight=".48001pt" strokecolor="#000000">
                <v:path arrowok="t"/>
              </v:shape>
            </v:group>
            <v:group style="position:absolute;left:4331;top:1510;width:6368;height:2" coordorigin="4331,1510" coordsize="6368,2">
              <v:shape style="position:absolute;left:4331;top:1510;width:6368;height:2" coordorigin="4331,1510" coordsize="6368,0" path="m4331,1510l10698,1510e" filled="false" stroked="true" strokeweight=".48001pt" strokecolor="#000000">
                <v:path arrowok="t"/>
              </v:shape>
            </v:group>
            <v:group style="position:absolute;left:4326;top:-17;width:2;height:2243" coordorigin="4326,-17" coordsize="2,2243">
              <v:shape style="position:absolute;left:4326;top:-17;width:2;height:2243" coordorigin="4326,-17" coordsize="0,2243" path="m4326,-17l4326,2225e" filled="false" stroked="true" strokeweight=".48pt" strokecolor="#000000">
                <v:path arrowok="t"/>
              </v:shape>
            </v:group>
            <v:group style="position:absolute;left:1150;top:2225;width:2;height:394" coordorigin="1150,2225" coordsize="2,394">
              <v:shape style="position:absolute;left:1150;top:2225;width:2;height:394" coordorigin="1150,2225" coordsize="0,394" path="m1150,2225l1150,2618e" filled="false" stroked="true" strokeweight="1.2pt" strokecolor="#d2d2d2">
                <v:path arrowok="t"/>
              </v:shape>
            </v:group>
            <v:group style="position:absolute;left:10691;top:2225;width:2;height:394" coordorigin="10691,2225" coordsize="2,394">
              <v:shape style="position:absolute;left:10691;top:2225;width:2;height:394" coordorigin="10691,2225" coordsize="0,394" path="m10691,2225l10691,2618e" filled="false" stroked="true" strokeweight="1.2pt" strokecolor="#d2d2d2">
                <v:path arrowok="t"/>
              </v:shape>
            </v:group>
            <v:group style="position:absolute;left:1162;top:2225;width:9517;height:394" coordorigin="1162,2225" coordsize="9517,394">
              <v:shape style="position:absolute;left:1162;top:2225;width:9517;height:394" coordorigin="1162,2225" coordsize="9517,394" path="m1162,2618l10679,2618,10679,2225,1162,2225,1162,2618xe" filled="true" fillcolor="#d2d2d2" stroked="false">
                <v:path arrowok="t"/>
                <v:fill type="solid"/>
              </v:shape>
            </v:group>
            <v:group style="position:absolute;left:1138;top:2220;width:3184;height:2" coordorigin="1138,2220" coordsize="3184,2">
              <v:shape style="position:absolute;left:1138;top:2220;width:3184;height:2" coordorigin="1138,2220" coordsize="3184,0" path="m1138,2220l4321,2220e" filled="false" stroked="true" strokeweight=".47998pt" strokecolor="#000000">
                <v:path arrowok="t"/>
              </v:shape>
            </v:group>
            <v:group style="position:absolute;left:4331;top:2220;width:6368;height:2" coordorigin="4331,2220" coordsize="6368,2">
              <v:shape style="position:absolute;left:4331;top:2220;width:6368;height:2" coordorigin="4331,2220" coordsize="6368,0" path="m4331,2220l10698,2220e" filled="false" stroked="true" strokeweight=".47998pt" strokecolor="#000000">
                <v:path arrowok="t"/>
              </v:shape>
            </v:group>
            <v:group style="position:absolute;left:1150;top:2628;width:2;height:394" coordorigin="1150,2628" coordsize="2,394">
              <v:shape style="position:absolute;left:1150;top:2628;width:2;height:394" coordorigin="1150,2628" coordsize="0,394" path="m1150,2628l1150,3022e" filled="false" stroked="true" strokeweight="1.2pt" strokecolor="#d2d2d2">
                <v:path arrowok="t"/>
              </v:shape>
            </v:group>
            <v:group style="position:absolute;left:4314;top:2628;width:2;height:394" coordorigin="4314,2628" coordsize="2,394">
              <v:shape style="position:absolute;left:4314;top:2628;width:2;height:394" coordorigin="4314,2628" coordsize="0,394" path="m4314,2628l4314,3022e" filled="false" stroked="true" strokeweight="1.2pt" strokecolor="#d2d2d2">
                <v:path arrowok="t"/>
              </v:shape>
            </v:group>
            <v:group style="position:absolute;left:1162;top:2628;width:3141;height:394" coordorigin="1162,2628" coordsize="3141,394">
              <v:shape style="position:absolute;left:1162;top:2628;width:3141;height:394" coordorigin="1162,2628" coordsize="3141,394" path="m1162,3022l4302,3022,4302,2628,1162,2628,1162,3022xe" filled="true" fillcolor="#d2d2d2" stroked="false">
                <v:path arrowok="t"/>
                <v:fill type="solid"/>
              </v:shape>
            </v:group>
            <v:group style="position:absolute;left:4345;top:2628;width:2;height:394" coordorigin="4345,2628" coordsize="2,394">
              <v:shape style="position:absolute;left:4345;top:2628;width:2;height:394" coordorigin="4345,2628" coordsize="0,394" path="m4345,2628l4345,3022e" filled="false" stroked="true" strokeweight=".95999pt" strokecolor="#d2d2d2">
                <v:path arrowok="t"/>
              </v:shape>
            </v:group>
            <v:group style="position:absolute;left:7637;top:2628;width:2;height:394" coordorigin="7637,2628" coordsize="2,394">
              <v:shape style="position:absolute;left:7637;top:2628;width:2;height:394" coordorigin="7637,2628" coordsize="0,394" path="m7637,2628l7637,3022e" filled="false" stroked="true" strokeweight="1.2pt" strokecolor="#d2d2d2">
                <v:path arrowok="t"/>
              </v:shape>
            </v:group>
            <v:group style="position:absolute;left:4355;top:2628;width:3271;height:394" coordorigin="4355,2628" coordsize="3271,394">
              <v:shape style="position:absolute;left:4355;top:2628;width:3271;height:394" coordorigin="4355,2628" coordsize="3271,394" path="m4355,3022l7625,3022,7625,2628,4355,2628,4355,3022xe" filled="true" fillcolor="#d2d2d2" stroked="false">
                <v:path arrowok="t"/>
                <v:fill type="solid"/>
              </v:shape>
            </v:group>
            <v:group style="position:absolute;left:7671;top:2628;width:2;height:394" coordorigin="7671,2628" coordsize="2,394">
              <v:shape style="position:absolute;left:7671;top:2628;width:2;height:394" coordorigin="7671,2628" coordsize="0,394" path="m7671,2628l7671,3022e" filled="false" stroked="true" strokeweight="1.2pt" strokecolor="#d2d2d2">
                <v:path arrowok="t"/>
              </v:shape>
            </v:group>
            <v:group style="position:absolute;left:10691;top:2628;width:2;height:394" coordorigin="10691,2628" coordsize="2,394">
              <v:shape style="position:absolute;left:10691;top:2628;width:2;height:394" coordorigin="10691,2628" coordsize="0,394" path="m10691,2628l10691,3022e" filled="false" stroked="true" strokeweight="1.2pt" strokecolor="#d2d2d2">
                <v:path arrowok="t"/>
              </v:shape>
            </v:group>
            <v:group style="position:absolute;left:7683;top:2628;width:2997;height:394" coordorigin="7683,2628" coordsize="2997,394">
              <v:shape style="position:absolute;left:7683;top:2628;width:2997;height:394" coordorigin="7683,2628" coordsize="2997,394" path="m7683,3022l10679,3022,10679,2628,7683,2628,7683,3022xe" filled="true" fillcolor="#d2d2d2" stroked="false">
                <v:path arrowok="t"/>
                <v:fill type="solid"/>
              </v:shape>
            </v:group>
            <v:group style="position:absolute;left:1138;top:2623;width:3184;height:2" coordorigin="1138,2623" coordsize="3184,2">
              <v:shape style="position:absolute;left:1138;top:2623;width:3184;height:2" coordorigin="1138,2623" coordsize="3184,0" path="m1138,2623l4321,2623e" filled="false" stroked="true" strokeweight=".47998pt" strokecolor="#000000">
                <v:path arrowok="t"/>
              </v:shape>
            </v:group>
            <v:group style="position:absolute;left:4331;top:2623;width:3319;height:2" coordorigin="4331,2623" coordsize="3319,2">
              <v:shape style="position:absolute;left:4331;top:2623;width:3319;height:2" coordorigin="4331,2623" coordsize="3319,0" path="m4331,2623l7649,2623e" filled="false" stroked="true" strokeweight=".47998pt" strokecolor="#000000">
                <v:path arrowok="t"/>
              </v:shape>
            </v:group>
            <v:group style="position:absolute;left:7659;top:2623;width:3040;height:2" coordorigin="7659,2623" coordsize="3040,2">
              <v:shape style="position:absolute;left:7659;top:2623;width:3040;height:2" coordorigin="7659,2623" coordsize="3040,0" path="m7659,2623l10698,2623e" filled="false" stroked="true" strokeweight=".47998pt" strokecolor="#000000">
                <v:path arrowok="t"/>
              </v:shape>
            </v:group>
            <v:group style="position:absolute;left:1138;top:3031;width:3189;height:2185" coordorigin="1138,3031" coordsize="3189,2185">
              <v:shape style="position:absolute;left:1138;top:3031;width:3189;height:2185" coordorigin="1138,3031" coordsize="3189,2185" path="m1138,5216l4326,5216,4326,3031,1138,3031,1138,5216xe" filled="true" fillcolor="#d2d2d2" stroked="false">
                <v:path arrowok="t"/>
                <v:fill type="solid"/>
              </v:shape>
            </v:group>
            <v:group style="position:absolute;left:1150;top:5216;width:2;height:394" coordorigin="1150,5216" coordsize="2,394">
              <v:shape style="position:absolute;left:1150;top:5216;width:2;height:394" coordorigin="1150,5216" coordsize="0,394" path="m1150,5216l1150,5610e" filled="false" stroked="true" strokeweight="1.2pt" strokecolor="#d2d2d2">
                <v:path arrowok="t"/>
              </v:shape>
            </v:group>
            <v:group style="position:absolute;left:4314;top:5216;width:2;height:394" coordorigin="4314,5216" coordsize="2,394">
              <v:shape style="position:absolute;left:4314;top:5216;width:2;height:394" coordorigin="4314,5216" coordsize="0,394" path="m4314,5216l4314,5610e" filled="false" stroked="true" strokeweight="1.2pt" strokecolor="#d2d2d2">
                <v:path arrowok="t"/>
              </v:shape>
            </v:group>
            <v:group style="position:absolute;left:1138;top:5610;width:3189;height:2185" coordorigin="1138,5610" coordsize="3189,2185">
              <v:shape style="position:absolute;left:1138;top:5610;width:3189;height:2185" coordorigin="1138,5610" coordsize="3189,2185" path="m1138,7794l4326,7794,4326,5610,1138,5610,1138,7794xe" filled="true" fillcolor="#d2d2d2" stroked="false">
                <v:path arrowok="t"/>
                <v:fill type="solid"/>
              </v:shape>
            </v:group>
            <v:group style="position:absolute;left:1162;top:5216;width:3141;height:394" coordorigin="1162,5216" coordsize="3141,394">
              <v:shape style="position:absolute;left:1162;top:5216;width:3141;height:394" coordorigin="1162,5216" coordsize="3141,394" path="m1162,5610l4302,5610,4302,5216,1162,5216,1162,5610xe" filled="true" fillcolor="#d2d2d2" stroked="false">
                <v:path arrowok="t"/>
                <v:fill type="solid"/>
              </v:shape>
            </v:group>
            <v:group style="position:absolute;left:7659;top:7324;width:3045;height:471" coordorigin="7659,7324" coordsize="3045,471">
              <v:shape style="position:absolute;left:7659;top:7324;width:3045;height:471" coordorigin="7659,7324" coordsize="3045,471" path="m7659,7794l10703,7794,10703,7324,7659,7324,7659,7794xe" filled="true" fillcolor="#ffffff" stroked="false">
                <v:path arrowok="t"/>
                <v:fill type="solid"/>
              </v:shape>
            </v:group>
            <v:group style="position:absolute;left:1138;top:3026;width:3184;height:2" coordorigin="1138,3026" coordsize="3184,2">
              <v:shape style="position:absolute;left:1138;top:3026;width:3184;height:2" coordorigin="1138,3026" coordsize="3184,0" path="m1138,3026l4321,3026e" filled="false" stroked="true" strokeweight=".47998pt" strokecolor="#000000">
                <v:path arrowok="t"/>
              </v:shape>
            </v:group>
            <v:group style="position:absolute;left:4331;top:3026;width:3319;height:2" coordorigin="4331,3026" coordsize="3319,2">
              <v:shape style="position:absolute;left:4331;top:3026;width:3319;height:2" coordorigin="4331,3026" coordsize="3319,0" path="m4331,3026l7649,3026e" filled="false" stroked="true" strokeweight=".47998pt" strokecolor="#000000">
                <v:path arrowok="t"/>
              </v:shape>
            </v:group>
            <v:group style="position:absolute;left:7659;top:3026;width:3040;height:2" coordorigin="7659,3026" coordsize="3040,2">
              <v:shape style="position:absolute;left:7659;top:3026;width:3040;height:2" coordorigin="7659,3026" coordsize="3040,0" path="m7659,3026l10698,3026e" filled="false" stroked="true" strokeweight=".47998pt" strokecolor="#000000">
                <v:path arrowok="t"/>
              </v:shape>
            </v:group>
            <v:group style="position:absolute;left:1138;top:7804;width:3189;height:1225" coordorigin="1138,7804" coordsize="3189,1225">
              <v:shape style="position:absolute;left:1138;top:7804;width:3189;height:1225" coordorigin="1138,7804" coordsize="3189,1225" path="m1138,9028l4326,9028,4326,7804,1138,7804,1138,9028xe" filled="true" fillcolor="#d2d2d2" stroked="false">
                <v:path arrowok="t"/>
                <v:fill type="solid"/>
              </v:shape>
            </v:group>
            <v:group style="position:absolute;left:1150;top:9028;width:2;height:394" coordorigin="1150,9028" coordsize="2,394">
              <v:shape style="position:absolute;left:1150;top:9028;width:2;height:394" coordorigin="1150,9028" coordsize="0,394" path="m1150,9028l1150,9422e" filled="false" stroked="true" strokeweight="1.2pt" strokecolor="#d2d2d2">
                <v:path arrowok="t"/>
              </v:shape>
            </v:group>
            <v:group style="position:absolute;left:4314;top:9028;width:2;height:394" coordorigin="4314,9028" coordsize="2,394">
              <v:shape style="position:absolute;left:4314;top:9028;width:2;height:394" coordorigin="4314,9028" coordsize="0,394" path="m4314,9028l4314,9422e" filled="false" stroked="true" strokeweight="1.2pt" strokecolor="#d2d2d2">
                <v:path arrowok="t"/>
              </v:shape>
            </v:group>
            <v:group style="position:absolute;left:1138;top:9422;width:3189;height:1230" coordorigin="1138,9422" coordsize="3189,1230">
              <v:shape style="position:absolute;left:1138;top:9422;width:3189;height:1230" coordorigin="1138,9422" coordsize="3189,1230" path="m1138,10651l4326,10651,4326,9422,1138,9422,1138,10651xe" filled="true" fillcolor="#d2d2d2" stroked="false">
                <v:path arrowok="t"/>
                <v:fill type="solid"/>
              </v:shape>
            </v:group>
            <v:group style="position:absolute;left:1162;top:9028;width:3141;height:394" coordorigin="1162,9028" coordsize="3141,394">
              <v:shape style="position:absolute;left:1162;top:9028;width:3141;height:394" coordorigin="1162,9028" coordsize="3141,394" path="m1162,9422l4302,9422,4302,9028,1162,9028,1162,9422xe" filled="true" fillcolor="#d2d2d2" stroked="false">
                <v:path arrowok="t"/>
                <v:fill type="solid"/>
              </v:shape>
            </v:group>
            <v:group style="position:absolute;left:7671;top:7804;width:2;height:2848" coordorigin="7671,7804" coordsize="2,2848">
              <v:shape style="position:absolute;left:7671;top:7804;width:2;height:2848" coordorigin="7671,7804" coordsize="0,2848" path="m7671,7804l7671,10651e" filled="false" stroked="true" strokeweight="1.2pt" strokecolor="#ffffff">
                <v:path arrowok="t"/>
              </v:shape>
            </v:group>
            <v:group style="position:absolute;left:7683;top:9403;width:2997;height:312" coordorigin="7683,9403" coordsize="2997,312">
              <v:shape style="position:absolute;left:7683;top:9403;width:2997;height:312" coordorigin="7683,9403" coordsize="2997,312" path="m7683,9715l10679,9715,10679,9403,7683,9403,7683,9715xe" filled="true" fillcolor="#ffffff" stroked="false">
                <v:path arrowok="t"/>
                <v:fill type="solid"/>
              </v:shape>
            </v:group>
            <v:group style="position:absolute;left:7683;top:9715;width:2997;height:313" coordorigin="7683,9715" coordsize="2997,313">
              <v:shape style="position:absolute;left:7683;top:9715;width:2997;height:313" coordorigin="7683,9715" coordsize="2997,313" path="m7683,10027l10679,10027,10679,9715,7683,9715,7683,10027xe" filled="true" fillcolor="#ffffff" stroked="false">
                <v:path arrowok="t"/>
                <v:fill type="solid"/>
              </v:shape>
            </v:group>
            <v:group style="position:absolute;left:1138;top:7799;width:3184;height:2" coordorigin="1138,7799" coordsize="3184,2">
              <v:shape style="position:absolute;left:1138;top:7799;width:3184;height:2" coordorigin="1138,7799" coordsize="3184,0" path="m1138,7799l4321,7799e" filled="false" stroked="true" strokeweight=".47998pt" strokecolor="#000000">
                <v:path arrowok="t"/>
              </v:shape>
            </v:group>
            <v:group style="position:absolute;left:4331;top:7799;width:3319;height:2" coordorigin="4331,7799" coordsize="3319,2">
              <v:shape style="position:absolute;left:4331;top:7799;width:3319;height:2" coordorigin="4331,7799" coordsize="3319,0" path="m4331,7799l7649,7799e" filled="false" stroked="true" strokeweight=".47998pt" strokecolor="#000000">
                <v:path arrowok="t"/>
              </v:shape>
            </v:group>
            <v:group style="position:absolute;left:7659;top:7799;width:3040;height:2" coordorigin="7659,7799" coordsize="3040,2">
              <v:shape style="position:absolute;left:7659;top:7799;width:3040;height:2" coordorigin="7659,7799" coordsize="3040,0" path="m7659,7799l10698,7799e" filled="false" stroked="true" strokeweight=".47998pt" strokecolor="#000000">
                <v:path arrowok="t"/>
              </v:shape>
            </v:group>
            <v:group style="position:absolute;left:1133;top:-17;width:2;height:10679" coordorigin="1133,-17" coordsize="2,10679">
              <v:shape style="position:absolute;left:1133;top:-17;width:2;height:10679" coordorigin="1133,-17" coordsize="0,10679" path="m1133,-17l1133,10661e" filled="false" stroked="true" strokeweight=".48pt" strokecolor="#000000">
                <v:path arrowok="t"/>
              </v:shape>
            </v:group>
            <v:group style="position:absolute;left:1138;top:10656;width:3184;height:2" coordorigin="1138,10656" coordsize="3184,2">
              <v:shape style="position:absolute;left:1138;top:10656;width:3184;height:2" coordorigin="1138,10656" coordsize="3184,0" path="m1138,10656l4321,10656e" filled="false" stroked="true" strokeweight=".47998pt" strokecolor="#000000">
                <v:path arrowok="t"/>
              </v:shape>
            </v:group>
            <v:group style="position:absolute;left:4326;top:2618;width:2;height:8043" coordorigin="4326,2618" coordsize="2,8043">
              <v:shape style="position:absolute;left:4326;top:2618;width:2;height:8043" coordorigin="4326,2618" coordsize="0,8043" path="m4326,2618l4326,10661e" filled="false" stroked="true" strokeweight=".48pt" strokecolor="#000000">
                <v:path arrowok="t"/>
              </v:shape>
            </v:group>
            <v:group style="position:absolute;left:4331;top:10656;width:3319;height:2" coordorigin="4331,10656" coordsize="3319,2">
              <v:shape style="position:absolute;left:4331;top:10656;width:3319;height:2" coordorigin="4331,10656" coordsize="3319,0" path="m4331,10656l7649,10656e" filled="false" stroked="true" strokeweight=".47998pt" strokecolor="#000000">
                <v:path arrowok="t"/>
              </v:shape>
            </v:group>
            <v:group style="position:absolute;left:7654;top:2618;width:2;height:8043" coordorigin="7654,2618" coordsize="2,8043">
              <v:shape style="position:absolute;left:7654;top:2618;width:2;height:8043" coordorigin="7654,2618" coordsize="0,8043" path="m7654,2618l7654,10661e" filled="false" stroked="true" strokeweight=".48001pt" strokecolor="#000000">
                <v:path arrowok="t"/>
              </v:shape>
            </v:group>
            <v:group style="position:absolute;left:7659;top:10656;width:3040;height:2" coordorigin="7659,10656" coordsize="3040,2">
              <v:shape style="position:absolute;left:7659;top:10656;width:3040;height:2" coordorigin="7659,10656" coordsize="3040,0" path="m7659,10656l10698,10656e" filled="false" stroked="true" strokeweight=".47998pt" strokecolor="#000000">
                <v:path arrowok="t"/>
              </v:shape>
            </v:group>
            <v:group style="position:absolute;left:10703;top:-17;width:2;height:10679" coordorigin="10703,-17" coordsize="2,10679">
              <v:shape style="position:absolute;left:10703;top:-17;width:2;height:10679" coordorigin="10703,-17" coordsize="0,10679" path="m10703,-17l10703,10661e" filled="false" stroked="true" strokeweight=".48004pt" strokecolor="#000000">
                <v:path arrowok="t"/>
              </v:shape>
            </v:group>
            <w10:wrap type="none"/>
          </v:group>
        </w:pict>
      </w:r>
      <w:r>
        <w:rPr>
          <w:spacing w:val="-3"/>
        </w:rPr>
        <w:t>内部控制评价报告全文披露日期</w:t>
        <w:tab/>
      </w:r>
      <w:r>
        <w:rPr>
          <w:rFonts w:ascii="Times New Roman" w:hAnsi="Times New Roman" w:cs="Times New Roman" w:eastAsia="Times New Roman" w:hint="default"/>
        </w:rPr>
        <w:t>2020</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04</w:t>
      </w:r>
      <w:r>
        <w:rPr>
          <w:rFonts w:ascii="Times New Roman" w:hAnsi="Times New Roman" w:cs="Times New Roman" w:eastAsia="Times New Roman" w:hint="default"/>
          <w:spacing w:val="1"/>
        </w:rPr>
        <w:t> </w:t>
      </w:r>
      <w:r>
        <w:rPr/>
        <w:t>月</w:t>
      </w:r>
      <w:r>
        <w:rPr>
          <w:spacing w:val="-44"/>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t>日</w:t>
      </w:r>
    </w:p>
    <w:p>
      <w:pPr>
        <w:spacing w:line="240" w:lineRule="auto" w:before="3"/>
        <w:rPr>
          <w:rFonts w:ascii="宋体" w:hAnsi="宋体" w:cs="宋体" w:eastAsia="宋体" w:hint="default"/>
          <w:sz w:val="8"/>
          <w:szCs w:val="8"/>
        </w:rPr>
      </w:pPr>
    </w:p>
    <w:p>
      <w:pPr>
        <w:pStyle w:val="BodyText"/>
        <w:tabs>
          <w:tab w:pos="3374" w:val="left" w:leader="none"/>
        </w:tabs>
        <w:spacing w:line="240" w:lineRule="auto" w:before="46"/>
        <w:ind w:left="182" w:right="0"/>
        <w:jc w:val="left"/>
      </w:pPr>
      <w:r>
        <w:rPr>
          <w:spacing w:val="-3"/>
        </w:rPr>
        <w:t>内部控制评价报告全文披露索引</w:t>
        <w:tab/>
        <w:t>巨潮资讯网（</w:t>
      </w:r>
      <w:hyperlink r:id="rId12">
        <w:r>
          <w:rPr>
            <w:rFonts w:ascii="Times New Roman" w:hAnsi="Times New Roman" w:cs="Times New Roman" w:eastAsia="Times New Roman" w:hint="default"/>
            <w:spacing w:val="-3"/>
          </w:rPr>
          <w:t>http://www.cninfo.com.cn</w:t>
        </w:r>
      </w:hyperlink>
      <w:r>
        <w:rPr>
          <w:spacing w:val="-3"/>
        </w:rPr>
        <w:t>）</w:t>
      </w:r>
    </w:p>
    <w:p>
      <w:pPr>
        <w:spacing w:line="240" w:lineRule="auto" w:before="3"/>
        <w:rPr>
          <w:rFonts w:ascii="宋体" w:hAnsi="宋体" w:cs="宋体" w:eastAsia="宋体" w:hint="default"/>
          <w:sz w:val="8"/>
          <w:szCs w:val="8"/>
        </w:rPr>
      </w:pPr>
    </w:p>
    <w:p>
      <w:pPr>
        <w:spacing w:after="0" w:line="240" w:lineRule="auto"/>
        <w:rPr>
          <w:rFonts w:ascii="宋体" w:hAnsi="宋体" w:cs="宋体" w:eastAsia="宋体" w:hint="default"/>
          <w:sz w:val="8"/>
          <w:szCs w:val="8"/>
        </w:rPr>
        <w:sectPr>
          <w:pgSz w:w="11910" w:h="16840"/>
          <w:pgMar w:header="871" w:footer="979" w:top="1100" w:bottom="1160" w:left="980" w:right="0"/>
        </w:sectPr>
      </w:pPr>
    </w:p>
    <w:p>
      <w:pPr>
        <w:pStyle w:val="BodyText"/>
        <w:spacing w:line="319" w:lineRule="auto" w:before="46"/>
        <w:ind w:left="182" w:right="0"/>
        <w:jc w:val="left"/>
      </w:pPr>
      <w:r>
        <w:rPr>
          <w:spacing w:val="-3"/>
        </w:rPr>
        <w:t>纳入评价范围单位资产总额占公司合并</w:t>
      </w:r>
      <w:r>
        <w:rPr>
          <w:spacing w:val="-39"/>
        </w:rPr>
        <w:t> </w:t>
      </w:r>
      <w:r>
        <w:rPr>
          <w:spacing w:val="-39"/>
        </w:rPr>
      </w:r>
      <w:r>
        <w:rPr>
          <w:spacing w:val="-3"/>
        </w:rPr>
        <w:t>财务报表资产总额的比例</w:t>
      </w:r>
    </w:p>
    <w:p>
      <w:pPr>
        <w:spacing w:line="240" w:lineRule="auto" w:before="7"/>
        <w:rPr>
          <w:rFonts w:ascii="宋体" w:hAnsi="宋体" w:cs="宋体" w:eastAsia="宋体" w:hint="default"/>
          <w:sz w:val="18"/>
          <w:szCs w:val="18"/>
        </w:rPr>
      </w:pPr>
      <w:r>
        <w:rPr/>
        <w:br w:type="column"/>
      </w:r>
      <w:r>
        <w:rPr>
          <w:rFonts w:ascii="宋体"/>
          <w:sz w:val="18"/>
        </w:rPr>
      </w:r>
    </w:p>
    <w:p>
      <w:pPr>
        <w:pStyle w:val="BodyText"/>
        <w:spacing w:line="240" w:lineRule="auto"/>
        <w:ind w:left="182" w:right="0"/>
        <w:jc w:val="left"/>
        <w:rPr>
          <w:rFonts w:ascii="Times New Roman" w:hAnsi="Times New Roman" w:cs="Times New Roman" w:eastAsia="Times New Roman" w:hint="default"/>
        </w:rPr>
      </w:pPr>
      <w:r>
        <w:rPr>
          <w:rFonts w:ascii="Times New Roman"/>
        </w:rPr>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3245" w:space="5623"/>
            <w:col w:w="2062"/>
          </w:cols>
        </w:sectPr>
      </w:pPr>
    </w:p>
    <w:p>
      <w:pPr>
        <w:pStyle w:val="BodyText"/>
        <w:spacing w:line="316" w:lineRule="auto" w:before="108"/>
        <w:ind w:left="182" w:right="0"/>
        <w:jc w:val="left"/>
      </w:pPr>
      <w:r>
        <w:rPr>
          <w:spacing w:val="-3"/>
        </w:rPr>
        <w:t>纳入评价范围单位营业收入占公司合并</w:t>
      </w:r>
      <w:r>
        <w:rPr>
          <w:spacing w:val="-39"/>
        </w:rPr>
        <w:t> </w:t>
      </w:r>
      <w:r>
        <w:rPr>
          <w:spacing w:val="-39"/>
        </w:rPr>
      </w:r>
      <w:r>
        <w:rPr>
          <w:spacing w:val="-3"/>
        </w:rPr>
        <w:t>财务报表营业收入的比例</w:t>
      </w:r>
    </w:p>
    <w:p>
      <w:pPr>
        <w:spacing w:line="240" w:lineRule="auto" w:before="3"/>
        <w:rPr>
          <w:rFonts w:ascii="宋体" w:hAnsi="宋体" w:cs="宋体" w:eastAsia="宋体" w:hint="default"/>
          <w:sz w:val="23"/>
          <w:szCs w:val="23"/>
        </w:rPr>
      </w:pPr>
      <w:r>
        <w:rPr/>
        <w:br w:type="column"/>
      </w:r>
      <w:r>
        <w:rPr>
          <w:rFonts w:ascii="宋体"/>
          <w:sz w:val="23"/>
        </w:rPr>
      </w:r>
    </w:p>
    <w:p>
      <w:pPr>
        <w:pStyle w:val="BodyText"/>
        <w:spacing w:line="240" w:lineRule="auto"/>
        <w:ind w:left="182" w:right="0"/>
        <w:jc w:val="left"/>
        <w:rPr>
          <w:rFonts w:ascii="Times New Roman" w:hAnsi="Times New Roman" w:cs="Times New Roman" w:eastAsia="Times New Roman" w:hint="default"/>
        </w:rPr>
      </w:pPr>
      <w:r>
        <w:rPr>
          <w:rFonts w:ascii="Times New Roman"/>
        </w:rPr>
        <w:t>100.00%</w:t>
      </w:r>
    </w:p>
    <w:p>
      <w:pPr>
        <w:spacing w:after="0" w:line="240" w:lineRule="auto"/>
        <w:jc w:val="left"/>
        <w:rPr>
          <w:rFonts w:ascii="Times New Roman" w:hAnsi="Times New Roman" w:cs="Times New Roman" w:eastAsia="Times New Roman" w:hint="default"/>
        </w:rPr>
        <w:sectPr>
          <w:type w:val="continuous"/>
          <w:pgSz w:w="11910" w:h="16840"/>
          <w:pgMar w:top="1060" w:bottom="1160" w:left="980" w:right="0"/>
          <w:cols w:num="2" w:equalWidth="0">
            <w:col w:w="3245" w:space="5623"/>
            <w:col w:w="2062"/>
          </w:cols>
        </w:sectPr>
      </w:pPr>
    </w:p>
    <w:p>
      <w:pPr>
        <w:pStyle w:val="BodyText"/>
        <w:spacing w:line="240" w:lineRule="auto" w:before="105"/>
        <w:ind w:left="2723" w:right="3764"/>
        <w:jc w:val="center"/>
      </w:pPr>
      <w:r>
        <w:rPr/>
        <w:t>缺陷认定标准</w:t>
      </w:r>
    </w:p>
    <w:p>
      <w:pPr>
        <w:spacing w:line="240" w:lineRule="auto" w:before="3"/>
        <w:rPr>
          <w:rFonts w:ascii="宋体" w:hAnsi="宋体" w:cs="宋体" w:eastAsia="宋体" w:hint="default"/>
          <w:sz w:val="9"/>
          <w:szCs w:val="9"/>
        </w:rPr>
      </w:pPr>
    </w:p>
    <w:p>
      <w:pPr>
        <w:pStyle w:val="BodyText"/>
        <w:tabs>
          <w:tab w:pos="4647" w:val="left" w:leader="none"/>
          <w:tab w:pos="7749" w:val="left" w:leader="none"/>
        </w:tabs>
        <w:spacing w:line="240" w:lineRule="auto" w:before="46"/>
        <w:ind w:left="1569" w:right="0"/>
        <w:jc w:val="left"/>
      </w:pPr>
      <w:r>
        <w:rPr/>
        <w:t>类别</w:t>
        <w:tab/>
      </w:r>
      <w:r>
        <w:rPr>
          <w:spacing w:val="-2"/>
        </w:rPr>
        <w:t>财务报告</w:t>
        <w:tab/>
        <w:t>非财务报告</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6"/>
          <w:szCs w:val="26"/>
        </w:rPr>
      </w:pPr>
    </w:p>
    <w:p>
      <w:pPr>
        <w:pStyle w:val="BodyText"/>
        <w:spacing w:line="240" w:lineRule="auto"/>
        <w:ind w:left="182" w:right="-8"/>
        <w:jc w:val="left"/>
      </w:pPr>
      <w:r>
        <w:rPr>
          <w:spacing w:val="-2"/>
        </w:rPr>
        <w:t>定性标准</w:t>
      </w:r>
    </w:p>
    <w:p>
      <w:pPr>
        <w:pStyle w:val="BodyText"/>
        <w:spacing w:line="307" w:lineRule="auto" w:before="46"/>
        <w:ind w:left="182" w:right="-14"/>
        <w:jc w:val="left"/>
      </w:pPr>
      <w:r>
        <w:rPr>
          <w:spacing w:val="-6"/>
        </w:rPr>
        <w:br w:type="column"/>
      </w:r>
      <w:r>
        <w:rPr>
          <w:spacing w:val="-6"/>
        </w:rPr>
        <w:t>重大缺陷：</w:t>
      </w:r>
      <w:r>
        <w:rPr>
          <w:rFonts w:ascii="Times New Roman" w:hAnsi="Times New Roman" w:cs="Times New Roman" w:eastAsia="Times New Roman" w:hint="default"/>
          <w:spacing w:val="-6"/>
        </w:rPr>
        <w:t>1</w:t>
      </w:r>
      <w:r>
        <w:rPr>
          <w:spacing w:val="-6"/>
        </w:rPr>
        <w:t>．公司董事、监事和高级管理</w:t>
      </w:r>
      <w:r>
        <w:rPr>
          <w:spacing w:val="-36"/>
        </w:rPr>
        <w:t> </w:t>
      </w:r>
      <w:r>
        <w:rPr>
          <w:spacing w:val="-36"/>
        </w:rPr>
      </w:r>
      <w:r>
        <w:rPr>
          <w:spacing w:val="-3"/>
        </w:rPr>
        <w:t>人员的舞弊行为</w:t>
      </w:r>
      <w:r>
        <w:rPr>
          <w:spacing w:val="43"/>
        </w:rPr>
        <w:t> </w:t>
      </w:r>
      <w:r>
        <w:rPr>
          <w:spacing w:val="-3"/>
        </w:rPr>
        <w:t>；</w:t>
      </w:r>
      <w:r>
        <w:rPr>
          <w:rFonts w:ascii="Times New Roman" w:hAnsi="Times New Roman" w:cs="Times New Roman" w:eastAsia="Times New Roman" w:hint="default"/>
          <w:spacing w:val="-3"/>
        </w:rPr>
        <w:t>2</w:t>
      </w:r>
      <w:r>
        <w:rPr>
          <w:spacing w:val="-3"/>
        </w:rPr>
        <w:t>．公司更正已公布的</w:t>
      </w:r>
      <w:r>
        <w:rPr>
          <w:spacing w:val="-76"/>
        </w:rPr>
        <w:t> </w:t>
      </w:r>
      <w:r>
        <w:rPr>
          <w:spacing w:val="-76"/>
        </w:rPr>
      </w:r>
      <w:r>
        <w:rPr>
          <w:spacing w:val="-6"/>
        </w:rPr>
        <w:t>财务报告；</w:t>
      </w:r>
      <w:r>
        <w:rPr>
          <w:rFonts w:ascii="Times New Roman" w:hAnsi="Times New Roman" w:cs="Times New Roman" w:eastAsia="Times New Roman" w:hint="default"/>
          <w:spacing w:val="-6"/>
        </w:rPr>
        <w:t>3</w:t>
      </w:r>
      <w:r>
        <w:rPr>
          <w:spacing w:val="-6"/>
        </w:rPr>
        <w:t>．注册会计师发现的却未被公</w:t>
      </w:r>
      <w:r>
        <w:rPr>
          <w:spacing w:val="-35"/>
        </w:rPr>
        <w:t> </w:t>
      </w:r>
      <w:r>
        <w:rPr>
          <w:spacing w:val="-35"/>
        </w:rPr>
      </w:r>
      <w:r>
        <w:rPr>
          <w:spacing w:val="-3"/>
        </w:rPr>
        <w:t>司内部控制识别的当期财务报告中的重大</w:t>
      </w:r>
      <w:r>
        <w:rPr>
          <w:spacing w:val="-33"/>
        </w:rPr>
        <w:t> </w:t>
      </w:r>
      <w:r>
        <w:rPr>
          <w:spacing w:val="-33"/>
        </w:rPr>
      </w:r>
      <w:r>
        <w:rPr>
          <w:spacing w:val="-6"/>
        </w:rPr>
        <w:t>错报；</w:t>
      </w:r>
      <w:r>
        <w:rPr>
          <w:rFonts w:ascii="Times New Roman" w:hAnsi="Times New Roman" w:cs="Times New Roman" w:eastAsia="Times New Roman" w:hint="default"/>
          <w:spacing w:val="-6"/>
        </w:rPr>
        <w:t>4</w:t>
      </w:r>
      <w:r>
        <w:rPr>
          <w:spacing w:val="-6"/>
        </w:rPr>
        <w:t>．审计委员会和审计部对公司的对</w:t>
      </w:r>
      <w:r>
        <w:rPr>
          <w:spacing w:val="-34"/>
        </w:rPr>
        <w:t> </w:t>
      </w:r>
      <w:r>
        <w:rPr>
          <w:spacing w:val="-34"/>
        </w:rPr>
      </w:r>
      <w:r>
        <w:rPr>
          <w:spacing w:val="-3"/>
        </w:rPr>
        <w:t>外财务报告和财务报告内部控制监督无</w:t>
      </w:r>
      <w:r>
        <w:rPr>
          <w:spacing w:val="-39"/>
        </w:rPr>
        <w:t> </w:t>
      </w:r>
      <w:r>
        <w:rPr>
          <w:spacing w:val="-39"/>
        </w:rPr>
      </w:r>
      <w:r>
        <w:rPr>
          <w:spacing w:val="-6"/>
        </w:rPr>
        <w:t>效。重要缺陷：</w:t>
      </w:r>
      <w:r>
        <w:rPr>
          <w:rFonts w:ascii="Times New Roman" w:hAnsi="Times New Roman" w:cs="Times New Roman" w:eastAsia="Times New Roman" w:hint="default"/>
          <w:spacing w:val="-6"/>
        </w:rPr>
        <w:t>1</w:t>
      </w:r>
      <w:r>
        <w:rPr>
          <w:spacing w:val="-6"/>
        </w:rPr>
        <w:t>．未依照公认会计准则选</w:t>
      </w:r>
      <w:r>
        <w:rPr>
          <w:spacing w:val="-36"/>
        </w:rPr>
        <w:t> </w:t>
      </w:r>
      <w:r>
        <w:rPr>
          <w:spacing w:val="-36"/>
        </w:rPr>
      </w:r>
      <w:r>
        <w:rPr/>
        <w:t>择和应用会计政策</w:t>
      </w:r>
      <w:r>
        <w:rPr>
          <w:spacing w:val="2"/>
        </w:rPr>
        <w:t> </w:t>
      </w:r>
      <w:r>
        <w:rPr/>
        <w:t>；</w:t>
      </w:r>
      <w:r>
        <w:rPr>
          <w:rFonts w:ascii="Times New Roman" w:hAnsi="Times New Roman" w:cs="Times New Roman" w:eastAsia="Times New Roman" w:hint="default"/>
        </w:rPr>
        <w:t>2</w:t>
      </w:r>
      <w:r>
        <w:rPr/>
        <w:t>．未建立反舞弊程</w:t>
      </w:r>
      <w:r>
        <w:rPr>
          <w:w w:val="101"/>
        </w:rPr>
        <w:t> </w:t>
      </w:r>
      <w:r>
        <w:rPr/>
        <w:t>序和控制措施</w:t>
      </w:r>
      <w:r>
        <w:rPr>
          <w:spacing w:val="27"/>
        </w:rPr>
        <w:t> </w:t>
      </w:r>
      <w:r>
        <w:rPr>
          <w:spacing w:val="-3"/>
        </w:rPr>
        <w:t>；</w:t>
      </w:r>
      <w:r>
        <w:rPr>
          <w:rFonts w:ascii="Times New Roman" w:hAnsi="Times New Roman" w:cs="Times New Roman" w:eastAsia="Times New Roman" w:hint="default"/>
          <w:spacing w:val="-3"/>
        </w:rPr>
        <w:t>3</w:t>
      </w:r>
      <w:r>
        <w:rPr>
          <w:spacing w:val="-3"/>
        </w:rPr>
        <w:t>．对于非常规或特殊交</w:t>
      </w:r>
      <w:r>
        <w:rPr>
          <w:spacing w:val="-79"/>
        </w:rPr>
        <w:t> </w:t>
      </w:r>
      <w:r>
        <w:rPr>
          <w:spacing w:val="-79"/>
        </w:rPr>
      </w:r>
      <w:r>
        <w:rPr>
          <w:spacing w:val="-3"/>
        </w:rPr>
        <w:t>易的账务处理没有建立相应的控制机制或</w:t>
      </w:r>
      <w:r>
        <w:rPr>
          <w:spacing w:val="-33"/>
        </w:rPr>
        <w:t> </w:t>
      </w:r>
      <w:r>
        <w:rPr>
          <w:spacing w:val="-33"/>
        </w:rPr>
      </w:r>
      <w:r>
        <w:rPr>
          <w:spacing w:val="-3"/>
          <w:w w:val="101"/>
        </w:rPr>
        <w:t>没有实施且没有相应的补偿性控制</w:t>
      </w:r>
      <w:r>
        <w:rPr>
          <w:w w:val="101"/>
        </w:rPr>
        <w:t> </w:t>
      </w:r>
      <w:r>
        <w:rPr>
          <w:spacing w:val="-59"/>
          <w:w w:val="101"/>
        </w:rPr>
        <w:t>；</w:t>
      </w:r>
      <w:r>
        <w:rPr>
          <w:rFonts w:ascii="Times New Roman" w:hAnsi="Times New Roman" w:cs="Times New Roman" w:eastAsia="Times New Roman" w:hint="default"/>
          <w:spacing w:val="-59"/>
          <w:w w:val="101"/>
        </w:rPr>
        <w:t>4</w:t>
      </w:r>
      <w:r>
        <w:rPr>
          <w:spacing w:val="-59"/>
          <w:w w:val="101"/>
        </w:rPr>
        <w:t>．对</w:t>
      </w:r>
      <w:r>
        <w:rPr>
          <w:spacing w:val="-81"/>
          <w:w w:val="101"/>
        </w:rPr>
        <w:t> </w:t>
      </w:r>
      <w:r>
        <w:rPr>
          <w:spacing w:val="-3"/>
        </w:rPr>
        <w:t>于期末财务报告过程的控制存在一项或多</w:t>
      </w:r>
      <w:r>
        <w:rPr>
          <w:spacing w:val="-33"/>
        </w:rPr>
        <w:t> </w:t>
      </w:r>
      <w:r>
        <w:rPr>
          <w:spacing w:val="-33"/>
        </w:rPr>
      </w:r>
      <w:r>
        <w:rPr>
          <w:spacing w:val="-3"/>
        </w:rPr>
        <w:t>项缺陷且不能合理保证编制的财务报表达</w:t>
      </w:r>
      <w:r>
        <w:rPr>
          <w:spacing w:val="-33"/>
        </w:rPr>
        <w:t> </w:t>
      </w:r>
      <w:r>
        <w:rPr>
          <w:spacing w:val="-33"/>
        </w:rPr>
      </w:r>
      <w:r>
        <w:rPr>
          <w:spacing w:val="-5"/>
        </w:rPr>
        <w:t>到真实、准确的目标。</w:t>
      </w:r>
      <w:r>
        <w:rPr>
          <w:spacing w:val="28"/>
        </w:rPr>
        <w:t> </w:t>
      </w:r>
      <w:r>
        <w:rPr>
          <w:spacing w:val="-5"/>
        </w:rPr>
        <w:t>一般缺陷：除上述</w:t>
      </w:r>
      <w:r>
        <w:rPr>
          <w:spacing w:val="-88"/>
        </w:rPr>
        <w:t> </w:t>
      </w:r>
      <w:r>
        <w:rPr>
          <w:spacing w:val="-88"/>
        </w:rPr>
      </w:r>
      <w:r>
        <w:rPr>
          <w:spacing w:val="-6"/>
        </w:rPr>
        <w:t>重大缺陷、重要缺陷之外的其他控制缺陷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300" w:lineRule="auto"/>
        <w:ind w:left="12" w:right="1117"/>
        <w:jc w:val="left"/>
      </w:pPr>
      <w:r>
        <w:rPr>
          <w:spacing w:val="-3"/>
        </w:rPr>
        <w:t>重大缺陷：</w:t>
      </w:r>
      <w:r>
        <w:rPr>
          <w:rFonts w:ascii="Times New Roman" w:hAnsi="Times New Roman" w:cs="Times New Roman" w:eastAsia="Times New Roman" w:hint="default"/>
          <w:spacing w:val="-3"/>
        </w:rPr>
        <w:t>1</w:t>
      </w:r>
      <w:r>
        <w:rPr>
          <w:spacing w:val="-3"/>
        </w:rPr>
        <w:t>．违犯国家法律法规或规</w:t>
      </w:r>
      <w:r>
        <w:rPr>
          <w:spacing w:val="-35"/>
        </w:rPr>
        <w:t> </w:t>
      </w:r>
      <w:r>
        <w:rPr>
          <w:spacing w:val="-35"/>
        </w:rPr>
      </w:r>
      <w:r>
        <w:rPr/>
        <w:t>范性文件 ；</w:t>
      </w:r>
      <w:r>
        <w:rPr>
          <w:rFonts w:ascii="Times New Roman" w:hAnsi="Times New Roman" w:cs="Times New Roman" w:eastAsia="Times New Roman" w:hint="default"/>
        </w:rPr>
        <w:t>2</w:t>
      </w:r>
      <w:r>
        <w:rPr/>
        <w:t>．重大决策程序不民主、</w:t>
      </w:r>
      <w:r>
        <w:rPr>
          <w:spacing w:val="-85"/>
        </w:rPr>
        <w:t> </w:t>
      </w:r>
      <w:r>
        <w:rPr>
          <w:spacing w:val="-85"/>
        </w:rPr>
      </w:r>
      <w:r>
        <w:rPr/>
        <w:t>不科学 </w:t>
      </w:r>
      <w:r>
        <w:rPr>
          <w:spacing w:val="-7"/>
        </w:rPr>
        <w:t>；</w:t>
      </w:r>
      <w:r>
        <w:rPr>
          <w:rFonts w:ascii="Times New Roman" w:hAnsi="Times New Roman" w:cs="Times New Roman" w:eastAsia="Times New Roman" w:hint="default"/>
          <w:spacing w:val="-7"/>
        </w:rPr>
        <w:t>3</w:t>
      </w:r>
      <w:r>
        <w:rPr>
          <w:spacing w:val="-7"/>
        </w:rPr>
        <w:t>．制度缺失可能导致系统性</w:t>
      </w:r>
      <w:r>
        <w:rPr>
          <w:spacing w:val="-55"/>
        </w:rPr>
        <w:t> </w:t>
      </w:r>
      <w:r>
        <w:rPr>
          <w:spacing w:val="-55"/>
        </w:rPr>
      </w:r>
      <w:r>
        <w:rPr/>
        <w:t>失效 </w:t>
      </w:r>
      <w:r>
        <w:rPr>
          <w:spacing w:val="-7"/>
        </w:rPr>
        <w:t>；</w:t>
      </w:r>
      <w:r>
        <w:rPr>
          <w:rFonts w:ascii="Times New Roman" w:hAnsi="Times New Roman" w:cs="Times New Roman" w:eastAsia="Times New Roman" w:hint="default"/>
          <w:spacing w:val="-7"/>
        </w:rPr>
        <w:t>4</w:t>
      </w:r>
      <w:r>
        <w:rPr>
          <w:spacing w:val="-7"/>
        </w:rPr>
        <w:t>．管理骨干人员或技术骨干人</w:t>
      </w:r>
      <w:r>
        <w:rPr>
          <w:spacing w:val="-47"/>
        </w:rPr>
        <w:t> </w:t>
      </w:r>
      <w:r>
        <w:rPr>
          <w:spacing w:val="-47"/>
        </w:rPr>
      </w:r>
      <w:r>
        <w:rPr/>
        <w:t>员纷纷流失</w:t>
      </w:r>
      <w:r>
        <w:rPr>
          <w:spacing w:val="17"/>
        </w:rPr>
        <w:t> </w:t>
      </w:r>
      <w:r>
        <w:rPr>
          <w:spacing w:val="-9"/>
        </w:rPr>
        <w:t>；</w:t>
      </w:r>
      <w:r>
        <w:rPr>
          <w:rFonts w:ascii="Times New Roman" w:hAnsi="Times New Roman" w:cs="Times New Roman" w:eastAsia="Times New Roman" w:hint="default"/>
          <w:spacing w:val="-9"/>
        </w:rPr>
        <w:t>5</w:t>
      </w:r>
      <w:r>
        <w:rPr>
          <w:spacing w:val="-9"/>
        </w:rPr>
        <w:t>．媒体负面新闻频现</w:t>
      </w:r>
      <w:r>
        <w:rPr>
          <w:spacing w:val="17"/>
        </w:rPr>
        <w:t> </w:t>
      </w:r>
      <w:r>
        <w:rPr/>
        <w:t>；</w:t>
      </w:r>
      <w:r>
        <w:rPr>
          <w:spacing w:val="-88"/>
        </w:rPr>
        <w:t> </w:t>
      </w:r>
      <w:r>
        <w:rPr>
          <w:spacing w:val="-88"/>
        </w:rPr>
      </w:r>
      <w:r>
        <w:rPr>
          <w:rFonts w:ascii="Times New Roman" w:hAnsi="Times New Roman" w:cs="Times New Roman" w:eastAsia="Times New Roman" w:hint="default"/>
        </w:rPr>
        <w:t>6</w:t>
      </w:r>
      <w:r>
        <w:rPr/>
        <w:t>．重大或重要缺陷不能得到整改</w:t>
      </w:r>
      <w:r>
        <w:rPr>
          <w:spacing w:val="4"/>
        </w:rPr>
        <w:t> </w:t>
      </w:r>
      <w:r>
        <w:rPr/>
        <w:t>；</w:t>
      </w:r>
    </w:p>
    <w:p>
      <w:pPr>
        <w:pStyle w:val="BodyText"/>
        <w:spacing w:line="314" w:lineRule="auto" w:before="13"/>
        <w:ind w:left="12" w:right="1218"/>
        <w:jc w:val="both"/>
      </w:pPr>
      <w:r>
        <w:rPr/>
        <w:pict>
          <v:shape style="position:absolute;margin-left:376.894012pt;margin-top:95.671715pt;width:158.3pt;height:23.55pt;mso-position-horizontal-relative:page;mso-position-vertical-relative:paragraph;z-index:-1057456" type="#_x0000_t202" filled="false" stroked="false">
            <v:textbox inset="0,0,0,0">
              <w:txbxContent>
                <w:p>
                  <w:pPr>
                    <w:pStyle w:val="BodyText"/>
                    <w:spacing w:line="240" w:lineRule="auto" w:before="130"/>
                    <w:ind w:left="0" w:right="0"/>
                    <w:jc w:val="left"/>
                  </w:pPr>
                  <w:r>
                    <w:rPr>
                      <w:w w:val="101"/>
                    </w:rPr>
                    <w:t>。</w:t>
                  </w:r>
                  <w:r>
                    <w:rPr/>
                  </w:r>
                </w:p>
              </w:txbxContent>
            </v:textbox>
            <w10:wrap type="none"/>
          </v:shape>
        </w:pict>
      </w:r>
      <w:r>
        <w:rPr>
          <w:rFonts w:ascii="Times New Roman" w:hAnsi="Times New Roman" w:cs="Times New Roman" w:eastAsia="Times New Roman" w:hint="default"/>
          <w:spacing w:val="-3"/>
        </w:rPr>
        <w:t>7</w:t>
      </w:r>
      <w:r>
        <w:rPr>
          <w:spacing w:val="-3"/>
        </w:rPr>
        <w:t>．其他对公司负面影响重大的情形。</w:t>
      </w:r>
      <w:r>
        <w:rPr>
          <w:spacing w:val="-35"/>
        </w:rPr>
        <w:t> </w:t>
      </w:r>
      <w:r>
        <w:rPr>
          <w:spacing w:val="-35"/>
        </w:rPr>
      </w:r>
      <w:r>
        <w:rPr>
          <w:spacing w:val="-7"/>
        </w:rPr>
        <w:t>重要缺陷：一个或多个缺陷组合，其严</w:t>
      </w:r>
      <w:r>
        <w:rPr>
          <w:spacing w:val="-34"/>
        </w:rPr>
        <w:t> </w:t>
      </w:r>
      <w:r>
        <w:rPr>
          <w:spacing w:val="-34"/>
        </w:rPr>
      </w:r>
      <w:r>
        <w:rPr>
          <w:spacing w:val="-6"/>
          <w:w w:val="101"/>
        </w:rPr>
        <w:t>重程度和经济后果低于重大缺陷，但仍</w:t>
      </w:r>
      <w:r>
        <w:rPr>
          <w:w w:val="101"/>
        </w:rPr>
        <w:t> </w:t>
      </w:r>
      <w:r>
        <w:rPr>
          <w:spacing w:val="-7"/>
        </w:rPr>
        <w:t>可能导致企业偏离控制目标的缺陷。一</w:t>
      </w:r>
      <w:r>
        <w:rPr>
          <w:spacing w:val="-34"/>
        </w:rPr>
        <w:t> </w:t>
      </w:r>
      <w:r>
        <w:rPr>
          <w:spacing w:val="-34"/>
        </w:rPr>
      </w:r>
      <w:r>
        <w:rPr>
          <w:spacing w:val="-7"/>
        </w:rPr>
        <w:t>般缺陷：不构成重大缺陷或重要缺陷的</w:t>
      </w:r>
      <w:r>
        <w:rPr>
          <w:spacing w:val="-34"/>
        </w:rPr>
        <w:t> </w:t>
      </w:r>
      <w:r>
        <w:rPr>
          <w:spacing w:val="-34"/>
        </w:rPr>
      </w:r>
      <w:r>
        <w:rPr>
          <w:spacing w:val="-3"/>
        </w:rPr>
        <w:t>其他内部控制缺陷。</w:t>
      </w:r>
    </w:p>
    <w:p>
      <w:pPr>
        <w:spacing w:after="0" w:line="314" w:lineRule="auto"/>
        <w:jc w:val="both"/>
        <w:sectPr>
          <w:type w:val="continuous"/>
          <w:pgSz w:w="11910" w:h="16840"/>
          <w:pgMar w:top="1060" w:bottom="1160" w:left="980" w:right="0"/>
          <w:cols w:num="3" w:equalWidth="0">
            <w:col w:w="907" w:space="2285"/>
            <w:col w:w="3457" w:space="40"/>
            <w:col w:w="4241"/>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2"/>
          <w:szCs w:val="12"/>
        </w:rPr>
      </w:pPr>
    </w:p>
    <w:p>
      <w:pPr>
        <w:pStyle w:val="BodyText"/>
        <w:spacing w:line="240" w:lineRule="auto"/>
        <w:ind w:left="182" w:right="-8"/>
        <w:jc w:val="left"/>
      </w:pPr>
      <w:r>
        <w:rPr>
          <w:spacing w:val="-2"/>
        </w:rPr>
        <w:t>定量标准</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5"/>
          <w:szCs w:val="25"/>
        </w:rPr>
      </w:pPr>
    </w:p>
    <w:p>
      <w:pPr>
        <w:pStyle w:val="BodyText"/>
        <w:spacing w:line="309" w:lineRule="auto"/>
        <w:ind w:left="182" w:right="0"/>
        <w:jc w:val="both"/>
      </w:pPr>
      <w:r>
        <w:rPr>
          <w:spacing w:val="-3"/>
        </w:rPr>
        <w:t>重大缺陷：考虑补偿性控制措施和实际偏</w:t>
      </w:r>
      <w:r>
        <w:rPr>
          <w:spacing w:val="-33"/>
        </w:rPr>
        <w:t> </w:t>
      </w:r>
      <w:r>
        <w:rPr>
          <w:spacing w:val="-33"/>
        </w:rPr>
      </w:r>
      <w:r>
        <w:rPr/>
        <w:t>差率后，缺陷</w:t>
      </w:r>
      <w:r>
        <w:rPr>
          <w:rFonts w:ascii="Times New Roman" w:hAnsi="Times New Roman" w:cs="Times New Roman" w:eastAsia="Times New Roman" w:hint="default"/>
        </w:rPr>
        <w:t>≥</w:t>
      </w:r>
      <w:r>
        <w:rPr/>
        <w:t>营业收入</w:t>
      </w:r>
      <w:r>
        <w:rPr>
          <w:spacing w:val="-25"/>
        </w:rPr>
        <w:t> </w:t>
      </w:r>
      <w:r>
        <w:rPr>
          <w:rFonts w:ascii="Times New Roman" w:hAnsi="Times New Roman" w:cs="Times New Roman" w:eastAsia="Times New Roman" w:hint="default"/>
          <w:spacing w:val="-3"/>
        </w:rPr>
        <w:t>1%</w:t>
      </w:r>
      <w:r>
        <w:rPr>
          <w:spacing w:val="-3"/>
        </w:rPr>
        <w:t>；重要缺陷：</w:t>
      </w:r>
      <w:r>
        <w:rPr>
          <w:spacing w:val="-85"/>
        </w:rPr>
        <w:t> </w:t>
      </w:r>
      <w:r>
        <w:rPr>
          <w:spacing w:val="-85"/>
        </w:rPr>
      </w:r>
      <w:r>
        <w:rPr>
          <w:spacing w:val="-3"/>
        </w:rPr>
        <w:t>考虑补偿性控制措施和实际偏差率后，营</w:t>
      </w:r>
      <w:r>
        <w:rPr>
          <w:spacing w:val="-33"/>
        </w:rPr>
        <w:t> </w:t>
      </w:r>
      <w:r>
        <w:rPr>
          <w:spacing w:val="-33"/>
        </w:rPr>
      </w:r>
      <w:r>
        <w:rPr/>
        <w:t>业收入 </w:t>
      </w:r>
      <w:r>
        <w:rPr>
          <w:rFonts w:ascii="Times New Roman" w:hAnsi="Times New Roman" w:cs="Times New Roman" w:eastAsia="Times New Roman" w:hint="default"/>
        </w:rPr>
        <w:t>1%&gt;</w:t>
      </w:r>
      <w:r>
        <w:rPr/>
        <w:t>缺陷</w:t>
      </w:r>
      <w:r>
        <w:rPr>
          <w:rFonts w:ascii="Times New Roman" w:hAnsi="Times New Roman" w:cs="Times New Roman" w:eastAsia="Times New Roman" w:hint="default"/>
        </w:rPr>
        <w:t>≥</w:t>
      </w:r>
      <w:r>
        <w:rPr/>
        <w:t>营业收入</w:t>
      </w:r>
      <w:r>
        <w:rPr>
          <w:spacing w:val="-65"/>
        </w:rPr>
        <w:t> </w:t>
      </w:r>
      <w:r>
        <w:rPr>
          <w:rFonts w:ascii="Times New Roman" w:hAnsi="Times New Roman" w:cs="Times New Roman" w:eastAsia="Times New Roman" w:hint="default"/>
          <w:spacing w:val="-10"/>
        </w:rPr>
        <w:t>0.25%</w:t>
      </w:r>
      <w:r>
        <w:rPr>
          <w:spacing w:val="-10"/>
        </w:rPr>
        <w:t>；一般缺</w:t>
      </w:r>
    </w:p>
    <w:p>
      <w:pPr>
        <w:pStyle w:val="BodyText"/>
        <w:spacing w:line="307" w:lineRule="auto" w:before="117"/>
        <w:ind w:left="12" w:right="1207"/>
        <w:jc w:val="left"/>
      </w:pPr>
      <w:r>
        <w:rPr/>
        <w:br w:type="column"/>
      </w:r>
      <w:r>
        <w:rPr/>
        <w:t>重大缺陷：</w:t>
      </w:r>
      <w:r>
        <w:rPr>
          <w:rFonts w:ascii="Times New Roman" w:hAnsi="Times New Roman" w:cs="Times New Roman" w:eastAsia="Times New Roman" w:hint="default"/>
        </w:rPr>
        <w:t>1</w:t>
      </w:r>
      <w:r>
        <w:rPr/>
        <w:t>．直接财产损失达到 </w:t>
      </w:r>
      <w:r>
        <w:rPr>
          <w:rFonts w:ascii="Times New Roman" w:hAnsi="Times New Roman" w:cs="Times New Roman" w:eastAsia="Times New Roman" w:hint="default"/>
        </w:rPr>
        <w:t>400</w:t>
      </w:r>
      <w:r>
        <w:rPr>
          <w:rFonts w:ascii="Times New Roman" w:hAnsi="Times New Roman" w:cs="Times New Roman" w:eastAsia="Times New Roman" w:hint="default"/>
          <w:spacing w:val="-41"/>
        </w:rPr>
        <w:t> </w:t>
      </w:r>
      <w:r>
        <w:rPr/>
        <w:t>万元</w:t>
      </w:r>
      <w:r>
        <w:rPr>
          <w:rFonts w:ascii="Times New Roman" w:hAnsi="Times New Roman" w:cs="Times New Roman" w:eastAsia="Times New Roman" w:hint="default"/>
        </w:rPr>
        <w:t>(</w:t>
      </w:r>
      <w:r>
        <w:rPr/>
        <w:t>含</w:t>
      </w:r>
      <w:r>
        <w:rPr>
          <w:rFonts w:ascii="Times New Roman" w:hAnsi="Times New Roman" w:cs="Times New Roman" w:eastAsia="Times New Roman" w:hint="default"/>
        </w:rPr>
        <w:t>)</w:t>
      </w:r>
      <w:r>
        <w:rPr>
          <w:rFonts w:ascii="Times New Roman" w:hAnsi="Times New Roman" w:cs="Times New Roman" w:eastAsia="Times New Roman" w:hint="default"/>
          <w:spacing w:val="31"/>
        </w:rPr>
        <w:t> </w:t>
      </w:r>
      <w:r>
        <w:rPr>
          <w:spacing w:val="-3"/>
        </w:rPr>
        <w:t>以上；</w:t>
      </w:r>
      <w:r>
        <w:rPr>
          <w:rFonts w:ascii="Times New Roman" w:hAnsi="Times New Roman" w:cs="Times New Roman" w:eastAsia="Times New Roman" w:hint="default"/>
          <w:spacing w:val="-3"/>
        </w:rPr>
        <w:t>2</w:t>
      </w:r>
      <w:r>
        <w:rPr>
          <w:spacing w:val="-3"/>
        </w:rPr>
        <w:t>．潜在负面影响：已</w:t>
      </w:r>
      <w:r>
        <w:rPr>
          <w:spacing w:val="-86"/>
        </w:rPr>
        <w:t> </w:t>
      </w:r>
      <w:r>
        <w:rPr>
          <w:spacing w:val="-86"/>
        </w:rPr>
      </w:r>
      <w:r>
        <w:rPr>
          <w:spacing w:val="-3"/>
        </w:rPr>
        <w:t>经对外正式披露并对公司定期报告披</w:t>
      </w:r>
      <w:r>
        <w:rPr>
          <w:spacing w:val="-39"/>
        </w:rPr>
        <w:t> </w:t>
      </w:r>
      <w:r>
        <w:rPr>
          <w:spacing w:val="-39"/>
        </w:rPr>
      </w:r>
      <w:r>
        <w:rPr>
          <w:spacing w:val="-7"/>
        </w:rPr>
        <w:t>露造成负面影响；企业关键岗位人员流</w:t>
      </w:r>
      <w:r>
        <w:rPr>
          <w:spacing w:val="-34"/>
        </w:rPr>
        <w:t> </w:t>
      </w:r>
      <w:r>
        <w:rPr>
          <w:spacing w:val="-34"/>
        </w:rPr>
      </w:r>
      <w:r>
        <w:rPr>
          <w:spacing w:val="-11"/>
          <w:w w:val="101"/>
        </w:rPr>
        <w:t>失严重。；重要缺陷：</w:t>
      </w:r>
      <w:r>
        <w:rPr>
          <w:rFonts w:ascii="Times New Roman" w:hAnsi="Times New Roman" w:cs="Times New Roman" w:eastAsia="Times New Roman" w:hint="default"/>
          <w:spacing w:val="-11"/>
          <w:w w:val="101"/>
        </w:rPr>
        <w:t>1</w:t>
      </w:r>
      <w:r>
        <w:rPr>
          <w:spacing w:val="-11"/>
          <w:w w:val="101"/>
        </w:rPr>
        <w:t>．直接财产损失</w:t>
      </w:r>
      <w:r>
        <w:rPr>
          <w:spacing w:val="-11"/>
        </w:rPr>
      </w:r>
    </w:p>
    <w:p>
      <w:pPr>
        <w:pStyle w:val="BodyText"/>
        <w:spacing w:line="188" w:lineRule="exact" w:before="7"/>
        <w:ind w:left="12" w:right="1207"/>
        <w:jc w:val="left"/>
      </w:pPr>
      <w:r>
        <w:rPr/>
        <w:t>达到 </w:t>
      </w:r>
      <w:r>
        <w:rPr>
          <w:rFonts w:ascii="Times New Roman" w:hAnsi="Times New Roman" w:cs="Times New Roman" w:eastAsia="Times New Roman" w:hint="default"/>
        </w:rPr>
        <w:t>100 </w:t>
      </w:r>
      <w:r>
        <w:rPr>
          <w:spacing w:val="-3"/>
        </w:rPr>
        <w:t>万</w:t>
      </w:r>
      <w:r>
        <w:rPr>
          <w:rFonts w:ascii="Times New Roman" w:hAnsi="Times New Roman" w:cs="Times New Roman" w:eastAsia="Times New Roman" w:hint="default"/>
          <w:spacing w:val="-3"/>
        </w:rPr>
        <w:t>(</w:t>
      </w:r>
      <w:r>
        <w:rPr>
          <w:spacing w:val="-3"/>
        </w:rPr>
        <w:t>含</w:t>
      </w:r>
      <w:r>
        <w:rPr>
          <w:rFonts w:ascii="Times New Roman" w:hAnsi="Times New Roman" w:cs="Times New Roman" w:eastAsia="Times New Roman" w:hint="default"/>
          <w:spacing w:val="-3"/>
        </w:rPr>
        <w:t>) </w:t>
      </w:r>
      <w:r>
        <w:rPr>
          <w:rFonts w:ascii="Times New Roman" w:hAnsi="Times New Roman" w:cs="Times New Roman" w:eastAsia="Times New Roman" w:hint="default"/>
        </w:rPr>
        <w:t>-- 400</w:t>
      </w:r>
      <w:r>
        <w:rPr>
          <w:rFonts w:ascii="Times New Roman" w:hAnsi="Times New Roman" w:cs="Times New Roman" w:eastAsia="Times New Roman" w:hint="default"/>
          <w:spacing w:val="32"/>
        </w:rPr>
        <w:t> </w:t>
      </w:r>
      <w:r>
        <w:rPr>
          <w:spacing w:val="-3"/>
        </w:rPr>
        <w:t>万元；</w:t>
      </w:r>
      <w:r>
        <w:rPr>
          <w:rFonts w:ascii="Times New Roman" w:hAnsi="Times New Roman" w:cs="Times New Roman" w:eastAsia="Times New Roman" w:hint="default"/>
          <w:spacing w:val="-3"/>
        </w:rPr>
        <w:t>2</w:t>
      </w:r>
      <w:r>
        <w:rPr>
          <w:spacing w:val="-3"/>
        </w:rPr>
        <w:t>．潜在</w:t>
      </w:r>
    </w:p>
    <w:p>
      <w:pPr>
        <w:spacing w:after="0" w:line="188" w:lineRule="exact"/>
        <w:jc w:val="left"/>
        <w:sectPr>
          <w:type w:val="continuous"/>
          <w:pgSz w:w="11910" w:h="16840"/>
          <w:pgMar w:top="1060" w:bottom="1160" w:left="980" w:right="0"/>
          <w:cols w:num="3" w:equalWidth="0">
            <w:col w:w="907" w:space="2285"/>
            <w:col w:w="3458" w:space="40"/>
            <w:col w:w="4240"/>
          </w:cols>
        </w:sectPr>
      </w:pPr>
    </w:p>
    <w:p>
      <w:pPr>
        <w:pStyle w:val="BodyText"/>
        <w:spacing w:line="153" w:lineRule="exact"/>
        <w:ind w:left="3375" w:right="0"/>
        <w:jc w:val="left"/>
      </w:pPr>
      <w:r>
        <w:rPr>
          <w:spacing w:val="-6"/>
        </w:rPr>
        <w:t>陷：考虑补偿性控制措施和实际偏差率后，</w:t>
      </w:r>
    </w:p>
    <w:p>
      <w:pPr>
        <w:pStyle w:val="BodyText"/>
        <w:spacing w:line="164" w:lineRule="exact"/>
        <w:ind w:left="6702" w:right="0"/>
        <w:jc w:val="left"/>
      </w:pPr>
      <w:r>
        <w:rPr>
          <w:spacing w:val="-7"/>
        </w:rPr>
        <w:t>负面影响：受到国家政府部门处罚，但</w:t>
      </w:r>
    </w:p>
    <w:p>
      <w:pPr>
        <w:spacing w:after="0" w:line="164" w:lineRule="exact"/>
        <w:jc w:val="left"/>
        <w:sectPr>
          <w:type w:val="continuous"/>
          <w:pgSz w:w="11910" w:h="16840"/>
          <w:pgMar w:top="1060" w:bottom="1160" w:left="980" w:right="0"/>
        </w:sectPr>
      </w:pPr>
    </w:p>
    <w:p>
      <w:pPr>
        <w:pStyle w:val="BodyText"/>
        <w:spacing w:line="196" w:lineRule="exact"/>
        <w:ind w:left="3375" w:right="-17"/>
        <w:jc w:val="left"/>
        <w:rPr>
          <w:rFonts w:ascii="Times New Roman" w:hAnsi="Times New Roman" w:cs="Times New Roman" w:eastAsia="Times New Roman" w:hint="default"/>
        </w:rPr>
      </w:pPr>
      <w:r>
        <w:rPr/>
        <w:t>缺陷</w:t>
      </w:r>
      <w:r>
        <w:rPr>
          <w:rFonts w:ascii="Times New Roman" w:hAnsi="Times New Roman" w:cs="Times New Roman" w:eastAsia="Times New Roman" w:hint="default"/>
        </w:rPr>
        <w:t>&lt;</w:t>
      </w:r>
      <w:r>
        <w:rPr/>
        <w:t>营业收入</w:t>
      </w:r>
      <w:r>
        <w:rPr>
          <w:spacing w:val="-47"/>
        </w:rPr>
        <w:t> </w:t>
      </w:r>
      <w:r>
        <w:rPr>
          <w:rFonts w:ascii="Times New Roman" w:hAnsi="Times New Roman" w:cs="Times New Roman" w:eastAsia="Times New Roman" w:hint="default"/>
        </w:rPr>
        <w:t>0.25%</w:t>
      </w:r>
    </w:p>
    <w:p>
      <w:pPr>
        <w:pStyle w:val="BodyText"/>
        <w:spacing w:line="316" w:lineRule="auto" w:before="119"/>
        <w:ind w:left="1594" w:right="0"/>
        <w:jc w:val="left"/>
      </w:pPr>
      <w:r>
        <w:rPr>
          <w:spacing w:val="-3"/>
        </w:rPr>
        <w:br w:type="column"/>
      </w:r>
      <w:r>
        <w:rPr>
          <w:spacing w:val="-3"/>
        </w:rPr>
        <w:t>未对公司定期报告披露造成负面影响。</w:t>
      </w:r>
      <w:r>
        <w:rPr>
          <w:spacing w:val="-34"/>
        </w:rPr>
        <w:t> </w:t>
      </w:r>
      <w:r>
        <w:rPr>
          <w:spacing w:val="-34"/>
        </w:rPr>
      </w:r>
      <w:r>
        <w:rPr/>
        <w:t>一般缺陷：</w:t>
      </w:r>
      <w:r>
        <w:rPr>
          <w:rFonts w:ascii="Times New Roman" w:hAnsi="Times New Roman" w:cs="Times New Roman" w:eastAsia="Times New Roman" w:hint="default"/>
        </w:rPr>
        <w:t>1</w:t>
      </w:r>
      <w:r>
        <w:rPr/>
        <w:t>．直接财产损失在</w:t>
      </w:r>
      <w:r>
        <w:rPr>
          <w:spacing w:val="-46"/>
        </w:rPr>
        <w:t> </w:t>
      </w:r>
      <w:r>
        <w:rPr>
          <w:rFonts w:ascii="Times New Roman" w:hAnsi="Times New Roman" w:cs="Times New Roman" w:eastAsia="Times New Roman" w:hint="default"/>
        </w:rPr>
        <w:t>100</w:t>
      </w:r>
      <w:r>
        <w:rPr>
          <w:rFonts w:ascii="Times New Roman" w:hAnsi="Times New Roman" w:cs="Times New Roman" w:eastAsia="Times New Roman" w:hint="default"/>
          <w:spacing w:val="5"/>
        </w:rPr>
        <w:t> </w:t>
      </w:r>
      <w:r>
        <w:rPr/>
        <w:t>万</w:t>
      </w:r>
    </w:p>
    <w:p>
      <w:pPr>
        <w:spacing w:after="0" w:line="316" w:lineRule="auto"/>
        <w:jc w:val="left"/>
        <w:sectPr>
          <w:type w:val="continuous"/>
          <w:pgSz w:w="11910" w:h="16840"/>
          <w:pgMar w:top="1060" w:bottom="1160" w:left="980" w:right="0"/>
          <w:cols w:num="2" w:equalWidth="0">
            <w:col w:w="5069" w:space="40"/>
            <w:col w:w="5821"/>
          </w:cols>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93"/>
        <w:gridCol w:w="3328"/>
        <w:gridCol w:w="3049"/>
      </w:tblGrid>
      <w:tr>
        <w:trPr>
          <w:trHeight w:val="98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8"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元以下；</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．潜在负面影响：受到省级</w:t>
            </w:r>
          </w:p>
          <w:p>
            <w:pPr>
              <w:pStyle w:val="TableParagraph"/>
              <w:spacing w:line="321" w:lineRule="auto" w:before="63"/>
              <w:ind w:left="23" w:right="13"/>
              <w:jc w:val="left"/>
              <w:rPr>
                <w:rFonts w:ascii="宋体" w:hAnsi="宋体" w:cs="宋体" w:eastAsia="宋体" w:hint="default"/>
                <w:sz w:val="18"/>
                <w:szCs w:val="18"/>
              </w:rPr>
            </w:pPr>
            <w:r>
              <w:rPr>
                <w:rFonts w:ascii="宋体" w:hAnsi="宋体" w:cs="宋体" w:eastAsia="宋体" w:hint="default"/>
                <w:spacing w:val="-7"/>
                <w:sz w:val="18"/>
                <w:szCs w:val="18"/>
              </w:rPr>
              <w:t>（含省级）以下政府部门处罚，但未对</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3"/>
                <w:sz w:val="18"/>
                <w:szCs w:val="18"/>
              </w:rPr>
              <w:t>公司定期报告披露造成负面影响。</w:t>
            </w:r>
          </w:p>
        </w:tc>
      </w:tr>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非财务报告重大缺陷数量（个）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r>
        <w:trPr>
          <w:trHeight w:val="398"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非财务报告重要缺陷数量（个）</w:t>
            </w:r>
          </w:p>
        </w:tc>
        <w:tc>
          <w:tcPr>
            <w:tcW w:w="63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r>
    </w:tbl>
    <w:p>
      <w:pPr>
        <w:spacing w:line="240" w:lineRule="auto" w:before="9"/>
        <w:rPr>
          <w:rFonts w:ascii="宋体" w:hAnsi="宋体" w:cs="宋体" w:eastAsia="宋体" w:hint="default"/>
          <w:sz w:val="17"/>
          <w:szCs w:val="17"/>
        </w:rPr>
      </w:pPr>
    </w:p>
    <w:p>
      <w:pPr>
        <w:pStyle w:val="Heading2"/>
        <w:spacing w:line="240" w:lineRule="auto" w:before="26"/>
        <w:ind w:right="0"/>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7"/>
          <w:szCs w:val="27"/>
        </w:rPr>
      </w:pPr>
    </w:p>
    <w:p>
      <w:pPr>
        <w:pStyle w:val="BodyText"/>
        <w:spacing w:line="240" w:lineRule="auto"/>
        <w:ind w:right="0"/>
        <w:jc w:val="left"/>
      </w:pPr>
      <w:r>
        <w:rPr/>
        <w:t>内部控制鉴证报告</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5"/>
        <w:gridCol w:w="6905"/>
      </w:tblGrid>
      <w:tr>
        <w:trPr>
          <w:trHeight w:val="403"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内部控制鉴证报告中的审议意见段</w:t>
            </w:r>
          </w:p>
        </w:tc>
      </w:tr>
      <w:tr>
        <w:trPr>
          <w:trHeight w:val="716"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4"/>
              <w:ind w:left="24" w:right="80"/>
              <w:jc w:val="left"/>
              <w:rPr>
                <w:rFonts w:ascii="宋体" w:hAnsi="宋体" w:cs="宋体" w:eastAsia="宋体" w:hint="default"/>
                <w:sz w:val="18"/>
                <w:szCs w:val="18"/>
              </w:rPr>
            </w:pPr>
            <w:r>
              <w:rPr>
                <w:rFonts w:ascii="宋体" w:hAnsi="宋体" w:cs="宋体" w:eastAsia="宋体" w:hint="default"/>
                <w:spacing w:val="-3"/>
                <w:sz w:val="18"/>
                <w:szCs w:val="18"/>
              </w:rPr>
              <w:t>我们认为，合纵科技按照《企业内部控制基本规范》及相关规定于</w:t>
            </w:r>
            <w:r>
              <w:rPr>
                <w:rFonts w:ascii="宋体" w:hAnsi="宋体" w:cs="宋体" w:eastAsia="宋体" w:hint="default"/>
                <w:spacing w:val="-2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1"/>
                <w:sz w:val="18"/>
                <w:szCs w:val="18"/>
              </w:rPr>
              <w:t> </w:t>
            </w:r>
            <w:r>
              <w:rPr>
                <w:rFonts w:ascii="宋体" w:hAnsi="宋体" w:cs="宋体" w:eastAsia="宋体" w:hint="default"/>
                <w:spacing w:val="-3"/>
                <w:sz w:val="18"/>
                <w:szCs w:val="18"/>
              </w:rPr>
              <w:t>日在所有重大方面保持了有效的与财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务报告有关的内部控制。</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内部控制鉴证报告全文披露日期</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4"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内部控制鉴证报告全文披露索引</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巨潮资讯网（</w:t>
            </w:r>
            <w:hyperlink r:id="rId12">
              <w:r>
                <w:rPr>
                  <w:rFonts w:ascii="Times New Roman" w:hAnsi="Times New Roman" w:cs="Times New Roman" w:eastAsia="Times New Roman" w:hint="default"/>
                  <w:spacing w:val="-3"/>
                  <w:sz w:val="18"/>
                  <w:szCs w:val="18"/>
                </w:rPr>
                <w:t>http://www.cninfo.com.cn</w:t>
              </w:r>
            </w:hyperlink>
            <w:r>
              <w:rPr>
                <w:rFonts w:ascii="宋体" w:hAnsi="宋体" w:cs="宋体" w:eastAsia="宋体" w:hint="default"/>
                <w:spacing w:val="-3"/>
                <w:sz w:val="18"/>
                <w:szCs w:val="18"/>
              </w:rPr>
              <w:t>）</w:t>
            </w:r>
          </w:p>
        </w:tc>
      </w:tr>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398"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非财务报告是否存在重大缺陷</w:t>
            </w:r>
          </w:p>
        </w:tc>
        <w:tc>
          <w:tcPr>
            <w:tcW w:w="6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pStyle w:val="BodyText"/>
        <w:spacing w:line="240" w:lineRule="auto" w:before="53"/>
        <w:ind w:right="0"/>
        <w:jc w:val="left"/>
      </w:pPr>
      <w:r>
        <w:rPr>
          <w:spacing w:val="-3"/>
        </w:rPr>
        <w:t>会计师事务所是否出具非标准意见的内部控制鉴证报告</w:t>
      </w:r>
    </w:p>
    <w:p>
      <w:pPr>
        <w:pStyle w:val="BodyText"/>
        <w:spacing w:line="338" w:lineRule="auto" w:before="119"/>
        <w:ind w:right="4202"/>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2"/>
        </w:rPr>
        <w:t> </w:t>
      </w:r>
      <w:r>
        <w:rPr/>
        <w:t>否</w:t>
      </w:r>
      <w:r>
        <w:rPr>
          <w:spacing w:val="-83"/>
        </w:rPr>
        <w:t> </w:t>
      </w:r>
      <w:r>
        <w:rPr>
          <w:spacing w:val="-3"/>
        </w:rPr>
        <w:t>会计师事务所出具的内部控制鉴证报告与董事会的自我评价报告意见是否一致</w:t>
      </w:r>
    </w:p>
    <w:p>
      <w:pPr>
        <w:pStyle w:val="BodyText"/>
        <w:spacing w:line="240" w:lineRule="auto" w:before="4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043" w:right="0"/>
        <w:jc w:val="left"/>
        <w:rPr>
          <w:b w:val="0"/>
          <w:bCs w:val="0"/>
        </w:rPr>
      </w:pPr>
      <w:bookmarkStart w:name="_TOC_250002" w:id="152"/>
      <w:bookmarkStart w:name="第十一节公司债券相关情况" w:id="153"/>
      <w:r>
        <w:rPr>
          <w:b w:val="0"/>
          <w:bCs w:val="0"/>
        </w:rPr>
      </w:r>
      <w:r>
        <w:rPr/>
        <w:t>第十一节公司债券相关情况</w:t>
      </w:r>
      <w:bookmarkEnd w:id="152"/>
      <w:r>
        <w:rPr>
          <w:b w:val="0"/>
          <w:bCs w:val="0"/>
        </w:rPr>
      </w:r>
    </w:p>
    <w:p>
      <w:pPr>
        <w:spacing w:line="240" w:lineRule="auto" w:before="12"/>
        <w:rPr>
          <w:rFonts w:ascii="宋体" w:hAnsi="宋体" w:cs="宋体" w:eastAsia="宋体" w:hint="default"/>
          <w:b/>
          <w:bCs/>
          <w:sz w:val="42"/>
          <w:szCs w:val="42"/>
        </w:rPr>
      </w:pPr>
    </w:p>
    <w:p>
      <w:pPr>
        <w:pStyle w:val="BodyText"/>
        <w:spacing w:line="357" w:lineRule="auto"/>
        <w:ind w:right="2115"/>
        <w:jc w:val="left"/>
      </w:pPr>
      <w:r>
        <w:rPr>
          <w:spacing w:val="-3"/>
        </w:rPr>
        <w:t>公司是否存在公开发行并在证券交易所上市，且在年度报告批准报出日未到期或到期未能全额兑付的公司债券</w:t>
      </w:r>
      <w:r>
        <w:rPr>
          <w:spacing w:val="49"/>
        </w:rPr>
        <w:t> </w:t>
      </w:r>
      <w:r>
        <w:rPr>
          <w:spacing w:val="49"/>
        </w:rPr>
      </w:r>
      <w:r>
        <w:rPr/>
        <w:t>否</w:t>
      </w:r>
    </w:p>
    <w:p>
      <w:pPr>
        <w:spacing w:after="0" w:line="357"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right="3756"/>
        <w:jc w:val="center"/>
        <w:rPr>
          <w:b w:val="0"/>
          <w:bCs w:val="0"/>
        </w:rPr>
      </w:pPr>
      <w:bookmarkStart w:name="_TOC_250001" w:id="154"/>
      <w:bookmarkStart w:name="第十二节财务报告" w:id="155"/>
      <w:r>
        <w:rPr>
          <w:b w:val="0"/>
          <w:bCs w:val="0"/>
        </w:rPr>
      </w:r>
      <w:r>
        <w:rPr/>
        <w:t>第十二节财务报告</w:t>
      </w:r>
      <w:bookmarkEnd w:id="154"/>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6"/>
      <w:bookmarkEnd w:id="156"/>
      <w:r>
        <w:rPr>
          <w:b w:val="0"/>
          <w:bCs w:val="0"/>
        </w:rPr>
      </w:r>
      <w:r>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pacing w:val="-3"/>
                <w:sz w:val="18"/>
                <w:szCs w:val="18"/>
              </w:rPr>
              <w:t>中兴财光华会计师事务所（特殊普通合伙）</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宋体" w:hAnsi="宋体" w:cs="宋体" w:eastAsia="宋体" w:hint="default"/>
                <w:sz w:val="18"/>
                <w:szCs w:val="18"/>
              </w:rPr>
              <w:t>2020</w:t>
            </w:r>
            <w:r>
              <w:rPr>
                <w:rFonts w:ascii="宋体" w:hAnsi="宋体" w:cs="宋体" w:eastAsia="宋体" w:hint="default"/>
                <w:sz w:val="18"/>
                <w:szCs w:val="18"/>
              </w:rPr>
              <w:t>）第</w:t>
            </w:r>
            <w:r>
              <w:rPr>
                <w:rFonts w:ascii="宋体" w:hAnsi="宋体" w:cs="宋体" w:eastAsia="宋体" w:hint="default"/>
                <w:spacing w:val="-42"/>
                <w:sz w:val="18"/>
                <w:szCs w:val="18"/>
              </w:rPr>
              <w:t> </w:t>
            </w:r>
            <w:r>
              <w:rPr>
                <w:rFonts w:ascii="宋体" w:hAnsi="宋体" w:cs="宋体" w:eastAsia="宋体" w:hint="default"/>
                <w:sz w:val="18"/>
                <w:szCs w:val="18"/>
              </w:rPr>
              <w:t>220013</w:t>
            </w:r>
            <w:r>
              <w:rPr>
                <w:rFonts w:ascii="宋体" w:hAnsi="宋体" w:cs="宋体" w:eastAsia="宋体" w:hint="default"/>
                <w:spacing w:val="-48"/>
                <w:sz w:val="18"/>
                <w:szCs w:val="18"/>
              </w:rPr>
              <w:t> </w:t>
            </w:r>
            <w:r>
              <w:rPr>
                <w:rFonts w:ascii="宋体" w:hAnsi="宋体" w:cs="宋体" w:eastAsia="宋体" w:hint="default"/>
                <w:sz w:val="18"/>
                <w:szCs w:val="18"/>
              </w:rPr>
              <w:t>号</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陈跃华</w:t>
            </w:r>
            <w:r>
              <w:rPr>
                <w:rFonts w:ascii="宋体" w:hAnsi="宋体" w:cs="宋体" w:eastAsia="宋体" w:hint="default"/>
                <w:spacing w:val="5"/>
                <w:sz w:val="18"/>
                <w:szCs w:val="18"/>
              </w:rPr>
              <w:t> </w:t>
            </w:r>
            <w:r>
              <w:rPr>
                <w:rFonts w:ascii="宋体" w:hAnsi="宋体" w:cs="宋体" w:eastAsia="宋体" w:hint="default"/>
                <w:sz w:val="18"/>
                <w:szCs w:val="18"/>
              </w:rPr>
              <w:t>丁西国</w:t>
            </w:r>
          </w:p>
        </w:tc>
      </w:tr>
    </w:tbl>
    <w:p>
      <w:pPr>
        <w:pStyle w:val="BodyText"/>
        <w:spacing w:line="240" w:lineRule="auto" w:before="53"/>
        <w:ind w:left="2783" w:right="3756"/>
        <w:jc w:val="center"/>
      </w:pPr>
      <w:r>
        <w:rPr/>
        <w:t>审计报告正文</w:t>
      </w:r>
    </w:p>
    <w:p>
      <w:pPr>
        <w:pStyle w:val="BodyText"/>
        <w:spacing w:line="240" w:lineRule="auto" w:before="120"/>
        <w:ind w:right="0"/>
        <w:jc w:val="left"/>
      </w:pPr>
      <w:r>
        <w:rPr>
          <w:spacing w:val="-3"/>
        </w:rPr>
        <w:t>北京合纵科技股份有限公司全体股东：</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580" w:right="0"/>
        <w:jc w:val="left"/>
      </w:pPr>
      <w:r>
        <w:rPr/>
        <w:t>一、审计意见</w:t>
      </w:r>
    </w:p>
    <w:p>
      <w:pPr>
        <w:pStyle w:val="BodyText"/>
        <w:spacing w:line="321" w:lineRule="auto" w:before="110"/>
        <w:ind w:right="1122" w:firstLine="427"/>
        <w:jc w:val="both"/>
      </w:pPr>
      <w:r>
        <w:rPr>
          <w:spacing w:val="-5"/>
          <w:w w:val="101"/>
        </w:rPr>
        <w:t>我们审计了北京合纵科技股份有限公司（以下简称“合纵科技”）财务报表，包括</w:t>
      </w:r>
      <w:r>
        <w:rPr>
          <w:w w:val="101"/>
        </w:rPr>
        <w:t> </w:t>
      </w:r>
      <w:r>
        <w:rPr>
          <w:rFonts w:ascii="宋体" w:hAnsi="宋体" w:cs="宋体" w:eastAsia="宋体" w:hint="default"/>
          <w:spacing w:val="-2"/>
          <w:w w:val="101"/>
        </w:rPr>
        <w:t>2019</w:t>
      </w:r>
      <w:r>
        <w:rPr>
          <w:rFonts w:ascii="宋体" w:hAnsi="宋体" w:cs="宋体" w:eastAsia="宋体" w:hint="default"/>
          <w:w w:val="101"/>
        </w:rPr>
        <w:t> </w:t>
      </w:r>
      <w:r>
        <w:rPr>
          <w:w w:val="101"/>
        </w:rPr>
        <w:t>年 </w:t>
      </w:r>
      <w:r>
        <w:rPr>
          <w:rFonts w:ascii="宋体" w:hAnsi="宋体" w:cs="宋体" w:eastAsia="宋体" w:hint="default"/>
          <w:w w:val="101"/>
        </w:rPr>
        <w:t>12 </w:t>
      </w:r>
      <w:r>
        <w:rPr>
          <w:w w:val="101"/>
        </w:rPr>
        <w:t>月 </w:t>
      </w:r>
      <w:r>
        <w:rPr>
          <w:rFonts w:ascii="宋体" w:hAnsi="宋体" w:cs="宋体" w:eastAsia="宋体" w:hint="default"/>
          <w:spacing w:val="-3"/>
          <w:w w:val="101"/>
        </w:rPr>
        <w:t>31</w:t>
      </w:r>
      <w:r>
        <w:rPr>
          <w:rFonts w:ascii="宋体" w:hAnsi="宋体" w:cs="宋体" w:eastAsia="宋体" w:hint="default"/>
          <w:spacing w:val="-60"/>
          <w:w w:val="101"/>
        </w:rPr>
        <w:t> </w:t>
      </w:r>
      <w:r>
        <w:rPr>
          <w:spacing w:val="-3"/>
          <w:w w:val="101"/>
        </w:rPr>
        <w:t>日的合并及公司</w:t>
      </w:r>
      <w:r>
        <w:rPr>
          <w:w w:val="101"/>
        </w:rPr>
        <w:t> </w:t>
      </w:r>
      <w:r>
        <w:rPr/>
        <w:t>资产负债表，</w:t>
      </w:r>
      <w:r>
        <w:rPr>
          <w:rFonts w:ascii="宋体" w:hAnsi="宋体" w:cs="宋体" w:eastAsia="宋体" w:hint="default"/>
        </w:rPr>
        <w:t>2019</w:t>
      </w:r>
      <w:r>
        <w:rPr>
          <w:rFonts w:ascii="宋体" w:hAnsi="宋体" w:cs="宋体" w:eastAsia="宋体" w:hint="default"/>
          <w:spacing w:val="84"/>
        </w:rPr>
        <w:t> </w:t>
      </w:r>
      <w:r>
        <w:rPr>
          <w:spacing w:val="-3"/>
        </w:rPr>
        <w:t>年度的合并及公司利润表、合并及公司现金流量表、合并及公司股东权益变动表以及财务报表附注。</w:t>
      </w:r>
    </w:p>
    <w:p>
      <w:pPr>
        <w:pStyle w:val="BodyText"/>
        <w:spacing w:line="240" w:lineRule="auto" w:before="49"/>
        <w:ind w:left="580" w:right="0"/>
        <w:jc w:val="left"/>
      </w:pPr>
      <w:r>
        <w:rPr>
          <w:spacing w:val="-3"/>
        </w:rPr>
        <w:t>我们认为，后附的财务报表在所有重大方面按照企业会计准则的规定编制，公允反映了合纵科技 </w:t>
      </w:r>
      <w:r>
        <w:rPr>
          <w:rFonts w:ascii="宋体" w:hAnsi="宋体" w:cs="宋体" w:eastAsia="宋体" w:hint="default"/>
        </w:rPr>
        <w:t>2019 </w:t>
      </w:r>
      <w:r>
        <w:rPr/>
        <w:t>年 </w:t>
      </w:r>
      <w:r>
        <w:rPr>
          <w:rFonts w:ascii="宋体" w:hAnsi="宋体" w:cs="宋体" w:eastAsia="宋体" w:hint="default"/>
          <w:spacing w:val="-3"/>
        </w:rPr>
        <w:t>12 </w:t>
      </w:r>
      <w:r>
        <w:rPr/>
        <w:t>月 </w:t>
      </w:r>
      <w:r>
        <w:rPr>
          <w:rFonts w:ascii="宋体" w:hAnsi="宋体" w:cs="宋体" w:eastAsia="宋体" w:hint="default"/>
        </w:rPr>
        <w:t>31</w:t>
      </w:r>
      <w:r>
        <w:rPr>
          <w:rFonts w:ascii="宋体" w:hAnsi="宋体" w:cs="宋体" w:eastAsia="宋体" w:hint="default"/>
          <w:spacing w:val="-12"/>
        </w:rPr>
        <w:t> </w:t>
      </w:r>
      <w:r>
        <w:rPr/>
        <w:t>日</w:t>
      </w:r>
    </w:p>
    <w:p>
      <w:pPr>
        <w:pStyle w:val="BodyText"/>
        <w:spacing w:line="362" w:lineRule="auto" w:before="81"/>
        <w:ind w:left="580" w:right="4905" w:hanging="428"/>
        <w:jc w:val="left"/>
      </w:pPr>
      <w:r>
        <w:rPr>
          <w:spacing w:val="-3"/>
        </w:rPr>
        <w:t>的合并及公司财务状况以及 </w:t>
      </w:r>
      <w:r>
        <w:rPr>
          <w:rFonts w:ascii="宋体" w:hAnsi="宋体" w:cs="宋体" w:eastAsia="宋体" w:hint="default"/>
        </w:rPr>
        <w:t>2019 </w:t>
      </w:r>
      <w:r>
        <w:rPr>
          <w:spacing w:val="-3"/>
        </w:rPr>
        <w:t>年度的合并及公司经营成果和现金流量。</w:t>
      </w:r>
      <w:r>
        <w:rPr>
          <w:spacing w:val="-85"/>
        </w:rPr>
        <w:t> </w:t>
      </w:r>
      <w:r>
        <w:rPr>
          <w:spacing w:val="-85"/>
        </w:rPr>
      </w:r>
      <w:r>
        <w:rPr>
          <w:spacing w:val="-3"/>
        </w:rPr>
        <w:t>二、形成审计意见的基础</w:t>
      </w:r>
    </w:p>
    <w:p>
      <w:pPr>
        <w:pStyle w:val="BodyText"/>
        <w:spacing w:line="321" w:lineRule="auto" w:before="18"/>
        <w:ind w:right="1124" w:firstLine="427"/>
        <w:jc w:val="both"/>
      </w:pPr>
      <w:r>
        <w:rPr>
          <w:spacing w:val="-2"/>
        </w:rPr>
        <w:t>我们按照中国注册会计师审计准则的规定执行了审计工作。审计报告的“注册会计师对财务报表审计的责任”部分进</w:t>
      </w:r>
      <w:r>
        <w:rPr>
          <w:w w:val="101"/>
        </w:rPr>
        <w:t> </w:t>
      </w:r>
      <w:r>
        <w:rPr>
          <w:spacing w:val="-4"/>
        </w:rPr>
        <w:t>一步阐述了我们在这些准则下的责任。按照中国注册会计师职业道德守则，我们独立于合纵科技，并履行了职业道德方面的</w:t>
      </w:r>
      <w:r>
        <w:rPr>
          <w:spacing w:val="43"/>
        </w:rPr>
        <w:t> </w:t>
      </w:r>
      <w:r>
        <w:rPr>
          <w:spacing w:val="43"/>
        </w:rPr>
      </w:r>
      <w:r>
        <w:rPr>
          <w:spacing w:val="-3"/>
        </w:rPr>
        <w:t>其他责任。我们相信，我们获取的审计证据是充分、适当的，为发表审计意见提供了基础。</w:t>
      </w:r>
    </w:p>
    <w:p>
      <w:pPr>
        <w:pStyle w:val="BodyText"/>
        <w:spacing w:line="357" w:lineRule="auto" w:before="53"/>
        <w:ind w:left="580" w:right="0"/>
        <w:jc w:val="left"/>
      </w:pPr>
      <w:r>
        <w:rPr/>
        <w:t>三、关键审计事项</w:t>
      </w:r>
      <w:r>
        <w:rPr>
          <w:spacing w:val="-86"/>
        </w:rPr>
        <w:t> </w:t>
      </w:r>
      <w:r>
        <w:rPr>
          <w:spacing w:val="-86"/>
        </w:rPr>
      </w:r>
      <w:r>
        <w:rPr>
          <w:spacing w:val="-2"/>
        </w:rPr>
        <w:t>关键审计事项是我们根据职业判断，认为对本期财务报表审计最为重要的事项。这些事项的应对以对财务报表整体进</w:t>
      </w:r>
    </w:p>
    <w:p>
      <w:pPr>
        <w:pStyle w:val="BodyText"/>
        <w:spacing w:line="224" w:lineRule="exact"/>
        <w:ind w:right="0"/>
        <w:jc w:val="left"/>
      </w:pPr>
      <w:r>
        <w:rPr>
          <w:spacing w:val="-4"/>
        </w:rPr>
        <w:t>行审计并形成审计意见为背景，我们不对这些事项单独发表意见。我们确定下列事项是需要在审计报告中沟通的关键审计事</w:t>
      </w:r>
    </w:p>
    <w:p>
      <w:pPr>
        <w:pStyle w:val="BodyText"/>
        <w:spacing w:line="240" w:lineRule="auto" w:before="81"/>
        <w:ind w:right="0"/>
        <w:jc w:val="left"/>
      </w:pPr>
      <w:r>
        <w:rPr/>
        <w:t>项。</w:t>
      </w:r>
    </w:p>
    <w:p>
      <w:pPr>
        <w:pStyle w:val="BodyText"/>
        <w:spacing w:line="357" w:lineRule="auto" w:before="115"/>
        <w:ind w:left="580" w:right="7684"/>
        <w:jc w:val="left"/>
      </w:pPr>
      <w:r>
        <w:rPr>
          <w:spacing w:val="-2"/>
        </w:rPr>
        <w:t>（一）营业收入的确认</w:t>
      </w:r>
      <w:r>
        <w:rPr>
          <w:spacing w:val="-66"/>
        </w:rPr>
        <w:t> </w:t>
      </w:r>
      <w:r>
        <w:rPr>
          <w:spacing w:val="-66"/>
        </w:rPr>
      </w:r>
      <w:r>
        <w:rPr>
          <w:rFonts w:ascii="宋体" w:hAnsi="宋体" w:cs="宋体" w:eastAsia="宋体" w:hint="default"/>
        </w:rPr>
        <w:t>1.</w:t>
      </w:r>
      <w:r>
        <w:rPr/>
        <w:t>事项描述</w:t>
      </w:r>
    </w:p>
    <w:p>
      <w:pPr>
        <w:pStyle w:val="BodyText"/>
        <w:spacing w:line="352" w:lineRule="auto" w:before="31"/>
        <w:ind w:left="580" w:right="0"/>
        <w:jc w:val="left"/>
      </w:pPr>
      <w:r>
        <w:rPr/>
        <w:t>相关信息披露详见财务报表附注三</w:t>
      </w:r>
      <w:r>
        <w:rPr>
          <w:spacing w:val="-47"/>
        </w:rPr>
        <w:t> </w:t>
      </w:r>
      <w:r>
        <w:rPr>
          <w:rFonts w:ascii="宋体" w:hAnsi="宋体" w:cs="宋体" w:eastAsia="宋体" w:hint="default"/>
        </w:rPr>
        <w:t>27</w:t>
      </w:r>
      <w:r>
        <w:rPr/>
        <w:t>、五</w:t>
      </w:r>
      <w:r>
        <w:rPr>
          <w:spacing w:val="-52"/>
        </w:rPr>
        <w:t> </w:t>
      </w:r>
      <w:r>
        <w:rPr>
          <w:rFonts w:ascii="宋体" w:hAnsi="宋体" w:cs="宋体" w:eastAsia="宋体" w:hint="default"/>
        </w:rPr>
        <w:t>37</w:t>
      </w:r>
      <w:r>
        <w:rPr/>
        <w:t>、十五</w:t>
      </w:r>
      <w:r>
        <w:rPr>
          <w:spacing w:val="-47"/>
        </w:rPr>
        <w:t> </w:t>
      </w:r>
      <w:r>
        <w:rPr>
          <w:rFonts w:ascii="宋体" w:hAnsi="宋体" w:cs="宋体" w:eastAsia="宋体" w:hint="default"/>
        </w:rPr>
        <w:t>4</w:t>
      </w:r>
      <w:r>
        <w:rPr>
          <w:rFonts w:ascii="宋体" w:hAnsi="宋体" w:cs="宋体" w:eastAsia="宋体" w:hint="default"/>
          <w:spacing w:val="-77"/>
        </w:rPr>
        <w:t> </w:t>
      </w:r>
      <w:r>
        <w:rPr>
          <w:spacing w:val="-2"/>
        </w:rPr>
        <w:t>合纵科技营业收入主要是配电及控制设备、钴类产品销售收入，按照公司的收入确认会计政策，主要在产品验收合格</w:t>
      </w:r>
    </w:p>
    <w:p>
      <w:pPr>
        <w:pStyle w:val="BodyText"/>
        <w:spacing w:line="324" w:lineRule="auto"/>
        <w:ind w:right="0"/>
        <w:jc w:val="left"/>
      </w:pPr>
      <w:r>
        <w:rPr>
          <w:spacing w:val="-4"/>
        </w:rPr>
        <w:t>后确认，考虑到营业收入是合纵科技的关键业绩指标之一，且公司配电及控制设备属于定制化生产，产品型号和种类多，销</w:t>
      </w:r>
      <w:r>
        <w:rPr>
          <w:spacing w:val="40"/>
        </w:rPr>
        <w:t> </w:t>
      </w:r>
      <w:r>
        <w:rPr>
          <w:spacing w:val="40"/>
        </w:rPr>
      </w:r>
      <w:r>
        <w:rPr>
          <w:spacing w:val="-3"/>
        </w:rPr>
        <w:t>售量大，营业收入是否计入恰当的会计期间可能存在潜在错报。因此，我们将营业收入的确认作为关键审计事项。</w:t>
      </w:r>
    </w:p>
    <w:p>
      <w:pPr>
        <w:pStyle w:val="BodyText"/>
        <w:spacing w:line="362" w:lineRule="auto" w:before="52"/>
        <w:ind w:left="580" w:right="5655"/>
        <w:jc w:val="left"/>
      </w:pPr>
      <w:r>
        <w:rPr>
          <w:rFonts w:ascii="宋体" w:hAnsi="宋体" w:cs="宋体" w:eastAsia="宋体" w:hint="default"/>
        </w:rPr>
        <w:t>2.</w:t>
      </w:r>
      <w:r>
        <w:rPr/>
        <w:t>审计应对</w:t>
      </w:r>
      <w:r>
        <w:rPr>
          <w:w w:val="101"/>
        </w:rPr>
        <w:t> </w:t>
      </w:r>
      <w:r>
        <w:rPr>
          <w:spacing w:val="-3"/>
        </w:rPr>
        <w:t>我们针对营业收入的确认执行的主要审计程序如下：</w:t>
      </w:r>
    </w:p>
    <w:p>
      <w:pPr>
        <w:pStyle w:val="BodyText"/>
        <w:spacing w:line="240" w:lineRule="auto" w:before="23"/>
        <w:ind w:left="580" w:right="0"/>
        <w:jc w:val="left"/>
      </w:pPr>
      <w:r>
        <w:rPr>
          <w:spacing w:val="-3"/>
        </w:rPr>
        <w:t>（</w:t>
      </w:r>
      <w:r>
        <w:rPr>
          <w:rFonts w:ascii="宋体" w:hAnsi="宋体" w:cs="宋体" w:eastAsia="宋体" w:hint="default"/>
          <w:spacing w:val="-3"/>
        </w:rPr>
        <w:t>1</w:t>
      </w:r>
      <w:r>
        <w:rPr>
          <w:spacing w:val="-3"/>
        </w:rPr>
        <w:t>）对销售与收款循环内部控制进行了解，测试了内部控制设计和执行的有效性；</w:t>
      </w:r>
    </w:p>
    <w:p>
      <w:pPr>
        <w:pStyle w:val="BodyText"/>
        <w:spacing w:line="324" w:lineRule="auto" w:before="110"/>
        <w:ind w:right="0" w:firstLine="427"/>
        <w:jc w:val="left"/>
      </w:pPr>
      <w:r>
        <w:rPr>
          <w:spacing w:val="-4"/>
        </w:rPr>
        <w:t>（</w:t>
      </w:r>
      <w:r>
        <w:rPr>
          <w:rFonts w:ascii="宋体" w:hAnsi="宋体" w:cs="宋体" w:eastAsia="宋体" w:hint="default"/>
          <w:spacing w:val="-4"/>
        </w:rPr>
        <w:t>2</w:t>
      </w:r>
      <w:r>
        <w:rPr>
          <w:spacing w:val="-4"/>
        </w:rPr>
        <w:t>）通过对管理层访谈了解收入确认政策，检查主要客户合同相关条款，并分析评价实际执行的收入确认政策是否适</w:t>
      </w:r>
      <w:r>
        <w:rPr>
          <w:w w:val="101"/>
        </w:rPr>
        <w:t> </w:t>
      </w:r>
      <w:r>
        <w:rPr>
          <w:spacing w:val="-3"/>
        </w:rPr>
        <w:t>当，复核相关会计政策是否一贯地运用；</w:t>
      </w:r>
    </w:p>
    <w:p>
      <w:pPr>
        <w:pStyle w:val="BodyText"/>
        <w:spacing w:line="321" w:lineRule="auto" w:before="51"/>
        <w:ind w:right="1037" w:firstLine="427"/>
        <w:jc w:val="left"/>
      </w:pPr>
      <w:r>
        <w:rPr>
          <w:spacing w:val="-4"/>
        </w:rPr>
        <w:t>（</w:t>
      </w:r>
      <w:r>
        <w:rPr>
          <w:rFonts w:ascii="宋体" w:hAnsi="宋体" w:cs="宋体" w:eastAsia="宋体" w:hint="default"/>
          <w:spacing w:val="-4"/>
        </w:rPr>
        <w:t>3</w:t>
      </w:r>
      <w:r>
        <w:rPr>
          <w:spacing w:val="-4"/>
        </w:rPr>
        <w:t>）对营业收入进行分析：按客户类别和产品类别分别对营业收入、毛利率等进行比较分析；对本期和上期毛利率进</w:t>
      </w:r>
      <w:r>
        <w:rPr>
          <w:w w:val="101"/>
        </w:rPr>
        <w:t> </w:t>
      </w:r>
      <w:r>
        <w:rPr/>
        <w:t>行比较分析；</w:t>
      </w:r>
    </w:p>
    <w:p>
      <w:pPr>
        <w:spacing w:after="0" w:line="321"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580" w:right="0"/>
        <w:jc w:val="left"/>
      </w:pPr>
      <w:r>
        <w:rPr>
          <w:spacing w:val="-3"/>
        </w:rPr>
        <w:t>（</w:t>
      </w:r>
      <w:r>
        <w:rPr>
          <w:rFonts w:ascii="宋体" w:hAnsi="宋体" w:cs="宋体" w:eastAsia="宋体" w:hint="default"/>
          <w:spacing w:val="-3"/>
        </w:rPr>
        <w:t>4</w:t>
      </w:r>
      <w:r>
        <w:rPr>
          <w:spacing w:val="-3"/>
        </w:rPr>
        <w:t>）检查销售订单的执行情况，抽取记账凭证追查至出库单、发票、客户签收等单据，检查收入确认依据是否充分；</w:t>
      </w:r>
    </w:p>
    <w:p>
      <w:pPr>
        <w:pStyle w:val="BodyText"/>
        <w:spacing w:line="240" w:lineRule="auto" w:before="115"/>
        <w:ind w:left="580" w:right="0"/>
        <w:jc w:val="left"/>
      </w:pPr>
      <w:r>
        <w:rPr>
          <w:spacing w:val="-3"/>
        </w:rPr>
        <w:t>（</w:t>
      </w:r>
      <w:r>
        <w:rPr>
          <w:rFonts w:ascii="宋体" w:hAnsi="宋体" w:cs="宋体" w:eastAsia="宋体" w:hint="default"/>
          <w:spacing w:val="-3"/>
        </w:rPr>
        <w:t>5</w:t>
      </w:r>
      <w:r>
        <w:rPr>
          <w:spacing w:val="-3"/>
        </w:rPr>
        <w:t>）选取主要客户实施函证程序，以确认营业收入的真实性；</w:t>
      </w:r>
    </w:p>
    <w:p>
      <w:pPr>
        <w:pStyle w:val="BodyText"/>
        <w:spacing w:line="324" w:lineRule="auto" w:before="115"/>
        <w:ind w:right="0" w:firstLine="427"/>
        <w:jc w:val="left"/>
      </w:pPr>
      <w:r>
        <w:rPr>
          <w:spacing w:val="-4"/>
        </w:rPr>
        <w:t>（</w:t>
      </w:r>
      <w:r>
        <w:rPr>
          <w:rFonts w:ascii="宋体" w:hAnsi="宋体" w:cs="宋体" w:eastAsia="宋体" w:hint="default"/>
          <w:spacing w:val="-4"/>
        </w:rPr>
        <w:t>6</w:t>
      </w:r>
      <w:r>
        <w:rPr>
          <w:spacing w:val="-4"/>
        </w:rPr>
        <w:t>）实施营业收入截止测试程序，抽查资产负债表日前后若干笔记账凭证追查至所附的出库单、客户签收记录等进行</w:t>
      </w:r>
      <w:r>
        <w:rPr>
          <w:w w:val="101"/>
        </w:rPr>
        <w:t> </w:t>
      </w:r>
      <w:r>
        <w:rPr>
          <w:spacing w:val="-3"/>
        </w:rPr>
        <w:t>核对，检查是否处于同一会计期间，以确认营业收入的准确性。</w:t>
      </w:r>
    </w:p>
    <w:p>
      <w:pPr>
        <w:pStyle w:val="BodyText"/>
        <w:spacing w:line="357" w:lineRule="auto" w:before="52"/>
        <w:ind w:left="580" w:right="7684"/>
        <w:jc w:val="left"/>
      </w:pPr>
      <w:r>
        <w:rPr>
          <w:spacing w:val="-3"/>
        </w:rPr>
        <w:t>（二）应收账款坏账准备</w:t>
      </w:r>
      <w:r>
        <w:rPr>
          <w:spacing w:val="-56"/>
        </w:rPr>
        <w:t> </w:t>
      </w:r>
      <w:r>
        <w:rPr>
          <w:spacing w:val="-56"/>
        </w:rPr>
      </w:r>
      <w:r>
        <w:rPr>
          <w:rFonts w:ascii="宋体" w:hAnsi="宋体" w:cs="宋体" w:eastAsia="宋体" w:hint="default"/>
        </w:rPr>
        <w:t>1.</w:t>
      </w:r>
      <w:r>
        <w:rPr/>
        <w:t>事项描述</w:t>
      </w:r>
    </w:p>
    <w:p>
      <w:pPr>
        <w:pStyle w:val="BodyText"/>
        <w:spacing w:line="352" w:lineRule="auto" w:before="31"/>
        <w:ind w:left="580" w:right="0"/>
        <w:jc w:val="left"/>
      </w:pPr>
      <w:r>
        <w:rPr/>
        <w:t>相关信息披露详见财务报表附注三</w:t>
      </w:r>
      <w:r>
        <w:rPr>
          <w:spacing w:val="-47"/>
        </w:rPr>
        <w:t> </w:t>
      </w:r>
      <w:r>
        <w:rPr>
          <w:rFonts w:ascii="宋体" w:hAnsi="宋体" w:cs="宋体" w:eastAsia="宋体" w:hint="default"/>
        </w:rPr>
        <w:t>11</w:t>
      </w:r>
      <w:r>
        <w:rPr/>
        <w:t>、五</w:t>
      </w:r>
      <w:r>
        <w:rPr>
          <w:spacing w:val="-52"/>
        </w:rPr>
        <w:t> </w:t>
      </w:r>
      <w:r>
        <w:rPr>
          <w:rFonts w:ascii="宋体" w:hAnsi="宋体" w:cs="宋体" w:eastAsia="宋体" w:hint="default"/>
        </w:rPr>
        <w:t>4</w:t>
      </w:r>
      <w:r>
        <w:rPr/>
        <w:t>、十五</w:t>
      </w:r>
      <w:r>
        <w:rPr>
          <w:spacing w:val="-47"/>
        </w:rPr>
        <w:t> </w:t>
      </w:r>
      <w:r>
        <w:rPr>
          <w:rFonts w:ascii="宋体" w:hAnsi="宋体" w:cs="宋体" w:eastAsia="宋体" w:hint="default"/>
        </w:rPr>
        <w:t>1</w:t>
      </w:r>
      <w:r>
        <w:rPr>
          <w:rFonts w:ascii="宋体" w:hAnsi="宋体" w:cs="宋体" w:eastAsia="宋体" w:hint="default"/>
          <w:spacing w:val="-78"/>
        </w:rPr>
        <w:t> </w:t>
      </w:r>
      <w:r>
        <w:rPr>
          <w:spacing w:val="-2"/>
        </w:rPr>
        <w:t>合纵科技应收账款占期末总资产的比重较高，管理层在确定应收账款坏账准备时需要考虑的因素包括预期信用损失的</w:t>
      </w:r>
    </w:p>
    <w:p>
      <w:pPr>
        <w:pStyle w:val="BodyText"/>
        <w:spacing w:line="321" w:lineRule="auto"/>
        <w:ind w:right="0"/>
        <w:jc w:val="left"/>
      </w:pPr>
      <w:r>
        <w:rPr>
          <w:spacing w:val="-4"/>
        </w:rPr>
        <w:t>估计、客户的历史回款情况、预期未来可获取的现金流量等，由于确定应收账款坏账准备需要运用重大会计估计和判断，且</w:t>
      </w:r>
      <w:r>
        <w:rPr>
          <w:spacing w:val="40"/>
        </w:rPr>
        <w:t> </w:t>
      </w:r>
      <w:r>
        <w:rPr>
          <w:spacing w:val="40"/>
        </w:rPr>
      </w:r>
      <w:r>
        <w:rPr>
          <w:spacing w:val="-3"/>
        </w:rPr>
        <w:t>影响金额重大，因此，我们将应收账款坏账准备作为关键审计事项。</w:t>
      </w:r>
    </w:p>
    <w:p>
      <w:pPr>
        <w:pStyle w:val="BodyText"/>
        <w:spacing w:line="362" w:lineRule="auto" w:before="53"/>
        <w:ind w:left="580" w:right="5655"/>
        <w:jc w:val="left"/>
      </w:pPr>
      <w:r>
        <w:rPr>
          <w:rFonts w:ascii="宋体" w:hAnsi="宋体" w:cs="宋体" w:eastAsia="宋体" w:hint="default"/>
        </w:rPr>
        <w:t>2.</w:t>
      </w:r>
      <w:r>
        <w:rPr/>
        <w:t>审计应对</w:t>
      </w:r>
      <w:r>
        <w:rPr>
          <w:w w:val="101"/>
        </w:rPr>
        <w:t> </w:t>
      </w:r>
      <w:r>
        <w:rPr>
          <w:spacing w:val="-3"/>
        </w:rPr>
        <w:t>我们就应收账款坏账准备执行的主要审计程序如下：</w:t>
      </w:r>
    </w:p>
    <w:p>
      <w:pPr>
        <w:pStyle w:val="BodyText"/>
        <w:spacing w:line="324" w:lineRule="auto" w:before="18"/>
        <w:ind w:right="0" w:firstLine="427"/>
        <w:jc w:val="left"/>
      </w:pPr>
      <w:r>
        <w:rPr>
          <w:spacing w:val="-4"/>
        </w:rPr>
        <w:t>（</w:t>
      </w:r>
      <w:r>
        <w:rPr>
          <w:rFonts w:ascii="宋体" w:hAnsi="宋体" w:cs="宋体" w:eastAsia="宋体" w:hint="default"/>
          <w:spacing w:val="-4"/>
        </w:rPr>
        <w:t>1</w:t>
      </w:r>
      <w:r>
        <w:rPr>
          <w:spacing w:val="-4"/>
        </w:rPr>
        <w:t>）了解管理层对应收账款坏账准备相关的内部控制，评价相关内部控制的设计，确定其是否得到执行，并测试相关</w:t>
      </w:r>
      <w:r>
        <w:rPr>
          <w:w w:val="101"/>
        </w:rPr>
        <w:t> </w:t>
      </w:r>
      <w:r>
        <w:rPr>
          <w:spacing w:val="-3"/>
        </w:rPr>
        <w:t>内部控制的运行有效性；</w:t>
      </w:r>
    </w:p>
    <w:p>
      <w:pPr>
        <w:pStyle w:val="BodyText"/>
        <w:spacing w:line="240" w:lineRule="auto" w:before="52"/>
        <w:ind w:left="580" w:right="0"/>
        <w:jc w:val="left"/>
      </w:pPr>
      <w:r>
        <w:rPr>
          <w:spacing w:val="-3"/>
        </w:rPr>
        <w:t>（</w:t>
      </w:r>
      <w:r>
        <w:rPr>
          <w:rFonts w:ascii="宋体" w:hAnsi="宋体" w:cs="宋体" w:eastAsia="宋体" w:hint="default"/>
          <w:spacing w:val="-3"/>
        </w:rPr>
        <w:t>2</w:t>
      </w:r>
      <w:r>
        <w:rPr>
          <w:spacing w:val="-3"/>
        </w:rPr>
        <w:t>）结合营业收入实施函证程序，未取得回函的实施详细替代检查程序，以证实应收账款余额的真实性和准确性；</w:t>
      </w:r>
    </w:p>
    <w:p>
      <w:pPr>
        <w:pStyle w:val="BodyText"/>
        <w:spacing w:line="321" w:lineRule="auto" w:before="115"/>
        <w:ind w:right="0" w:firstLine="427"/>
        <w:jc w:val="left"/>
      </w:pPr>
      <w:r>
        <w:rPr>
          <w:spacing w:val="-4"/>
        </w:rPr>
        <w:t>（</w:t>
      </w:r>
      <w:r>
        <w:rPr>
          <w:rFonts w:ascii="宋体" w:hAnsi="宋体" w:cs="宋体" w:eastAsia="宋体" w:hint="default"/>
          <w:spacing w:val="-4"/>
        </w:rPr>
        <w:t>3</w:t>
      </w:r>
      <w:r>
        <w:rPr>
          <w:spacing w:val="-4"/>
        </w:rPr>
        <w:t>）对于单项为基础计提预期信用损失的应收账款，获取管理层对预期收取现金流量估计的依据，评价在预测中使用</w:t>
      </w:r>
      <w:r>
        <w:rPr>
          <w:w w:val="101"/>
        </w:rPr>
        <w:t> </w:t>
      </w:r>
      <w:r>
        <w:rPr>
          <w:spacing w:val="-3"/>
        </w:rPr>
        <w:t>的关键假设的合理性和数据的准确性，并与获取的外部证据进行核对；</w:t>
      </w:r>
    </w:p>
    <w:p>
      <w:pPr>
        <w:pStyle w:val="BodyText"/>
        <w:spacing w:line="324" w:lineRule="auto" w:before="49"/>
        <w:ind w:right="0" w:firstLine="427"/>
        <w:jc w:val="left"/>
      </w:pPr>
      <w:r>
        <w:rPr>
          <w:spacing w:val="-4"/>
        </w:rPr>
        <w:t>（</w:t>
      </w:r>
      <w:r>
        <w:rPr>
          <w:rFonts w:ascii="宋体" w:hAnsi="宋体" w:cs="宋体" w:eastAsia="宋体" w:hint="default"/>
          <w:spacing w:val="-4"/>
        </w:rPr>
        <w:t>4</w:t>
      </w:r>
      <w:r>
        <w:rPr>
          <w:spacing w:val="-4"/>
        </w:rPr>
        <w:t>）对于组合为基础计提预期信用损失的应收账款，评价管理层按信用风险特征划分组合的合理性；评价管理层编制</w:t>
      </w:r>
      <w:r>
        <w:rPr>
          <w:w w:val="101"/>
        </w:rPr>
        <w:t> </w:t>
      </w:r>
      <w:r>
        <w:rPr>
          <w:spacing w:val="-3"/>
        </w:rPr>
        <w:t>的应收账款账龄与预期信用损失率对照表的合理性；对坏账准备进行重新计算，核实计提是否充分；</w:t>
      </w:r>
    </w:p>
    <w:p>
      <w:pPr>
        <w:pStyle w:val="BodyText"/>
        <w:spacing w:line="240" w:lineRule="auto" w:before="52"/>
        <w:ind w:left="580" w:right="0"/>
        <w:jc w:val="left"/>
      </w:pPr>
      <w:r>
        <w:rPr>
          <w:spacing w:val="-3"/>
        </w:rPr>
        <w:t>（</w:t>
      </w:r>
      <w:r>
        <w:rPr>
          <w:rFonts w:ascii="宋体" w:hAnsi="宋体" w:cs="宋体" w:eastAsia="宋体" w:hint="default"/>
          <w:spacing w:val="-3"/>
        </w:rPr>
        <w:t>5</w:t>
      </w:r>
      <w:r>
        <w:rPr>
          <w:spacing w:val="-3"/>
        </w:rPr>
        <w:t>）检查应收账款的期后回款情况，评价管理层计提应收账款坏账准备的合理性；</w:t>
      </w:r>
    </w:p>
    <w:p>
      <w:pPr>
        <w:pStyle w:val="BodyText"/>
        <w:spacing w:line="357" w:lineRule="auto" w:before="119"/>
        <w:ind w:left="580" w:right="2648"/>
        <w:jc w:val="left"/>
      </w:pPr>
      <w:r>
        <w:rPr>
          <w:spacing w:val="-3"/>
        </w:rPr>
        <w:t>（</w:t>
      </w:r>
      <w:r>
        <w:rPr>
          <w:rFonts w:ascii="宋体" w:hAnsi="宋体" w:cs="宋体" w:eastAsia="宋体" w:hint="default"/>
          <w:spacing w:val="-3"/>
        </w:rPr>
        <w:t>6</w:t>
      </w:r>
      <w:r>
        <w:rPr>
          <w:spacing w:val="-3"/>
        </w:rPr>
        <w:t>）检查与应收账款坏账准备相关的信息是否已在财务报表中作出恰当列报和披露。</w:t>
      </w:r>
      <w:r>
        <w:rPr>
          <w:spacing w:val="25"/>
        </w:rPr>
        <w:t> </w:t>
      </w:r>
      <w:r>
        <w:rPr>
          <w:spacing w:val="25"/>
        </w:rPr>
      </w:r>
      <w:r>
        <w:rPr/>
        <w:t>四、其他信息</w:t>
      </w:r>
    </w:p>
    <w:p>
      <w:pPr>
        <w:pStyle w:val="BodyText"/>
        <w:spacing w:line="324" w:lineRule="auto" w:before="22"/>
        <w:ind w:right="1115" w:firstLine="427"/>
        <w:jc w:val="left"/>
      </w:pPr>
      <w:r>
        <w:rPr/>
        <w:t>合纵科技管理层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对其他信息负责。其他信息包括合纵科技 </w:t>
      </w:r>
      <w:r>
        <w:rPr>
          <w:rFonts w:ascii="宋体" w:hAnsi="宋体" w:cs="宋体" w:eastAsia="宋体" w:hint="default"/>
        </w:rPr>
        <w:t>2019</w:t>
      </w:r>
      <w:r>
        <w:rPr>
          <w:rFonts w:ascii="宋体" w:hAnsi="宋体" w:cs="宋体" w:eastAsia="宋体" w:hint="default"/>
          <w:spacing w:val="29"/>
        </w:rPr>
        <w:t> </w:t>
      </w:r>
      <w:r>
        <w:rPr/>
        <w:t>年度报告中涵盖的信息，但不包括</w:t>
      </w:r>
      <w:r>
        <w:rPr>
          <w:w w:val="101"/>
        </w:rPr>
        <w:t> </w:t>
      </w:r>
      <w:r>
        <w:rPr>
          <w:spacing w:val="-3"/>
        </w:rPr>
        <w:t>财务报表和我们的审计报告。</w:t>
      </w:r>
    </w:p>
    <w:p>
      <w:pPr>
        <w:pStyle w:val="BodyText"/>
        <w:spacing w:line="352" w:lineRule="auto" w:before="56"/>
        <w:ind w:left="580" w:right="0"/>
        <w:jc w:val="left"/>
      </w:pPr>
      <w:r>
        <w:rPr>
          <w:spacing w:val="-3"/>
        </w:rPr>
        <w:t>我们对财务报表发表的审计意见不涵盖其他信息，我们也不对其他信息发表任何形式的鉴证结论。</w:t>
      </w:r>
      <w:r>
        <w:rPr>
          <w:spacing w:val="37"/>
        </w:rPr>
        <w:t> </w:t>
      </w:r>
      <w:r>
        <w:rPr>
          <w:spacing w:val="37"/>
        </w:rPr>
      </w:r>
      <w:r>
        <w:rPr>
          <w:spacing w:val="-2"/>
        </w:rPr>
        <w:t>结合我们对财务报表的审计，我们的责任是阅读其他信息，在此过程中，考虑其他信息是否与财务报表或我们在审计</w:t>
      </w:r>
    </w:p>
    <w:p>
      <w:pPr>
        <w:pStyle w:val="BodyText"/>
        <w:spacing w:line="352" w:lineRule="auto"/>
        <w:ind w:left="580" w:right="0" w:hanging="428"/>
        <w:jc w:val="left"/>
      </w:pPr>
      <w:r>
        <w:rPr>
          <w:spacing w:val="-3"/>
        </w:rPr>
        <w:t>过程中了解到的情况存在重大不一致或者似乎存在重大错报。</w:t>
      </w:r>
      <w:r>
        <w:rPr>
          <w:spacing w:val="-10"/>
        </w:rPr>
        <w:t> </w:t>
      </w:r>
      <w:r>
        <w:rPr>
          <w:spacing w:val="-10"/>
        </w:rPr>
      </w:r>
      <w:r>
        <w:rPr>
          <w:spacing w:val="-2"/>
        </w:rPr>
        <w:t>基于我们已执行的工作，如果我们确定其他信息存在重大错报，我们应当报告该事实。在这方面，我们无任何事项需</w:t>
      </w:r>
    </w:p>
    <w:p>
      <w:pPr>
        <w:pStyle w:val="BodyText"/>
        <w:spacing w:line="233" w:lineRule="exact"/>
        <w:ind w:right="0"/>
        <w:jc w:val="left"/>
      </w:pPr>
      <w:r>
        <w:rPr/>
        <w:t>要报告。</w:t>
      </w:r>
    </w:p>
    <w:p>
      <w:pPr>
        <w:pStyle w:val="BodyText"/>
        <w:spacing w:line="352" w:lineRule="auto" w:before="119"/>
        <w:ind w:left="580" w:right="0"/>
        <w:jc w:val="left"/>
      </w:pPr>
      <w:r>
        <w:rPr>
          <w:spacing w:val="-3"/>
        </w:rPr>
        <w:t>五、管理层和治理层对财务报表的责任</w:t>
      </w:r>
      <w:r>
        <w:rPr>
          <w:spacing w:val="-39"/>
        </w:rPr>
        <w:t> </w:t>
      </w:r>
      <w:r>
        <w:rPr>
          <w:spacing w:val="-39"/>
        </w:rPr>
      </w:r>
      <w:r>
        <w:rPr>
          <w:spacing w:val="-2"/>
        </w:rPr>
        <w:t>管理层负责按照企业会计准则的规定编制财务报表，使其实现公允反映，并设计、执行和维护必要的内部控制，以使</w:t>
      </w:r>
    </w:p>
    <w:p>
      <w:pPr>
        <w:pStyle w:val="BodyText"/>
        <w:spacing w:line="352" w:lineRule="auto"/>
        <w:ind w:left="580" w:right="0" w:hanging="428"/>
        <w:jc w:val="left"/>
      </w:pPr>
      <w:r>
        <w:rPr>
          <w:spacing w:val="-3"/>
        </w:rPr>
        <w:t>财务报表不存在由于舞弊或错误导致的重大错报。</w:t>
      </w:r>
      <w:r>
        <w:rPr>
          <w:spacing w:val="-22"/>
        </w:rPr>
        <w:t> </w:t>
      </w:r>
      <w:r>
        <w:rPr>
          <w:spacing w:val="-22"/>
        </w:rPr>
      </w:r>
      <w:r>
        <w:rPr>
          <w:spacing w:val="-6"/>
          <w:w w:val="101"/>
        </w:rPr>
        <w:t>在编制财务报表时，管理层负责评估合纵科技的持续经营能力，披露与持续经营相关的事项（如适用），并运用持续经</w:t>
      </w:r>
      <w:r>
        <w:rPr>
          <w:spacing w:val="-6"/>
        </w:rPr>
      </w:r>
    </w:p>
    <w:p>
      <w:pPr>
        <w:pStyle w:val="BodyText"/>
        <w:spacing w:line="360" w:lineRule="auto"/>
        <w:ind w:left="580" w:right="4202" w:hanging="428"/>
        <w:jc w:val="left"/>
      </w:pPr>
      <w:r>
        <w:rPr>
          <w:spacing w:val="-3"/>
        </w:rPr>
        <w:t>营假设，除非管理层计划清算合纵科技终止运营或别无其他现实的选择。</w:t>
      </w:r>
      <w:r>
        <w:rPr>
          <w:spacing w:val="2"/>
        </w:rPr>
        <w:t> </w:t>
      </w:r>
      <w:r>
        <w:rPr>
          <w:spacing w:val="2"/>
        </w:rPr>
      </w:r>
      <w:r>
        <w:rPr>
          <w:spacing w:val="-3"/>
        </w:rPr>
        <w:t>治理层负责监督合纵科技的财务报告过程。</w:t>
      </w:r>
      <w:r>
        <w:rPr>
          <w:w w:val="101"/>
        </w:rPr>
        <w:t> </w:t>
      </w:r>
      <w:r>
        <w:rPr>
          <w:spacing w:val="-3"/>
        </w:rPr>
        <w:t>六、注册会计师对财务报表审计的责任</w:t>
      </w:r>
    </w:p>
    <w:p>
      <w:pPr>
        <w:pStyle w:val="BodyText"/>
        <w:spacing w:line="319" w:lineRule="auto" w:before="20"/>
        <w:ind w:right="1123" w:firstLine="427"/>
        <w:jc w:val="both"/>
      </w:pPr>
      <w:r>
        <w:rPr>
          <w:spacing w:val="-2"/>
        </w:rPr>
        <w:t>我们的目标是对财务报表整体是否不存在由于舞弊或错误导致的重大错报获取合理保证，并出具包含审计意见的审计</w:t>
      </w:r>
      <w:r>
        <w:rPr>
          <w:w w:val="101"/>
        </w:rPr>
        <w:t> </w:t>
      </w:r>
      <w:r>
        <w:rPr>
          <w:spacing w:val="-4"/>
        </w:rPr>
        <w:t>报告。合理保证是高水平的保证，但并不能保证按照审计准则执行的审计在某一重大错报存在时总能发现。错报可能由于舞</w:t>
      </w:r>
      <w:r>
        <w:rPr>
          <w:spacing w:val="43"/>
        </w:rPr>
        <w:t> </w:t>
      </w:r>
      <w:r>
        <w:rPr>
          <w:spacing w:val="43"/>
        </w:rPr>
      </w:r>
      <w:r>
        <w:rPr>
          <w:spacing w:val="-4"/>
        </w:rPr>
        <w:t>弊或错误导致，如果合理预期错报单独或汇总起来可能影响财务报表使用者依据财务报表作出的经济决策，则通常认为错报</w:t>
      </w:r>
      <w:r>
        <w:rPr>
          <w:spacing w:val="43"/>
        </w:rPr>
        <w:t> </w:t>
      </w:r>
      <w:r>
        <w:rPr>
          <w:spacing w:val="43"/>
        </w:rPr>
      </w:r>
      <w:r>
        <w:rPr/>
        <w:t>是重大的。</w:t>
      </w:r>
    </w:p>
    <w:p>
      <w:pPr>
        <w:pStyle w:val="BodyText"/>
        <w:spacing w:line="240" w:lineRule="auto" w:before="60"/>
        <w:ind w:left="580" w:right="0"/>
        <w:jc w:val="left"/>
      </w:pPr>
      <w:r>
        <w:rPr>
          <w:spacing w:val="-3"/>
        </w:rPr>
        <w:t>在按照审计准则执行审计工作的过程中，我们运用职业判断，并保持职业怀疑。同时，我们也执行以下工作：</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6"/>
        <w:ind w:right="1046" w:firstLine="427"/>
        <w:jc w:val="both"/>
      </w:pPr>
      <w:r>
        <w:rPr>
          <w:spacing w:val="-3"/>
        </w:rPr>
        <w:t>（</w:t>
      </w:r>
      <w:r>
        <w:rPr>
          <w:rFonts w:ascii="宋体" w:hAnsi="宋体" w:cs="宋体" w:eastAsia="宋体" w:hint="default"/>
          <w:spacing w:val="-3"/>
        </w:rPr>
        <w:t>1</w:t>
      </w:r>
      <w:r>
        <w:rPr>
          <w:spacing w:val="-3"/>
        </w:rPr>
        <w:t>）识别和评估由于舞弊或错误导致的财务报表重大错报风险，设计和实施审计程序以应对这些风险，并获取充分、</w:t>
      </w:r>
      <w:r>
        <w:rPr>
          <w:w w:val="101"/>
        </w:rPr>
        <w:t> </w:t>
      </w:r>
      <w:r>
        <w:rPr>
          <w:spacing w:val="-3"/>
        </w:rPr>
        <w:t>适当的审计证据，作为发表审计意见的基础。由于舞弊可能涉及串通、伪造、故意遗漏、虚假陈述或凌驾于内部控制之上，</w:t>
      </w:r>
      <w:r>
        <w:rPr>
          <w:spacing w:val="66"/>
        </w:rPr>
        <w:t> </w:t>
      </w:r>
      <w:r>
        <w:rPr>
          <w:spacing w:val="66"/>
        </w:rPr>
      </w:r>
      <w:r>
        <w:rPr>
          <w:spacing w:val="-3"/>
        </w:rPr>
        <w:t>未能发现由于舞弊导致的重大错报的风险高于未能发现由于错误导致的重大错报的风险。</w:t>
      </w:r>
    </w:p>
    <w:p>
      <w:pPr>
        <w:pStyle w:val="BodyText"/>
        <w:spacing w:line="240" w:lineRule="auto" w:before="56"/>
        <w:ind w:left="580" w:right="0"/>
        <w:jc w:val="left"/>
      </w:pPr>
      <w:r>
        <w:rPr>
          <w:spacing w:val="-3"/>
        </w:rPr>
        <w:t>（</w:t>
      </w:r>
      <w:r>
        <w:rPr>
          <w:rFonts w:ascii="宋体" w:hAnsi="宋体" w:cs="宋体" w:eastAsia="宋体" w:hint="default"/>
          <w:spacing w:val="-3"/>
        </w:rPr>
        <w:t>2</w:t>
      </w:r>
      <w:r>
        <w:rPr>
          <w:spacing w:val="-3"/>
        </w:rPr>
        <w:t>）了解与审计相关的内部控制，以设计恰当的审计程序，但目的并非对内部控制的有效性发表意见。</w:t>
      </w:r>
    </w:p>
    <w:p>
      <w:pPr>
        <w:pStyle w:val="BodyText"/>
        <w:spacing w:line="240" w:lineRule="auto" w:before="119"/>
        <w:ind w:left="580" w:right="0"/>
        <w:jc w:val="left"/>
      </w:pPr>
      <w:r>
        <w:rPr>
          <w:spacing w:val="-3"/>
        </w:rPr>
        <w:t>（</w:t>
      </w:r>
      <w:r>
        <w:rPr>
          <w:rFonts w:ascii="宋体" w:hAnsi="宋体" w:cs="宋体" w:eastAsia="宋体" w:hint="default"/>
          <w:spacing w:val="-3"/>
        </w:rPr>
        <w:t>3</w:t>
      </w:r>
      <w:r>
        <w:rPr>
          <w:spacing w:val="-3"/>
        </w:rPr>
        <w:t>）评价管理层选用会计政策的恰当性和作出会计估计及相关披露的合理性。</w:t>
      </w:r>
    </w:p>
    <w:p>
      <w:pPr>
        <w:pStyle w:val="BodyText"/>
        <w:spacing w:line="319" w:lineRule="auto" w:before="110"/>
        <w:ind w:right="1124" w:firstLine="427"/>
        <w:jc w:val="both"/>
      </w:pPr>
      <w:r>
        <w:rPr>
          <w:spacing w:val="-4"/>
        </w:rPr>
        <w:t>（</w:t>
      </w:r>
      <w:r>
        <w:rPr>
          <w:rFonts w:ascii="宋体" w:hAnsi="宋体" w:cs="宋体" w:eastAsia="宋体" w:hint="default"/>
          <w:spacing w:val="-4"/>
        </w:rPr>
        <w:t>4</w:t>
      </w:r>
      <w:r>
        <w:rPr>
          <w:spacing w:val="-4"/>
        </w:rPr>
        <w:t>）对管理层使用持续经营假设的恰当性得出结论。同时，根据获取的审计证据，就可能导致对合纵科技持续经营能</w:t>
      </w:r>
      <w:r>
        <w:rPr>
          <w:w w:val="101"/>
        </w:rPr>
        <w:t> </w:t>
      </w:r>
      <w:r>
        <w:rPr>
          <w:spacing w:val="-4"/>
        </w:rPr>
        <w:t>力产生重大疑虑的事项或情况是否存在重大不确定性得出结论。如果我们得出结论认为存在重大不确定性，审计准则要求我</w:t>
      </w:r>
      <w:r>
        <w:rPr>
          <w:spacing w:val="39"/>
        </w:rPr>
        <w:t> </w:t>
      </w:r>
      <w:r>
        <w:rPr>
          <w:spacing w:val="39"/>
        </w:rPr>
      </w:r>
      <w:r>
        <w:rPr>
          <w:spacing w:val="-4"/>
        </w:rPr>
        <w:t>们在审计报告中提请报表使用者注意财务报表中的相关披露；如果披露不充分，我们应当发表非无保留意见。我们的结论基</w:t>
      </w:r>
      <w:r>
        <w:rPr>
          <w:spacing w:val="43"/>
        </w:rPr>
        <w:t> </w:t>
      </w:r>
      <w:r>
        <w:rPr>
          <w:spacing w:val="43"/>
        </w:rPr>
      </w:r>
      <w:r>
        <w:rPr>
          <w:spacing w:val="-3"/>
        </w:rPr>
        <w:t>于截至审计报告日可获得的信息。然而，未来的事项或情况可能导致合纵科技不能持续经营。</w:t>
      </w:r>
    </w:p>
    <w:p>
      <w:pPr>
        <w:pStyle w:val="BodyText"/>
        <w:spacing w:line="240" w:lineRule="auto" w:before="55"/>
        <w:ind w:left="580" w:right="0"/>
        <w:jc w:val="left"/>
      </w:pPr>
      <w:r>
        <w:rPr>
          <w:w w:val="101"/>
        </w:rPr>
        <w:t>（</w:t>
      </w:r>
      <w:r>
        <w:rPr>
          <w:rFonts w:ascii="宋体" w:hAnsi="宋体" w:cs="宋体" w:eastAsia="宋体" w:hint="default"/>
          <w:w w:val="101"/>
        </w:rPr>
        <w:t>5</w:t>
      </w:r>
      <w:r>
        <w:rPr>
          <w:spacing w:val="-5"/>
          <w:w w:val="101"/>
        </w:rPr>
        <w:t>）</w:t>
      </w:r>
      <w:r>
        <w:rPr>
          <w:w w:val="101"/>
        </w:rPr>
        <w:t>评</w:t>
      </w:r>
      <w:r>
        <w:rPr>
          <w:spacing w:val="-5"/>
          <w:w w:val="101"/>
        </w:rPr>
        <w:t>价</w:t>
      </w:r>
      <w:r>
        <w:rPr>
          <w:w w:val="101"/>
        </w:rPr>
        <w:t>财</w:t>
      </w:r>
      <w:r>
        <w:rPr>
          <w:spacing w:val="-5"/>
          <w:w w:val="101"/>
        </w:rPr>
        <w:t>务</w:t>
      </w:r>
      <w:r>
        <w:rPr>
          <w:w w:val="101"/>
        </w:rPr>
        <w:t>报</w:t>
      </w:r>
      <w:r>
        <w:rPr>
          <w:spacing w:val="-5"/>
          <w:w w:val="101"/>
        </w:rPr>
        <w:t>表</w:t>
      </w:r>
      <w:r>
        <w:rPr>
          <w:w w:val="101"/>
        </w:rPr>
        <w:t>的</w:t>
      </w:r>
      <w:r>
        <w:rPr>
          <w:spacing w:val="-5"/>
          <w:w w:val="101"/>
        </w:rPr>
        <w:t>总</w:t>
      </w:r>
      <w:r>
        <w:rPr>
          <w:w w:val="101"/>
        </w:rPr>
        <w:t>体</w:t>
      </w:r>
      <w:r>
        <w:rPr>
          <w:spacing w:val="-5"/>
          <w:w w:val="101"/>
        </w:rPr>
        <w:t>列</w:t>
      </w:r>
      <w:r>
        <w:rPr>
          <w:w w:val="101"/>
        </w:rPr>
        <w:t>报</w:t>
      </w:r>
      <w:r>
        <w:rPr>
          <w:spacing w:val="-5"/>
          <w:w w:val="101"/>
        </w:rPr>
        <w:t>（</w:t>
      </w:r>
      <w:r>
        <w:rPr>
          <w:w w:val="101"/>
        </w:rPr>
        <w:t>包</w:t>
      </w:r>
      <w:r>
        <w:rPr>
          <w:spacing w:val="-5"/>
          <w:w w:val="101"/>
        </w:rPr>
        <w:t>括</w:t>
      </w:r>
      <w:r>
        <w:rPr>
          <w:w w:val="101"/>
        </w:rPr>
        <w:t>披</w:t>
      </w:r>
      <w:r>
        <w:rPr>
          <w:spacing w:val="-5"/>
          <w:w w:val="101"/>
        </w:rPr>
        <w:t>露</w:t>
      </w:r>
      <w:r>
        <w:rPr>
          <w:spacing w:val="-92"/>
          <w:w w:val="101"/>
        </w:rPr>
        <w:t>）</w:t>
      </w:r>
      <w:r>
        <w:rPr>
          <w:spacing w:val="-5"/>
          <w:w w:val="101"/>
        </w:rPr>
        <w:t>、</w:t>
      </w:r>
      <w:r>
        <w:rPr>
          <w:w w:val="101"/>
        </w:rPr>
        <w:t>结</w:t>
      </w:r>
      <w:r>
        <w:rPr>
          <w:spacing w:val="-5"/>
          <w:w w:val="101"/>
        </w:rPr>
        <w:t>构</w:t>
      </w:r>
      <w:r>
        <w:rPr>
          <w:w w:val="101"/>
        </w:rPr>
        <w:t>和</w:t>
      </w:r>
      <w:r>
        <w:rPr>
          <w:spacing w:val="-5"/>
          <w:w w:val="101"/>
        </w:rPr>
        <w:t>内</w:t>
      </w:r>
      <w:r>
        <w:rPr>
          <w:w w:val="101"/>
        </w:rPr>
        <w:t>容</w:t>
      </w:r>
      <w:r>
        <w:rPr>
          <w:spacing w:val="-5"/>
          <w:w w:val="101"/>
        </w:rPr>
        <w:t>，并</w:t>
      </w:r>
      <w:r>
        <w:rPr>
          <w:w w:val="101"/>
        </w:rPr>
        <w:t>评</w:t>
      </w:r>
      <w:r>
        <w:rPr>
          <w:spacing w:val="-5"/>
          <w:w w:val="101"/>
        </w:rPr>
        <w:t>价</w:t>
      </w:r>
      <w:r>
        <w:rPr>
          <w:w w:val="101"/>
        </w:rPr>
        <w:t>财</w:t>
      </w:r>
      <w:r>
        <w:rPr>
          <w:spacing w:val="-5"/>
          <w:w w:val="101"/>
        </w:rPr>
        <w:t>务</w:t>
      </w:r>
      <w:r>
        <w:rPr>
          <w:w w:val="101"/>
        </w:rPr>
        <w:t>报</w:t>
      </w:r>
      <w:r>
        <w:rPr>
          <w:spacing w:val="-5"/>
          <w:w w:val="101"/>
        </w:rPr>
        <w:t>表</w:t>
      </w:r>
      <w:r>
        <w:rPr>
          <w:w w:val="101"/>
        </w:rPr>
        <w:t>是</w:t>
      </w:r>
      <w:r>
        <w:rPr>
          <w:spacing w:val="-5"/>
          <w:w w:val="101"/>
        </w:rPr>
        <w:t>否</w:t>
      </w:r>
      <w:r>
        <w:rPr>
          <w:w w:val="101"/>
        </w:rPr>
        <w:t>公</w:t>
      </w:r>
      <w:r>
        <w:rPr>
          <w:spacing w:val="-5"/>
          <w:w w:val="101"/>
        </w:rPr>
        <w:t>允</w:t>
      </w:r>
      <w:r>
        <w:rPr>
          <w:w w:val="101"/>
        </w:rPr>
        <w:t>反</w:t>
      </w:r>
      <w:r>
        <w:rPr>
          <w:spacing w:val="-5"/>
          <w:w w:val="101"/>
        </w:rPr>
        <w:t>映</w:t>
      </w:r>
      <w:r>
        <w:rPr>
          <w:w w:val="101"/>
        </w:rPr>
        <w:t>相</w:t>
      </w:r>
      <w:r>
        <w:rPr>
          <w:spacing w:val="-5"/>
          <w:w w:val="101"/>
        </w:rPr>
        <w:t>关</w:t>
      </w:r>
      <w:r>
        <w:rPr>
          <w:w w:val="101"/>
        </w:rPr>
        <w:t>交</w:t>
      </w:r>
      <w:r>
        <w:rPr>
          <w:spacing w:val="-5"/>
          <w:w w:val="101"/>
        </w:rPr>
        <w:t>易</w:t>
      </w:r>
      <w:r>
        <w:rPr>
          <w:w w:val="101"/>
        </w:rPr>
        <w:t>和</w:t>
      </w:r>
      <w:r>
        <w:rPr>
          <w:spacing w:val="-5"/>
          <w:w w:val="101"/>
        </w:rPr>
        <w:t>事</w:t>
      </w:r>
      <w:r>
        <w:rPr>
          <w:w w:val="101"/>
        </w:rPr>
        <w:t>项。</w:t>
      </w:r>
      <w:r>
        <w:rPr/>
      </w:r>
    </w:p>
    <w:p>
      <w:pPr>
        <w:pStyle w:val="BodyText"/>
        <w:spacing w:line="321" w:lineRule="auto" w:before="115"/>
        <w:ind w:right="1124" w:firstLine="427"/>
        <w:jc w:val="both"/>
      </w:pPr>
      <w:r>
        <w:rPr>
          <w:spacing w:val="-4"/>
        </w:rPr>
        <w:t>（</w:t>
      </w:r>
      <w:r>
        <w:rPr>
          <w:rFonts w:ascii="宋体" w:hAnsi="宋体" w:cs="宋体" w:eastAsia="宋体" w:hint="default"/>
          <w:spacing w:val="-4"/>
        </w:rPr>
        <w:t>6</w:t>
      </w:r>
      <w:r>
        <w:rPr>
          <w:spacing w:val="-4"/>
        </w:rPr>
        <w:t>）就合纵科技中实体或业务活动的财务信息获取充分、适当的审计证据，以对财务报表发表审计意见。我们负责指</w:t>
      </w:r>
      <w:r>
        <w:rPr>
          <w:w w:val="101"/>
        </w:rPr>
        <w:t> </w:t>
      </w:r>
      <w:r>
        <w:rPr>
          <w:spacing w:val="-3"/>
        </w:rPr>
        <w:t>导、监督和执行集团审计，并对审计意见承担全部责任。</w:t>
      </w:r>
    </w:p>
    <w:p>
      <w:pPr>
        <w:pStyle w:val="BodyText"/>
        <w:spacing w:line="324" w:lineRule="auto" w:before="49"/>
        <w:ind w:right="1123" w:firstLine="427"/>
        <w:jc w:val="both"/>
      </w:pPr>
      <w:r>
        <w:rPr>
          <w:spacing w:val="-2"/>
        </w:rPr>
        <w:t>我们与治理层就计划的审计范围、时间安排和重大审计发现等事项进行沟通，包括沟通我们在审计中识别出的值得关</w:t>
      </w:r>
      <w:r>
        <w:rPr>
          <w:w w:val="101"/>
        </w:rPr>
        <w:t> </w:t>
      </w:r>
      <w:r>
        <w:rPr>
          <w:spacing w:val="-3"/>
        </w:rPr>
        <w:t>注的内部控制缺陷。</w:t>
      </w:r>
    </w:p>
    <w:p>
      <w:pPr>
        <w:pStyle w:val="BodyText"/>
        <w:spacing w:line="321" w:lineRule="auto" w:before="47"/>
        <w:ind w:right="1124" w:firstLine="427"/>
        <w:jc w:val="both"/>
      </w:pPr>
      <w:r>
        <w:rPr>
          <w:spacing w:val="-2"/>
        </w:rPr>
        <w:t>我们还就已遵守与独立性相关的职业道德要求向治理层提供声明，并与治理层沟通可能被合理认为影响我们独立性的</w:t>
      </w:r>
      <w:r>
        <w:rPr>
          <w:w w:val="101"/>
        </w:rPr>
        <w:t> </w:t>
      </w:r>
      <w:r>
        <w:rPr>
          <w:spacing w:val="-6"/>
          <w:w w:val="101"/>
        </w:rPr>
        <w:t>所有关系和其他事项，以及相关的防范措施（如适用）。</w:t>
      </w:r>
      <w:r>
        <w:rPr>
          <w:spacing w:val="-6"/>
        </w:rPr>
      </w:r>
    </w:p>
    <w:p>
      <w:pPr>
        <w:pStyle w:val="BodyText"/>
        <w:spacing w:line="321" w:lineRule="auto" w:before="53"/>
        <w:ind w:right="1124" w:firstLine="427"/>
        <w:jc w:val="both"/>
      </w:pPr>
      <w:r>
        <w:rPr>
          <w:spacing w:val="-2"/>
        </w:rPr>
        <w:t>从与治理层沟通过程的事项中，我们确定哪些事项对本期财务报表审计最为重要，因而构成关键审计事项。我们在审</w:t>
      </w:r>
      <w:r>
        <w:rPr>
          <w:w w:val="101"/>
        </w:rPr>
        <w:t> </w:t>
      </w:r>
      <w:r>
        <w:rPr>
          <w:spacing w:val="-4"/>
        </w:rPr>
        <w:t>计报告中描述这些事项，除非法律法规禁止公开披露这些事项，或极少数情形下，我们如果合理预期在审计报告中沟通某事</w:t>
      </w:r>
      <w:r>
        <w:rPr>
          <w:spacing w:val="43"/>
        </w:rPr>
        <w:t> </w:t>
      </w:r>
      <w:r>
        <w:rPr>
          <w:spacing w:val="43"/>
        </w:rPr>
      </w:r>
      <w:r>
        <w:rPr>
          <w:spacing w:val="-3"/>
        </w:rPr>
        <w:t>项造成的负面后果超过在公众利益方面产生的益处，我们确定不应在审计报告中沟通该事项。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6"/>
        <w:ind w:right="0"/>
        <w:jc w:val="left"/>
        <w:rPr>
          <w:b w:val="0"/>
          <w:bCs w:val="0"/>
        </w:rPr>
      </w:pPr>
      <w:bookmarkStart w:name="二、财务报表" w:id="157"/>
      <w:bookmarkEnd w:id="157"/>
      <w:r>
        <w:rPr>
          <w:b w:val="0"/>
          <w:bCs w:val="0"/>
        </w:rPr>
      </w:r>
      <w:r>
        <w:rPr/>
        <w:t>二、财务报表</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spacing w:val="-3"/>
        </w:rPr>
        <w:t>财务附注中报表的单位为：元</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编制单位：北京合纵科技股份有限公司</w:t>
      </w:r>
    </w:p>
    <w:p>
      <w:pPr>
        <w:pStyle w:val="BodyText"/>
        <w:spacing w:line="240" w:lineRule="auto" w:before="115"/>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284"/>
              <w:jc w:val="right"/>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161,104,760.68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302,221,818.23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299"/>
              <w:jc w:val="righ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21,880,877.59</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134,367,876.02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100,328,986.72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1,275,235,940.31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1,222,601,969.89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27,839,926.00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34,540,204.69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208,217,467.30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18,840,024.36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22,957,944.22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673,524,632.04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754,796,963.10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7,493,436.35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87,327,904.29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2,354,827,678.04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2,698,453,053.75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617,521,390.36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488,863,273.83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626,189,690.73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647,397,311.81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293,218,557.03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151,863,447.60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254,755,058.60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204,033,146.41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6,769,387.96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10,388,352.84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405,390,278.37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405,390,278.37</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26,175,807.44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11,545,829.25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19,980,153.31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16,896,061.53</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14,818,176.57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45,586,964.26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2,266,818,500.37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1,981,964,665.90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4,621,646,178.41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4,680,417,719.65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909,492,953.95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1,063,499,715.00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36"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403,494,024.54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271,824,841.66</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1,001,760,930.88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1,128,079,925.75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10,018,727.18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40,182,228.17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28,618,084.16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28,627,024.43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38,668,936.74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32,653,917.46</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110,584,253.80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2"/>
                <w:sz w:val="18"/>
              </w:rPr>
              <w:t>12,051,928.11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1,717,459.45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1,743,648.04</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37,136,356.02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53,067,537.27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2,539,774,267.27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2,629,987,117.85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5,321,373.25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40,676,232.49</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3,618,950.71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66,376,660.73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59,943,701.57</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5,048,168.55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5,611,741.01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76,746,202.53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109,850,625.78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2,616,520,469.80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2,739,837,743.63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832,975,698.00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582,194,642.00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632,987,709.44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819,931,906.32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59,719,704.24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6,727,649.59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-1,546,918.82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58,201,641.99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39,531,522.48</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532,210,224.09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499,879,406.02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2,003,383,218.87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1,939,990,558.00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1,742,489.74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589,418.02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2,005,125,708.61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1,940,579,976.02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4,621,646,178.41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4,680,417,719.65</w:t>
            </w:r>
          </w:p>
        </w:tc>
      </w:tr>
    </w:tbl>
    <w:p>
      <w:pPr>
        <w:spacing w:line="240" w:lineRule="auto" w:before="2"/>
        <w:rPr>
          <w:rFonts w:ascii="Times New Roman" w:hAnsi="Times New Roman" w:cs="Times New Roman" w:eastAsia="Times New Roman" w:hint="default"/>
          <w:sz w:val="23"/>
          <w:szCs w:val="23"/>
        </w:rPr>
      </w:pPr>
    </w:p>
    <w:p>
      <w:pPr>
        <w:pStyle w:val="BodyText"/>
        <w:tabs>
          <w:tab w:pos="3515" w:val="left" w:leader="none"/>
          <w:tab w:pos="7567" w:val="left" w:leader="none"/>
        </w:tabs>
        <w:spacing w:line="240" w:lineRule="auto" w:before="46"/>
        <w:ind w:left="0" w:right="1218"/>
        <w:jc w:val="right"/>
      </w:pPr>
      <w:r>
        <w:rPr>
          <w:spacing w:val="-3"/>
        </w:rPr>
        <w:t>法定代表人：刘泽刚</w:t>
        <w:tab/>
        <w:t>主管会计工作负责人：韦强</w:t>
        <w:tab/>
        <w:t>会计机构负责人：张晓屹</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1"/>
        <w:gridCol w:w="3318"/>
        <w:gridCol w:w="3299"/>
      </w:tblGrid>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138,854,878.24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274,208,837.80</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2"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6,795,076.02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12,104,220.30</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1,002,992,706.94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2"/>
                <w:sz w:val="18"/>
              </w:rPr>
              <w:t>1,043,329,370.88</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10,764,760.00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5,301,964.24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3,747,507.34</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238,589,904.84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367,703,970.06</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183,000,000.00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8,288,301.81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5,949,901.66</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2,449,414.39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57,659,234.24</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1,424,037,006.48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1,764,703,042.28</w:t>
            </w: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1,924,376,038.94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1,607,149,705.61</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35,106,917.65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36,654,552.77</w:t>
            </w:r>
          </w:p>
        </w:tc>
      </w:tr>
      <w:tr>
        <w:trPr>
          <w:trHeight w:val="398"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8"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69,021,435.14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57,936,081.30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6,769,387.96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10,388,352.84</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15,991,904.44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14,861,397.85</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111,500.00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1,249,392.45</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2,051,377,184.13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1,728,239,482.82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3,475,414,190.61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3,492,942,525.10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544,666,800.00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598,484,800.00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37" w:firstLine="360"/>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w:t>
            </w:r>
            <w:r>
              <w:rPr>
                <w:rFonts w:ascii="宋体" w:hAnsi="宋体" w:cs="宋体" w:eastAsia="宋体" w:hint="default"/>
                <w:w w:val="101"/>
                <w:sz w:val="18"/>
                <w:szCs w:val="18"/>
              </w:rPr>
              <w:t> </w:t>
            </w:r>
            <w:r>
              <w:rPr>
                <w:rFonts w:ascii="宋体" w:hAnsi="宋体" w:cs="宋体" w:eastAsia="宋体" w:hint="default"/>
                <w:sz w:val="18"/>
                <w:szCs w:val="18"/>
              </w:rPr>
              <w:t>期损益的金融负债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378,331,276.72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254,759,376.51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643,426,300.44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965,053,314.75</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6,430,987.18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11,821,523.76</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4,185,290.44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6,588,859.07</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2"/>
                <w:sz w:val="18"/>
              </w:rPr>
              <w:t>24,794,115.97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20,394,550.60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69,767,717.65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18,238,704.20</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1,671,602,488.40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1,875,341,128.89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137,557.79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351,307.79</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137,557.79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351,307.79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1,671,740,046.19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1,875,692,436.68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832,975,698.00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582,194,642.00</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0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633,099,386.85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820,043,583.73</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59,719,704.24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5,745,163.45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-1,504,435.41</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58,201,641.99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39,531,522.48</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333,371,958.37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176,984,775.62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1,803,674,144.42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1,617,250,088.42</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3,475,414,190.61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3,492,942,525.10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5" w:type="dxa"/>
        <w:tblLayout w:type="fixed"/>
        <w:tblCellMar>
          <w:top w:w="0" w:type="dxa"/>
          <w:left w:w="0" w:type="dxa"/>
          <w:bottom w:w="0" w:type="dxa"/>
          <w:right w:w="0" w:type="dxa"/>
        </w:tblCellMar>
        <w:tblLook w:val="01E0"/>
      </w:tblPr>
      <w:tblGrid>
        <w:gridCol w:w="3054"/>
        <w:gridCol w:w="3220"/>
        <w:gridCol w:w="3279"/>
      </w:tblGrid>
      <w:tr>
        <w:trPr>
          <w:trHeight w:val="399"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 w:right="0"/>
              <w:jc w:val="left"/>
              <w:rPr>
                <w:rFonts w:ascii="宋体" w:hAnsi="宋体" w:cs="宋体" w:eastAsia="宋体" w:hint="default"/>
                <w:sz w:val="18"/>
                <w:szCs w:val="18"/>
              </w:rPr>
            </w:pPr>
            <w:r>
              <w:rPr>
                <w:rFonts w:ascii="宋体" w:hAnsi="宋体" w:cs="宋体" w:eastAsia="宋体" w:hint="default"/>
                <w:spacing w:val="-3"/>
                <w:sz w:val="18"/>
                <w:szCs w:val="18"/>
              </w:rPr>
              <w:t>一、营业总收入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1,894,304,152.76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2,007,514,867.20</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pacing w:val="-3"/>
                <w:sz w:val="18"/>
                <w:szCs w:val="18"/>
              </w:rPr>
              <w:t>其中：营业收入</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1,894,304,152.76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2,007,514,867.20</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0"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0" w:right="0"/>
              <w:jc w:val="left"/>
              <w:rPr>
                <w:rFonts w:ascii="宋体" w:hAnsi="宋体" w:cs="宋体" w:eastAsia="宋体" w:hint="default"/>
                <w:sz w:val="18"/>
                <w:szCs w:val="18"/>
              </w:rPr>
            </w:pPr>
            <w:r>
              <w:rPr>
                <w:rFonts w:ascii="宋体" w:hAnsi="宋体" w:cs="宋体" w:eastAsia="宋体" w:hint="default"/>
                <w:spacing w:val="-3"/>
                <w:sz w:val="18"/>
                <w:szCs w:val="18"/>
              </w:rPr>
              <w:t>已赚保费</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手续费及佣金收入</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left"/>
              <w:rPr>
                <w:rFonts w:ascii="宋体" w:hAnsi="宋体" w:cs="宋体" w:eastAsia="宋体" w:hint="default"/>
                <w:sz w:val="18"/>
                <w:szCs w:val="18"/>
              </w:rPr>
            </w:pPr>
            <w:r>
              <w:rPr>
                <w:rFonts w:ascii="宋体" w:hAnsi="宋体" w:cs="宋体" w:eastAsia="宋体" w:hint="default"/>
                <w:spacing w:val="-3"/>
                <w:sz w:val="18"/>
                <w:szCs w:val="18"/>
              </w:rPr>
              <w:t>二、营业总成本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1,835,718,104.82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1,943,915,986.97</w:t>
            </w: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67" w:right="0"/>
              <w:jc w:val="left"/>
              <w:rPr>
                <w:rFonts w:ascii="宋体" w:hAnsi="宋体" w:cs="宋体" w:eastAsia="宋体" w:hint="default"/>
                <w:sz w:val="18"/>
                <w:szCs w:val="18"/>
              </w:rPr>
            </w:pPr>
            <w:r>
              <w:rPr>
                <w:rFonts w:ascii="宋体" w:hAnsi="宋体" w:cs="宋体" w:eastAsia="宋体" w:hint="default"/>
                <w:spacing w:val="-3"/>
                <w:sz w:val="18"/>
                <w:szCs w:val="18"/>
              </w:rPr>
              <w:t>其中：营业成本</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1,478,331,829.73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1,580,964,279.15</w:t>
            </w:r>
          </w:p>
        </w:tc>
      </w:tr>
      <w:tr>
        <w:trPr>
          <w:trHeight w:val="399"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0" w:right="0"/>
              <w:jc w:val="left"/>
              <w:rPr>
                <w:rFonts w:ascii="宋体" w:hAnsi="宋体" w:cs="宋体" w:eastAsia="宋体" w:hint="default"/>
                <w:sz w:val="18"/>
                <w:szCs w:val="18"/>
              </w:rPr>
            </w:pPr>
            <w:r>
              <w:rPr>
                <w:rFonts w:ascii="宋体" w:hAnsi="宋体" w:cs="宋体" w:eastAsia="宋体" w:hint="default"/>
                <w:spacing w:val="-3"/>
                <w:sz w:val="18"/>
                <w:szCs w:val="18"/>
              </w:rPr>
              <w:t>利息支出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91"/>
              <w:jc w:val="right"/>
              <w:rPr>
                <w:rFonts w:ascii="宋体" w:hAnsi="宋体" w:cs="宋体" w:eastAsia="宋体" w:hint="default"/>
                <w:sz w:val="18"/>
                <w:szCs w:val="18"/>
              </w:rPr>
            </w:pPr>
            <w:r>
              <w:rPr>
                <w:rFonts w:ascii="宋体" w:hAnsi="宋体" w:cs="宋体" w:eastAsia="宋体" w:hint="default"/>
                <w:spacing w:val="-3"/>
                <w:sz w:val="18"/>
                <w:szCs w:val="18"/>
              </w:rPr>
              <w:t>手续费及佣金支出</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r>
        <w:rPr/>
        <w:pict>
          <v:group style="position:absolute;margin-left:211.029999pt;margin-top:435.839996pt;width:158.950pt;height:20.9pt;mso-position-horizontal-relative:page;mso-position-vertical-relative:page;z-index:-1057408" coordorigin="4221,8717" coordsize="3179,418">
            <v:group style="position:absolute;left:4233;top:8729;width:2;height:394" coordorigin="4233,8729" coordsize="2,394">
              <v:shape style="position:absolute;left:4233;top:8729;width:2;height:394" coordorigin="4233,8729" coordsize="0,394" path="m4233,8729l4233,9122e" filled="false" stroked="true" strokeweight="1.2pt" strokecolor="#ffffff">
                <v:path arrowok="t"/>
              </v:shape>
            </v:group>
            <v:group style="position:absolute;left:4245;top:8729;width:3155;height:394" coordorigin="4245,8729" coordsize="3155,394">
              <v:shape style="position:absolute;left:4245;top:8729;width:3155;height:394" coordorigin="4245,8729" coordsize="3155,394" path="m4245,9122l7400,9122,7400,8729,4245,8729,4245,9122xe" filled="true" fillcolor="#ffffff" stroked="false">
                <v:path arrowok="t"/>
                <v:fill type="solid"/>
              </v:shape>
            </v:group>
            <w10:wrap type="none"/>
          </v:group>
        </w:pict>
      </w:r>
      <w:r>
        <w:rPr/>
        <w:pict>
          <v:group style="position:absolute;margin-left:211.029999pt;margin-top:694.869995pt;width:158.950pt;height:20.9pt;mso-position-horizontal-relative:page;mso-position-vertical-relative:page;z-index:-1057384" coordorigin="4221,13897" coordsize="3179,418">
            <v:group style="position:absolute;left:4233;top:13909;width:2;height:394" coordorigin="4233,13909" coordsize="2,394">
              <v:shape style="position:absolute;left:4233;top:13909;width:2;height:394" coordorigin="4233,13909" coordsize="0,394" path="m4233,13909l4233,14303e" filled="false" stroked="true" strokeweight="1.2pt" strokecolor="#ffffff">
                <v:path arrowok="t"/>
              </v:shape>
            </v:group>
            <v:group style="position:absolute;left:4245;top:13909;width:3155;height:394" coordorigin="4245,13909" coordsize="3155,394">
              <v:shape style="position:absolute;left:4245;top:13909;width:3155;height:394" coordorigin="4245,13909" coordsize="3155,394" path="m4245,14303l7400,14303,7400,13909,4245,13909,4245,14303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3083"/>
        <w:gridCol w:w="1107"/>
        <w:gridCol w:w="2101"/>
        <w:gridCol w:w="3279"/>
      </w:tblGrid>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赔付支出净额</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提取保险责任合同准备金</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26" w:right="0"/>
              <w:jc w:val="left"/>
              <w:rPr>
                <w:rFonts w:ascii="宋体" w:hAnsi="宋体" w:cs="宋体" w:eastAsia="宋体" w:hint="default"/>
                <w:sz w:val="18"/>
                <w:szCs w:val="18"/>
              </w:rPr>
            </w:pPr>
            <w:r>
              <w:rPr>
                <w:rFonts w:ascii="宋体" w:hAnsi="宋体" w:cs="宋体" w:eastAsia="宋体" w:hint="default"/>
                <w:spacing w:val="-3"/>
                <w:sz w:val="18"/>
                <w:szCs w:val="18"/>
              </w:rPr>
              <w:t>保单红利支出</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分保费用</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11,522,716.16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13,086,093.64</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销售费用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5" w:right="0"/>
              <w:jc w:val="left"/>
              <w:rPr>
                <w:rFonts w:ascii="Times New Roman" w:hAnsi="Times New Roman" w:cs="Times New Roman" w:eastAsia="Times New Roman" w:hint="default"/>
                <w:sz w:val="18"/>
                <w:szCs w:val="18"/>
              </w:rPr>
            </w:pPr>
            <w:r>
              <w:rPr>
                <w:rFonts w:ascii="Times New Roman"/>
                <w:sz w:val="18"/>
              </w:rPr>
              <w:t>139,478,340.28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168,594,156.31</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6" w:right="0"/>
              <w:jc w:val="left"/>
              <w:rPr>
                <w:rFonts w:ascii="宋体" w:hAnsi="宋体" w:cs="宋体" w:eastAsia="宋体" w:hint="default"/>
                <w:sz w:val="18"/>
                <w:szCs w:val="18"/>
              </w:rPr>
            </w:pPr>
            <w:r>
              <w:rPr>
                <w:rFonts w:ascii="宋体" w:hAnsi="宋体" w:cs="宋体" w:eastAsia="宋体" w:hint="default"/>
                <w:spacing w:val="-3"/>
                <w:sz w:val="18"/>
                <w:szCs w:val="18"/>
              </w:rPr>
              <w:t>管理费用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060" w:right="0"/>
              <w:jc w:val="left"/>
              <w:rPr>
                <w:rFonts w:ascii="Times New Roman" w:hAnsi="Times New Roman" w:cs="Times New Roman" w:eastAsia="Times New Roman" w:hint="default"/>
                <w:sz w:val="18"/>
                <w:szCs w:val="18"/>
              </w:rPr>
            </w:pPr>
            <w:r>
              <w:rPr>
                <w:rFonts w:ascii="Times New Roman"/>
                <w:spacing w:val="-2"/>
                <w:sz w:val="18"/>
              </w:rPr>
              <w:t>110,131,335.15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97,978,573.65</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研发费用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34,324,047.25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30,355,098.04</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宋体" w:hAnsi="宋体" w:cs="宋体" w:eastAsia="宋体" w:hint="default"/>
                <w:spacing w:val="-3"/>
                <w:sz w:val="18"/>
                <w:szCs w:val="18"/>
              </w:rPr>
              <w:t>财务费用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61,929,836.25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52,937,786.18</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0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56,656,944.08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50,505,671.39</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646" w:right="0"/>
              <w:jc w:val="left"/>
              <w:rPr>
                <w:rFonts w:ascii="宋体" w:hAnsi="宋体" w:cs="宋体" w:eastAsia="宋体" w:hint="default"/>
                <w:sz w:val="18"/>
                <w:szCs w:val="18"/>
              </w:rPr>
            </w:pPr>
            <w:r>
              <w:rPr>
                <w:rFonts w:ascii="宋体" w:hAnsi="宋体" w:cs="宋体" w:eastAsia="宋体" w:hint="default"/>
                <w:spacing w:val="-3"/>
                <w:sz w:val="18"/>
                <w:szCs w:val="18"/>
              </w:rPr>
              <w:t>利息收入</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2,078,280.87</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2,763,900.09</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15,649,748.73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22,404,327.34</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6,288,881.48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2,333,524.14</w:t>
            </w:r>
          </w:p>
        </w:tc>
      </w:tr>
      <w:tr>
        <w:trPr>
          <w:trHeight w:val="711"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7" w:firstLine="720"/>
              <w:jc w:val="left"/>
              <w:rPr>
                <w:rFonts w:ascii="宋体" w:hAnsi="宋体" w:cs="宋体" w:eastAsia="宋体" w:hint="default"/>
                <w:sz w:val="18"/>
                <w:szCs w:val="18"/>
              </w:rPr>
            </w:pPr>
            <w:r>
              <w:rPr>
                <w:rFonts w:ascii="宋体" w:hAnsi="宋体" w:cs="宋体" w:eastAsia="宋体" w:hint="default"/>
                <w:spacing w:val="-5"/>
                <w:sz w:val="18"/>
                <w:szCs w:val="18"/>
              </w:rPr>
              <w:t>其中：对联营企业和合营企业</w:t>
            </w:r>
            <w:r>
              <w:rPr>
                <w:rFonts w:ascii="宋体" w:hAnsi="宋体" w:cs="宋体" w:eastAsia="宋体" w:hint="default"/>
                <w:w w:val="101"/>
                <w:sz w:val="18"/>
                <w:szCs w:val="18"/>
              </w:rPr>
              <w:t> </w:t>
            </w:r>
            <w:r>
              <w:rPr>
                <w:rFonts w:ascii="宋体" w:hAnsi="宋体" w:cs="宋体" w:eastAsia="宋体" w:hint="default"/>
                <w:sz w:val="18"/>
                <w:szCs w:val="18"/>
              </w:rPr>
              <w:t>的投资收益</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3,597,183.35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354,035.15</w:t>
            </w: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61"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汇兑收益（损失以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7" w:firstLine="720"/>
              <w:jc w:val="left"/>
              <w:rPr>
                <w:rFonts w:ascii="宋体" w:hAnsi="宋体" w:cs="宋体" w:eastAsia="宋体" w:hint="default"/>
                <w:sz w:val="18"/>
                <w:szCs w:val="18"/>
              </w:rPr>
            </w:pPr>
            <w:r>
              <w:rPr>
                <w:rFonts w:ascii="宋体" w:hAnsi="宋体" w:cs="宋体" w:eastAsia="宋体" w:hint="default"/>
                <w:spacing w:val="-4"/>
                <w:sz w:val="18"/>
                <w:szCs w:val="18"/>
              </w:rPr>
              <w:t>净敞口套期收益（损失以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w w:val="101"/>
                <w:sz w:val="18"/>
                <w:szCs w:val="18"/>
              </w:rPr>
              <w:t>信</w:t>
            </w:r>
            <w:r>
              <w:rPr>
                <w:rFonts w:ascii="宋体" w:hAnsi="宋体" w:cs="宋体" w:eastAsia="宋体" w:hint="default"/>
                <w:spacing w:val="-5"/>
                <w:w w:val="101"/>
                <w:sz w:val="18"/>
                <w:szCs w:val="18"/>
              </w:rPr>
              <w:t>用</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084" w:right="0"/>
              <w:jc w:val="left"/>
              <w:rPr>
                <w:rFonts w:ascii="Times New Roman" w:hAnsi="Times New Roman" w:cs="Times New Roman" w:eastAsia="Times New Roman" w:hint="default"/>
                <w:sz w:val="18"/>
                <w:szCs w:val="18"/>
              </w:rPr>
            </w:pPr>
            <w:r>
              <w:rPr>
                <w:rFonts w:ascii="Times New Roman"/>
                <w:sz w:val="18"/>
              </w:rPr>
              <w:t>-10,556,818.39</w:t>
            </w: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减</w:t>
            </w:r>
            <w:r>
              <w:rPr>
                <w:rFonts w:ascii="宋体" w:hAnsi="宋体" w:cs="宋体" w:eastAsia="宋体" w:hint="default"/>
                <w:spacing w:val="-5"/>
                <w:w w:val="101"/>
                <w:sz w:val="18"/>
                <w:szCs w:val="18"/>
              </w:rPr>
              <w:t>值</w:t>
            </w:r>
            <w:r>
              <w:rPr>
                <w:rFonts w:ascii="宋体" w:hAnsi="宋体" w:cs="宋体" w:eastAsia="宋体" w:hint="default"/>
                <w:w w:val="101"/>
                <w:sz w:val="18"/>
                <w:szCs w:val="18"/>
              </w:rPr>
              <w:t>损</w:t>
            </w:r>
            <w:r>
              <w:rPr>
                <w:rFonts w:ascii="宋体" w:hAnsi="宋体" w:cs="宋体" w:eastAsia="宋体" w:hint="default"/>
                <w:spacing w:val="-77"/>
                <w:w w:val="101"/>
                <w:sz w:val="18"/>
                <w:szCs w:val="18"/>
              </w:rPr>
              <w:t>失</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-31,785,784.36</w:t>
            </w:r>
          </w:p>
        </w:tc>
      </w:tr>
      <w:tr>
        <w:trPr>
          <w:trHeight w:val="716"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w w:val="101"/>
                <w:sz w:val="18"/>
                <w:szCs w:val="18"/>
              </w:rPr>
              <w:t>资</w:t>
            </w:r>
            <w:r>
              <w:rPr>
                <w:rFonts w:ascii="宋体" w:hAnsi="宋体" w:cs="宋体" w:eastAsia="宋体" w:hint="default"/>
                <w:spacing w:val="-5"/>
                <w:w w:val="101"/>
                <w:sz w:val="18"/>
                <w:szCs w:val="18"/>
              </w:rPr>
              <w:t>产</w:t>
            </w:r>
            <w:r>
              <w:rPr>
                <w:rFonts w:ascii="宋体" w:hAnsi="宋体" w:cs="宋体" w:eastAsia="宋体" w:hint="default"/>
                <w:w w:val="101"/>
                <w:sz w:val="18"/>
                <w:szCs w:val="18"/>
              </w:rPr>
              <w:t>处</w:t>
            </w:r>
            <w:r>
              <w:rPr>
                <w:rFonts w:ascii="宋体" w:hAnsi="宋体" w:cs="宋体" w:eastAsia="宋体" w:hint="default"/>
                <w:spacing w:val="-5"/>
                <w:w w:val="101"/>
                <w:sz w:val="18"/>
                <w:szCs w:val="18"/>
              </w:rPr>
              <w:t>置</w:t>
            </w:r>
            <w:r>
              <w:rPr>
                <w:rFonts w:ascii="宋体" w:hAnsi="宋体" w:cs="宋体" w:eastAsia="宋体" w:hint="default"/>
                <w:w w:val="101"/>
                <w:sz w:val="18"/>
                <w:szCs w:val="18"/>
              </w:rPr>
              <w:t>收</w:t>
            </w:r>
            <w:r>
              <w:rPr>
                <w:rFonts w:ascii="宋体" w:hAnsi="宋体" w:cs="宋体" w:eastAsia="宋体" w:hint="default"/>
                <w:spacing w:val="-77"/>
                <w:w w:val="101"/>
                <w:sz w:val="18"/>
                <w:szCs w:val="18"/>
              </w:rPr>
              <w:t>益</w:t>
            </w:r>
            <w:r>
              <w:rPr>
                <w:rFonts w:ascii="宋体" w:hAnsi="宋体" w:cs="宋体" w:eastAsia="宋体" w:hint="default"/>
                <w:spacing w:val="-5"/>
                <w:w w:val="101"/>
                <w:sz w:val="18"/>
                <w:szCs w:val="18"/>
              </w:rPr>
              <w:t>（</w:t>
            </w:r>
            <w:r>
              <w:rPr>
                <w:rFonts w:ascii="宋体" w:hAnsi="宋体" w:cs="宋体" w:eastAsia="宋体" w:hint="default"/>
                <w:w w:val="101"/>
                <w:sz w:val="18"/>
                <w:szCs w:val="18"/>
              </w:rPr>
              <w:t>损</w:t>
            </w:r>
            <w:r>
              <w:rPr>
                <w:rFonts w:ascii="宋体" w:hAnsi="宋体" w:cs="宋体" w:eastAsia="宋体" w:hint="default"/>
                <w:spacing w:val="-5"/>
                <w:w w:val="101"/>
                <w:sz w:val="18"/>
                <w:szCs w:val="18"/>
              </w:rPr>
              <w:t>失</w:t>
            </w:r>
            <w:r>
              <w:rPr>
                <w:rFonts w:ascii="宋体" w:hAnsi="宋体" w:cs="宋体" w:eastAsia="宋体" w:hint="default"/>
                <w:w w:val="101"/>
                <w:sz w:val="18"/>
                <w:szCs w:val="18"/>
              </w:rPr>
              <w:t>以</w:t>
            </w:r>
            <w:r>
              <w:rPr>
                <w:rFonts w:ascii="Times New Roman" w:hAnsi="Times New Roman" w:cs="Times New Roman" w:eastAsia="Times New Roman" w:hint="default"/>
                <w:w w:val="101"/>
                <w:sz w:val="18"/>
                <w:szCs w:val="18"/>
              </w:rPr>
              <w:t>“</w:t>
            </w:r>
            <w:r>
              <w:rPr>
                <w:rFonts w:ascii="Times New Roman" w:hAnsi="Times New Roman" w:cs="Times New Roman" w:eastAsia="Times New Roman" w:hint="default"/>
                <w:spacing w:val="-4"/>
                <w:w w:val="101"/>
                <w:sz w:val="18"/>
                <w:szCs w:val="18"/>
              </w:rPr>
              <w:t>-</w:t>
            </w:r>
            <w:r>
              <w:rPr>
                <w:rFonts w:ascii="Times New Roman" w:hAnsi="Times New Roman" w:cs="Times New Roman" w:eastAsia="Times New Roman" w:hint="default"/>
                <w:spacing w:val="-5"/>
                <w:w w:val="101"/>
                <w:sz w:val="18"/>
                <w:szCs w:val="18"/>
              </w:rPr>
              <w:t>”</w:t>
            </w:r>
            <w:r>
              <w:rPr>
                <w:rFonts w:ascii="宋体" w:hAnsi="宋体" w:cs="宋体" w:eastAsia="宋体" w:hint="default"/>
                <w:w w:val="101"/>
                <w:sz w:val="18"/>
                <w:szCs w:val="18"/>
              </w:rPr>
              <w:t>号填</w:t>
            </w:r>
            <w:r>
              <w:rPr>
                <w:rFonts w:ascii="宋体" w:hAnsi="宋体" w:cs="宋体" w:eastAsia="宋体"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154,600.95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-156,162.55</w:t>
            </w:r>
          </w:p>
        </w:tc>
      </w:tr>
      <w:tr>
        <w:trPr>
          <w:trHeight w:val="398"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三、营业利润（亏损以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70,122,460.71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56,394,784.80</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225,236.15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9,685,677.43</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5,957.10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226,276.87</w:t>
            </w:r>
          </w:p>
        </w:tc>
      </w:tr>
      <w:tr>
        <w:trPr>
          <w:trHeight w:val="404"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
                <w:sz w:val="18"/>
                <w:szCs w:val="18"/>
              </w:rPr>
              <w:t>四、利润总额（亏损总额以</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w:t>
            </w:r>
            <w:r>
              <w:rPr>
                <w:rFonts w:ascii="宋体" w:hAnsi="宋体" w:cs="宋体" w:eastAsia="宋体" w:hint="default"/>
                <w:spacing w:val="-9"/>
                <w:sz w:val="18"/>
                <w:szCs w:val="18"/>
              </w:rPr>
              <w:t>号填列</w:t>
            </w:r>
          </w:p>
        </w:tc>
        <w:tc>
          <w:tcPr>
            <w:tcW w:w="110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20"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10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6"/>
              <w:ind w:left="1039" w:right="0"/>
              <w:jc w:val="left"/>
              <w:rPr>
                <w:rFonts w:ascii="Times New Roman" w:hAnsi="Times New Roman" w:cs="Times New Roman" w:eastAsia="Times New Roman" w:hint="default"/>
                <w:sz w:val="18"/>
                <w:szCs w:val="18"/>
              </w:rPr>
            </w:pPr>
            <w:r>
              <w:rPr>
                <w:rFonts w:ascii="Times New Roman"/>
                <w:sz w:val="18"/>
              </w:rPr>
              <w:t>70,341,739.76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65,854,185.36</w:t>
            </w:r>
          </w:p>
        </w:tc>
      </w:tr>
      <w:tr>
        <w:trPr>
          <w:trHeight w:val="399"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8,148,618.66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15,604,558.67</w:t>
            </w:r>
          </w:p>
        </w:tc>
      </w:tr>
      <w:tr>
        <w:trPr>
          <w:trHeight w:val="403" w:hRule="exact"/>
        </w:trPr>
        <w:tc>
          <w:tcPr>
            <w:tcW w:w="30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五、净利润（净亏损以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2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62,193,121.10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50,249,626.69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（一）按经营持续性分类</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持续经营净利润（净亏损以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62,193,121.10</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50,249,626.69</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终止经营净利润（净亏损以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（二）按所有权归属分类</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归属于母公司所有者的净利润</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62,644,830.42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51,043,523.98</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少数股东损益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-451,709.32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-793,897.29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六、其他综合收益的税后净额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8,846,439.25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-1,587,736.22</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归属母公司所有者的其他综合收益</w:t>
            </w:r>
            <w:r>
              <w:rPr>
                <w:rFonts w:ascii="宋体" w:hAnsi="宋体" w:cs="宋体" w:eastAsia="宋体" w:hint="default"/>
                <w:w w:val="101"/>
                <w:sz w:val="18"/>
                <w:szCs w:val="18"/>
              </w:rPr>
              <w:t> </w:t>
            </w:r>
            <w:r>
              <w:rPr>
                <w:rFonts w:ascii="宋体" w:hAnsi="宋体" w:cs="宋体" w:eastAsia="宋体" w:hint="default"/>
                <w:sz w:val="18"/>
                <w:szCs w:val="18"/>
              </w:rPr>
              <w:t>的税后净额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8,274,568.41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-1,546,918.82</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（一）不能重分类进损益的其他综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重新计量设定受益计划变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权益法下不能转损益的其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其他权益工具投资公允价</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企业自身信用风险公允价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 w:firstLine="345"/>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w w:val="101"/>
                <w:sz w:val="18"/>
                <w:szCs w:val="18"/>
              </w:rPr>
              <w:t> </w:t>
            </w:r>
            <w:r>
              <w:rPr>
                <w:rFonts w:ascii="宋体" w:hAnsi="宋体" w:cs="宋体" w:eastAsia="宋体" w:hint="default"/>
                <w:sz w:val="18"/>
                <w:szCs w:val="18"/>
              </w:rPr>
              <w:t>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8,274,568.41</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-1,546,918.82</w:t>
            </w: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权益法下可转损益的其他</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7,249,598.86</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-1,504,435.41</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其他债权投资公允价值变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动</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金融资产重分类计入其他</w:t>
            </w:r>
            <w:r>
              <w:rPr>
                <w:rFonts w:ascii="宋体" w:hAnsi="宋体" w:cs="宋体" w:eastAsia="宋体" w:hint="default"/>
                <w:w w:val="101"/>
                <w:sz w:val="18"/>
                <w:szCs w:val="18"/>
              </w:rPr>
              <w:t> </w:t>
            </w:r>
            <w:r>
              <w:rPr>
                <w:rFonts w:ascii="宋体" w:hAnsi="宋体" w:cs="宋体" w:eastAsia="宋体" w:hint="default"/>
                <w:spacing w:val="-3"/>
                <w:sz w:val="18"/>
                <w:szCs w:val="18"/>
              </w:rPr>
              <w:t>综合收益的金额</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4" w:firstLine="902"/>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持有至到期投资重分类为</w:t>
            </w:r>
            <w:r>
              <w:rPr>
                <w:rFonts w:ascii="宋体" w:hAnsi="宋体" w:cs="宋体" w:eastAsia="宋体" w:hint="default"/>
                <w:w w:val="101"/>
                <w:sz w:val="18"/>
                <w:szCs w:val="18"/>
              </w:rPr>
              <w:t> </w:t>
            </w:r>
            <w:r>
              <w:rPr>
                <w:rFonts w:ascii="宋体" w:hAnsi="宋体" w:cs="宋体" w:eastAsia="宋体" w:hint="default"/>
                <w:sz w:val="18"/>
                <w:szCs w:val="18"/>
              </w:rPr>
              <w:t>可供出售金融资产损益</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6.</w:t>
            </w:r>
            <w:r>
              <w:rPr>
                <w:rFonts w:ascii="宋体" w:hAnsi="宋体" w:cs="宋体" w:eastAsia="宋体" w:hint="default"/>
                <w:spacing w:val="-3"/>
                <w:sz w:val="18"/>
                <w:szCs w:val="18"/>
              </w:rPr>
              <w:t>其他债权投资信用减值准</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备</w:t>
            </w:r>
            <w:r>
              <w:rPr>
                <w:rFonts w:ascii="宋体" w:hAnsi="宋体" w:cs="宋体" w:eastAsia="宋体" w:hint="default"/>
                <w:sz w:val="18"/>
                <w:szCs w:val="18"/>
              </w:rPr>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92"/>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外币财务报表折算差额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1,024,969.55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-42,483.41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59"/>
        <w:gridCol w:w="3220"/>
        <w:gridCol w:w="3279"/>
      </w:tblGrid>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0" w:type="dxa"/>
            <w:tcBorders>
              <w:top w:val="single" w:sz="4" w:space="0" w:color="000000"/>
              <w:left w:val="single" w:sz="13" w:space="0" w:color="D2D2D2"/>
              <w:bottom w:val="single" w:sz="4" w:space="0" w:color="000000"/>
              <w:right w:val="single" w:sz="4" w:space="0" w:color="000000"/>
            </w:tcBorders>
          </w:tcPr>
          <w:p>
            <w:pPr/>
          </w:p>
        </w:tc>
        <w:tc>
          <w:tcPr>
            <w:tcW w:w="327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49" w:firstLine="182"/>
              <w:jc w:val="left"/>
              <w:rPr>
                <w:rFonts w:ascii="宋体" w:hAnsi="宋体" w:cs="宋体" w:eastAsia="宋体" w:hint="default"/>
                <w:sz w:val="18"/>
                <w:szCs w:val="18"/>
              </w:rPr>
            </w:pPr>
            <w:r>
              <w:rPr>
                <w:rFonts w:ascii="宋体" w:hAnsi="宋体" w:cs="宋体" w:eastAsia="宋体" w:hint="default"/>
                <w:spacing w:val="-3"/>
                <w:sz w:val="18"/>
                <w:szCs w:val="18"/>
              </w:rPr>
              <w:t>归属于少数股东的其他综合收益的</w:t>
            </w:r>
            <w:r>
              <w:rPr>
                <w:rFonts w:ascii="宋体" w:hAnsi="宋体" w:cs="宋体" w:eastAsia="宋体" w:hint="default"/>
                <w:w w:val="101"/>
                <w:sz w:val="18"/>
                <w:szCs w:val="18"/>
              </w:rPr>
              <w:t> </w:t>
            </w:r>
            <w:r>
              <w:rPr>
                <w:rFonts w:ascii="宋体" w:hAnsi="宋体" w:cs="宋体" w:eastAsia="宋体" w:hint="default"/>
                <w:sz w:val="18"/>
                <w:szCs w:val="18"/>
              </w:rPr>
              <w:t>税后净额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571,870.84</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-40,817.40</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71,039,560.35</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48,661,890.47</w:t>
            </w:r>
          </w:p>
        </w:tc>
      </w:tr>
      <w:tr>
        <w:trPr>
          <w:trHeight w:val="715"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49" w:firstLine="360"/>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归属于母公司所有者的综合收益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70,919,398.83</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49,496,605.16</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归属于少数股东的综合收益总额</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120,161.52</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-834,714.69</w:t>
            </w:r>
          </w:p>
        </w:tc>
      </w:tr>
      <w:tr>
        <w:trPr>
          <w:trHeight w:val="399"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八、每股收益：</w:t>
            </w:r>
          </w:p>
        </w:tc>
        <w:tc>
          <w:tcPr>
            <w:tcW w:w="32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z w:val="18"/>
              </w:rPr>
              <w:t>0.08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0.09</w:t>
            </w:r>
          </w:p>
        </w:tc>
      </w:tr>
      <w:tr>
        <w:trPr>
          <w:trHeight w:val="403"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2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0.08</w:t>
            </w:r>
          </w:p>
        </w:tc>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0.09</w:t>
            </w:r>
          </w:p>
        </w:tc>
      </w:tr>
    </w:tbl>
    <w:p>
      <w:pPr>
        <w:spacing w:line="240" w:lineRule="auto" w:before="2"/>
        <w:rPr>
          <w:rFonts w:ascii="Times New Roman" w:hAnsi="Times New Roman" w:cs="Times New Roman" w:eastAsia="Times New Roman" w:hint="default"/>
          <w:sz w:val="23"/>
          <w:szCs w:val="23"/>
        </w:rPr>
      </w:pPr>
    </w:p>
    <w:p>
      <w:pPr>
        <w:pStyle w:val="BodyText"/>
        <w:tabs>
          <w:tab w:pos="3515" w:val="left" w:leader="none"/>
          <w:tab w:pos="7567" w:val="left" w:leader="none"/>
        </w:tabs>
        <w:spacing w:line="240" w:lineRule="auto" w:before="46"/>
        <w:ind w:left="0" w:right="1218"/>
        <w:jc w:val="right"/>
      </w:pPr>
      <w:r>
        <w:rPr>
          <w:spacing w:val="-3"/>
        </w:rPr>
        <w:t>法定代表人：刘泽刚</w:t>
        <w:tab/>
        <w:t>主管会计工作负责人：韦强</w:t>
        <w:tab/>
        <w:t>会计机构负责人：张晓屹</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1,089,499,661.15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1,523,553,370.14</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901,329,040.78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1,333,591,827.88</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4,738,072.92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4,962,951.02</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99,868,300.76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119,638,718.40</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36,779,641.18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43,358,891.22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12,977,028.69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1,879,732.21</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31,067,783.20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29,509,942.83</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宋体" w:hAnsi="宋体" w:cs="宋体" w:eastAsia="宋体" w:hint="default"/>
                <w:spacing w:val="-3"/>
                <w:sz w:val="18"/>
                <w:szCs w:val="18"/>
              </w:rPr>
              <w:t>其中：利息费用</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28,020,537.75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26,482,001.69</w:t>
            </w: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45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1,799,116.31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2,379,470.52</w:t>
            </w: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275,650.00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213,750.00</w:t>
            </w: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189,097,688.21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43,825,711.45</w:t>
            </w:r>
          </w:p>
        </w:tc>
      </w:tr>
      <w:tr>
        <w:trPr>
          <w:trHeight w:val="716"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w:t>
            </w:r>
            <w:r>
              <w:rPr>
                <w:rFonts w:ascii="宋体" w:hAnsi="宋体" w:cs="宋体" w:eastAsia="宋体" w:hint="default"/>
                <w:w w:val="101"/>
                <w:sz w:val="18"/>
                <w:szCs w:val="18"/>
              </w:rPr>
              <w:t> </w:t>
            </w:r>
            <w:r>
              <w:rPr>
                <w:rFonts w:ascii="宋体" w:hAnsi="宋体" w:cs="宋体" w:eastAsia="宋体" w:hint="default"/>
                <w:sz w:val="18"/>
                <w:szCs w:val="18"/>
              </w:rPr>
              <w:t>业的投资收益</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3,597,183.35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354,035.15</w:t>
            </w:r>
          </w:p>
        </w:tc>
      </w:tr>
      <w:tr>
        <w:trPr>
          <w:trHeight w:val="1027"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36" w:firstLine="1080"/>
              <w:jc w:val="left"/>
              <w:rPr>
                <w:rFonts w:ascii="宋体" w:hAnsi="宋体" w:cs="宋体" w:eastAsia="宋体" w:hint="default"/>
                <w:sz w:val="18"/>
                <w:szCs w:val="18"/>
              </w:rPr>
            </w:pPr>
            <w:r>
              <w:rPr>
                <w:rFonts w:ascii="宋体" w:hAnsi="宋体" w:cs="宋体" w:eastAsia="宋体" w:hint="default"/>
                <w:spacing w:val="-2"/>
                <w:sz w:val="18"/>
                <w:szCs w:val="18"/>
              </w:rPr>
              <w:t>以摊余成本计量的金融</w:t>
            </w:r>
            <w:r>
              <w:rPr>
                <w:rFonts w:ascii="宋体" w:hAnsi="宋体" w:cs="宋体" w:eastAsia="宋体" w:hint="default"/>
                <w:w w:val="101"/>
                <w:sz w:val="18"/>
                <w:szCs w:val="18"/>
              </w:rPr>
              <w:t> </w:t>
            </w:r>
            <w:r>
              <w:rPr>
                <w:rFonts w:ascii="宋体" w:hAnsi="宋体" w:cs="宋体" w:eastAsia="宋体" w:hint="default"/>
                <w:sz w:val="18"/>
                <w:szCs w:val="18"/>
              </w:rPr>
              <w:t>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8"/>
                <w:sz w:val="18"/>
                <w:szCs w:val="18"/>
              </w:rPr>
              <w:t> </w:t>
            </w:r>
            <w:r>
              <w:rPr>
                <w:rFonts w:ascii="宋体" w:hAnsi="宋体" w:cs="宋体" w:eastAsia="宋体" w:hint="default"/>
                <w:sz w:val="18"/>
                <w:szCs w:val="18"/>
              </w:rPr>
              <w:t>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净敞口套期收益（损失以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731" w:right="0"/>
              <w:jc w:val="left"/>
              <w:rPr>
                <w:rFonts w:ascii="宋体" w:hAnsi="宋体" w:cs="宋体" w:eastAsia="宋体" w:hint="default"/>
                <w:sz w:val="18"/>
                <w:szCs w:val="18"/>
              </w:rPr>
            </w:pPr>
            <w:r>
              <w:rPr>
                <w:rFonts w:ascii="宋体" w:hAnsi="宋体" w:cs="宋体" w:eastAsia="宋体" w:hint="default"/>
                <w:spacing w:val="-3"/>
                <w:sz w:val="18"/>
                <w:szCs w:val="18"/>
              </w:rPr>
              <w:t>公允价值变动收益（损失以</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36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信用减值损失（损失以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-4,918,303.50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资产减值损失（损失以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-10,443,131.01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60,699.90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96,221.48</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二、营业利润（亏损以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187,255,528.23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24,303,858.50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加：营业外收入</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120,000.65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2,206,031.90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pacing w:val="-3"/>
                <w:sz w:val="18"/>
                <w:szCs w:val="18"/>
              </w:rPr>
              <w:t>减：营业外支出</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10,265.18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65"/>
              <w:jc w:val="left"/>
              <w:rPr>
                <w:rFonts w:ascii="宋体" w:hAnsi="宋体" w:cs="宋体" w:eastAsia="宋体" w:hint="default"/>
                <w:sz w:val="18"/>
                <w:szCs w:val="18"/>
              </w:rPr>
            </w:pPr>
            <w:r>
              <w:rPr>
                <w:rFonts w:ascii="宋体" w:hAnsi="宋体" w:cs="宋体" w:eastAsia="宋体" w:hint="default"/>
                <w:spacing w:val="-3"/>
                <w:sz w:val="18"/>
                <w:szCs w:val="18"/>
              </w:rPr>
              <w:t>三、利润总额（亏损总额以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r>
              <w:rPr>
                <w:rFonts w:ascii="宋体" w:hAnsi="宋体" w:cs="宋体" w:eastAsia="宋体" w:hint="default"/>
                <w:spacing w:val="-36"/>
                <w:sz w:val="18"/>
                <w:szCs w:val="18"/>
              </w:rPr>
              <w:t> </w:t>
            </w:r>
            <w:r>
              <w:rPr>
                <w:rFonts w:ascii="宋体" w:hAnsi="宋体" w:cs="宋体" w:eastAsia="宋体" w:hint="default"/>
                <w:sz w:val="18"/>
                <w:szCs w:val="18"/>
              </w:rPr>
              <w:t>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187,375,528.88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26,499,625.22</w:t>
            </w: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84" w:right="0"/>
              <w:jc w:val="left"/>
              <w:rPr>
                <w:rFonts w:ascii="宋体" w:hAnsi="宋体" w:cs="宋体" w:eastAsia="宋体" w:hint="default"/>
                <w:sz w:val="18"/>
                <w:szCs w:val="18"/>
              </w:rPr>
            </w:pPr>
            <w:r>
              <w:rPr>
                <w:rFonts w:ascii="宋体" w:hAnsi="宋体" w:cs="宋体" w:eastAsia="宋体" w:hint="default"/>
                <w:spacing w:val="-3"/>
                <w:sz w:val="18"/>
                <w:szCs w:val="18"/>
              </w:rPr>
              <w:t>减：所得税费用</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674,333.78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1,391,854.64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四、净利润（净亏损以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186,701,195.10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25,107,770.58</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（一）持续经营净利润（净亏损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186,701,195.10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25,107,770.58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（二）终止经营净利润（净亏损</w:t>
            </w:r>
            <w:r>
              <w:rPr>
                <w:rFonts w:ascii="宋体" w:hAnsi="宋体" w:cs="宋体" w:eastAsia="宋体" w:hint="default"/>
                <w:w w:val="101"/>
                <w:sz w:val="18"/>
                <w:szCs w:val="18"/>
              </w:rPr>
              <w:t> </w:t>
            </w: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五、其他综合收益的税后净额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7,249,598.86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-1,504,435.41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（一）不能重分类进损益的其他</w:t>
            </w:r>
            <w:r>
              <w:rPr>
                <w:rFonts w:ascii="宋体" w:hAnsi="宋体" w:cs="宋体" w:eastAsia="宋体" w:hint="default"/>
                <w:w w:val="101"/>
                <w:sz w:val="18"/>
                <w:szCs w:val="18"/>
              </w:rPr>
              <w:t> </w:t>
            </w:r>
            <w:r>
              <w:rPr>
                <w:rFonts w:ascii="宋体" w:hAnsi="宋体" w:cs="宋体" w:eastAsia="宋体" w:hint="default"/>
                <w:sz w:val="18"/>
                <w:szCs w:val="18"/>
              </w:rPr>
              <w:t>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权益法下不能转损益的</w:t>
            </w:r>
            <w:r>
              <w:rPr>
                <w:rFonts w:ascii="宋体" w:hAnsi="宋体" w:cs="宋体" w:eastAsia="宋体" w:hint="default"/>
                <w:w w:val="101"/>
                <w:sz w:val="18"/>
                <w:szCs w:val="18"/>
              </w:rPr>
              <w:t> </w:t>
            </w:r>
            <w:r>
              <w:rPr>
                <w:rFonts w:ascii="宋体" w:hAnsi="宋体" w:cs="宋体" w:eastAsia="宋体" w:hint="default"/>
                <w:sz w:val="18"/>
                <w:szCs w:val="18"/>
              </w:rPr>
              <w:t>其他综合收益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（二）将重分类进损益的其他综</w:t>
            </w:r>
            <w:r>
              <w:rPr>
                <w:rFonts w:ascii="宋体" w:hAnsi="宋体" w:cs="宋体" w:eastAsia="宋体" w:hint="default"/>
                <w:w w:val="101"/>
                <w:sz w:val="18"/>
                <w:szCs w:val="18"/>
              </w:rPr>
              <w:t> </w:t>
            </w:r>
            <w:r>
              <w:rPr>
                <w:rFonts w:ascii="宋体" w:hAnsi="宋体" w:cs="宋体" w:eastAsia="宋体" w:hint="default"/>
                <w:sz w:val="18"/>
                <w:szCs w:val="18"/>
              </w:rPr>
              <w:t>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7,249,598.86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-1,504,435.41</w:t>
            </w:r>
          </w:p>
        </w:tc>
      </w:tr>
      <w:tr>
        <w:trPr>
          <w:trHeight w:val="710"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7,249,598.86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-1,504,435.41</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可供出售金融资产公允</w:t>
            </w:r>
            <w:r>
              <w:rPr>
                <w:rFonts w:ascii="宋体" w:hAnsi="宋体" w:cs="宋体" w:eastAsia="宋体" w:hint="default"/>
                <w:w w:val="101"/>
                <w:sz w:val="18"/>
                <w:szCs w:val="18"/>
              </w:rPr>
              <w:t> </w:t>
            </w:r>
            <w:r>
              <w:rPr>
                <w:rFonts w:ascii="宋体" w:hAnsi="宋体" w:cs="宋体" w:eastAsia="宋体" w:hint="default"/>
                <w:sz w:val="18"/>
                <w:szCs w:val="18"/>
              </w:rPr>
              <w:t>价值变动损益</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6"/>
        <w:gridCol w:w="3313"/>
        <w:gridCol w:w="3299"/>
      </w:tblGrid>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金融资产重分类计入其</w:t>
            </w:r>
            <w:r>
              <w:rPr>
                <w:rFonts w:ascii="宋体" w:hAnsi="宋体" w:cs="宋体" w:eastAsia="宋体" w:hint="default"/>
                <w:w w:val="101"/>
                <w:sz w:val="18"/>
                <w:szCs w:val="18"/>
              </w:rPr>
              <w:t> </w:t>
            </w:r>
            <w:r>
              <w:rPr>
                <w:rFonts w:ascii="宋体" w:hAnsi="宋体" w:cs="宋体" w:eastAsia="宋体" w:hint="default"/>
                <w:sz w:val="18"/>
                <w:szCs w:val="18"/>
              </w:rPr>
              <w:t>他综合收益的金额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79" w:firstLine="902"/>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持有至到期投资重分类</w:t>
            </w:r>
            <w:r>
              <w:rPr>
                <w:rFonts w:ascii="宋体" w:hAnsi="宋体" w:cs="宋体" w:eastAsia="宋体" w:hint="default"/>
                <w:w w:val="101"/>
                <w:sz w:val="18"/>
                <w:szCs w:val="18"/>
              </w:rPr>
              <w:t> </w:t>
            </w:r>
            <w:r>
              <w:rPr>
                <w:rFonts w:ascii="宋体" w:hAnsi="宋体" w:cs="宋体" w:eastAsia="宋体" w:hint="default"/>
                <w:spacing w:val="-3"/>
                <w:sz w:val="18"/>
                <w:szCs w:val="18"/>
              </w:rPr>
              <w:t>为可供出售金融资产损益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3"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2151" w:right="0"/>
              <w:jc w:val="left"/>
              <w:rPr>
                <w:rFonts w:ascii="Times New Roman" w:hAnsi="Times New Roman" w:cs="Times New Roman" w:eastAsia="Times New Roman" w:hint="default"/>
                <w:sz w:val="18"/>
                <w:szCs w:val="18"/>
              </w:rPr>
            </w:pPr>
            <w:r>
              <w:rPr>
                <w:rFonts w:ascii="Times New Roman"/>
                <w:sz w:val="18"/>
              </w:rPr>
              <w:t>193,950,793.96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23,603,335.17</w:t>
            </w: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七、每股收益：</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（一）基本每股收益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（二）稀释每股收益</w:t>
            </w:r>
          </w:p>
        </w:tc>
        <w:tc>
          <w:tcPr>
            <w:tcW w:w="3313" w:type="dxa"/>
            <w:tcBorders>
              <w:top w:val="single" w:sz="4" w:space="0" w:color="000000"/>
              <w:left w:val="single" w:sz="8"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1,578,354,482.79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1,927,804,968.34</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客户存款和同业存放款项净增加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收到原保险合同保费取得的现金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保户储金及投资款净增加额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收取利息、手续费及佣金的现金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代理买卖证券收到的现金净额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4,617,081.57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43,180,095.01</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97,836,504.45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98,835,838.07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1,680,808,068.81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2,069,820,901.42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1,000,283,572.06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1,758,160,101.83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客户贷款及垫款净增加额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支付原保险合同赔付款项的现金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支付利息、手续费及佣金的现金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支付保单红利的现金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212,295,480.36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207,735,178.91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52,546,491.52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103,828,271.97</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206,792,793.35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181,980,587.15</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1,471,918,337.29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2,251,704,139.86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208,889,731.52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-181,883,238.44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128,376,669.00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2,644,004.17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1,962,630.14</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309,200.00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513,606.90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131,329,873.17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222,476,237.04</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134,241,221.77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204,675,052.74</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210,843,000.00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388,881,818.00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345,084,221.77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593,556,870.74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-213,754,348.60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-371,080,633.70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60,752,614.44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1,549,355.50</w:t>
            </w: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34"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其中：子公司吸收少数股东投资</w:t>
            </w:r>
            <w:r>
              <w:rPr>
                <w:rFonts w:ascii="宋体" w:hAnsi="宋体" w:cs="宋体" w:eastAsia="宋体" w:hint="default"/>
                <w:w w:val="101"/>
                <w:sz w:val="18"/>
                <w:szCs w:val="18"/>
              </w:rPr>
              <w:t> </w:t>
            </w:r>
            <w:r>
              <w:rPr>
                <w:rFonts w:ascii="宋体" w:hAnsi="宋体" w:cs="宋体" w:eastAsia="宋体" w:hint="default"/>
                <w:sz w:val="18"/>
                <w:szCs w:val="18"/>
              </w:rPr>
              <w:t>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1,032,910.20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1,549,355.50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893,711,960.70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1,205,783,434.03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2967"/>
        <w:gridCol w:w="3304"/>
        <w:gridCol w:w="3299"/>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96,610,710.00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1,051,075,285.14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1,207,332,789.53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84"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1,090,097,048.43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539,185,496.44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68,297,868.94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81,980,664.71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firstLine="36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其中：子公司支付给少数股东的</w:t>
            </w:r>
            <w:r>
              <w:rPr>
                <w:rFonts w:ascii="宋体" w:hAnsi="宋体" w:cs="宋体" w:eastAsia="宋体" w:hint="default"/>
                <w:w w:val="101"/>
                <w:sz w:val="18"/>
                <w:szCs w:val="18"/>
              </w:rPr>
              <w:t> </w:t>
            </w:r>
            <w:r>
              <w:rPr>
                <w:rFonts w:ascii="宋体" w:hAnsi="宋体" w:cs="宋体" w:eastAsia="宋体" w:hint="default"/>
                <w:sz w:val="18"/>
                <w:szCs w:val="18"/>
              </w:rPr>
              <w:t>股利、利润</w:t>
            </w:r>
          </w:p>
        </w:tc>
        <w:tc>
          <w:tcPr>
            <w:tcW w:w="3304" w:type="dxa"/>
            <w:tcBorders>
              <w:top w:val="single" w:sz="4" w:space="0" w:color="000000"/>
              <w:left w:val="single" w:sz="4" w:space="0" w:color="000000"/>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46"/>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60,268,257.76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22,984,411.60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1,218,663,175.13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644,150,572.75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-167,587,889.99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563,182,216.78</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46"/>
              <w:jc w:val="left"/>
              <w:rPr>
                <w:rFonts w:ascii="宋体" w:hAnsi="宋体" w:cs="宋体" w:eastAsia="宋体" w:hint="default"/>
                <w:sz w:val="18"/>
                <w:szCs w:val="18"/>
              </w:rPr>
            </w:pPr>
            <w:r>
              <w:rPr>
                <w:rFonts w:ascii="宋体" w:hAnsi="宋体" w:cs="宋体" w:eastAsia="宋体" w:hint="default"/>
                <w:spacing w:val="-3"/>
                <w:sz w:val="18"/>
                <w:szCs w:val="18"/>
              </w:rPr>
              <w:t>四、汇率变动对现金及现金等价物的</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影响</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277,793.41</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516,443.81</w:t>
            </w:r>
          </w:p>
        </w:tc>
      </w:tr>
      <w:tr>
        <w:trPr>
          <w:trHeight w:val="398"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-172,174,713.66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10,734,788.45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46"/>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236,606,133.72</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225,871,345.27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64,431,420.06</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236,606,133.72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38"/>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pacing w:val="-3"/>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销售商品、提供劳务收到的现金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961,880,659.47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1,663,927,376.46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收到的税费返还</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456,735,248.03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67,423,570.59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sz w:val="18"/>
              </w:rPr>
              <w:t>1,418,615,907.50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sz w:val="18"/>
              </w:rPr>
              <w:t>1,731,350,947.05</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购买商品、接受劳务支付的现金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sz w:val="18"/>
              </w:rPr>
              <w:t>935,663,612.18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sz w:val="18"/>
              </w:rPr>
              <w:t>1,236,528,113.33</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w w:val="101"/>
                <w:sz w:val="18"/>
                <w:szCs w:val="18"/>
              </w:rPr>
              <w:t>金</w:t>
            </w:r>
            <w:r>
              <w:rPr>
                <w:rFonts w:ascii="宋体" w:hAnsi="宋体" w:cs="宋体" w:eastAsia="宋体" w:hint="default"/>
                <w:sz w:val="18"/>
                <w:szCs w:val="18"/>
              </w:rPr>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sz w:val="18"/>
              </w:rPr>
              <w:t>60,588,023.14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sz w:val="18"/>
              </w:rPr>
              <w:t>67,012,040.60</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支付的各项税费</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18,682,603.24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39,495,477.53</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支付其他与经营活动有关的现金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9"/>
              <w:ind w:left="28" w:right="0"/>
              <w:jc w:val="left"/>
              <w:rPr>
                <w:rFonts w:ascii="宋体" w:hAnsi="宋体" w:cs="宋体" w:eastAsia="宋体" w:hint="default"/>
                <w:sz w:val="18"/>
                <w:szCs w:val="18"/>
              </w:rPr>
            </w:pPr>
            <w:r>
              <w:rPr>
                <w:rFonts w:ascii="宋体"/>
                <w:sz w:val="18"/>
              </w:rPr>
              <w:t>269,307,794.57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sz w:val="18"/>
              </w:rPr>
              <w:t>363,024,377.33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1,284,242,033.13</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1,706,060,008.79</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134,373,874.37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25,290,938.26</w:t>
            </w: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收回投资收到的现金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8"/>
              <w:ind w:left="28" w:right="0"/>
              <w:jc w:val="left"/>
              <w:rPr>
                <w:rFonts w:ascii="宋体" w:hAnsi="宋体" w:cs="宋体" w:eastAsia="宋体" w:hint="default"/>
                <w:sz w:val="18"/>
                <w:szCs w:val="18"/>
              </w:rPr>
            </w:pPr>
            <w:r>
              <w:rPr>
                <w:rFonts w:ascii="宋体"/>
                <w:sz w:val="18"/>
              </w:rPr>
              <w:t>128,266,669.00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sz w:val="18"/>
              </w:rPr>
              <w:t>220,000,000.00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取得投资收益收到的现金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18,852,810.90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1,962,630.14</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right="6"/>
              <w:jc w:val="righ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85,000.00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156,000.00</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2943"/>
        <w:gridCol w:w="3316"/>
        <w:gridCol w:w="3299"/>
      </w:tblGrid>
      <w:tr>
        <w:trPr>
          <w:trHeight w:val="36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11" w:right="0"/>
              <w:jc w:val="left"/>
              <w:rPr>
                <w:rFonts w:ascii="宋体" w:hAnsi="宋体" w:cs="宋体" w:eastAsia="宋体" w:hint="default"/>
                <w:sz w:val="18"/>
                <w:szCs w:val="18"/>
              </w:rPr>
            </w:pPr>
            <w:r>
              <w:rPr>
                <w:rFonts w:ascii="宋体" w:hAnsi="宋体" w:cs="宋体" w:eastAsia="宋体" w:hint="default"/>
                <w:spacing w:val="-3"/>
                <w:sz w:val="18"/>
                <w:szCs w:val="18"/>
              </w:rPr>
              <w:t>长期资产收回的现金净额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 w:firstLine="364"/>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147,204,479.90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222,118,630.14</w:t>
            </w:r>
          </w:p>
        </w:tc>
      </w:tr>
      <w:tr>
        <w:trPr>
          <w:trHeight w:val="710"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6" w:firstLine="364"/>
              <w:jc w:val="left"/>
              <w:rPr>
                <w:rFonts w:ascii="宋体" w:hAnsi="宋体" w:cs="宋体" w:eastAsia="宋体" w:hint="default"/>
                <w:sz w:val="18"/>
                <w:szCs w:val="18"/>
              </w:rPr>
            </w:pPr>
            <w:r>
              <w:rPr>
                <w:rFonts w:ascii="宋体" w:hAnsi="宋体" w:cs="宋体" w:eastAsia="宋体" w:hint="default"/>
                <w:sz w:val="18"/>
                <w:szCs w:val="18"/>
              </w:rPr>
              <w:t>购建固定资产、无形资产和其他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14,482,698.67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17,016,588.70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投资支付的现金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28" w:right="0"/>
              <w:jc w:val="left"/>
              <w:rPr>
                <w:rFonts w:ascii="宋体" w:hAnsi="宋体" w:cs="宋体" w:eastAsia="宋体" w:hint="default"/>
                <w:sz w:val="18"/>
                <w:szCs w:val="18"/>
              </w:rPr>
            </w:pPr>
            <w:r>
              <w:rPr>
                <w:rFonts w:ascii="宋体"/>
                <w:sz w:val="18"/>
              </w:rPr>
              <w:t>388,313,528.38</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sz w:val="18"/>
              </w:rPr>
              <w:t>435,994,412.50</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6" w:firstLine="364"/>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w:t>
            </w:r>
            <w:r>
              <w:rPr>
                <w:rFonts w:ascii="宋体" w:hAnsi="宋体" w:cs="宋体" w:eastAsia="宋体" w:hint="default"/>
                <w:w w:val="101"/>
                <w:sz w:val="18"/>
                <w:szCs w:val="18"/>
              </w:rPr>
              <w:t> </w:t>
            </w:r>
            <w:r>
              <w:rPr>
                <w:rFonts w:ascii="宋体" w:hAnsi="宋体" w:cs="宋体" w:eastAsia="宋体" w:hint="default"/>
                <w:sz w:val="18"/>
                <w:szCs w:val="18"/>
              </w:rPr>
              <w:t>的现金净额</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支付其他与投资活动有关的现金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402,796,227.05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453,011,001.20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投资活动产生的现金流量净额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-255,591,747.15</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-230,892,371.06</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9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吸收投资收到的现金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59,719,704.24</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取得借款收到的现金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477,000,000.00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560,600,000.00</w:t>
            </w:r>
          </w:p>
        </w:tc>
      </w:tr>
      <w:tr>
        <w:trPr>
          <w:trHeight w:val="40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34"/>
              <w:jc w:val="right"/>
              <w:rPr>
                <w:rFonts w:ascii="宋体" w:hAnsi="宋体" w:cs="宋体" w:eastAsia="宋体" w:hint="default"/>
                <w:sz w:val="18"/>
                <w:szCs w:val="18"/>
              </w:rPr>
            </w:pPr>
            <w:r>
              <w:rPr>
                <w:rFonts w:ascii="宋体" w:hAnsi="宋体" w:cs="宋体" w:eastAsia="宋体" w:hint="default"/>
                <w:spacing w:val="-3"/>
                <w:sz w:val="18"/>
                <w:szCs w:val="18"/>
              </w:rPr>
              <w:t>收到其他与筹资活动有关的现金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536,719,704.24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560,600,000.00</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偿还债务支付的现金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532,400,000.00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279,200,000.00</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6" w:firstLine="364"/>
              <w:jc w:val="left"/>
              <w:rPr>
                <w:rFonts w:ascii="宋体" w:hAnsi="宋体" w:cs="宋体" w:eastAsia="宋体" w:hint="default"/>
                <w:sz w:val="18"/>
                <w:szCs w:val="18"/>
              </w:rPr>
            </w:pPr>
            <w:r>
              <w:rPr>
                <w:rFonts w:ascii="宋体" w:hAnsi="宋体" w:cs="宋体" w:eastAsia="宋体" w:hint="default"/>
                <w:sz w:val="18"/>
                <w:szCs w:val="18"/>
              </w:rPr>
              <w:t>分配股利、利润或偿付利息支付</w:t>
            </w:r>
            <w:r>
              <w:rPr>
                <w:rFonts w:ascii="宋体" w:hAnsi="宋体" w:cs="宋体" w:eastAsia="宋体" w:hint="default"/>
                <w:w w:val="101"/>
                <w:sz w:val="18"/>
                <w:szCs w:val="18"/>
              </w:rPr>
              <w:t> </w:t>
            </w:r>
            <w:r>
              <w:rPr>
                <w:rFonts w:ascii="宋体" w:hAnsi="宋体" w:cs="宋体" w:eastAsia="宋体" w:hint="default"/>
                <w:sz w:val="18"/>
                <w:szCs w:val="18"/>
              </w:rPr>
              <w:t>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39,742,793.74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58,270,329.12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支付其他与筹资活动有关的现金</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99,900.00</w:t>
            </w:r>
          </w:p>
        </w:tc>
        <w:tc>
          <w:tcPr>
            <w:tcW w:w="32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572,242,693.74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337,470,329.12</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筹资活动产生的现金流量净额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-35,522,989.50</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223,129,670.88</w:t>
            </w:r>
          </w:p>
        </w:tc>
      </w:tr>
      <w:tr>
        <w:trPr>
          <w:trHeight w:val="71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影响</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sz w:val="18"/>
              </w:rPr>
              <w:t>-19,110.99</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sz w:val="18"/>
              </w:rPr>
              <w:t>184,611.05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五、现金及现金等价物净增加额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-156,759,973.27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17,712,849.13</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4"/>
              <w:jc w:val="right"/>
              <w:rPr>
                <w:rFonts w:ascii="宋体" w:hAnsi="宋体" w:cs="宋体" w:eastAsia="宋体" w:hint="default"/>
                <w:sz w:val="18"/>
                <w:szCs w:val="18"/>
              </w:rPr>
            </w:pPr>
            <w:r>
              <w:rPr>
                <w:rFonts w:ascii="宋体" w:hAnsi="宋体" w:cs="宋体" w:eastAsia="宋体" w:hint="default"/>
                <w:spacing w:val="-3"/>
                <w:sz w:val="18"/>
                <w:szCs w:val="18"/>
              </w:rPr>
              <w:t>加：期初现金及现金等价物余额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213,771,322.84</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196,058,473.71</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六、期末现金及现金等价物余额</w:t>
            </w:r>
          </w:p>
        </w:tc>
        <w:tc>
          <w:tcPr>
            <w:tcW w:w="33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8" w:right="0"/>
              <w:jc w:val="left"/>
              <w:rPr>
                <w:rFonts w:ascii="宋体" w:hAnsi="宋体" w:cs="宋体" w:eastAsia="宋体" w:hint="default"/>
                <w:sz w:val="18"/>
                <w:szCs w:val="18"/>
              </w:rPr>
            </w:pPr>
            <w:r>
              <w:rPr>
                <w:rFonts w:ascii="宋体"/>
                <w:sz w:val="18"/>
              </w:rPr>
              <w:t>57,011,349.57</w:t>
            </w:r>
          </w:p>
        </w:tc>
        <w:tc>
          <w:tcPr>
            <w:tcW w:w="3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sz w:val="18"/>
              </w:rPr>
              <w:t>213,771,322.84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t>本期金额</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53"/>
        <w:gridCol w:w="7150"/>
        <w:gridCol w:w="586"/>
        <w:gridCol w:w="576"/>
      </w:tblGrid>
      <w:tr>
        <w:trPr>
          <w:trHeight w:val="399"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403"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7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少数</w:t>
            </w:r>
          </w:p>
        </w:tc>
        <w:tc>
          <w:tcPr>
            <w:tcW w:w="5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left="105" w:right="0"/>
              <w:jc w:val="left"/>
              <w:rPr>
                <w:rFonts w:ascii="宋体" w:hAnsi="宋体" w:cs="宋体" w:eastAsia="宋体" w:hint="default"/>
                <w:sz w:val="18"/>
                <w:szCs w:val="18"/>
              </w:rPr>
            </w:pPr>
            <w:r>
              <w:rPr>
                <w:rFonts w:ascii="宋体" w:hAnsi="宋体" w:cs="宋体" w:eastAsia="宋体" w:hint="default"/>
                <w:sz w:val="18"/>
                <w:szCs w:val="18"/>
              </w:rPr>
              <w:t>所有</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206" w:hRule="exact"/>
        </w:trPr>
        <w:tc>
          <w:tcPr>
            <w:tcW w:w="1253" w:type="dxa"/>
            <w:vMerge w:val="restart"/>
            <w:tcBorders>
              <w:top w:val="single" w:sz="4" w:space="0" w:color="000000"/>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
        </w:tc>
        <w:tc>
          <w:tcPr>
            <w:tcW w:w="14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9"/>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8"/>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86" w:type="dxa"/>
            <w:vMerge w:val="restart"/>
            <w:tcBorders>
              <w:top w:val="single" w:sz="4" w:space="0" w:color="000000"/>
              <w:left w:val="single" w:sz="4" w:space="0" w:color="000000"/>
              <w:right w:val="single" w:sz="4" w:space="0" w:color="000000"/>
            </w:tcBorders>
            <w:shd w:val="clear" w:color="auto" w:fill="D2D2D2"/>
          </w:tcPr>
          <w:p>
            <w:pPr/>
          </w:p>
        </w:tc>
        <w:tc>
          <w:tcPr>
            <w:tcW w:w="581" w:type="dxa"/>
            <w:vMerge w:val="restart"/>
            <w:tcBorders>
              <w:top w:val="single" w:sz="4" w:space="0" w:color="000000"/>
              <w:left w:val="single" w:sz="4" w:space="0" w:color="000000"/>
              <w:right w:val="single" w:sz="4" w:space="0" w:color="000000"/>
            </w:tcBorders>
            <w:shd w:val="clear" w:color="auto" w:fill="D2D2D2"/>
          </w:tcPr>
          <w:p>
            <w:pPr/>
          </w:p>
        </w:tc>
        <w:tc>
          <w:tcPr>
            <w:tcW w:w="586" w:type="dxa"/>
            <w:vMerge w:val="restart"/>
            <w:tcBorders>
              <w:top w:val="single" w:sz="4" w:space="0" w:color="000000"/>
              <w:left w:val="single" w:sz="8" w:space="0" w:color="D2D2D2"/>
              <w:right w:val="single" w:sz="4" w:space="0" w:color="000000"/>
            </w:tcBorders>
          </w:tcPr>
          <w:p>
            <w:pPr>
              <w:pStyle w:val="TableParagraph"/>
              <w:spacing w:line="321" w:lineRule="auto" w:before="10"/>
              <w:ind w:left="100" w:right="103"/>
              <w:jc w:val="left"/>
              <w:rPr>
                <w:rFonts w:ascii="宋体" w:hAnsi="宋体" w:cs="宋体" w:eastAsia="宋体" w:hint="default"/>
                <w:sz w:val="18"/>
                <w:szCs w:val="18"/>
              </w:rPr>
            </w:pPr>
            <w:r>
              <w:rPr>
                <w:rFonts w:ascii="宋体" w:hAnsi="宋体" w:cs="宋体" w:eastAsia="宋体" w:hint="default"/>
                <w:sz w:val="18"/>
                <w:szCs w:val="18"/>
              </w:rPr>
              <w:t>股东</w:t>
            </w:r>
            <w:r>
              <w:rPr>
                <w:rFonts w:ascii="宋体" w:hAnsi="宋体" w:cs="宋体" w:eastAsia="宋体" w:hint="default"/>
                <w:spacing w:val="-86"/>
                <w:sz w:val="18"/>
                <w:szCs w:val="18"/>
              </w:rPr>
              <w:t> </w:t>
            </w:r>
            <w:r>
              <w:rPr>
                <w:rFonts w:ascii="宋体" w:hAnsi="宋体" w:cs="宋体" w:eastAsia="宋体" w:hint="default"/>
                <w:sz w:val="18"/>
                <w:szCs w:val="18"/>
              </w:rPr>
              <w:t>权益</w:t>
            </w:r>
          </w:p>
        </w:tc>
        <w:tc>
          <w:tcPr>
            <w:tcW w:w="576" w:type="dxa"/>
            <w:vMerge w:val="restart"/>
            <w:tcBorders>
              <w:top w:val="single" w:sz="4" w:space="0" w:color="000000"/>
              <w:left w:val="single" w:sz="4" w:space="0" w:color="000000"/>
              <w:right w:val="single" w:sz="4" w:space="0" w:color="000000"/>
            </w:tcBorders>
          </w:tcPr>
          <w:p>
            <w:pPr>
              <w:pStyle w:val="TableParagraph"/>
              <w:spacing w:line="319" w:lineRule="auto" w:before="10"/>
              <w:ind w:left="105" w:right="95"/>
              <w:jc w:val="both"/>
              <w:rPr>
                <w:rFonts w:ascii="宋体" w:hAnsi="宋体" w:cs="宋体" w:eastAsia="宋体" w:hint="default"/>
                <w:sz w:val="18"/>
                <w:szCs w:val="18"/>
              </w:rPr>
            </w:pPr>
            <w:r>
              <w:rPr>
                <w:rFonts w:ascii="宋体" w:hAnsi="宋体" w:cs="宋体" w:eastAsia="宋体" w:hint="default"/>
                <w:sz w:val="18"/>
                <w:szCs w:val="18"/>
              </w:rPr>
              <w:t>者权</w:t>
            </w:r>
            <w:r>
              <w:rPr>
                <w:rFonts w:ascii="宋体" w:hAnsi="宋体" w:cs="宋体" w:eastAsia="宋体" w:hint="default"/>
                <w:spacing w:val="-86"/>
                <w:sz w:val="18"/>
                <w:szCs w:val="18"/>
              </w:rPr>
              <w:t> </w:t>
            </w:r>
            <w:r>
              <w:rPr>
                <w:rFonts w:ascii="宋体" w:hAnsi="宋体" w:cs="宋体" w:eastAsia="宋体" w:hint="default"/>
                <w:sz w:val="18"/>
                <w:szCs w:val="18"/>
              </w:rPr>
              <w:t>益合</w:t>
            </w:r>
            <w:r>
              <w:rPr>
                <w:rFonts w:ascii="宋体" w:hAnsi="宋体" w:cs="宋体" w:eastAsia="宋体" w:hint="default"/>
                <w:spacing w:val="-86"/>
                <w:sz w:val="18"/>
                <w:szCs w:val="18"/>
              </w:rPr>
              <w:t> </w:t>
            </w:r>
            <w:r>
              <w:rPr>
                <w:rFonts w:ascii="宋体" w:hAnsi="宋体" w:cs="宋体" w:eastAsia="宋体" w:hint="default"/>
                <w:sz w:val="18"/>
                <w:szCs w:val="18"/>
              </w:rPr>
              <w:t>计</w:t>
            </w:r>
          </w:p>
        </w:tc>
      </w:tr>
      <w:tr>
        <w:trPr>
          <w:trHeight w:val="173"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1402" w:type="dxa"/>
            <w:gridSpan w:val="3"/>
            <w:vMerge/>
            <w:tcBorders>
              <w:left w:val="single" w:sz="4" w:space="0" w:color="000000"/>
              <w:bottom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7" w:hanging="82"/>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存股</w:t>
            </w:r>
          </w:p>
        </w:tc>
        <w:tc>
          <w:tcPr>
            <w:tcW w:w="581"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03"/>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05"/>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8" w:space="0" w:color="D2D2D2"/>
              <w:right w:val="single" w:sz="4" w:space="0" w:color="000000"/>
            </w:tcBorders>
          </w:tcPr>
          <w:p>
            <w:pPr/>
          </w:p>
        </w:tc>
        <w:tc>
          <w:tcPr>
            <w:tcW w:w="576" w:type="dxa"/>
            <w:vMerge/>
            <w:tcBorders>
              <w:left w:val="single" w:sz="4" w:space="0" w:color="000000"/>
              <w:right w:val="single" w:sz="4" w:space="0" w:color="000000"/>
            </w:tcBorders>
          </w:tcPr>
          <w:p>
            <w:pPr/>
          </w:p>
        </w:tc>
      </w:tr>
      <w:tr>
        <w:trPr>
          <w:trHeight w:val="182"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39" w:right="41"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39" w:right="41"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70" w:type="dxa"/>
            <w:tcBorders>
              <w:top w:val="single" w:sz="4" w:space="0" w:color="000000"/>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8" w:space="0" w:color="D2D2D2"/>
              <w:right w:val="single" w:sz="4" w:space="0" w:color="000000"/>
            </w:tcBorders>
          </w:tcPr>
          <w:p>
            <w:pPr/>
          </w:p>
        </w:tc>
        <w:tc>
          <w:tcPr>
            <w:tcW w:w="576" w:type="dxa"/>
            <w:vMerge/>
            <w:tcBorders>
              <w:left w:val="single" w:sz="4" w:space="0" w:color="000000"/>
              <w:right w:val="single" w:sz="4" w:space="0" w:color="000000"/>
            </w:tcBorders>
          </w:tcPr>
          <w:p>
            <w:pPr/>
          </w:p>
        </w:tc>
      </w:tr>
      <w:tr>
        <w:trPr>
          <w:trHeight w:val="192" w:hRule="exact"/>
        </w:trPr>
        <w:tc>
          <w:tcPr>
            <w:tcW w:w="1253" w:type="dxa"/>
            <w:vMerge/>
            <w:tcBorders>
              <w:left w:val="single" w:sz="4" w:space="0" w:color="000000"/>
              <w:right w:val="single" w:sz="4" w:space="0" w:color="000000"/>
            </w:tcBorders>
            <w:shd w:val="clear" w:color="auto" w:fill="D2D2D2"/>
          </w:tcPr>
          <w:p>
            <w:pPr/>
          </w:p>
        </w:tc>
        <w:tc>
          <w:tcPr>
            <w:tcW w:w="494" w:type="dxa"/>
            <w:vMerge/>
            <w:tcBorders>
              <w:left w:val="single" w:sz="4" w:space="0" w:color="000000"/>
              <w:bottom w:val="nil" w:sz="6" w:space="0" w:color="auto"/>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8" w:space="0" w:color="D2D2D2"/>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nil" w:sz="6" w:space="0" w:color="auto"/>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66" w:type="dxa"/>
            <w:vMerge/>
            <w:tcBorders>
              <w:left w:val="single" w:sz="4" w:space="0" w:color="000000"/>
              <w:right w:val="single" w:sz="4" w:space="0" w:color="000000"/>
            </w:tcBorders>
            <w:shd w:val="clear" w:color="auto" w:fill="D2D2D2"/>
          </w:tcPr>
          <w:p>
            <w:pPr/>
          </w:p>
        </w:tc>
        <w:tc>
          <w:tcPr>
            <w:tcW w:w="470"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6" w:type="dxa"/>
            <w:vMerge/>
            <w:tcBorders>
              <w:left w:val="single" w:sz="4" w:space="0" w:color="000000"/>
              <w:bottom w:val="nil" w:sz="6" w:space="0" w:color="auto"/>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86" w:type="dxa"/>
            <w:vMerge/>
            <w:tcBorders>
              <w:left w:val="single" w:sz="4" w:space="0" w:color="000000"/>
              <w:right w:val="single" w:sz="4" w:space="0" w:color="000000"/>
            </w:tcBorders>
            <w:shd w:val="clear" w:color="auto" w:fill="D2D2D2"/>
          </w:tcPr>
          <w:p>
            <w:pPr/>
          </w:p>
        </w:tc>
        <w:tc>
          <w:tcPr>
            <w:tcW w:w="586" w:type="dxa"/>
            <w:vMerge w:val="restart"/>
            <w:tcBorders>
              <w:top w:val="nil" w:sz="6" w:space="0" w:color="auto"/>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
        </w:tc>
        <w:tc>
          <w:tcPr>
            <w:tcW w:w="586" w:type="dxa"/>
            <w:vMerge/>
            <w:tcBorders>
              <w:left w:val="single" w:sz="8" w:space="0" w:color="D2D2D2"/>
              <w:right w:val="single" w:sz="4" w:space="0" w:color="000000"/>
            </w:tcBorders>
          </w:tcPr>
          <w:p>
            <w:pPr/>
          </w:p>
        </w:tc>
        <w:tc>
          <w:tcPr>
            <w:tcW w:w="576" w:type="dxa"/>
            <w:vMerge/>
            <w:tcBorders>
              <w:left w:val="single" w:sz="4" w:space="0" w:color="000000"/>
              <w:right w:val="single" w:sz="4" w:space="0" w:color="000000"/>
            </w:tcBorders>
          </w:tcPr>
          <w:p>
            <w:pPr/>
          </w:p>
        </w:tc>
      </w:tr>
      <w:tr>
        <w:trPr>
          <w:trHeight w:val="202"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66" w:type="dxa"/>
            <w:vMerge/>
            <w:tcBorders>
              <w:left w:val="single" w:sz="4" w:space="0" w:color="000000"/>
              <w:bottom w:val="single" w:sz="4" w:space="0" w:color="000000"/>
              <w:right w:val="single" w:sz="4" w:space="0" w:color="000000"/>
            </w:tcBorders>
            <w:shd w:val="clear" w:color="auto" w:fill="D2D2D2"/>
          </w:tcPr>
          <w:p>
            <w:pPr/>
          </w:p>
        </w:tc>
        <w:tc>
          <w:tcPr>
            <w:tcW w:w="470" w:type="dxa"/>
            <w:tcBorders>
              <w:top w:val="nil" w:sz="6" w:space="0" w:color="auto"/>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6" w:type="dxa"/>
            <w:tcBorders>
              <w:top w:val="nil" w:sz="6" w:space="0" w:color="auto"/>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1"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8" w:space="0" w:color="D2D2D2"/>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100"/>
              <w:ind w:left="50" w:right="0"/>
              <w:jc w:val="left"/>
              <w:rPr>
                <w:rFonts w:ascii="Times New Roman" w:hAnsi="Times New Roman" w:cs="Times New Roman" w:eastAsia="Times New Roman" w:hint="default"/>
                <w:sz w:val="18"/>
                <w:szCs w:val="18"/>
              </w:rPr>
            </w:pPr>
            <w:r>
              <w:rPr>
                <w:rFonts w:ascii="Times New Roman"/>
                <w:sz w:val="18"/>
              </w:rPr>
              <w:t>582,1</w:t>
            </w:r>
          </w:p>
          <w:p>
            <w:pPr>
              <w:pStyle w:val="TableParagraph"/>
              <w:spacing w:line="240" w:lineRule="auto" w:before="100"/>
              <w:ind w:left="50" w:right="0"/>
              <w:jc w:val="left"/>
              <w:rPr>
                <w:rFonts w:ascii="Times New Roman" w:hAnsi="Times New Roman" w:cs="Times New Roman" w:eastAsia="Times New Roman" w:hint="default"/>
                <w:sz w:val="18"/>
                <w:szCs w:val="18"/>
              </w:rPr>
            </w:pPr>
            <w:r>
              <w:rPr>
                <w:rFonts w:ascii="Times New Roman"/>
                <w:sz w:val="18"/>
              </w:rPr>
              <w:t>94,64</w:t>
            </w:r>
          </w:p>
          <w:p>
            <w:pPr>
              <w:pStyle w:val="TableParagraph"/>
              <w:spacing w:line="240" w:lineRule="auto" w:before="110"/>
              <w:ind w:left="136" w:right="0"/>
              <w:jc w:val="left"/>
              <w:rPr>
                <w:rFonts w:ascii="Times New Roman" w:hAnsi="Times New Roman" w:cs="Times New Roman" w:eastAsia="Times New Roman" w:hint="default"/>
                <w:sz w:val="18"/>
                <w:szCs w:val="18"/>
              </w:rPr>
            </w:pPr>
            <w:r>
              <w:rPr>
                <w:rFonts w:ascii="Times New Roman"/>
                <w:sz w:val="18"/>
              </w:rPr>
              <w:t>2.00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819,93</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1,906.</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32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21" w:space="0" w:color="D2D2D2"/>
              <w:left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0"/>
                <w:szCs w:val="20"/>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-1,546,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918.82</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39,531</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,522.4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1" w:type="dxa"/>
            <w:vMerge w:val="restart"/>
            <w:tcBorders>
              <w:top w:val="single" w:sz="21" w:space="0" w:color="D2D2D2"/>
              <w:left w:val="single" w:sz="4" w:space="0" w:color="000000"/>
              <w:right w:val="single" w:sz="4" w:space="0" w:color="000000"/>
            </w:tcBorders>
          </w:tcPr>
          <w:p>
            <w:pPr/>
          </w:p>
        </w:tc>
        <w:tc>
          <w:tcPr>
            <w:tcW w:w="586" w:type="dxa"/>
            <w:vMerge w:val="restart"/>
            <w:tcBorders>
              <w:top w:val="single" w:sz="21" w:space="0" w:color="D2D2D2"/>
              <w:left w:val="single" w:sz="4" w:space="0" w:color="000000"/>
              <w:right w:val="single" w:sz="4" w:space="0" w:color="000000"/>
            </w:tcBorders>
          </w:tcPr>
          <w:p>
            <w:pPr>
              <w:pStyle w:val="TableParagraph"/>
              <w:spacing w:line="240" w:lineRule="auto" w:before="79"/>
              <w:ind w:left="57" w:right="0"/>
              <w:jc w:val="left"/>
              <w:rPr>
                <w:rFonts w:ascii="Times New Roman" w:hAnsi="Times New Roman" w:cs="Times New Roman" w:eastAsia="Times New Roman" w:hint="default"/>
                <w:sz w:val="18"/>
                <w:szCs w:val="18"/>
              </w:rPr>
            </w:pPr>
            <w:r>
              <w:rPr>
                <w:rFonts w:ascii="Times New Roman"/>
                <w:sz w:val="18"/>
              </w:rPr>
              <w:t>499,87</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9,406.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0"/>
              <w:ind w:left="83" w:right="0"/>
              <w:jc w:val="center"/>
              <w:rPr>
                <w:rFonts w:ascii="Times New Roman" w:hAnsi="Times New Roman" w:cs="Times New Roman" w:eastAsia="Times New Roman" w:hint="default"/>
                <w:sz w:val="18"/>
                <w:szCs w:val="18"/>
              </w:rPr>
            </w:pPr>
            <w:r>
              <w:rPr>
                <w:rFonts w:ascii="Times New Roman"/>
                <w:sz w:val="18"/>
              </w:rPr>
              <w:t>1,939,</w:t>
            </w:r>
          </w:p>
          <w:p>
            <w:pPr>
              <w:pStyle w:val="TableParagraph"/>
              <w:spacing w:line="240" w:lineRule="auto" w:before="100"/>
              <w:ind w:left="42" w:right="0"/>
              <w:jc w:val="center"/>
              <w:rPr>
                <w:rFonts w:ascii="Times New Roman" w:hAnsi="Times New Roman" w:cs="Times New Roman" w:eastAsia="Times New Roman" w:hint="default"/>
                <w:sz w:val="18"/>
                <w:szCs w:val="18"/>
              </w:rPr>
            </w:pPr>
            <w:r>
              <w:rPr>
                <w:rFonts w:ascii="Times New Roman"/>
                <w:sz w:val="18"/>
              </w:rPr>
              <w:t>990,55</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8.00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589,41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8.02</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0"/>
              <w:ind w:left="79" w:right="0"/>
              <w:jc w:val="center"/>
              <w:rPr>
                <w:rFonts w:ascii="Times New Roman" w:hAnsi="Times New Roman" w:cs="Times New Roman" w:eastAsia="Times New Roman" w:hint="default"/>
                <w:sz w:val="18"/>
                <w:szCs w:val="18"/>
              </w:rPr>
            </w:pPr>
            <w:r>
              <w:rPr>
                <w:rFonts w:ascii="Times New Roman"/>
                <w:sz w:val="18"/>
              </w:rPr>
              <w:t>1,940,</w:t>
            </w:r>
          </w:p>
          <w:p>
            <w:pPr>
              <w:pStyle w:val="TableParagraph"/>
              <w:spacing w:line="240" w:lineRule="auto" w:before="100"/>
              <w:ind w:left="38" w:right="0"/>
              <w:jc w:val="center"/>
              <w:rPr>
                <w:rFonts w:ascii="Times New Roman" w:hAnsi="Times New Roman" w:cs="Times New Roman" w:eastAsia="Times New Roman" w:hint="default"/>
                <w:sz w:val="18"/>
                <w:szCs w:val="18"/>
              </w:rPr>
            </w:pPr>
            <w:r>
              <w:rPr>
                <w:rFonts w:ascii="Times New Roman"/>
                <w:sz w:val="18"/>
              </w:rPr>
              <w:t>579,97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6.02</w:t>
            </w:r>
          </w:p>
        </w:tc>
      </w:tr>
      <w:tr>
        <w:trPr>
          <w:trHeight w:val="706"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一、上年期末余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7" w:firstLine="360"/>
              <w:jc w:val="left"/>
              <w:rPr>
                <w:rFonts w:ascii="宋体" w:hAnsi="宋体" w:cs="宋体" w:eastAsia="宋体" w:hint="default"/>
                <w:sz w:val="18"/>
                <w:szCs w:val="18"/>
              </w:rPr>
            </w:pPr>
            <w:r>
              <w:rPr>
                <w:rFonts w:ascii="宋体" w:hAnsi="宋体" w:cs="宋体" w:eastAsia="宋体" w:hint="default"/>
                <w:spacing w:val="-15"/>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3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3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582,1</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94,64</w:t>
            </w:r>
          </w:p>
          <w:p>
            <w:pPr>
              <w:pStyle w:val="TableParagraph"/>
              <w:spacing w:line="240" w:lineRule="auto" w:before="110"/>
              <w:ind w:left="136" w:right="0"/>
              <w:jc w:val="left"/>
              <w:rPr>
                <w:rFonts w:ascii="Times New Roman" w:hAnsi="Times New Roman" w:cs="Times New Roman" w:eastAsia="Times New Roman" w:hint="default"/>
                <w:sz w:val="18"/>
                <w:szCs w:val="18"/>
              </w:rPr>
            </w:pPr>
            <w:r>
              <w:rPr>
                <w:rFonts w:ascii="Times New Roman"/>
                <w:sz w:val="18"/>
              </w:rPr>
              <w:t>2.00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819,93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1,906.</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32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-1,546,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918.82</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,522.4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499,87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9,406.</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02</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1,939,</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990,55</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8.00</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589,41</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8.02</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1,940,</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579,97</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6.02</w:t>
            </w:r>
          </w:p>
        </w:tc>
      </w:tr>
      <w:tr>
        <w:trPr>
          <w:trHeight w:val="701"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二、本年期初余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7"/>
              <w:jc w:val="both"/>
              <w:rPr>
                <w:rFonts w:ascii="宋体" w:hAnsi="宋体" w:cs="宋体" w:eastAsia="宋体" w:hint="default"/>
                <w:sz w:val="18"/>
                <w:szCs w:val="18"/>
              </w:rPr>
            </w:pPr>
            <w:r>
              <w:rPr>
                <w:rFonts w:ascii="宋体" w:hAnsi="宋体" w:cs="宋体" w:eastAsia="宋体" w:hint="default"/>
                <w:spacing w:val="-12"/>
                <w:sz w:val="18"/>
                <w:szCs w:val="18"/>
              </w:rPr>
              <w:t>三、本期增减变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12"/>
                <w:sz w:val="18"/>
                <w:szCs w:val="18"/>
              </w:rPr>
              <w:t>动金额（减少以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250,7</w:t>
            </w:r>
          </w:p>
          <w:p>
            <w:pPr>
              <w:pStyle w:val="TableParagraph"/>
              <w:spacing w:line="240" w:lineRule="auto" w:before="100"/>
              <w:ind w:left="45" w:right="0"/>
              <w:jc w:val="left"/>
              <w:rPr>
                <w:rFonts w:ascii="Times New Roman" w:hAnsi="Times New Roman" w:cs="Times New Roman" w:eastAsia="Times New Roman" w:hint="default"/>
                <w:sz w:val="18"/>
                <w:szCs w:val="18"/>
              </w:rPr>
            </w:pPr>
            <w:r>
              <w:rPr>
                <w:rFonts w:ascii="Times New Roman"/>
                <w:sz w:val="18"/>
              </w:rPr>
              <w:t>81,05</w:t>
            </w:r>
          </w:p>
          <w:p>
            <w:pPr>
              <w:pStyle w:val="TableParagraph"/>
              <w:spacing w:line="240" w:lineRule="auto" w:before="110"/>
              <w:ind w:left="131"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-186,9</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44,196</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.88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59,719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,704.2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8,274,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568.41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18,670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32,330</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,818.0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63,392</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,660.8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1,153,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071.72</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64,545</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,732.5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r>
      <w:tr>
        <w:trPr>
          <w:trHeight w:val="158"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3"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8,274,</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568.41</w:t>
            </w: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62,644</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,830.4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70,919</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,398.8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3</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120,16</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1.52</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71,039</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,560.3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r>
      <w:tr>
        <w:trPr>
          <w:trHeight w:val="706"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1"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（一）综合收益</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总额</w:t>
            </w:r>
          </w:p>
        </w:tc>
        <w:tc>
          <w:tcPr>
            <w:tcW w:w="494" w:type="dxa"/>
            <w:vMerge/>
            <w:tcBorders>
              <w:left w:val="single" w:sz="13"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3"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17,90</w:t>
            </w:r>
          </w:p>
          <w:p>
            <w:pPr>
              <w:pStyle w:val="TableParagraph"/>
              <w:spacing w:line="240" w:lineRule="auto" w:before="100"/>
              <w:ind w:left="31" w:right="0"/>
              <w:jc w:val="center"/>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10"/>
              <w:ind w:left="208"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45,903</w:t>
            </w:r>
          </w:p>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,349.7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59,719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,704.2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4,086,</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845.52</w:t>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910.20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pacing w:val="-3"/>
                <w:sz w:val="18"/>
              </w:rPr>
              <w:t>5,119,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755.72</w:t>
            </w:r>
          </w:p>
        </w:tc>
      </w:tr>
      <w:tr>
        <w:trPr>
          <w:trHeight w:val="706"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24" w:right="17"/>
              <w:jc w:val="left"/>
              <w:rPr>
                <w:rFonts w:ascii="宋体" w:hAnsi="宋体" w:cs="宋体" w:eastAsia="宋体" w:hint="default"/>
                <w:sz w:val="18"/>
                <w:szCs w:val="18"/>
              </w:rPr>
            </w:pPr>
            <w:r>
              <w:rPr>
                <w:rFonts w:ascii="宋体" w:hAnsi="宋体" w:cs="宋体" w:eastAsia="宋体" w:hint="default"/>
                <w:spacing w:val="-12"/>
                <w:sz w:val="18"/>
                <w:szCs w:val="18"/>
              </w:rPr>
              <w:t>（二）所有者投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入和减少资本</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58"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63"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Style w:val="TableParagraph"/>
              <w:spacing w:line="240" w:lineRule="auto" w:before="96"/>
              <w:ind w:left="31" w:right="0"/>
              <w:jc w:val="center"/>
              <w:rPr>
                <w:rFonts w:ascii="Times New Roman" w:hAnsi="Times New Roman" w:cs="Times New Roman" w:eastAsia="Times New Roman" w:hint="default"/>
                <w:sz w:val="18"/>
                <w:szCs w:val="18"/>
              </w:rPr>
            </w:pPr>
            <w:r>
              <w:rPr>
                <w:rFonts w:ascii="Times New Roman"/>
                <w:sz w:val="18"/>
              </w:rPr>
              <w:t>17,90</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3,200</w:t>
            </w:r>
          </w:p>
          <w:p>
            <w:pPr>
              <w:pStyle w:val="TableParagraph"/>
              <w:spacing w:line="240" w:lineRule="auto" w:before="110"/>
              <w:ind w:left="208" w:right="0"/>
              <w:jc w:val="center"/>
              <w:rPr>
                <w:rFonts w:ascii="Times New Roman" w:hAnsi="Times New Roman" w:cs="Times New Roman" w:eastAsia="Times New Roman" w:hint="default"/>
                <w:sz w:val="18"/>
                <w:szCs w:val="18"/>
              </w:rPr>
            </w:pPr>
            <w:r>
              <w:rPr>
                <w:rFonts w:ascii="Times New Roman"/>
                <w:sz w:val="18"/>
              </w:rPr>
              <w:t>.00</w:t>
            </w: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41,816</w:t>
            </w:r>
          </w:p>
          <w:p>
            <w:pPr>
              <w:pStyle w:val="TableParagraph"/>
              <w:spacing w:line="240" w:lineRule="auto" w:before="105"/>
              <w:ind w:right="13"/>
              <w:jc w:val="right"/>
              <w:rPr>
                <w:rFonts w:ascii="Times New Roman" w:hAnsi="Times New Roman" w:cs="Times New Roman" w:eastAsia="Times New Roman" w:hint="default"/>
                <w:sz w:val="18"/>
                <w:szCs w:val="18"/>
              </w:rPr>
            </w:pPr>
            <w:r>
              <w:rPr>
                <w:rFonts w:ascii="Times New Roman"/>
                <w:spacing w:val="-1"/>
                <w:sz w:val="18"/>
              </w:rPr>
              <w:t>,504.2</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,704.2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910.20</w:t>
            </w: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1,032,</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910.20</w:t>
            </w:r>
          </w:p>
        </w:tc>
      </w:tr>
      <w:tr>
        <w:trPr>
          <w:trHeight w:val="701"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163"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4,086,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845.52</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4,086,</w:t>
            </w:r>
          </w:p>
          <w:p>
            <w:pPr>
              <w:pStyle w:val="TableParagraph"/>
              <w:spacing w:line="240" w:lineRule="auto" w:before="110"/>
              <w:ind w:left="57" w:right="0"/>
              <w:jc w:val="left"/>
              <w:rPr>
                <w:rFonts w:ascii="Times New Roman" w:hAnsi="Times New Roman" w:cs="Times New Roman" w:eastAsia="Times New Roman" w:hint="default"/>
                <w:sz w:val="18"/>
                <w:szCs w:val="18"/>
              </w:rPr>
            </w:pPr>
            <w:r>
              <w:rPr>
                <w:rFonts w:ascii="Times New Roman"/>
                <w:sz w:val="18"/>
              </w:rPr>
              <w:t>845.52</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4,086,</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845.52</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13" w:space="0" w:color="D2D2D2"/>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94" w:type="dxa"/>
            <w:vMerge w:val="restart"/>
            <w:tcBorders>
              <w:top w:val="single" w:sz="4" w:space="0" w:color="000000"/>
              <w:left w:val="single" w:sz="10" w:space="0" w:color="D2D2D2"/>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70"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18,670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2"/>
                <w:sz w:val="18"/>
              </w:rPr>
              <w:t>,119.5</w:t>
            </w: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vMerge w:val="restart"/>
            <w:tcBorders>
              <w:top w:val="single" w:sz="4" w:space="0" w:color="000000"/>
              <w:left w:val="single" w:sz="4" w:space="0" w:color="000000"/>
              <w:right w:val="single" w:sz="4" w:space="0" w:color="000000"/>
            </w:tcBorders>
          </w:tcPr>
          <w:p>
            <w:pPr/>
          </w:p>
        </w:tc>
        <w:tc>
          <w:tcPr>
            <w:tcW w:w="586" w:type="dxa"/>
            <w:vMerge w:val="restart"/>
            <w:tcBorders>
              <w:top w:val="single" w:sz="4" w:space="0" w:color="000000"/>
              <w:left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-30,31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4,012.</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35</w:t>
            </w:r>
          </w:p>
        </w:tc>
        <w:tc>
          <w:tcPr>
            <w:tcW w:w="58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Style w:val="TableParagraph"/>
              <w:spacing w:line="240" w:lineRule="auto" w:before="96"/>
              <w:ind w:left="96" w:right="0"/>
              <w:jc w:val="left"/>
              <w:rPr>
                <w:rFonts w:ascii="Times New Roman" w:hAnsi="Times New Roman" w:cs="Times New Roman" w:eastAsia="Times New Roman" w:hint="default"/>
                <w:sz w:val="18"/>
                <w:szCs w:val="18"/>
              </w:rPr>
            </w:pPr>
            <w:r>
              <w:rPr>
                <w:rFonts w:ascii="Times New Roman"/>
                <w:spacing w:val="-3"/>
                <w:sz w:val="18"/>
              </w:rPr>
              <w:t>-11,64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3,892.</w:t>
            </w:r>
          </w:p>
          <w:p>
            <w:pPr>
              <w:pStyle w:val="TableParagraph"/>
              <w:spacing w:line="240" w:lineRule="auto" w:before="109"/>
              <w:ind w:left="374" w:right="0"/>
              <w:jc w:val="left"/>
              <w:rPr>
                <w:rFonts w:ascii="Times New Roman" w:hAnsi="Times New Roman" w:cs="Times New Roman" w:eastAsia="Times New Roman" w:hint="default"/>
                <w:sz w:val="18"/>
                <w:szCs w:val="18"/>
              </w:rPr>
            </w:pPr>
            <w:r>
              <w:rPr>
                <w:rFonts w:ascii="Times New Roman"/>
                <w:sz w:val="18"/>
              </w:rPr>
              <w:t>84</w:t>
            </w:r>
          </w:p>
        </w:tc>
        <w:tc>
          <w:tcPr>
            <w:tcW w:w="58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pacing w:val="-3"/>
                <w:sz w:val="18"/>
              </w:rPr>
              <w:t>-11,64</w:t>
            </w:r>
          </w:p>
          <w:p>
            <w:pPr>
              <w:pStyle w:val="TableParagraph"/>
              <w:spacing w:line="240" w:lineRule="auto" w:before="105"/>
              <w:ind w:left="96" w:right="0"/>
              <w:jc w:val="left"/>
              <w:rPr>
                <w:rFonts w:ascii="Times New Roman" w:hAnsi="Times New Roman" w:cs="Times New Roman" w:eastAsia="Times New Roman" w:hint="default"/>
                <w:sz w:val="18"/>
                <w:szCs w:val="18"/>
              </w:rPr>
            </w:pPr>
            <w:r>
              <w:rPr>
                <w:rFonts w:ascii="Times New Roman"/>
                <w:sz w:val="18"/>
              </w:rPr>
              <w:t>3,892.</w:t>
            </w:r>
          </w:p>
          <w:p>
            <w:pPr>
              <w:pStyle w:val="TableParagraph"/>
              <w:spacing w:line="240" w:lineRule="auto" w:before="109"/>
              <w:ind w:left="369" w:right="0"/>
              <w:jc w:val="left"/>
              <w:rPr>
                <w:rFonts w:ascii="Times New Roman" w:hAnsi="Times New Roman" w:cs="Times New Roman" w:eastAsia="Times New Roman" w:hint="default"/>
                <w:sz w:val="18"/>
                <w:szCs w:val="18"/>
              </w:rPr>
            </w:pPr>
            <w:r>
              <w:rPr>
                <w:rFonts w:ascii="Times New Roman"/>
                <w:sz w:val="18"/>
              </w:rPr>
              <w:t>84</w:t>
            </w:r>
          </w:p>
        </w:tc>
      </w:tr>
      <w:tr>
        <w:trPr>
          <w:trHeight w:val="394" w:hRule="exact"/>
        </w:trPr>
        <w:tc>
          <w:tcPr>
            <w:tcW w:w="1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12"/>
                <w:sz w:val="18"/>
                <w:szCs w:val="18"/>
              </w:rPr>
              <w:t>（三）利润分配</w:t>
            </w:r>
          </w:p>
        </w:tc>
        <w:tc>
          <w:tcPr>
            <w:tcW w:w="494" w:type="dxa"/>
            <w:vMerge/>
            <w:tcBorders>
              <w:left w:val="single" w:sz="10" w:space="0" w:color="D2D2D2"/>
              <w:right w:val="single" w:sz="4" w:space="0" w:color="000000"/>
            </w:tcBorders>
          </w:tcPr>
          <w:p>
            <w:pPr/>
          </w:p>
        </w:tc>
        <w:tc>
          <w:tcPr>
            <w:tcW w:w="466" w:type="dxa"/>
            <w:vMerge/>
            <w:tcBorders>
              <w:left w:val="single" w:sz="4" w:space="0" w:color="000000"/>
              <w:right w:val="single" w:sz="4" w:space="0" w:color="000000"/>
            </w:tcBorders>
          </w:tcPr>
          <w:p>
            <w:pPr/>
          </w:p>
        </w:tc>
        <w:tc>
          <w:tcPr>
            <w:tcW w:w="466" w:type="dxa"/>
            <w:vMerge/>
            <w:tcBorders>
              <w:left w:val="single" w:sz="4" w:space="0" w:color="000000"/>
              <w:right w:val="single" w:sz="4" w:space="0" w:color="000000"/>
            </w:tcBorders>
          </w:tcPr>
          <w:p>
            <w:pPr/>
          </w:p>
        </w:tc>
        <w:tc>
          <w:tcPr>
            <w:tcW w:w="470"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8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r>
      <w:tr>
        <w:trPr>
          <w:trHeight w:val="317" w:hRule="exact"/>
        </w:trPr>
        <w:tc>
          <w:tcPr>
            <w:tcW w:w="1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94" w:type="dxa"/>
            <w:vMerge/>
            <w:tcBorders>
              <w:left w:val="single" w:sz="10" w:space="0" w:color="D2D2D2"/>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70"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8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70"/>
        <w:gridCol w:w="581"/>
        <w:gridCol w:w="586"/>
        <w:gridCol w:w="581"/>
        <w:gridCol w:w="586"/>
        <w:gridCol w:w="586"/>
        <w:gridCol w:w="581"/>
        <w:gridCol w:w="586"/>
        <w:gridCol w:w="586"/>
        <w:gridCol w:w="581"/>
        <w:gridCol w:w="586"/>
        <w:gridCol w:w="576"/>
      </w:tblGrid>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18,670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,119.5</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-18,67</w:t>
            </w:r>
          </w:p>
          <w:p>
            <w:pPr>
              <w:pStyle w:val="TableParagraph"/>
              <w:spacing w:line="240" w:lineRule="auto" w:before="100"/>
              <w:ind w:left="110" w:right="0"/>
              <w:jc w:val="left"/>
              <w:rPr>
                <w:rFonts w:ascii="Times New Roman" w:hAnsi="Times New Roman" w:cs="Times New Roman" w:eastAsia="Times New Roman" w:hint="default"/>
                <w:sz w:val="18"/>
                <w:szCs w:val="18"/>
              </w:rPr>
            </w:pPr>
            <w:r>
              <w:rPr>
                <w:rFonts w:ascii="Times New Roman"/>
                <w:spacing w:val="-3"/>
                <w:sz w:val="18"/>
              </w:rPr>
              <w:t>0,119.</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51</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00" w:lineRule="auto"/>
              <w:ind w:left="24" w:right="17"/>
              <w:jc w:val="left"/>
              <w:rPr>
                <w:rFonts w:ascii="宋体" w:hAnsi="宋体" w:cs="宋体" w:eastAsia="宋体" w:hint="default"/>
                <w:sz w:val="18"/>
                <w:szCs w:val="18"/>
              </w:rPr>
            </w:pPr>
            <w:r>
              <w:rPr>
                <w:rFonts w:ascii="Times New Roman" w:hAnsi="Times New Roman" w:cs="Times New Roman" w:eastAsia="Times New Roman" w:hint="default"/>
                <w:spacing w:val="-21"/>
                <w:w w:val="101"/>
                <w:sz w:val="18"/>
                <w:szCs w:val="18"/>
              </w:rPr>
              <w:t>3</w:t>
            </w:r>
            <w:r>
              <w:rPr>
                <w:rFonts w:ascii="宋体" w:hAnsi="宋体" w:cs="宋体" w:eastAsia="宋体" w:hint="default"/>
                <w:spacing w:val="-21"/>
                <w:w w:val="101"/>
                <w:sz w:val="18"/>
                <w:szCs w:val="18"/>
              </w:rPr>
              <w:t>．对所有者（或</w:t>
            </w:r>
            <w:r>
              <w:rPr>
                <w:rFonts w:ascii="宋体" w:hAnsi="宋体" w:cs="宋体" w:eastAsia="宋体" w:hint="default"/>
                <w:w w:val="101"/>
                <w:sz w:val="18"/>
                <w:szCs w:val="18"/>
              </w:rPr>
              <w:t> </w:t>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5" w:right="0"/>
              <w:jc w:val="left"/>
              <w:rPr>
                <w:rFonts w:ascii="Times New Roman" w:hAnsi="Times New Roman" w:cs="Times New Roman" w:eastAsia="Times New Roman" w:hint="default"/>
                <w:sz w:val="18"/>
                <w:szCs w:val="18"/>
              </w:rPr>
            </w:pPr>
            <w:r>
              <w:rPr>
                <w:rFonts w:ascii="Times New Roman"/>
                <w:spacing w:val="-3"/>
                <w:sz w:val="18"/>
              </w:rPr>
              <w:t>-11,64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3,892.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pacing w:val="-3"/>
                <w:sz w:val="18"/>
              </w:rPr>
              <w:t>-11,64</w:t>
            </w:r>
          </w:p>
          <w:p>
            <w:pPr>
              <w:pStyle w:val="TableParagraph"/>
              <w:spacing w:line="240" w:lineRule="auto" w:before="100"/>
              <w:ind w:left="100" w:right="0"/>
              <w:jc w:val="left"/>
              <w:rPr>
                <w:rFonts w:ascii="Times New Roman" w:hAnsi="Times New Roman" w:cs="Times New Roman" w:eastAsia="Times New Roman" w:hint="default"/>
                <w:sz w:val="18"/>
                <w:szCs w:val="18"/>
              </w:rPr>
            </w:pPr>
            <w:r>
              <w:rPr>
                <w:rFonts w:ascii="Times New Roman"/>
                <w:sz w:val="18"/>
              </w:rPr>
              <w:t>3,892.</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1" w:right="0"/>
              <w:jc w:val="left"/>
              <w:rPr>
                <w:rFonts w:ascii="Times New Roman" w:hAnsi="Times New Roman" w:cs="Times New Roman" w:eastAsia="Times New Roman" w:hint="default"/>
                <w:sz w:val="18"/>
                <w:szCs w:val="18"/>
              </w:rPr>
            </w:pPr>
            <w:r>
              <w:rPr>
                <w:rFonts w:ascii="Times New Roman"/>
                <w:spacing w:val="-3"/>
                <w:sz w:val="18"/>
              </w:rPr>
              <w:t>-11,64</w:t>
            </w:r>
          </w:p>
          <w:p>
            <w:pPr>
              <w:pStyle w:val="TableParagraph"/>
              <w:spacing w:line="240" w:lineRule="auto" w:before="100"/>
              <w:ind w:left="96" w:right="0"/>
              <w:jc w:val="left"/>
              <w:rPr>
                <w:rFonts w:ascii="Times New Roman" w:hAnsi="Times New Roman" w:cs="Times New Roman" w:eastAsia="Times New Roman" w:hint="default"/>
                <w:sz w:val="18"/>
                <w:szCs w:val="18"/>
              </w:rPr>
            </w:pPr>
            <w:r>
              <w:rPr>
                <w:rFonts w:ascii="Times New Roman"/>
                <w:sz w:val="18"/>
              </w:rPr>
              <w:t>3,892.</w:t>
            </w:r>
          </w:p>
          <w:p>
            <w:pPr>
              <w:pStyle w:val="TableParagraph"/>
              <w:spacing w:line="240" w:lineRule="auto" w:before="110"/>
              <w:ind w:left="369" w:right="0"/>
              <w:jc w:val="left"/>
              <w:rPr>
                <w:rFonts w:ascii="Times New Roman" w:hAnsi="Times New Roman" w:cs="Times New Roman" w:eastAsia="Times New Roman" w:hint="default"/>
                <w:sz w:val="18"/>
                <w:szCs w:val="18"/>
              </w:rPr>
            </w:pPr>
            <w:r>
              <w:rPr>
                <w:rFonts w:ascii="Times New Roman"/>
                <w:sz w:val="18"/>
              </w:rPr>
              <w:t>84</w:t>
            </w: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（四）所有者权</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232,8</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77,85</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-232,8</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77,856</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232,8</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77,85</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-232,8</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77,856</w:t>
            </w:r>
          </w:p>
          <w:p>
            <w:pPr>
              <w:pStyle w:val="TableParagraph"/>
              <w:spacing w:line="240" w:lineRule="auto" w:before="110"/>
              <w:ind w:left="327"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4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12"/>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30,309</w:t>
            </w:r>
          </w:p>
          <w:p>
            <w:pPr>
              <w:pStyle w:val="TableParagraph"/>
              <w:spacing w:line="240" w:lineRule="auto" w:before="105"/>
              <w:ind w:left="327" w:right="0"/>
              <w:jc w:val="left"/>
              <w:rPr>
                <w:rFonts w:ascii="Times New Roman" w:hAnsi="Times New Roman" w:cs="Times New Roman" w:eastAsia="Times New Roman" w:hint="default"/>
                <w:sz w:val="18"/>
                <w:szCs w:val="18"/>
              </w:rPr>
            </w:pPr>
            <w:r>
              <w:rPr>
                <w:rFonts w:ascii="Times New Roman"/>
                <w:sz w:val="18"/>
              </w:rPr>
              <w:t>.36</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30,309</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.36</w:t>
            </w:r>
          </w:p>
        </w:tc>
        <w:tc>
          <w:tcPr>
            <w:tcW w:w="58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30,309</w:t>
            </w:r>
          </w:p>
          <w:p>
            <w:pPr>
              <w:pStyle w:val="TableParagraph"/>
              <w:spacing w:line="240" w:lineRule="auto" w:before="105"/>
              <w:ind w:left="321" w:right="0"/>
              <w:jc w:val="left"/>
              <w:rPr>
                <w:rFonts w:ascii="Times New Roman" w:hAnsi="Times New Roman" w:cs="Times New Roman" w:eastAsia="Times New Roman" w:hint="default"/>
                <w:sz w:val="18"/>
                <w:szCs w:val="18"/>
              </w:rPr>
            </w:pPr>
            <w:r>
              <w:rPr>
                <w:rFonts w:ascii="Times New Roman"/>
                <w:sz w:val="18"/>
              </w:rPr>
              <w:t>.36</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12"/>
                <w:sz w:val="18"/>
                <w:szCs w:val="18"/>
              </w:rPr>
              <w:t>四、本期期末余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832,9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75,69</w:t>
            </w:r>
          </w:p>
          <w:p>
            <w:pPr>
              <w:pStyle w:val="TableParagraph"/>
              <w:spacing w:line="240" w:lineRule="auto" w:before="110"/>
              <w:ind w:left="143" w:right="0"/>
              <w:jc w:val="left"/>
              <w:rPr>
                <w:rFonts w:ascii="Times New Roman" w:hAnsi="Times New Roman" w:cs="Times New Roman" w:eastAsia="Times New Roman" w:hint="default"/>
                <w:sz w:val="18"/>
                <w:szCs w:val="18"/>
              </w:rPr>
            </w:pPr>
            <w:r>
              <w:rPr>
                <w:rFonts w:ascii="Times New Roman"/>
                <w:sz w:val="18"/>
              </w:rPr>
              <w:t>8.00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70"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632,98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7,709.</w:t>
            </w:r>
          </w:p>
          <w:p>
            <w:pPr>
              <w:pStyle w:val="TableParagraph"/>
              <w:spacing w:line="240" w:lineRule="auto" w:before="110"/>
              <w:ind w:left="375" w:right="0"/>
              <w:jc w:val="left"/>
              <w:rPr>
                <w:rFonts w:ascii="Times New Roman" w:hAnsi="Times New Roman" w:cs="Times New Roman" w:eastAsia="Times New Roman" w:hint="default"/>
                <w:sz w:val="18"/>
                <w:szCs w:val="18"/>
              </w:rPr>
            </w:pPr>
            <w:r>
              <w:rPr>
                <w:rFonts w:ascii="Times New Roman"/>
                <w:sz w:val="18"/>
              </w:rPr>
              <w:t>44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,704.2</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6,727,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649.59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58,201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,641.9</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581"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532,21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0,224.</w:t>
            </w:r>
          </w:p>
          <w:p>
            <w:pPr>
              <w:pStyle w:val="TableParagraph"/>
              <w:spacing w:line="240" w:lineRule="auto" w:before="110"/>
              <w:ind w:left="374" w:right="0"/>
              <w:jc w:val="left"/>
              <w:rPr>
                <w:rFonts w:ascii="Times New Roman" w:hAnsi="Times New Roman" w:cs="Times New Roman" w:eastAsia="Times New Roman" w:hint="default"/>
                <w:sz w:val="18"/>
                <w:szCs w:val="18"/>
              </w:rPr>
            </w:pPr>
            <w:r>
              <w:rPr>
                <w:rFonts w:ascii="Times New Roman"/>
                <w:sz w:val="18"/>
              </w:rPr>
              <w:t>09</w:t>
            </w:r>
          </w:p>
        </w:tc>
        <w:tc>
          <w:tcPr>
            <w:tcW w:w="58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2,003,</w:t>
            </w:r>
          </w:p>
          <w:p>
            <w:pPr>
              <w:pStyle w:val="TableParagraph"/>
              <w:spacing w:line="240" w:lineRule="auto" w:before="105"/>
              <w:ind w:left="42" w:right="0"/>
              <w:jc w:val="center"/>
              <w:rPr>
                <w:rFonts w:ascii="Times New Roman" w:hAnsi="Times New Roman" w:cs="Times New Roman" w:eastAsia="Times New Roman" w:hint="default"/>
                <w:sz w:val="18"/>
                <w:szCs w:val="18"/>
              </w:rPr>
            </w:pPr>
            <w:r>
              <w:rPr>
                <w:rFonts w:ascii="Times New Roman"/>
                <w:sz w:val="18"/>
              </w:rPr>
              <w:t>383,21</w:t>
            </w:r>
          </w:p>
          <w:p>
            <w:pPr>
              <w:pStyle w:val="TableParagraph"/>
              <w:spacing w:line="240" w:lineRule="auto" w:before="110"/>
              <w:ind w:left="220" w:right="0"/>
              <w:jc w:val="center"/>
              <w:rPr>
                <w:rFonts w:ascii="Times New Roman" w:hAnsi="Times New Roman" w:cs="Times New Roman" w:eastAsia="Times New Roman" w:hint="default"/>
                <w:sz w:val="18"/>
                <w:szCs w:val="18"/>
              </w:rPr>
            </w:pPr>
            <w:r>
              <w:rPr>
                <w:rFonts w:ascii="Times New Roman"/>
                <w:sz w:val="18"/>
              </w:rPr>
              <w:t>8.87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1,742,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489.74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2,005,</w:t>
            </w:r>
          </w:p>
          <w:p>
            <w:pPr>
              <w:pStyle w:val="TableParagraph"/>
              <w:spacing w:line="240" w:lineRule="auto" w:before="105"/>
              <w:ind w:left="38" w:right="0"/>
              <w:jc w:val="center"/>
              <w:rPr>
                <w:rFonts w:ascii="Times New Roman" w:hAnsi="Times New Roman" w:cs="Times New Roman" w:eastAsia="Times New Roman" w:hint="default"/>
                <w:sz w:val="18"/>
                <w:szCs w:val="18"/>
              </w:rPr>
            </w:pPr>
            <w:r>
              <w:rPr>
                <w:rFonts w:ascii="Times New Roman"/>
                <w:sz w:val="18"/>
              </w:rPr>
              <w:t>125,70</w:t>
            </w:r>
          </w:p>
          <w:p>
            <w:pPr>
              <w:pStyle w:val="TableParagraph"/>
              <w:spacing w:line="240" w:lineRule="auto" w:before="110"/>
              <w:ind w:left="215" w:right="0"/>
              <w:jc w:val="center"/>
              <w:rPr>
                <w:rFonts w:ascii="Times New Roman" w:hAnsi="Times New Roman" w:cs="Times New Roman" w:eastAsia="Times New Roman" w:hint="default"/>
                <w:sz w:val="18"/>
                <w:szCs w:val="18"/>
              </w:rPr>
            </w:pPr>
            <w:r>
              <w:rPr>
                <w:rFonts w:ascii="Times New Roman"/>
                <w:sz w:val="18"/>
              </w:rPr>
              <w:t>8.61</w:t>
            </w:r>
          </w:p>
        </w:tc>
      </w:tr>
    </w:tbl>
    <w:p>
      <w:pPr>
        <w:pStyle w:val="BodyText"/>
        <w:spacing w:line="240" w:lineRule="auto" w:before="53"/>
        <w:ind w:right="0"/>
        <w:jc w:val="left"/>
      </w:pPr>
      <w:r>
        <w:rPr/>
        <w:t>上期金额</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15"/>
        <w:gridCol w:w="7063"/>
        <w:gridCol w:w="644"/>
        <w:gridCol w:w="648"/>
      </w:tblGrid>
      <w:tr>
        <w:trPr>
          <w:trHeight w:val="403" w:hRule="exact"/>
        </w:trPr>
        <w:tc>
          <w:tcPr>
            <w:tcW w:w="12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403" w:hRule="exact"/>
        </w:trPr>
        <w:tc>
          <w:tcPr>
            <w:tcW w:w="1215" w:type="dxa"/>
            <w:vMerge/>
            <w:tcBorders>
              <w:left w:val="single" w:sz="4" w:space="0" w:color="000000"/>
              <w:bottom w:val="single" w:sz="4" w:space="0" w:color="000000"/>
              <w:right w:val="single" w:sz="4" w:space="0" w:color="000000"/>
            </w:tcBorders>
            <w:shd w:val="clear" w:color="auto" w:fill="D2D2D2"/>
          </w:tcPr>
          <w:p>
            <w:pPr/>
          </w:p>
        </w:tc>
        <w:tc>
          <w:tcPr>
            <w:tcW w:w="7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48" w:right="0"/>
              <w:jc w:val="left"/>
              <w:rPr>
                <w:rFonts w:ascii="宋体" w:hAnsi="宋体" w:cs="宋体" w:eastAsia="宋体" w:hint="default"/>
                <w:sz w:val="18"/>
                <w:szCs w:val="18"/>
              </w:rPr>
            </w:pPr>
            <w:r>
              <w:rPr>
                <w:rFonts w:ascii="宋体" w:hAnsi="宋体" w:cs="宋体" w:eastAsia="宋体" w:hint="default"/>
                <w:sz w:val="18"/>
                <w:szCs w:val="18"/>
              </w:rPr>
              <w:t>少数股</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52" w:right="0"/>
              <w:jc w:val="left"/>
              <w:rPr>
                <w:rFonts w:ascii="宋体" w:hAnsi="宋体" w:cs="宋体" w:eastAsia="宋体" w:hint="default"/>
                <w:sz w:val="18"/>
                <w:szCs w:val="18"/>
              </w:rPr>
            </w:pPr>
            <w:r>
              <w:rPr>
                <w:rFonts w:ascii="宋体" w:hAnsi="宋体" w:cs="宋体" w:eastAsia="宋体" w:hint="default"/>
                <w:sz w:val="18"/>
                <w:szCs w:val="18"/>
              </w:rPr>
              <w:t>所有者</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1191"/>
        <w:gridCol w:w="502"/>
        <w:gridCol w:w="447"/>
        <w:gridCol w:w="451"/>
        <w:gridCol w:w="490"/>
        <w:gridCol w:w="577"/>
        <w:gridCol w:w="576"/>
        <w:gridCol w:w="576"/>
        <w:gridCol w:w="581"/>
        <w:gridCol w:w="576"/>
        <w:gridCol w:w="576"/>
        <w:gridCol w:w="591"/>
        <w:gridCol w:w="566"/>
        <w:gridCol w:w="566"/>
        <w:gridCol w:w="644"/>
        <w:gridCol w:w="648"/>
      </w:tblGrid>
      <w:tr>
        <w:trPr>
          <w:trHeight w:val="206" w:hRule="exact"/>
        </w:trPr>
        <w:tc>
          <w:tcPr>
            <w:tcW w:w="1191" w:type="dxa"/>
            <w:vMerge w:val="restart"/>
            <w:tcBorders>
              <w:top w:val="single" w:sz="4" w:space="0" w:color="000000"/>
              <w:left w:val="single" w:sz="4" w:space="0" w:color="000000"/>
              <w:right w:val="single" w:sz="4" w:space="0" w:color="000000"/>
            </w:tcBorders>
            <w:shd w:val="clear" w:color="auto" w:fill="D2D2D2"/>
          </w:tcPr>
          <w:p>
            <w:pPr/>
          </w:p>
        </w:tc>
        <w:tc>
          <w:tcPr>
            <w:tcW w:w="502" w:type="dxa"/>
            <w:vMerge w:val="restart"/>
            <w:tcBorders>
              <w:top w:val="single" w:sz="4" w:space="0" w:color="000000"/>
              <w:left w:val="single" w:sz="4" w:space="0" w:color="000000"/>
              <w:right w:val="single" w:sz="4" w:space="0" w:color="000000"/>
            </w:tcBorders>
            <w:shd w:val="clear" w:color="auto" w:fill="D2D2D2"/>
          </w:tcPr>
          <w:p>
            <w:pPr/>
          </w:p>
        </w:tc>
        <w:tc>
          <w:tcPr>
            <w:tcW w:w="138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4"/>
              <w:jc w:val="both"/>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pacing w:val="-86"/>
                <w:sz w:val="18"/>
                <w:szCs w:val="18"/>
              </w:rPr>
              <w:t> </w:t>
            </w:r>
            <w:r>
              <w:rPr>
                <w:rFonts w:ascii="宋体" w:hAnsi="宋体" w:cs="宋体" w:eastAsia="宋体" w:hint="default"/>
                <w:sz w:val="18"/>
                <w:szCs w:val="18"/>
              </w:rPr>
              <w:t>综合</w:t>
            </w:r>
            <w:r>
              <w:rPr>
                <w:rFonts w:ascii="宋体" w:hAnsi="宋体" w:cs="宋体" w:eastAsia="宋体" w:hint="default"/>
                <w:spacing w:val="-86"/>
                <w:sz w:val="18"/>
                <w:szCs w:val="18"/>
              </w:rPr>
              <w:t> </w:t>
            </w:r>
            <w:r>
              <w:rPr>
                <w:rFonts w:ascii="宋体" w:hAnsi="宋体" w:cs="宋体" w:eastAsia="宋体" w:hint="default"/>
                <w:sz w:val="18"/>
                <w:szCs w:val="18"/>
              </w:rPr>
              <w:t>收益</w:t>
            </w:r>
          </w:p>
        </w:tc>
        <w:tc>
          <w:tcPr>
            <w:tcW w:w="581"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5" w:right="95"/>
              <w:jc w:val="both"/>
              <w:rPr>
                <w:rFonts w:ascii="宋体" w:hAnsi="宋体" w:cs="宋体" w:eastAsia="宋体" w:hint="default"/>
                <w:sz w:val="18"/>
                <w:szCs w:val="18"/>
              </w:rPr>
            </w:pPr>
            <w:r>
              <w:rPr>
                <w:rFonts w:ascii="宋体" w:hAnsi="宋体" w:cs="宋体" w:eastAsia="宋体" w:hint="default"/>
                <w:sz w:val="18"/>
                <w:szCs w:val="18"/>
              </w:rPr>
              <w:t>一般</w:t>
            </w:r>
            <w:r>
              <w:rPr>
                <w:rFonts w:ascii="宋体" w:hAnsi="宋体" w:cs="宋体" w:eastAsia="宋体" w:hint="default"/>
                <w:spacing w:val="-86"/>
                <w:sz w:val="18"/>
                <w:szCs w:val="18"/>
              </w:rPr>
              <w:t> </w:t>
            </w:r>
            <w:r>
              <w:rPr>
                <w:rFonts w:ascii="宋体" w:hAnsi="宋体" w:cs="宋体" w:eastAsia="宋体" w:hint="default"/>
                <w:sz w:val="18"/>
                <w:szCs w:val="18"/>
              </w:rPr>
              <w:t>风险</w:t>
            </w:r>
            <w:r>
              <w:rPr>
                <w:rFonts w:ascii="宋体" w:hAnsi="宋体" w:cs="宋体" w:eastAsia="宋体" w:hint="default"/>
                <w:spacing w:val="-86"/>
                <w:sz w:val="18"/>
                <w:szCs w:val="18"/>
              </w:rPr>
              <w:t> </w:t>
            </w:r>
            <w:r>
              <w:rPr>
                <w:rFonts w:ascii="宋体" w:hAnsi="宋体" w:cs="宋体" w:eastAsia="宋体" w:hint="default"/>
                <w:sz w:val="18"/>
                <w:szCs w:val="18"/>
              </w:rPr>
              <w:t>准备</w:t>
            </w:r>
          </w:p>
        </w:tc>
        <w:tc>
          <w:tcPr>
            <w:tcW w:w="59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0" w:right="104"/>
              <w:jc w:val="both"/>
              <w:rPr>
                <w:rFonts w:ascii="宋体" w:hAnsi="宋体" w:cs="宋体" w:eastAsia="宋体" w:hint="default"/>
                <w:sz w:val="18"/>
                <w:szCs w:val="18"/>
              </w:rPr>
            </w:pPr>
            <w:r>
              <w:rPr>
                <w:rFonts w:ascii="宋体" w:hAnsi="宋体" w:cs="宋体" w:eastAsia="宋体" w:hint="default"/>
                <w:sz w:val="18"/>
                <w:szCs w:val="18"/>
              </w:rPr>
              <w:t>未分</w:t>
            </w:r>
            <w:r>
              <w:rPr>
                <w:rFonts w:ascii="宋体" w:hAnsi="宋体" w:cs="宋体" w:eastAsia="宋体" w:hint="default"/>
                <w:spacing w:val="-86"/>
                <w:sz w:val="18"/>
                <w:szCs w:val="18"/>
              </w:rPr>
              <w:t> </w:t>
            </w:r>
            <w:r>
              <w:rPr>
                <w:rFonts w:ascii="宋体" w:hAnsi="宋体" w:cs="宋体" w:eastAsia="宋体" w:hint="default"/>
                <w:sz w:val="18"/>
                <w:szCs w:val="18"/>
              </w:rPr>
              <w:t>配利</w:t>
            </w:r>
            <w:r>
              <w:rPr>
                <w:rFonts w:ascii="宋体" w:hAnsi="宋体" w:cs="宋体" w:eastAsia="宋体" w:hint="default"/>
                <w:spacing w:val="-86"/>
                <w:sz w:val="18"/>
                <w:szCs w:val="18"/>
              </w:rPr>
              <w:t> </w:t>
            </w:r>
            <w:r>
              <w:rPr>
                <w:rFonts w:ascii="宋体" w:hAnsi="宋体" w:cs="宋体" w:eastAsia="宋体" w:hint="default"/>
                <w:sz w:val="18"/>
                <w:szCs w:val="18"/>
              </w:rPr>
              <w:t>润</w:t>
            </w: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
        </w:tc>
        <w:tc>
          <w:tcPr>
            <w:tcW w:w="644" w:type="dxa"/>
            <w:vMerge w:val="restart"/>
            <w:tcBorders>
              <w:top w:val="single" w:sz="4" w:space="0" w:color="000000"/>
              <w:left w:val="single" w:sz="10" w:space="0" w:color="D2D2D2"/>
              <w:right w:val="single" w:sz="4" w:space="0" w:color="000000"/>
            </w:tcBorders>
          </w:tcPr>
          <w:p>
            <w:pPr>
              <w:pStyle w:val="TableParagraph"/>
              <w:spacing w:line="240" w:lineRule="auto" w:before="15"/>
              <w:ind w:left="41" w:right="0"/>
              <w:jc w:val="left"/>
              <w:rPr>
                <w:rFonts w:ascii="宋体" w:hAnsi="宋体" w:cs="宋体" w:eastAsia="宋体" w:hint="default"/>
                <w:sz w:val="18"/>
                <w:szCs w:val="18"/>
              </w:rPr>
            </w:pPr>
            <w:r>
              <w:rPr>
                <w:rFonts w:ascii="宋体" w:hAnsi="宋体" w:cs="宋体" w:eastAsia="宋体" w:hint="default"/>
                <w:sz w:val="18"/>
                <w:szCs w:val="18"/>
              </w:rPr>
              <w:t>东权益</w:t>
            </w:r>
          </w:p>
        </w:tc>
        <w:tc>
          <w:tcPr>
            <w:tcW w:w="648" w:type="dxa"/>
            <w:vMerge w:val="restart"/>
            <w:tcBorders>
              <w:top w:val="single" w:sz="4" w:space="0" w:color="000000"/>
              <w:left w:val="single" w:sz="4" w:space="0" w:color="000000"/>
              <w:right w:val="single" w:sz="4" w:space="0" w:color="000000"/>
            </w:tcBorders>
          </w:tcPr>
          <w:p>
            <w:pPr>
              <w:pStyle w:val="TableParagraph"/>
              <w:spacing w:line="321" w:lineRule="auto" w:before="10"/>
              <w:ind w:left="230" w:right="41" w:hanging="178"/>
              <w:jc w:val="left"/>
              <w:rPr>
                <w:rFonts w:ascii="宋体" w:hAnsi="宋体" w:cs="宋体" w:eastAsia="宋体" w:hint="default"/>
                <w:sz w:val="18"/>
                <w:szCs w:val="18"/>
              </w:rPr>
            </w:pPr>
            <w:r>
              <w:rPr>
                <w:rFonts w:ascii="宋体" w:hAnsi="宋体" w:cs="宋体" w:eastAsia="宋体" w:hint="default"/>
                <w:sz w:val="18"/>
                <w:szCs w:val="18"/>
              </w:rPr>
              <w:t>权益合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73"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1388" w:type="dxa"/>
            <w:gridSpan w:val="3"/>
            <w:vMerge/>
            <w:tcBorders>
              <w:left w:val="single" w:sz="4" w:space="0" w:color="000000"/>
              <w:bottom w:val="single" w:sz="4" w:space="0" w:color="000000"/>
              <w:right w:val="single" w:sz="4" w:space="0" w:color="000000"/>
            </w:tcBorders>
            <w:shd w:val="clear" w:color="auto" w:fill="D2D2D2"/>
          </w:tcPr>
          <w:p>
            <w:pPr/>
          </w:p>
        </w:tc>
        <w:tc>
          <w:tcPr>
            <w:tcW w:w="57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12" w:hanging="82"/>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存股</w:t>
            </w:r>
          </w:p>
        </w:tc>
        <w:tc>
          <w:tcPr>
            <w:tcW w:w="576" w:type="dxa"/>
            <w:vMerge/>
            <w:tcBorders>
              <w:left w:val="single" w:sz="4" w:space="0" w:color="000000"/>
              <w:right w:val="single" w:sz="4" w:space="0" w:color="000000"/>
            </w:tcBorders>
            <w:shd w:val="clear" w:color="auto" w:fill="D2D2D2"/>
          </w:tcPr>
          <w:p>
            <w:pPr/>
          </w:p>
        </w:tc>
        <w:tc>
          <w:tcPr>
            <w:tcW w:w="58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5" w:right="98"/>
              <w:jc w:val="left"/>
              <w:rPr>
                <w:rFonts w:ascii="宋体" w:hAnsi="宋体" w:cs="宋体" w:eastAsia="宋体" w:hint="default"/>
                <w:sz w:val="18"/>
                <w:szCs w:val="18"/>
              </w:rPr>
            </w:pPr>
            <w:r>
              <w:rPr>
                <w:rFonts w:ascii="宋体" w:hAnsi="宋体" w:cs="宋体" w:eastAsia="宋体" w:hint="default"/>
                <w:sz w:val="18"/>
                <w:szCs w:val="18"/>
              </w:rPr>
              <w:t>专项</w:t>
            </w:r>
            <w:r>
              <w:rPr>
                <w:rFonts w:ascii="宋体" w:hAnsi="宋体" w:cs="宋体" w:eastAsia="宋体" w:hint="default"/>
                <w:spacing w:val="-86"/>
                <w:sz w:val="18"/>
                <w:szCs w:val="18"/>
              </w:rPr>
              <w:t> </w:t>
            </w:r>
            <w:r>
              <w:rPr>
                <w:rFonts w:ascii="宋体" w:hAnsi="宋体" w:cs="宋体" w:eastAsia="宋体" w:hint="default"/>
                <w:sz w:val="18"/>
                <w:szCs w:val="18"/>
              </w:rPr>
              <w:t>储备</w:t>
            </w:r>
          </w:p>
        </w:tc>
        <w:tc>
          <w:tcPr>
            <w:tcW w:w="57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0" w:right="99"/>
              <w:jc w:val="left"/>
              <w:rPr>
                <w:rFonts w:ascii="宋体" w:hAnsi="宋体" w:cs="宋体" w:eastAsia="宋体" w:hint="default"/>
                <w:sz w:val="18"/>
                <w:szCs w:val="18"/>
              </w:rPr>
            </w:pPr>
            <w:r>
              <w:rPr>
                <w:rFonts w:ascii="宋体" w:hAnsi="宋体" w:cs="宋体" w:eastAsia="宋体" w:hint="default"/>
                <w:sz w:val="18"/>
                <w:szCs w:val="18"/>
              </w:rPr>
              <w:t>盈余</w:t>
            </w:r>
            <w:r>
              <w:rPr>
                <w:rFonts w:ascii="宋体" w:hAnsi="宋体" w:cs="宋体" w:eastAsia="宋体" w:hint="default"/>
                <w:spacing w:val="-86"/>
                <w:sz w:val="18"/>
                <w:szCs w:val="18"/>
              </w:rPr>
              <w:t> </w:t>
            </w:r>
            <w:r>
              <w:rPr>
                <w:rFonts w:ascii="宋体" w:hAnsi="宋体" w:cs="宋体" w:eastAsia="宋体" w:hint="default"/>
                <w:sz w:val="18"/>
                <w:szCs w:val="18"/>
              </w:rPr>
              <w:t>公积</w:t>
            </w: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10" w:space="0" w:color="D2D2D2"/>
              <w:right w:val="single" w:sz="4" w:space="0" w:color="000000"/>
            </w:tcBorders>
          </w:tcPr>
          <w:p>
            <w:pPr/>
          </w:p>
        </w:tc>
        <w:tc>
          <w:tcPr>
            <w:tcW w:w="648" w:type="dxa"/>
            <w:vMerge/>
            <w:tcBorders>
              <w:left w:val="single" w:sz="4" w:space="0" w:color="000000"/>
              <w:right w:val="single" w:sz="4" w:space="0" w:color="000000"/>
            </w:tcBorders>
          </w:tcPr>
          <w:p>
            <w:pPr/>
          </w:p>
        </w:tc>
      </w:tr>
      <w:tr>
        <w:trPr>
          <w:trHeight w:val="182" w:hRule="exact"/>
        </w:trPr>
        <w:tc>
          <w:tcPr>
            <w:tcW w:w="1191"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6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4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29" w:right="33"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4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7"/>
              <w:ind w:left="129" w:right="36"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490" w:type="dxa"/>
            <w:tcBorders>
              <w:top w:val="single" w:sz="4" w:space="0" w:color="000000"/>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4" w:type="dxa"/>
            <w:vMerge/>
            <w:tcBorders>
              <w:left w:val="single" w:sz="10" w:space="0" w:color="D2D2D2"/>
              <w:right w:val="single" w:sz="4" w:space="0" w:color="000000"/>
            </w:tcBorders>
          </w:tcPr>
          <w:p>
            <w:pPr/>
          </w:p>
        </w:tc>
        <w:tc>
          <w:tcPr>
            <w:tcW w:w="648" w:type="dxa"/>
            <w:vMerge/>
            <w:tcBorders>
              <w:left w:val="single" w:sz="4" w:space="0" w:color="000000"/>
              <w:right w:val="single" w:sz="4" w:space="0" w:color="000000"/>
            </w:tcBorders>
          </w:tcPr>
          <w:p>
            <w:pPr/>
          </w:p>
        </w:tc>
      </w:tr>
      <w:tr>
        <w:trPr>
          <w:trHeight w:val="192" w:hRule="exact"/>
        </w:trPr>
        <w:tc>
          <w:tcPr>
            <w:tcW w:w="1191" w:type="dxa"/>
            <w:vMerge/>
            <w:tcBorders>
              <w:left w:val="single" w:sz="4" w:space="0" w:color="000000"/>
              <w:right w:val="single" w:sz="4" w:space="0" w:color="000000"/>
            </w:tcBorders>
            <w:shd w:val="clear" w:color="auto" w:fill="D2D2D2"/>
          </w:tcPr>
          <w:p>
            <w:pPr/>
          </w:p>
        </w:tc>
        <w:tc>
          <w:tcPr>
            <w:tcW w:w="502" w:type="dxa"/>
            <w:vMerge/>
            <w:tcBorders>
              <w:left w:val="single" w:sz="4" w:space="0" w:color="000000"/>
              <w:bottom w:val="nil" w:sz="6" w:space="0" w:color="auto"/>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7"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644" w:type="dxa"/>
            <w:vMerge/>
            <w:tcBorders>
              <w:left w:val="single" w:sz="10" w:space="0" w:color="D2D2D2"/>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vMerge/>
            <w:tcBorders>
              <w:left w:val="single" w:sz="4" w:space="0" w:color="000000"/>
              <w:right w:val="single" w:sz="4" w:space="0" w:color="000000"/>
            </w:tcBorders>
            <w:shd w:val="clear" w:color="auto" w:fill="D2D2D2"/>
          </w:tcPr>
          <w:p>
            <w:pPr/>
          </w:p>
        </w:tc>
        <w:tc>
          <w:tcPr>
            <w:tcW w:w="502" w:type="dxa"/>
            <w:vMerge w:val="restart"/>
            <w:tcBorders>
              <w:top w:val="nil" w:sz="6" w:space="0" w:color="auto"/>
              <w:left w:val="single" w:sz="4" w:space="0" w:color="000000"/>
              <w:right w:val="single" w:sz="4" w:space="0" w:color="000000"/>
            </w:tcBorders>
            <w:shd w:val="clear" w:color="auto" w:fill="D2D2D2"/>
          </w:tcPr>
          <w:p>
            <w:pPr/>
          </w:p>
        </w:tc>
        <w:tc>
          <w:tcPr>
            <w:tcW w:w="447" w:type="dxa"/>
            <w:vMerge/>
            <w:tcBorders>
              <w:left w:val="single" w:sz="4" w:space="0" w:color="000000"/>
              <w:right w:val="single" w:sz="4" w:space="0" w:color="000000"/>
            </w:tcBorders>
            <w:shd w:val="clear" w:color="auto" w:fill="D2D2D2"/>
          </w:tcPr>
          <w:p>
            <w:pPr/>
          </w:p>
        </w:tc>
        <w:tc>
          <w:tcPr>
            <w:tcW w:w="451" w:type="dxa"/>
            <w:vMerge/>
            <w:tcBorders>
              <w:left w:val="single" w:sz="4" w:space="0" w:color="000000"/>
              <w:right w:val="single" w:sz="4" w:space="0" w:color="000000"/>
            </w:tcBorders>
            <w:shd w:val="clear" w:color="auto" w:fill="D2D2D2"/>
          </w:tcPr>
          <w:p>
            <w:pPr/>
          </w:p>
        </w:tc>
        <w:tc>
          <w:tcPr>
            <w:tcW w:w="490" w:type="dxa"/>
            <w:vMerge/>
            <w:tcBorders>
              <w:left w:val="single" w:sz="4" w:space="0" w:color="000000"/>
              <w:bottom w:val="nil" w:sz="6" w:space="0" w:color="auto"/>
              <w:right w:val="single" w:sz="4" w:space="0" w:color="000000"/>
            </w:tcBorders>
            <w:shd w:val="clear" w:color="auto" w:fill="D2D2D2"/>
          </w:tcPr>
          <w:p>
            <w:pPr/>
          </w:p>
        </w:tc>
        <w:tc>
          <w:tcPr>
            <w:tcW w:w="577"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81"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bottom w:val="nil" w:sz="6" w:space="0" w:color="auto"/>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91" w:type="dxa"/>
            <w:vMerge/>
            <w:tcBorders>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566" w:type="dxa"/>
            <w:vMerge w:val="restart"/>
            <w:tcBorders>
              <w:top w:val="nil" w:sz="6" w:space="0" w:color="auto"/>
              <w:left w:val="single" w:sz="4" w:space="0" w:color="000000"/>
              <w:right w:val="single" w:sz="4" w:space="0" w:color="000000"/>
            </w:tcBorders>
            <w:shd w:val="clear" w:color="auto" w:fill="D2D2D2"/>
          </w:tcPr>
          <w:p>
            <w:pPr/>
          </w:p>
        </w:tc>
        <w:tc>
          <w:tcPr>
            <w:tcW w:w="644" w:type="dxa"/>
            <w:vMerge/>
            <w:tcBorders>
              <w:left w:val="single" w:sz="10" w:space="0" w:color="D2D2D2"/>
              <w:right w:val="single" w:sz="4" w:space="0" w:color="000000"/>
            </w:tcBorders>
          </w:tcPr>
          <w:p>
            <w:pPr/>
          </w:p>
        </w:tc>
        <w:tc>
          <w:tcPr>
            <w:tcW w:w="648" w:type="dxa"/>
            <w:vMerge/>
            <w:tcBorders>
              <w:left w:val="single" w:sz="4" w:space="0" w:color="000000"/>
              <w:right w:val="single" w:sz="4" w:space="0" w:color="000000"/>
            </w:tcBorders>
          </w:tcPr>
          <w:p>
            <w:pPr/>
          </w:p>
        </w:tc>
      </w:tr>
      <w:tr>
        <w:trPr>
          <w:trHeight w:val="202" w:hRule="exact"/>
        </w:trPr>
        <w:tc>
          <w:tcPr>
            <w:tcW w:w="1191" w:type="dxa"/>
            <w:vMerge/>
            <w:tcBorders>
              <w:left w:val="single" w:sz="4" w:space="0" w:color="000000"/>
              <w:bottom w:val="single" w:sz="4" w:space="0" w:color="000000"/>
              <w:right w:val="single" w:sz="4" w:space="0" w:color="000000"/>
            </w:tcBorders>
            <w:shd w:val="clear" w:color="auto" w:fill="D2D2D2"/>
          </w:tcPr>
          <w:p>
            <w:pPr/>
          </w:p>
        </w:tc>
        <w:tc>
          <w:tcPr>
            <w:tcW w:w="502" w:type="dxa"/>
            <w:vMerge/>
            <w:tcBorders>
              <w:left w:val="single" w:sz="4" w:space="0" w:color="000000"/>
              <w:bottom w:val="single" w:sz="4" w:space="0" w:color="000000"/>
              <w:right w:val="single" w:sz="4" w:space="0" w:color="000000"/>
            </w:tcBorders>
            <w:shd w:val="clear" w:color="auto" w:fill="D2D2D2"/>
          </w:tcPr>
          <w:p>
            <w:pPr/>
          </w:p>
        </w:tc>
        <w:tc>
          <w:tcPr>
            <w:tcW w:w="447" w:type="dxa"/>
            <w:vMerge/>
            <w:tcBorders>
              <w:left w:val="single" w:sz="4" w:space="0" w:color="000000"/>
              <w:bottom w:val="single" w:sz="4" w:space="0" w:color="000000"/>
              <w:right w:val="single" w:sz="4" w:space="0" w:color="000000"/>
            </w:tcBorders>
            <w:shd w:val="clear" w:color="auto" w:fill="D2D2D2"/>
          </w:tcPr>
          <w:p>
            <w:pPr/>
          </w:p>
        </w:tc>
        <w:tc>
          <w:tcPr>
            <w:tcW w:w="451" w:type="dxa"/>
            <w:vMerge/>
            <w:tcBorders>
              <w:left w:val="single" w:sz="4" w:space="0" w:color="000000"/>
              <w:bottom w:val="single" w:sz="4" w:space="0" w:color="000000"/>
              <w:right w:val="single" w:sz="4" w:space="0" w:color="000000"/>
            </w:tcBorders>
            <w:shd w:val="clear" w:color="auto" w:fill="D2D2D2"/>
          </w:tcPr>
          <w:p>
            <w:pPr/>
          </w:p>
        </w:tc>
        <w:tc>
          <w:tcPr>
            <w:tcW w:w="490" w:type="dxa"/>
            <w:tcBorders>
              <w:top w:val="nil" w:sz="6" w:space="0" w:color="auto"/>
              <w:left w:val="single" w:sz="4" w:space="0" w:color="000000"/>
              <w:bottom w:val="single" w:sz="4" w:space="0" w:color="000000"/>
              <w:right w:val="single" w:sz="4" w:space="0" w:color="000000"/>
            </w:tcBorders>
            <w:shd w:val="clear" w:color="auto" w:fill="D2D2D2"/>
          </w:tcPr>
          <w:p>
            <w:pPr/>
          </w:p>
        </w:tc>
        <w:tc>
          <w:tcPr>
            <w:tcW w:w="57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81"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tcBorders>
              <w:top w:val="nil" w:sz="6" w:space="0" w:color="auto"/>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91"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644" w:type="dxa"/>
            <w:vMerge/>
            <w:tcBorders>
              <w:left w:val="single" w:sz="10" w:space="0" w:color="D2D2D2"/>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323,4</w:t>
            </w:r>
          </w:p>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41,46</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8.00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100"/>
              <w:ind w:left="68" w:right="0"/>
              <w:jc w:val="center"/>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0"/>
              <w:ind w:left="28" w:right="0"/>
              <w:jc w:val="center"/>
              <w:rPr>
                <w:rFonts w:ascii="Times New Roman" w:hAnsi="Times New Roman" w:cs="Times New Roman" w:eastAsia="Times New Roman" w:hint="default"/>
                <w:sz w:val="18"/>
                <w:szCs w:val="18"/>
              </w:rPr>
            </w:pPr>
            <w:r>
              <w:rPr>
                <w:rFonts w:ascii="Times New Roman"/>
                <w:sz w:val="18"/>
              </w:rPr>
              <w:t>685,08</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0.32</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21" w:space="0" w:color="D2D2D2"/>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37,020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,745.4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76" w:type="dxa"/>
            <w:vMerge w:val="restart"/>
            <w:tcBorders>
              <w:top w:val="single" w:sz="21" w:space="0" w:color="D2D2D2"/>
              <w:left w:val="single" w:sz="4" w:space="0" w:color="000000"/>
              <w:right w:val="single" w:sz="4" w:space="0" w:color="000000"/>
            </w:tcBorders>
          </w:tcPr>
          <w:p>
            <w:pPr/>
          </w:p>
        </w:tc>
        <w:tc>
          <w:tcPr>
            <w:tcW w:w="591" w:type="dxa"/>
            <w:vMerge w:val="restart"/>
            <w:tcBorders>
              <w:top w:val="single" w:sz="21" w:space="0" w:color="D2D2D2"/>
              <w:left w:val="single" w:sz="4" w:space="0" w:color="000000"/>
              <w:right w:val="single" w:sz="4" w:space="0" w:color="000000"/>
            </w:tcBorders>
          </w:tcPr>
          <w:p>
            <w:pPr>
              <w:pStyle w:val="TableParagraph"/>
              <w:spacing w:line="240" w:lineRule="auto" w:before="79"/>
              <w:ind w:left="62" w:right="0"/>
              <w:jc w:val="left"/>
              <w:rPr>
                <w:rFonts w:ascii="Times New Roman" w:hAnsi="Times New Roman" w:cs="Times New Roman" w:eastAsia="Times New Roman" w:hint="default"/>
                <w:sz w:val="18"/>
                <w:szCs w:val="18"/>
              </w:rPr>
            </w:pPr>
            <w:r>
              <w:rPr>
                <w:rFonts w:ascii="Times New Roman"/>
                <w:sz w:val="18"/>
              </w:rPr>
              <w:t>483,69</w:t>
            </w:r>
          </w:p>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0,805.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90</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100"/>
              <w:ind w:left="59" w:right="0"/>
              <w:jc w:val="center"/>
              <w:rPr>
                <w:rFonts w:ascii="Times New Roman" w:hAnsi="Times New Roman" w:cs="Times New Roman" w:eastAsia="Times New Roman" w:hint="default"/>
                <w:sz w:val="18"/>
                <w:szCs w:val="18"/>
              </w:rPr>
            </w:pPr>
            <w:r>
              <w:rPr>
                <w:rFonts w:ascii="Times New Roman"/>
                <w:sz w:val="18"/>
              </w:rPr>
              <w:t>1,922,</w:t>
            </w:r>
          </w:p>
          <w:p>
            <w:pPr>
              <w:pStyle w:val="TableParagraph"/>
              <w:spacing w:line="240" w:lineRule="auto" w:before="100"/>
              <w:ind w:left="19" w:right="0"/>
              <w:jc w:val="center"/>
              <w:rPr>
                <w:rFonts w:ascii="Times New Roman" w:hAnsi="Times New Roman" w:cs="Times New Roman" w:eastAsia="Times New Roman" w:hint="default"/>
                <w:sz w:val="18"/>
                <w:szCs w:val="18"/>
              </w:rPr>
            </w:pPr>
            <w:r>
              <w:rPr>
                <w:rFonts w:ascii="Times New Roman"/>
                <w:sz w:val="18"/>
              </w:rPr>
              <w:t>838,09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9.64</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2,087,7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41.59</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1,924,9</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25,841.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23</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一、上年期末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82" w:firstLine="360"/>
              <w:jc w:val="left"/>
              <w:rPr>
                <w:rFonts w:ascii="宋体" w:hAnsi="宋体" w:cs="宋体" w:eastAsia="宋体" w:hint="default"/>
                <w:sz w:val="18"/>
                <w:szCs w:val="18"/>
              </w:rPr>
            </w:pPr>
            <w:r>
              <w:rPr>
                <w:rFonts w:ascii="宋体" w:hAnsi="宋体" w:cs="宋体" w:eastAsia="宋体" w:hint="default"/>
                <w:sz w:val="18"/>
                <w:szCs w:val="18"/>
              </w:rPr>
              <w:t>加：会计</w:t>
            </w:r>
            <w:r>
              <w:rPr>
                <w:rFonts w:ascii="宋体" w:hAnsi="宋体" w:cs="宋体" w:eastAsia="宋体" w:hint="default"/>
                <w:w w:val="101"/>
                <w:sz w:val="18"/>
                <w:szCs w:val="18"/>
              </w:rPr>
              <w:t> </w:t>
            </w:r>
            <w:r>
              <w:rPr>
                <w:rFonts w:ascii="宋体" w:hAnsi="宋体" w:cs="宋体" w:eastAsia="宋体" w:hint="default"/>
                <w:sz w:val="18"/>
                <w:szCs w:val="18"/>
              </w:rPr>
              <w:t>政策变更</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2"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82" w:firstLine="720"/>
              <w:jc w:val="both"/>
              <w:rPr>
                <w:rFonts w:ascii="宋体" w:hAnsi="宋体" w:cs="宋体" w:eastAsia="宋体" w:hint="default"/>
                <w:sz w:val="18"/>
                <w:szCs w:val="18"/>
              </w:rPr>
            </w:pPr>
            <w:r>
              <w:rPr>
                <w:rFonts w:ascii="宋体" w:hAnsi="宋体" w:cs="宋体" w:eastAsia="宋体" w:hint="default"/>
                <w:sz w:val="18"/>
                <w:szCs w:val="18"/>
              </w:rPr>
              <w:t>同一</w:t>
            </w:r>
            <w:r>
              <w:rPr>
                <w:rFonts w:ascii="宋体" w:hAnsi="宋体" w:cs="宋体" w:eastAsia="宋体" w:hint="default"/>
                <w:w w:val="101"/>
                <w:sz w:val="18"/>
                <w:szCs w:val="18"/>
              </w:rPr>
              <w:t> </w:t>
            </w:r>
            <w:r>
              <w:rPr>
                <w:rFonts w:ascii="宋体" w:hAnsi="宋体" w:cs="宋体" w:eastAsia="宋体" w:hint="default"/>
                <w:spacing w:val="-2"/>
                <w:sz w:val="18"/>
                <w:szCs w:val="18"/>
              </w:rPr>
              <w:t>控制下企业合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并</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323,4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41,46</w:t>
            </w:r>
          </w:p>
          <w:p>
            <w:pPr>
              <w:pStyle w:val="TableParagraph"/>
              <w:spacing w:line="240" w:lineRule="auto" w:before="110"/>
              <w:ind w:left="144" w:right="0"/>
              <w:jc w:val="left"/>
              <w:rPr>
                <w:rFonts w:ascii="Times New Roman" w:hAnsi="Times New Roman" w:cs="Times New Roman" w:eastAsia="Times New Roman" w:hint="default"/>
                <w:sz w:val="18"/>
                <w:szCs w:val="18"/>
              </w:rPr>
            </w:pPr>
            <w:r>
              <w:rPr>
                <w:rFonts w:ascii="Times New Roman"/>
                <w:sz w:val="18"/>
              </w:rPr>
              <w:t>8.00</w:t>
            </w: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6"/>
              <w:ind w:left="68" w:right="0"/>
              <w:jc w:val="center"/>
              <w:rPr>
                <w:rFonts w:ascii="Times New Roman" w:hAnsi="Times New Roman" w:cs="Times New Roman" w:eastAsia="Times New Roman" w:hint="default"/>
                <w:sz w:val="18"/>
                <w:szCs w:val="18"/>
              </w:rPr>
            </w:pPr>
            <w:r>
              <w:rPr>
                <w:rFonts w:ascii="Times New Roman"/>
                <w:sz w:val="18"/>
              </w:rPr>
              <w:t>1,078,</w:t>
            </w:r>
          </w:p>
          <w:p>
            <w:pPr>
              <w:pStyle w:val="TableParagraph"/>
              <w:spacing w:line="240" w:lineRule="auto" w:before="105"/>
              <w:ind w:left="28" w:right="0"/>
              <w:jc w:val="center"/>
              <w:rPr>
                <w:rFonts w:ascii="Times New Roman" w:hAnsi="Times New Roman" w:cs="Times New Roman" w:eastAsia="Times New Roman" w:hint="default"/>
                <w:sz w:val="18"/>
                <w:szCs w:val="18"/>
              </w:rPr>
            </w:pPr>
            <w:r>
              <w:rPr>
                <w:rFonts w:ascii="Times New Roman"/>
                <w:sz w:val="18"/>
              </w:rPr>
              <w:t>685,08</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0.32</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,745.4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483,69</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0,805.</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90</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1,922,</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838,09</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9.64</w:t>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2,087,7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41.59</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1,924,9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25,841.</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23</w:t>
            </w:r>
          </w:p>
        </w:tc>
      </w:tr>
      <w:tr>
        <w:trPr>
          <w:trHeight w:val="70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82"/>
              <w:jc w:val="left"/>
              <w:rPr>
                <w:rFonts w:ascii="宋体" w:hAnsi="宋体" w:cs="宋体" w:eastAsia="宋体" w:hint="default"/>
                <w:sz w:val="18"/>
                <w:szCs w:val="18"/>
              </w:rPr>
            </w:pPr>
            <w:r>
              <w:rPr>
                <w:rFonts w:ascii="宋体" w:hAnsi="宋体" w:cs="宋体" w:eastAsia="宋体" w:hint="default"/>
                <w:spacing w:val="-2"/>
                <w:sz w:val="18"/>
                <w:szCs w:val="18"/>
              </w:rPr>
              <w:t>二、本年期初</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340"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4"/>
              <w:ind w:left="11" w:right="82"/>
              <w:jc w:val="both"/>
              <w:rPr>
                <w:rFonts w:ascii="宋体" w:hAnsi="宋体" w:cs="宋体" w:eastAsia="宋体" w:hint="default"/>
                <w:sz w:val="18"/>
                <w:szCs w:val="18"/>
              </w:rPr>
            </w:pPr>
            <w:r>
              <w:rPr>
                <w:rFonts w:ascii="宋体" w:hAnsi="宋体" w:cs="宋体" w:eastAsia="宋体" w:hint="default"/>
                <w:spacing w:val="-2"/>
                <w:sz w:val="18"/>
                <w:szCs w:val="18"/>
              </w:rPr>
              <w:t>三、本期增减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变动金额（减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6"/>
                <w:sz w:val="18"/>
                <w:szCs w:val="18"/>
              </w:rPr>
              <w:t> </w:t>
            </w:r>
            <w:r>
              <w:rPr>
                <w:rFonts w:ascii="宋体" w:hAnsi="宋体" w:cs="宋体" w:eastAsia="宋体" w:hint="default"/>
                <w:sz w:val="18"/>
                <w:szCs w:val="18"/>
              </w:rPr>
              <w:t>列）</w:t>
            </w:r>
          </w:p>
        </w:tc>
        <w:tc>
          <w:tcPr>
            <w:tcW w:w="5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258,7</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53,17</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-258,7</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53,174</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-1,546,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918.82</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2,510,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777.06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16,188</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,600.1</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17,152</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,458.3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101" w:right="0"/>
              <w:jc w:val="left"/>
              <w:rPr>
                <w:rFonts w:ascii="Times New Roman" w:hAnsi="Times New Roman" w:cs="Times New Roman" w:eastAsia="Times New Roman" w:hint="default"/>
                <w:sz w:val="18"/>
                <w:szCs w:val="18"/>
              </w:rPr>
            </w:pPr>
            <w:r>
              <w:rPr>
                <w:rFonts w:ascii="Times New Roman"/>
                <w:sz w:val="18"/>
              </w:rPr>
              <w:t>-1,498,</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323.57</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15,654,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134.79</w:t>
            </w:r>
          </w:p>
        </w:tc>
      </w:tr>
      <w:tr>
        <w:trPr>
          <w:trHeight w:val="158"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3"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-1,546,</w:t>
            </w:r>
          </w:p>
          <w:p>
            <w:pPr>
              <w:pStyle w:val="TableParagraph"/>
              <w:spacing w:line="240" w:lineRule="auto" w:before="110"/>
              <w:ind w:left="52" w:right="0"/>
              <w:jc w:val="left"/>
              <w:rPr>
                <w:rFonts w:ascii="Times New Roman" w:hAnsi="Times New Roman" w:cs="Times New Roman" w:eastAsia="Times New Roman" w:hint="default"/>
                <w:sz w:val="18"/>
                <w:szCs w:val="18"/>
              </w:rPr>
            </w:pPr>
            <w:r>
              <w:rPr>
                <w:rFonts w:ascii="Times New Roman"/>
                <w:sz w:val="18"/>
              </w:rPr>
              <w:t>918.82</w:t>
            </w: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51,043</w:t>
            </w:r>
          </w:p>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,523.9</w:t>
            </w:r>
          </w:p>
          <w:p>
            <w:pPr>
              <w:pStyle w:val="TableParagraph"/>
              <w:spacing w:line="240" w:lineRule="auto" w:before="110"/>
              <w:ind w:right="22"/>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49,496</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,605.1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64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-834,71</w:t>
            </w:r>
          </w:p>
          <w:p>
            <w:pPr>
              <w:pStyle w:val="TableParagraph"/>
              <w:spacing w:line="240" w:lineRule="auto" w:before="110"/>
              <w:ind w:left="293" w:right="0"/>
              <w:jc w:val="left"/>
              <w:rPr>
                <w:rFonts w:ascii="Times New Roman" w:hAnsi="Times New Roman" w:cs="Times New Roman" w:eastAsia="Times New Roman" w:hint="default"/>
                <w:sz w:val="18"/>
                <w:szCs w:val="18"/>
              </w:rPr>
            </w:pPr>
            <w:r>
              <w:rPr>
                <w:rFonts w:ascii="Times New Roman"/>
                <w:sz w:val="18"/>
              </w:rPr>
              <w:t>4.69</w:t>
            </w: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48,661,</w:t>
            </w:r>
          </w:p>
          <w:p>
            <w:pPr>
              <w:pStyle w:val="TableParagraph"/>
              <w:spacing w:line="240" w:lineRule="auto" w:before="110"/>
              <w:ind w:left="124" w:right="0"/>
              <w:jc w:val="left"/>
              <w:rPr>
                <w:rFonts w:ascii="Times New Roman" w:hAnsi="Times New Roman" w:cs="Times New Roman" w:eastAsia="Times New Roman" w:hint="default"/>
                <w:sz w:val="18"/>
                <w:szCs w:val="18"/>
              </w:rPr>
            </w:pPr>
            <w:r>
              <w:rPr>
                <w:rFonts w:ascii="Times New Roman"/>
                <w:sz w:val="18"/>
              </w:rPr>
              <w:t>890.47</w:t>
            </w:r>
          </w:p>
        </w:tc>
      </w:tr>
      <w:tr>
        <w:trPr>
          <w:trHeight w:val="706"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24" w:lineRule="auto" w:before="54"/>
              <w:ind w:left="11" w:right="82"/>
              <w:jc w:val="left"/>
              <w:rPr>
                <w:rFonts w:ascii="宋体" w:hAnsi="宋体" w:cs="宋体" w:eastAsia="宋体" w:hint="default"/>
                <w:sz w:val="18"/>
                <w:szCs w:val="18"/>
              </w:rPr>
            </w:pPr>
            <w:r>
              <w:rPr>
                <w:rFonts w:ascii="宋体" w:hAnsi="宋体" w:cs="宋体" w:eastAsia="宋体" w:hint="default"/>
                <w:spacing w:val="-2"/>
                <w:sz w:val="18"/>
                <w:szCs w:val="18"/>
              </w:rPr>
              <w:t>（一）综合收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益总额</w:t>
            </w:r>
          </w:p>
        </w:tc>
        <w:tc>
          <w:tcPr>
            <w:tcW w:w="502" w:type="dxa"/>
            <w:vMerge/>
            <w:tcBorders>
              <w:left w:val="single" w:sz="13"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58"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3"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r>
        <w:trPr>
          <w:trHeight w:val="1027"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82"/>
              <w:jc w:val="both"/>
              <w:rPr>
                <w:rFonts w:ascii="宋体" w:hAnsi="宋体" w:cs="宋体" w:eastAsia="宋体" w:hint="default"/>
                <w:sz w:val="18"/>
                <w:szCs w:val="18"/>
              </w:rPr>
            </w:pPr>
            <w:r>
              <w:rPr>
                <w:rFonts w:ascii="宋体" w:hAnsi="宋体" w:cs="宋体" w:eastAsia="宋体" w:hint="default"/>
                <w:spacing w:val="-2"/>
                <w:sz w:val="18"/>
                <w:szCs w:val="18"/>
              </w:rPr>
              <w:t>（二）所有者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投入和减少资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本</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-663,60</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8.88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-663,60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8.88</w:t>
            </w:r>
          </w:p>
        </w:tc>
      </w:tr>
      <w:tr>
        <w:trPr>
          <w:trHeight w:val="716"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4"/>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的普通股</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3" w:right="0"/>
              <w:jc w:val="left"/>
              <w:rPr>
                <w:rFonts w:ascii="Times New Roman" w:hAnsi="Times New Roman" w:cs="Times New Roman" w:eastAsia="Times New Roman" w:hint="default"/>
                <w:sz w:val="18"/>
                <w:szCs w:val="18"/>
              </w:rPr>
            </w:pPr>
            <w:r>
              <w:rPr>
                <w:rFonts w:ascii="Times New Roman"/>
                <w:sz w:val="18"/>
              </w:rPr>
              <w:t>-663,60</w:t>
            </w:r>
          </w:p>
          <w:p>
            <w:pPr>
              <w:pStyle w:val="TableParagraph"/>
              <w:spacing w:line="240" w:lineRule="auto" w:before="110"/>
              <w:ind w:left="293" w:right="0"/>
              <w:jc w:val="left"/>
              <w:rPr>
                <w:rFonts w:ascii="Times New Roman" w:hAnsi="Times New Roman" w:cs="Times New Roman" w:eastAsia="Times New Roman" w:hint="default"/>
                <w:sz w:val="18"/>
                <w:szCs w:val="18"/>
              </w:rPr>
            </w:pPr>
            <w:r>
              <w:rPr>
                <w:rFonts w:ascii="Times New Roman"/>
                <w:sz w:val="18"/>
              </w:rPr>
              <w:t>8.88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-663,60</w:t>
            </w:r>
          </w:p>
          <w:p>
            <w:pPr>
              <w:pStyle w:val="TableParagraph"/>
              <w:spacing w:line="240" w:lineRule="auto" w:before="110"/>
              <w:ind w:left="302" w:right="0"/>
              <w:jc w:val="left"/>
              <w:rPr>
                <w:rFonts w:ascii="Times New Roman" w:hAnsi="Times New Roman" w:cs="Times New Roman" w:eastAsia="Times New Roman" w:hint="default"/>
                <w:sz w:val="18"/>
                <w:szCs w:val="18"/>
              </w:rPr>
            </w:pPr>
            <w:r>
              <w:rPr>
                <w:rFonts w:ascii="Times New Roman"/>
                <w:sz w:val="18"/>
              </w:rPr>
              <w:t>8.88</w:t>
            </w:r>
          </w:p>
        </w:tc>
      </w:tr>
      <w:tr>
        <w:trPr>
          <w:trHeight w:val="1027"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11" w:right="5"/>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02" w:type="dxa"/>
            <w:tcBorders>
              <w:top w:val="single" w:sz="4" w:space="0" w:color="000000"/>
              <w:left w:val="single" w:sz="13" w:space="0" w:color="D2D2D2"/>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502" w:type="dxa"/>
            <w:vMerge w:val="restart"/>
            <w:tcBorders>
              <w:top w:val="single" w:sz="4" w:space="0" w:color="000000"/>
              <w:left w:val="single" w:sz="10" w:space="0" w:color="D2D2D2"/>
              <w:right w:val="single" w:sz="4" w:space="0" w:color="000000"/>
            </w:tcBorders>
          </w:tcPr>
          <w:p>
            <w:pPr/>
          </w:p>
        </w:tc>
        <w:tc>
          <w:tcPr>
            <w:tcW w:w="447" w:type="dxa"/>
            <w:vMerge w:val="restart"/>
            <w:tcBorders>
              <w:top w:val="single" w:sz="4" w:space="0" w:color="000000"/>
              <w:left w:val="single" w:sz="4" w:space="0" w:color="000000"/>
              <w:right w:val="single" w:sz="4" w:space="0" w:color="000000"/>
            </w:tcBorders>
          </w:tcPr>
          <w:p>
            <w:pPr/>
          </w:p>
        </w:tc>
        <w:tc>
          <w:tcPr>
            <w:tcW w:w="451" w:type="dxa"/>
            <w:vMerge w:val="restart"/>
            <w:tcBorders>
              <w:top w:val="single" w:sz="4" w:space="0" w:color="000000"/>
              <w:left w:val="single" w:sz="4" w:space="0" w:color="000000"/>
              <w:right w:val="single" w:sz="4" w:space="0" w:color="000000"/>
            </w:tcBorders>
          </w:tcPr>
          <w:p>
            <w:pPr/>
          </w:p>
        </w:tc>
        <w:tc>
          <w:tcPr>
            <w:tcW w:w="490"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8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2,510,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777.06</w:t>
            </w:r>
          </w:p>
        </w:tc>
        <w:tc>
          <w:tcPr>
            <w:tcW w:w="576" w:type="dxa"/>
            <w:vMerge w:val="restart"/>
            <w:tcBorders>
              <w:top w:val="single" w:sz="4" w:space="0" w:color="000000"/>
              <w:left w:val="single" w:sz="4" w:space="0" w:color="000000"/>
              <w:right w:val="single" w:sz="4" w:space="0" w:color="000000"/>
            </w:tcBorders>
          </w:tcPr>
          <w:p>
            <w:pPr/>
          </w:p>
        </w:tc>
        <w:tc>
          <w:tcPr>
            <w:tcW w:w="591" w:type="dxa"/>
            <w:vMerge w:val="restart"/>
            <w:tcBorders>
              <w:top w:val="single" w:sz="4" w:space="0" w:color="000000"/>
              <w:left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-34,85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4,923.</w:t>
            </w:r>
          </w:p>
          <w:p>
            <w:pPr>
              <w:pStyle w:val="TableParagraph"/>
              <w:spacing w:line="240" w:lineRule="auto" w:before="109"/>
              <w:ind w:left="379" w:right="0"/>
              <w:jc w:val="left"/>
              <w:rPr>
                <w:rFonts w:ascii="Times New Roman" w:hAnsi="Times New Roman" w:cs="Times New Roman" w:eastAsia="Times New Roman" w:hint="default"/>
                <w:sz w:val="18"/>
                <w:szCs w:val="18"/>
              </w:rPr>
            </w:pPr>
            <w:r>
              <w:rPr>
                <w:rFonts w:ascii="Times New Roman"/>
                <w:sz w:val="18"/>
              </w:rPr>
              <w:t>86</w:t>
            </w:r>
          </w:p>
        </w:tc>
        <w:tc>
          <w:tcPr>
            <w:tcW w:w="566"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-32,34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4,146.</w:t>
            </w:r>
          </w:p>
          <w:p>
            <w:pPr>
              <w:pStyle w:val="TableParagraph"/>
              <w:spacing w:line="240" w:lineRule="auto" w:before="109"/>
              <w:ind w:left="355" w:right="0"/>
              <w:jc w:val="left"/>
              <w:rPr>
                <w:rFonts w:ascii="Times New Roman" w:hAnsi="Times New Roman" w:cs="Times New Roman" w:eastAsia="Times New Roman" w:hint="default"/>
                <w:sz w:val="18"/>
                <w:szCs w:val="18"/>
              </w:rPr>
            </w:pPr>
            <w:r>
              <w:rPr>
                <w:rFonts w:ascii="Times New Roman"/>
                <w:sz w:val="18"/>
              </w:rPr>
              <w:t>80</w:t>
            </w:r>
          </w:p>
        </w:tc>
        <w:tc>
          <w:tcPr>
            <w:tcW w:w="644" w:type="dxa"/>
            <w:vMerge w:val="restart"/>
            <w:tcBorders>
              <w:top w:val="single" w:sz="4" w:space="0" w:color="000000"/>
              <w:left w:val="single" w:sz="4" w:space="0" w:color="000000"/>
              <w:right w:val="single" w:sz="4" w:space="0" w:color="000000"/>
            </w:tcBorders>
          </w:tcPr>
          <w:p>
            <w:pPr/>
          </w:p>
        </w:tc>
        <w:tc>
          <w:tcPr>
            <w:tcW w:w="64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,146.80</w:t>
            </w:r>
          </w:p>
        </w:tc>
      </w:tr>
      <w:tr>
        <w:trPr>
          <w:trHeight w:val="701" w:hRule="exact"/>
        </w:trPr>
        <w:tc>
          <w:tcPr>
            <w:tcW w:w="1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4"/>
              <w:ind w:left="11" w:right="82"/>
              <w:jc w:val="left"/>
              <w:rPr>
                <w:rFonts w:ascii="宋体" w:hAnsi="宋体" w:cs="宋体" w:eastAsia="宋体" w:hint="default"/>
                <w:sz w:val="18"/>
                <w:szCs w:val="18"/>
              </w:rPr>
            </w:pPr>
            <w:r>
              <w:rPr>
                <w:rFonts w:ascii="宋体" w:hAnsi="宋体" w:cs="宋体" w:eastAsia="宋体" w:hint="default"/>
                <w:spacing w:val="-2"/>
                <w:sz w:val="18"/>
                <w:szCs w:val="18"/>
              </w:rPr>
              <w:t>（三）利润分</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配</w:t>
            </w:r>
          </w:p>
        </w:tc>
        <w:tc>
          <w:tcPr>
            <w:tcW w:w="502" w:type="dxa"/>
            <w:vMerge/>
            <w:tcBorders>
              <w:left w:val="single" w:sz="10" w:space="0" w:color="D2D2D2"/>
              <w:right w:val="single" w:sz="4" w:space="0" w:color="000000"/>
            </w:tcBorders>
          </w:tcPr>
          <w:p>
            <w:pPr/>
          </w:p>
        </w:tc>
        <w:tc>
          <w:tcPr>
            <w:tcW w:w="447" w:type="dxa"/>
            <w:vMerge/>
            <w:tcBorders>
              <w:left w:val="single" w:sz="4" w:space="0" w:color="000000"/>
              <w:right w:val="single" w:sz="4" w:space="0" w:color="000000"/>
            </w:tcBorders>
          </w:tcPr>
          <w:p>
            <w:pPr/>
          </w:p>
        </w:tc>
        <w:tc>
          <w:tcPr>
            <w:tcW w:w="451" w:type="dxa"/>
            <w:vMerge/>
            <w:tcBorders>
              <w:left w:val="single" w:sz="4" w:space="0" w:color="000000"/>
              <w:right w:val="single" w:sz="4" w:space="0" w:color="000000"/>
            </w:tcBorders>
          </w:tcPr>
          <w:p>
            <w:pPr/>
          </w:p>
        </w:tc>
        <w:tc>
          <w:tcPr>
            <w:tcW w:w="490"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8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91"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4" w:type="dxa"/>
            <w:vMerge/>
            <w:tcBorders>
              <w:left w:val="single" w:sz="4" w:space="0" w:color="000000"/>
              <w:right w:val="single" w:sz="4" w:space="0" w:color="000000"/>
            </w:tcBorders>
          </w:tcPr>
          <w:p>
            <w:pPr/>
          </w:p>
        </w:tc>
        <w:tc>
          <w:tcPr>
            <w:tcW w:w="648" w:type="dxa"/>
            <w:vMerge/>
            <w:tcBorders>
              <w:left w:val="single" w:sz="4" w:space="0" w:color="000000"/>
              <w:right w:val="single" w:sz="4" w:space="0" w:color="000000"/>
            </w:tcBorders>
          </w:tcPr>
          <w:p>
            <w:pPr/>
          </w:p>
        </w:tc>
      </w:tr>
      <w:tr>
        <w:trPr>
          <w:trHeight w:val="163" w:hRule="exact"/>
        </w:trPr>
        <w:tc>
          <w:tcPr>
            <w:tcW w:w="1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502" w:type="dxa"/>
            <w:vMerge/>
            <w:tcBorders>
              <w:left w:val="single" w:sz="10" w:space="0" w:color="D2D2D2"/>
              <w:bottom w:val="single" w:sz="4" w:space="0" w:color="000000"/>
              <w:right w:val="single" w:sz="4" w:space="0" w:color="000000"/>
            </w:tcBorders>
          </w:tcPr>
          <w:p>
            <w:pPr/>
          </w:p>
        </w:tc>
        <w:tc>
          <w:tcPr>
            <w:tcW w:w="447" w:type="dxa"/>
            <w:vMerge/>
            <w:tcBorders>
              <w:left w:val="single" w:sz="4" w:space="0" w:color="000000"/>
              <w:bottom w:val="single" w:sz="4" w:space="0" w:color="000000"/>
              <w:right w:val="single" w:sz="4" w:space="0" w:color="000000"/>
            </w:tcBorders>
          </w:tcPr>
          <w:p>
            <w:pPr/>
          </w:p>
        </w:tc>
        <w:tc>
          <w:tcPr>
            <w:tcW w:w="451" w:type="dxa"/>
            <w:vMerge/>
            <w:tcBorders>
              <w:left w:val="single" w:sz="4" w:space="0" w:color="000000"/>
              <w:bottom w:val="single" w:sz="4" w:space="0" w:color="000000"/>
              <w:right w:val="single" w:sz="4" w:space="0" w:color="000000"/>
            </w:tcBorders>
          </w:tcPr>
          <w:p>
            <w:pPr/>
          </w:p>
        </w:tc>
        <w:tc>
          <w:tcPr>
            <w:tcW w:w="490"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8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91"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4" w:type="dxa"/>
            <w:vMerge/>
            <w:tcBorders>
              <w:left w:val="single" w:sz="4" w:space="0" w:color="000000"/>
              <w:bottom w:val="single" w:sz="4" w:space="0" w:color="000000"/>
              <w:right w:val="single" w:sz="4" w:space="0" w:color="000000"/>
            </w:tcBorders>
          </w:tcPr>
          <w:p>
            <w:pPr/>
          </w:p>
        </w:tc>
        <w:tc>
          <w:tcPr>
            <w:tcW w:w="648"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15"/>
        <w:gridCol w:w="490"/>
        <w:gridCol w:w="447"/>
        <w:gridCol w:w="451"/>
        <w:gridCol w:w="490"/>
        <w:gridCol w:w="577"/>
        <w:gridCol w:w="576"/>
        <w:gridCol w:w="576"/>
        <w:gridCol w:w="581"/>
        <w:gridCol w:w="576"/>
        <w:gridCol w:w="576"/>
        <w:gridCol w:w="591"/>
        <w:gridCol w:w="566"/>
        <w:gridCol w:w="566"/>
        <w:gridCol w:w="644"/>
        <w:gridCol w:w="648"/>
      </w:tblGrid>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2,510,</w:t>
            </w:r>
          </w:p>
          <w:p>
            <w:pPr>
              <w:pStyle w:val="TableParagraph"/>
              <w:spacing w:line="240" w:lineRule="auto" w:before="105"/>
              <w:ind w:left="47" w:right="0"/>
              <w:jc w:val="left"/>
              <w:rPr>
                <w:rFonts w:ascii="Times New Roman" w:hAnsi="Times New Roman" w:cs="Times New Roman" w:eastAsia="Times New Roman" w:hint="default"/>
                <w:sz w:val="18"/>
                <w:szCs w:val="18"/>
              </w:rPr>
            </w:pPr>
            <w:r>
              <w:rPr>
                <w:rFonts w:ascii="Times New Roman"/>
                <w:sz w:val="18"/>
              </w:rPr>
              <w:t>777.06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-2,510,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777.06</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58"/>
              <w:ind w:left="24" w:right="94"/>
              <w:jc w:val="left"/>
              <w:rPr>
                <w:rFonts w:ascii="宋体" w:hAnsi="宋体" w:cs="宋体" w:eastAsia="宋体" w:hint="default"/>
                <w:sz w:val="18"/>
                <w:szCs w:val="18"/>
              </w:rPr>
            </w:pPr>
            <w:r>
              <w:rPr>
                <w:rFonts w:ascii="宋体" w:hAnsi="宋体" w:cs="宋体" w:eastAsia="宋体" w:hint="default"/>
                <w:spacing w:val="-2"/>
                <w:sz w:val="18"/>
                <w:szCs w:val="18"/>
              </w:rPr>
              <w:t>（或股东）的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-32,34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4,146.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80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-32,34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4,146.</w:t>
            </w:r>
          </w:p>
          <w:p>
            <w:pPr>
              <w:pStyle w:val="TableParagraph"/>
              <w:spacing w:line="240" w:lineRule="auto" w:before="110"/>
              <w:ind w:left="355" w:right="0"/>
              <w:jc w:val="left"/>
              <w:rPr>
                <w:rFonts w:ascii="Times New Roman" w:hAnsi="Times New Roman" w:cs="Times New Roman" w:eastAsia="Times New Roman" w:hint="default"/>
                <w:sz w:val="18"/>
                <w:szCs w:val="18"/>
              </w:rPr>
            </w:pPr>
            <w:r>
              <w:rPr>
                <w:rFonts w:ascii="Times New Roman"/>
                <w:sz w:val="18"/>
              </w:rPr>
              <w:t>80</w:t>
            </w: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,146.80</w:t>
            </w: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（四）所有者</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258,7</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53,17</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-258,7</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53,174</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258,7</w:t>
            </w:r>
          </w:p>
          <w:p>
            <w:pPr>
              <w:pStyle w:val="TableParagraph"/>
              <w:spacing w:line="240" w:lineRule="auto" w:before="100"/>
              <w:ind w:left="52" w:right="0"/>
              <w:jc w:val="left"/>
              <w:rPr>
                <w:rFonts w:ascii="Times New Roman" w:hAnsi="Times New Roman" w:cs="Times New Roman" w:eastAsia="Times New Roman" w:hint="default"/>
                <w:sz w:val="18"/>
                <w:szCs w:val="18"/>
              </w:rPr>
            </w:pPr>
            <w:r>
              <w:rPr>
                <w:rFonts w:ascii="Times New Roman"/>
                <w:sz w:val="18"/>
              </w:rPr>
              <w:t>53,17</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4.00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-258,7</w:t>
            </w:r>
          </w:p>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53,174</w:t>
            </w:r>
          </w:p>
          <w:p>
            <w:pPr>
              <w:pStyle w:val="TableParagraph"/>
              <w:spacing w:line="240" w:lineRule="auto" w:before="110"/>
              <w:ind w:left="317"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95"/>
              <w:jc w:val="left"/>
              <w:rPr>
                <w:rFonts w:ascii="宋体" w:hAnsi="宋体" w:cs="宋体" w:eastAsia="宋体" w:hint="default"/>
                <w:sz w:val="18"/>
                <w:szCs w:val="18"/>
              </w:rPr>
            </w:pPr>
            <w:r>
              <w:rPr>
                <w:rFonts w:ascii="宋体" w:hAnsi="宋体" w:cs="宋体" w:eastAsia="宋体" w:hint="default"/>
                <w:spacing w:val="-2"/>
                <w:sz w:val="18"/>
                <w:szCs w:val="18"/>
              </w:rPr>
              <w:t>（五）专项储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4"/>
                <w:sz w:val="18"/>
                <w:szCs w:val="18"/>
              </w:rPr>
              <w:t>（六）其他</w:t>
            </w:r>
            <w:r>
              <w:rPr>
                <w:rFonts w:ascii="宋体" w:hAnsi="宋体" w:cs="宋体" w:eastAsia="宋体" w:hint="default"/>
                <w:sz w:val="18"/>
                <w:szCs w:val="18"/>
              </w:rPr>
            </w:r>
          </w:p>
        </w:tc>
        <w:tc>
          <w:tcPr>
            <w:tcW w:w="490" w:type="dxa"/>
            <w:tcBorders>
              <w:top w:val="single" w:sz="4" w:space="0" w:color="000000"/>
              <w:left w:val="single" w:sz="4" w:space="0" w:color="000000"/>
              <w:bottom w:val="single" w:sz="4" w:space="0" w:color="000000"/>
              <w:right w:val="single" w:sz="4" w:space="0" w:color="000000"/>
            </w:tcBorders>
          </w:tcPr>
          <w:p>
            <w:pP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316" w:lineRule="auto"/>
              <w:ind w:left="24" w:right="94"/>
              <w:jc w:val="left"/>
              <w:rPr>
                <w:rFonts w:ascii="宋体" w:hAnsi="宋体" w:cs="宋体" w:eastAsia="宋体" w:hint="default"/>
                <w:sz w:val="18"/>
                <w:szCs w:val="18"/>
              </w:rPr>
            </w:pPr>
            <w:r>
              <w:rPr>
                <w:rFonts w:ascii="宋体" w:hAnsi="宋体" w:cs="宋体" w:eastAsia="宋体" w:hint="default"/>
                <w:spacing w:val="-2"/>
                <w:sz w:val="18"/>
                <w:szCs w:val="18"/>
              </w:rPr>
              <w:t>四、本期期末</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582,1</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94,64</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2.00</w:t>
            </w:r>
          </w:p>
        </w:tc>
        <w:tc>
          <w:tcPr>
            <w:tcW w:w="447" w:type="dxa"/>
            <w:tcBorders>
              <w:top w:val="single" w:sz="4" w:space="0" w:color="000000"/>
              <w:left w:val="single" w:sz="4" w:space="0" w:color="000000"/>
              <w:bottom w:val="single" w:sz="4" w:space="0" w:color="000000"/>
              <w:right w:val="single" w:sz="4" w:space="0" w:color="000000"/>
            </w:tcBorders>
          </w:tcPr>
          <w:p>
            <w:pPr/>
          </w:p>
        </w:tc>
        <w:tc>
          <w:tcPr>
            <w:tcW w:w="451" w:type="dxa"/>
            <w:tcBorders>
              <w:top w:val="single" w:sz="4" w:space="0" w:color="000000"/>
              <w:left w:val="single" w:sz="4" w:space="0" w:color="000000"/>
              <w:bottom w:val="single" w:sz="4" w:space="0" w:color="000000"/>
              <w:right w:val="single" w:sz="4" w:space="0" w:color="000000"/>
            </w:tcBorders>
          </w:tcPr>
          <w:p>
            <w:pPr/>
          </w:p>
        </w:tc>
        <w:tc>
          <w:tcPr>
            <w:tcW w:w="490"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819,93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1,906.</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32</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-1,546,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918.82</w:t>
            </w:r>
          </w:p>
        </w:tc>
        <w:tc>
          <w:tcPr>
            <w:tcW w:w="58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39,531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,522.4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499,87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9,406.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02</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1,939,</w:t>
            </w:r>
          </w:p>
          <w:p>
            <w:pPr>
              <w:pStyle w:val="TableParagraph"/>
              <w:spacing w:line="240" w:lineRule="auto" w:before="105"/>
              <w:ind w:left="19" w:right="0"/>
              <w:jc w:val="center"/>
              <w:rPr>
                <w:rFonts w:ascii="Times New Roman" w:hAnsi="Times New Roman" w:cs="Times New Roman" w:eastAsia="Times New Roman" w:hint="default"/>
                <w:sz w:val="18"/>
                <w:szCs w:val="18"/>
              </w:rPr>
            </w:pPr>
            <w:r>
              <w:rPr>
                <w:rFonts w:ascii="Times New Roman"/>
                <w:sz w:val="18"/>
              </w:rPr>
              <w:t>990,55</w:t>
            </w:r>
          </w:p>
          <w:p>
            <w:pPr>
              <w:pStyle w:val="TableParagraph"/>
              <w:spacing w:line="240" w:lineRule="auto" w:before="110"/>
              <w:ind w:left="196" w:right="0"/>
              <w:jc w:val="center"/>
              <w:rPr>
                <w:rFonts w:ascii="Times New Roman" w:hAnsi="Times New Roman" w:cs="Times New Roman" w:eastAsia="Times New Roman" w:hint="default"/>
                <w:sz w:val="18"/>
                <w:szCs w:val="18"/>
              </w:rPr>
            </w:pPr>
            <w:r>
              <w:rPr>
                <w:rFonts w:ascii="Times New Roman"/>
                <w:sz w:val="18"/>
              </w:rPr>
              <w:t>8.00</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589,418</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.02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1,940,5</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79,976.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2783" w:right="3752"/>
        <w:jc w:val="center"/>
      </w:pPr>
      <w:r>
        <w:rPr/>
        <w:t>本期金额</w:t>
      </w:r>
    </w:p>
    <w:p>
      <w:pPr>
        <w:spacing w:after="0" w:line="240" w:lineRule="auto"/>
        <w:jc w:val="center"/>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5"/>
        <w:gridCol w:w="605"/>
        <w:gridCol w:w="605"/>
        <w:gridCol w:w="725"/>
        <w:gridCol w:w="725"/>
        <w:gridCol w:w="730"/>
        <w:gridCol w:w="725"/>
        <w:gridCol w:w="725"/>
        <w:gridCol w:w="614"/>
        <w:gridCol w:w="711"/>
        <w:gridCol w:w="864"/>
      </w:tblGrid>
      <w:tr>
        <w:trPr>
          <w:trHeight w:val="40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826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年度</w:t>
            </w:r>
            <w:r>
              <w:rPr>
                <w:rFonts w:ascii="宋体" w:hAnsi="宋体" w:cs="宋体" w:eastAsia="宋体" w:hint="default"/>
                <w:sz w:val="18"/>
                <w:szCs w:val="18"/>
              </w:rPr>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68" w:right="79" w:hanging="178"/>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69" w:right="12" w:hanging="246"/>
              <w:jc w:val="left"/>
              <w:rPr>
                <w:rFonts w:ascii="宋体" w:hAnsi="宋体" w:cs="宋体" w:eastAsia="宋体" w:hint="default"/>
                <w:sz w:val="18"/>
                <w:szCs w:val="18"/>
              </w:rPr>
            </w:pPr>
            <w:r>
              <w:rPr>
                <w:rFonts w:ascii="宋体" w:hAnsi="宋体" w:cs="宋体" w:eastAsia="宋体" w:hint="default"/>
                <w:spacing w:val="-14"/>
                <w:sz w:val="18"/>
                <w:szCs w:val="18"/>
              </w:rPr>
              <w:t>减：库存</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w:t>
            </w:r>
          </w:p>
        </w:tc>
        <w:tc>
          <w:tcPr>
            <w:tcW w:w="7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91" w:right="84"/>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68" w:right="79" w:hanging="178"/>
              <w:jc w:val="left"/>
              <w:rPr>
                <w:rFonts w:ascii="宋体" w:hAnsi="宋体" w:cs="宋体" w:eastAsia="宋体" w:hint="default"/>
                <w:sz w:val="18"/>
                <w:szCs w:val="18"/>
              </w:rPr>
            </w:pPr>
            <w:r>
              <w:rPr>
                <w:rFonts w:ascii="宋体" w:hAnsi="宋体" w:cs="宋体" w:eastAsia="宋体" w:hint="default"/>
                <w:sz w:val="18"/>
                <w:szCs w:val="18"/>
              </w:rPr>
              <w:t>专项储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备</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68" w:right="80" w:hanging="178"/>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9" w:right="26" w:hanging="87"/>
              <w:jc w:val="left"/>
              <w:rPr>
                <w:rFonts w:ascii="宋体" w:hAnsi="宋体" w:cs="宋体" w:eastAsia="宋体" w:hint="default"/>
                <w:sz w:val="18"/>
                <w:szCs w:val="18"/>
              </w:rPr>
            </w:pPr>
            <w:r>
              <w:rPr>
                <w:rFonts w:ascii="宋体" w:hAnsi="宋体" w:cs="宋体" w:eastAsia="宋体" w:hint="default"/>
                <w:sz w:val="18"/>
                <w:szCs w:val="18"/>
              </w:rPr>
              <w:t>未分配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利润</w:t>
            </w:r>
          </w:p>
        </w:tc>
        <w:tc>
          <w:tcPr>
            <w:tcW w:w="711" w:type="dxa"/>
            <w:tcBorders>
              <w:top w:val="single" w:sz="4" w:space="0" w:color="000000"/>
              <w:left w:val="single" w:sz="4" w:space="0" w:color="000000"/>
              <w:bottom w:val="nil" w:sz="6" w:space="0" w:color="auto"/>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8" w:right="60"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93" w:hRule="exact"/>
        </w:trPr>
        <w:tc>
          <w:tcPr>
            <w:tcW w:w="1294" w:type="dxa"/>
            <w:vMerge/>
            <w:tcBorders>
              <w:left w:val="single" w:sz="4" w:space="0" w:color="000000"/>
              <w:bottom w:val="nil" w:sz="6" w:space="0" w:color="auto"/>
              <w:right w:val="single" w:sz="4" w:space="0" w:color="000000"/>
            </w:tcBorders>
            <w:shd w:val="clear" w:color="auto" w:fill="D2D2D2"/>
          </w:tcPr>
          <w:p>
            <w:pPr/>
          </w:p>
        </w:tc>
        <w:tc>
          <w:tcPr>
            <w:tcW w:w="6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5" w:type="dxa"/>
            <w:gridSpan w:val="3"/>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6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2D2D2"/>
          </w:tcPr>
          <w:p>
            <w:pPr/>
          </w:p>
        </w:tc>
      </w:tr>
      <w:tr>
        <w:trPr>
          <w:trHeight w:val="202" w:hRule="exact"/>
        </w:trPr>
        <w:tc>
          <w:tcPr>
            <w:tcW w:w="1294" w:type="dxa"/>
            <w:vMerge w:val="restart"/>
            <w:tcBorders>
              <w:top w:val="nil" w:sz="6" w:space="0" w:color="auto"/>
              <w:left w:val="single" w:sz="4" w:space="0" w:color="000000"/>
              <w:right w:val="single" w:sz="4" w:space="0" w:color="000000"/>
            </w:tcBorders>
            <w:shd w:val="clear" w:color="auto" w:fill="D2D2D2"/>
          </w:tcPr>
          <w:p>
            <w:pPr/>
          </w:p>
        </w:tc>
        <w:tc>
          <w:tcPr>
            <w:tcW w:w="629" w:type="dxa"/>
            <w:vMerge/>
            <w:tcBorders>
              <w:left w:val="single" w:sz="4" w:space="0" w:color="000000"/>
              <w:bottom w:val="nil" w:sz="6" w:space="0" w:color="auto"/>
              <w:right w:val="single" w:sz="4" w:space="0" w:color="000000"/>
            </w:tcBorders>
            <w:shd w:val="clear" w:color="auto" w:fill="D2D2D2"/>
          </w:tcPr>
          <w:p>
            <w:pP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8"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614" w:type="dxa"/>
            <w:vMerge/>
            <w:tcBorders>
              <w:left w:val="single" w:sz="4" w:space="0" w:color="000000"/>
              <w:right w:val="single" w:sz="4" w:space="0" w:color="000000"/>
            </w:tcBorders>
            <w:shd w:val="clear" w:color="auto" w:fill="D2D2D2"/>
          </w:tcPr>
          <w:p>
            <w:pPr/>
          </w:p>
        </w:tc>
        <w:tc>
          <w:tcPr>
            <w:tcW w:w="71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r>
      <w:tr>
        <w:trPr>
          <w:trHeight w:val="182" w:hRule="exact"/>
        </w:trPr>
        <w:tc>
          <w:tcPr>
            <w:tcW w:w="1294" w:type="dxa"/>
            <w:vMerge/>
            <w:tcBorders>
              <w:left w:val="single" w:sz="4" w:space="0" w:color="000000"/>
              <w:bottom w:val="single" w:sz="4" w:space="0" w:color="000000"/>
              <w:right w:val="single" w:sz="4" w:space="0" w:color="000000"/>
            </w:tcBorders>
            <w:shd w:val="clear" w:color="auto" w:fill="D2D2D2"/>
          </w:tcPr>
          <w:p>
            <w:pPr/>
          </w:p>
        </w:tc>
        <w:tc>
          <w:tcPr>
            <w:tcW w:w="6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60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614" w:type="dxa"/>
            <w:vMerge/>
            <w:tcBorders>
              <w:left w:val="single" w:sz="4" w:space="0" w:color="000000"/>
              <w:bottom w:val="single" w:sz="4" w:space="0" w:color="000000"/>
              <w:right w:val="single" w:sz="4" w:space="0" w:color="000000"/>
            </w:tcBorders>
            <w:shd w:val="clear" w:color="auto" w:fill="D2D2D2"/>
          </w:tcPr>
          <w:p>
            <w:pPr/>
          </w:p>
        </w:tc>
        <w:tc>
          <w:tcPr>
            <w:tcW w:w="711" w:type="dxa"/>
            <w:tcBorders>
              <w:top w:val="nil" w:sz="6" w:space="0" w:color="auto"/>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r>
      <w:tr>
        <w:trPr>
          <w:trHeight w:val="182"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Style w:val="TableParagraph"/>
              <w:spacing w:line="240" w:lineRule="auto" w:before="120"/>
              <w:ind w:right="17"/>
              <w:jc w:val="right"/>
              <w:rPr>
                <w:rFonts w:ascii="Times New Roman" w:hAnsi="Times New Roman" w:cs="Times New Roman" w:eastAsia="Times New Roman" w:hint="default"/>
                <w:sz w:val="18"/>
                <w:szCs w:val="18"/>
              </w:rPr>
            </w:pPr>
            <w:r>
              <w:rPr>
                <w:rFonts w:ascii="Times New Roman"/>
                <w:spacing w:val="-1"/>
                <w:sz w:val="18"/>
              </w:rPr>
              <w:t>582,19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4,642.0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820,043,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583.73</w:t>
            </w:r>
          </w:p>
        </w:tc>
        <w:tc>
          <w:tcPr>
            <w:tcW w:w="725" w:type="dxa"/>
            <w:vMerge w:val="restart"/>
            <w:tcBorders>
              <w:top w:val="single" w:sz="19" w:space="0" w:color="D2D2D2"/>
              <w:left w:val="single" w:sz="4" w:space="0" w:color="000000"/>
              <w:right w:val="single" w:sz="4" w:space="0" w:color="000000"/>
            </w:tcBorders>
          </w:tcPr>
          <w:p>
            <w:pPr/>
          </w:p>
        </w:tc>
        <w:tc>
          <w:tcPr>
            <w:tcW w:w="730"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-1,504,4</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35.41</w:t>
            </w:r>
          </w:p>
        </w:tc>
        <w:tc>
          <w:tcPr>
            <w:tcW w:w="725" w:type="dxa"/>
            <w:vMerge w:val="restart"/>
            <w:tcBorders>
              <w:top w:val="single" w:sz="19" w:space="0" w:color="D2D2D2"/>
              <w:left w:val="single" w:sz="4" w:space="0" w:color="000000"/>
              <w:right w:val="single" w:sz="4" w:space="0" w:color="000000"/>
            </w:tcBorders>
          </w:tcPr>
          <w:p>
            <w:pPr/>
          </w:p>
        </w:tc>
        <w:tc>
          <w:tcPr>
            <w:tcW w:w="725"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39,531,5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22.48</w:t>
            </w:r>
          </w:p>
        </w:tc>
        <w:tc>
          <w:tcPr>
            <w:tcW w:w="614" w:type="dxa"/>
            <w:vMerge w:val="restart"/>
            <w:tcBorders>
              <w:top w:val="single" w:sz="19" w:space="0" w:color="D2D2D2"/>
              <w:left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176,98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4,775.6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9" w:space="0" w:color="D2D2D2"/>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1,617,250,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088.42</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一、上年期末余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17" w:firstLine="360"/>
              <w:jc w:val="left"/>
              <w:rPr>
                <w:rFonts w:ascii="宋体" w:hAnsi="宋体" w:cs="宋体" w:eastAsia="宋体" w:hint="default"/>
                <w:sz w:val="18"/>
                <w:szCs w:val="18"/>
              </w:rPr>
            </w:pPr>
            <w:r>
              <w:rPr>
                <w:rFonts w:ascii="宋体" w:hAnsi="宋体" w:cs="宋体" w:eastAsia="宋体" w:hint="default"/>
                <w:spacing w:val="-4"/>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85"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59"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3"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582,19</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4,642.0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820,043,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583.73</w:t>
            </w: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-1,504,4</w:t>
            </w:r>
          </w:p>
          <w:p>
            <w:pPr>
              <w:pStyle w:val="TableParagraph"/>
              <w:spacing w:line="240" w:lineRule="auto" w:before="105"/>
              <w:ind w:left="273" w:right="0"/>
              <w:jc w:val="center"/>
              <w:rPr>
                <w:rFonts w:ascii="Times New Roman" w:hAnsi="Times New Roman" w:cs="Times New Roman" w:eastAsia="Times New Roman" w:hint="default"/>
                <w:sz w:val="18"/>
                <w:szCs w:val="18"/>
              </w:rPr>
            </w:pPr>
            <w:r>
              <w:rPr>
                <w:rFonts w:ascii="Times New Roman"/>
                <w:sz w:val="18"/>
              </w:rPr>
              <w:t>35.41</w:t>
            </w: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39,531,5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22.48</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176,98</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4,775.6</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1,617,250,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088.42</w:t>
            </w:r>
          </w:p>
        </w:tc>
      </w:tr>
      <w:tr>
        <w:trPr>
          <w:trHeight w:val="706"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二、本年期初余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vMerge/>
            <w:tcBorders>
              <w:left w:val="single" w:sz="13"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3"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
              <w:jc w:val="both"/>
              <w:rPr>
                <w:rFonts w:ascii="宋体" w:hAnsi="宋体" w:cs="宋体" w:eastAsia="宋体" w:hint="default"/>
                <w:sz w:val="18"/>
                <w:szCs w:val="18"/>
              </w:rPr>
            </w:pPr>
            <w:r>
              <w:rPr>
                <w:rFonts w:ascii="宋体" w:hAnsi="宋体" w:cs="宋体" w:eastAsia="宋体" w:hint="default"/>
                <w:spacing w:val="-4"/>
                <w:sz w:val="18"/>
                <w:szCs w:val="18"/>
              </w:rPr>
              <w:t>三、本期增减变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动金额（减少以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1,056.0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-186,944</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,196.88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59,719,7</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04.24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7,249,59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8.86</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18,670,1</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19.51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7,182.7</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186,424,0</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56.00</w:t>
            </w:r>
          </w:p>
        </w:tc>
      </w:tr>
      <w:tr>
        <w:trPr>
          <w:trHeight w:val="163"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0"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7,249,59</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8.86</w:t>
            </w: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186,70</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1,195.1</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193,950,7</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93.96</w:t>
            </w:r>
          </w:p>
        </w:tc>
      </w:tr>
      <w:tr>
        <w:trPr>
          <w:trHeight w:val="701"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（一）综合收益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总额</w:t>
            </w:r>
          </w:p>
        </w:tc>
        <w:tc>
          <w:tcPr>
            <w:tcW w:w="629" w:type="dxa"/>
            <w:vMerge/>
            <w:tcBorders>
              <w:left w:val="single" w:sz="10"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3"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0"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（二）所有者投</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17,903,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45,903,3</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49.76</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59,719,7</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04.24</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4,086,845.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r>
        <w:trPr>
          <w:trHeight w:val="710"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6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17,903,</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200.00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41,816,5</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04.24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59,719,7</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04.24</w:t>
            </w: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4,086,84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5.52</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4,086,845.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52</w:t>
            </w:r>
          </w:p>
        </w:tc>
      </w:tr>
      <w:tr>
        <w:trPr>
          <w:trHeight w:val="404"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629" w:type="dxa"/>
            <w:vMerge w:val="restart"/>
            <w:tcBorders>
              <w:top w:val="single" w:sz="4" w:space="0" w:color="000000"/>
              <w:left w:val="single" w:sz="13" w:space="0" w:color="D2D2D2"/>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60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30"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18,670,1</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19.51</w:t>
            </w:r>
          </w:p>
        </w:tc>
        <w:tc>
          <w:tcPr>
            <w:tcW w:w="614" w:type="dxa"/>
            <w:vMerge w:val="restart"/>
            <w:tcBorders>
              <w:top w:val="single" w:sz="4" w:space="0" w:color="000000"/>
              <w:left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-30,314</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,012.35</w:t>
            </w:r>
          </w:p>
        </w:tc>
        <w:tc>
          <w:tcPr>
            <w:tcW w:w="711"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-11,643,89</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2.84</w:t>
            </w:r>
          </w:p>
        </w:tc>
      </w:tr>
      <w:tr>
        <w:trPr>
          <w:trHeight w:val="394" w:hRule="exact"/>
        </w:trPr>
        <w:tc>
          <w:tcPr>
            <w:tcW w:w="1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4"/>
                <w:sz w:val="18"/>
                <w:szCs w:val="18"/>
              </w:rPr>
              <w:t>（三）利润分配</w:t>
            </w:r>
          </w:p>
        </w:tc>
        <w:tc>
          <w:tcPr>
            <w:tcW w:w="629" w:type="dxa"/>
            <w:vMerge/>
            <w:tcBorders>
              <w:left w:val="single" w:sz="13" w:space="0" w:color="D2D2D2"/>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60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3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711"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58" w:hRule="exact"/>
        </w:trPr>
        <w:tc>
          <w:tcPr>
            <w:tcW w:w="1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629" w:type="dxa"/>
            <w:vMerge/>
            <w:tcBorders>
              <w:left w:val="single" w:sz="13" w:space="0" w:color="D2D2D2"/>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60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3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711"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5"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18,670,1</w:t>
            </w:r>
          </w:p>
          <w:p>
            <w:pPr>
              <w:pStyle w:val="TableParagraph"/>
              <w:spacing w:line="240" w:lineRule="auto" w:before="110"/>
              <w:ind w:left="292" w:right="0"/>
              <w:jc w:val="left"/>
              <w:rPr>
                <w:rFonts w:ascii="Times New Roman" w:hAnsi="Times New Roman" w:cs="Times New Roman" w:eastAsia="Times New Roman" w:hint="default"/>
                <w:sz w:val="18"/>
                <w:szCs w:val="18"/>
              </w:rPr>
            </w:pPr>
            <w:r>
              <w:rPr>
                <w:rFonts w:ascii="Times New Roman"/>
                <w:sz w:val="18"/>
              </w:rPr>
              <w:t>19.51</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-30,314</w:t>
            </w:r>
          </w:p>
          <w:p>
            <w:pPr>
              <w:pStyle w:val="TableParagraph"/>
              <w:spacing w:line="240" w:lineRule="auto" w:before="110"/>
              <w:ind w:left="43" w:right="0"/>
              <w:jc w:val="left"/>
              <w:rPr>
                <w:rFonts w:ascii="Times New Roman" w:hAnsi="Times New Roman" w:cs="Times New Roman" w:eastAsia="Times New Roman" w:hint="default"/>
                <w:sz w:val="18"/>
                <w:szCs w:val="18"/>
              </w:rPr>
            </w:pPr>
            <w:r>
              <w:rPr>
                <w:rFonts w:ascii="Times New Roman"/>
                <w:sz w:val="18"/>
              </w:rPr>
              <w:t>,012.35</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11" w:right="17"/>
              <w:jc w:val="left"/>
              <w:rPr>
                <w:rFonts w:ascii="宋体" w:hAnsi="宋体" w:cs="宋体" w:eastAsia="宋体" w:hint="default"/>
                <w:sz w:val="18"/>
                <w:szCs w:val="18"/>
              </w:rPr>
            </w:pPr>
            <w:r>
              <w:rPr>
                <w:rFonts w:ascii="Times New Roman" w:hAnsi="Times New Roman" w:cs="Times New Roman" w:eastAsia="Times New Roman" w:hint="default"/>
                <w:spacing w:val="-15"/>
                <w:sz w:val="18"/>
                <w:szCs w:val="18"/>
              </w:rPr>
              <w:t>2</w:t>
            </w:r>
            <w:r>
              <w:rPr>
                <w:rFonts w:ascii="宋体" w:hAnsi="宋体" w:cs="宋体" w:eastAsia="宋体" w:hint="default"/>
                <w:spacing w:val="-15"/>
                <w:sz w:val="18"/>
                <w:szCs w:val="18"/>
              </w:rPr>
              <w:t>．对所有者（或</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股东）的分配</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-11,643</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,892.84</w:t>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-11,643,89</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z w:val="18"/>
              </w:rPr>
              <w:t>2.84</w:t>
            </w:r>
          </w:p>
        </w:tc>
      </w:tr>
      <w:tr>
        <w:trPr>
          <w:trHeight w:val="403" w:hRule="exact"/>
        </w:trPr>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13" w:space="0" w:color="D2D2D2"/>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5"/>
        <w:gridCol w:w="605"/>
        <w:gridCol w:w="725"/>
        <w:gridCol w:w="725"/>
        <w:gridCol w:w="730"/>
        <w:gridCol w:w="725"/>
        <w:gridCol w:w="725"/>
        <w:gridCol w:w="614"/>
        <w:gridCol w:w="711"/>
        <w:gridCol w:w="864"/>
      </w:tblGrid>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（四）所有者权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232,87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7,856.0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-232,877</w:t>
            </w:r>
          </w:p>
          <w:p>
            <w:pPr>
              <w:pStyle w:val="TableParagraph"/>
              <w:spacing w:line="240" w:lineRule="auto" w:before="105"/>
              <w:ind w:left="143" w:right="0"/>
              <w:jc w:val="center"/>
              <w:rPr>
                <w:rFonts w:ascii="Times New Roman" w:hAnsi="Times New Roman" w:cs="Times New Roman" w:eastAsia="Times New Roman" w:hint="default"/>
                <w:sz w:val="18"/>
                <w:szCs w:val="18"/>
              </w:rPr>
            </w:pPr>
            <w:r>
              <w:rPr>
                <w:rFonts w:ascii="Times New Roman"/>
                <w:sz w:val="18"/>
              </w:rPr>
              <w:t>,856.00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4"/>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232,87</w:t>
            </w:r>
          </w:p>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7,856.0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 w:right="0"/>
              <w:jc w:val="center"/>
              <w:rPr>
                <w:rFonts w:ascii="Times New Roman" w:hAnsi="Times New Roman" w:cs="Times New Roman" w:eastAsia="Times New Roman" w:hint="default"/>
                <w:sz w:val="18"/>
                <w:szCs w:val="18"/>
              </w:rPr>
            </w:pPr>
            <w:r>
              <w:rPr>
                <w:rFonts w:ascii="Times New Roman"/>
                <w:sz w:val="18"/>
              </w:rPr>
              <w:t>-232,877</w:t>
            </w:r>
          </w:p>
          <w:p>
            <w:pPr>
              <w:pStyle w:val="TableParagraph"/>
              <w:spacing w:line="240" w:lineRule="auto" w:before="110"/>
              <w:ind w:left="143" w:right="0"/>
              <w:jc w:val="center"/>
              <w:rPr>
                <w:rFonts w:ascii="Times New Roman" w:hAnsi="Times New Roman" w:cs="Times New Roman" w:eastAsia="Times New Roman" w:hint="default"/>
                <w:sz w:val="18"/>
                <w:szCs w:val="18"/>
              </w:rPr>
            </w:pPr>
            <w:r>
              <w:rPr>
                <w:rFonts w:ascii="Times New Roman"/>
                <w:sz w:val="18"/>
              </w:rPr>
              <w:t>,856.00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划变动额结转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24" w:right="9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4"/>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30,309.3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6</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614"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30,309.36</w:t>
            </w: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6" w:lineRule="auto"/>
              <w:ind w:left="24" w:right="17"/>
              <w:jc w:val="left"/>
              <w:rPr>
                <w:rFonts w:ascii="宋体" w:hAnsi="宋体" w:cs="宋体" w:eastAsia="宋体" w:hint="default"/>
                <w:sz w:val="18"/>
                <w:szCs w:val="18"/>
              </w:rPr>
            </w:pPr>
            <w:r>
              <w:rPr>
                <w:rFonts w:ascii="宋体" w:hAnsi="宋体" w:cs="宋体" w:eastAsia="宋体" w:hint="default"/>
                <w:spacing w:val="-4"/>
                <w:sz w:val="18"/>
                <w:szCs w:val="18"/>
              </w:rPr>
              <w:t>四、本期期末余</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832,97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5,698.0</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633,099,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386.85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59,719,7</w:t>
            </w:r>
          </w:p>
          <w:p>
            <w:pPr>
              <w:pStyle w:val="TableParagraph"/>
              <w:spacing w:line="240" w:lineRule="auto" w:before="105"/>
              <w:ind w:left="293" w:right="0"/>
              <w:jc w:val="left"/>
              <w:rPr>
                <w:rFonts w:ascii="Times New Roman" w:hAnsi="Times New Roman" w:cs="Times New Roman" w:eastAsia="Times New Roman" w:hint="default"/>
                <w:sz w:val="18"/>
                <w:szCs w:val="18"/>
              </w:rPr>
            </w:pPr>
            <w:r>
              <w:rPr>
                <w:rFonts w:ascii="Times New Roman"/>
                <w:sz w:val="18"/>
              </w:rPr>
              <w:t>04.24</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5,745,16</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3.45</w:t>
            </w:r>
          </w:p>
        </w:tc>
        <w:tc>
          <w:tcPr>
            <w:tcW w:w="725"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58,201,6</w:t>
            </w:r>
          </w:p>
          <w:p>
            <w:pPr>
              <w:pStyle w:val="TableParagraph"/>
              <w:spacing w:line="240" w:lineRule="auto" w:before="105"/>
              <w:ind w:left="292" w:right="0"/>
              <w:jc w:val="left"/>
              <w:rPr>
                <w:rFonts w:ascii="Times New Roman" w:hAnsi="Times New Roman" w:cs="Times New Roman" w:eastAsia="Times New Roman" w:hint="default"/>
                <w:sz w:val="18"/>
                <w:szCs w:val="18"/>
              </w:rPr>
            </w:pPr>
            <w:r>
              <w:rPr>
                <w:rFonts w:ascii="Times New Roman"/>
                <w:sz w:val="18"/>
              </w:rPr>
              <w:t>41.99</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333,37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1"/>
                <w:sz w:val="18"/>
              </w:rPr>
              <w:t>1,958.3</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7</w:t>
            </w:r>
            <w:r>
              <w:rPr>
                <w:rFonts w:ascii="Times New Roman"/>
                <w:sz w:val="18"/>
              </w:rPr>
            </w:r>
          </w:p>
        </w:tc>
        <w:tc>
          <w:tcPr>
            <w:tcW w:w="71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1,803,674,</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144.42</w:t>
            </w:r>
          </w:p>
        </w:tc>
      </w:tr>
    </w:tbl>
    <w:p>
      <w:pPr>
        <w:pStyle w:val="BodyText"/>
        <w:spacing w:line="240" w:lineRule="auto" w:before="53"/>
        <w:ind w:left="2783" w:right="3752"/>
        <w:jc w:val="center"/>
      </w:pPr>
      <w:r>
        <w:rPr/>
        <w:t>上期金额</w:t>
      </w:r>
    </w:p>
    <w:p>
      <w:pPr>
        <w:pStyle w:val="BodyText"/>
        <w:spacing w:line="240" w:lineRule="auto" w:before="120"/>
        <w:ind w:left="0" w:right="1122"/>
        <w:jc w:val="right"/>
      </w:pPr>
      <w:r>
        <w:rPr>
          <w:spacing w:val="-2"/>
        </w:rPr>
        <w:t>单位：元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17"/>
        <w:gridCol w:w="595"/>
        <w:gridCol w:w="572"/>
        <w:gridCol w:w="576"/>
        <w:gridCol w:w="572"/>
        <w:gridCol w:w="682"/>
        <w:gridCol w:w="687"/>
        <w:gridCol w:w="686"/>
        <w:gridCol w:w="783"/>
        <w:gridCol w:w="662"/>
        <w:gridCol w:w="802"/>
        <w:gridCol w:w="797"/>
        <w:gridCol w:w="926"/>
      </w:tblGrid>
      <w:tr>
        <w:trPr>
          <w:trHeight w:val="398" w:hRule="exact"/>
        </w:trPr>
        <w:tc>
          <w:tcPr>
            <w:tcW w:w="1217" w:type="dxa"/>
            <w:vMerge w:val="restart"/>
            <w:tcBorders>
              <w:top w:val="single" w:sz="4" w:space="0" w:color="000000"/>
              <w:left w:val="single" w:sz="4" w:space="0" w:color="000000"/>
              <w:right w:val="single" w:sz="4" w:space="0" w:color="000000"/>
            </w:tcBorders>
            <w:shd w:val="clear" w:color="auto" w:fill="D2D2D2"/>
          </w:tcPr>
          <w:p>
            <w:pPr/>
          </w:p>
        </w:tc>
        <w:tc>
          <w:tcPr>
            <w:tcW w:w="8340"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w:t>
            </w:r>
          </w:p>
        </w:tc>
      </w:tr>
      <w:tr>
        <w:trPr>
          <w:trHeight w:val="187"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4" w:space="0" w:color="000000"/>
              <w:right w:val="single" w:sz="4" w:space="0" w:color="000000"/>
            </w:tcBorders>
            <w:shd w:val="clear" w:color="auto" w:fill="D2D2D2"/>
          </w:tcPr>
          <w:p>
            <w:pPr/>
          </w:p>
        </w:tc>
        <w:tc>
          <w:tcPr>
            <w:tcW w:w="1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83" w:type="dxa"/>
            <w:vMerge w:val="restart"/>
            <w:tcBorders>
              <w:top w:val="single" w:sz="4" w:space="0" w:color="000000"/>
              <w:left w:val="single" w:sz="4" w:space="0" w:color="000000"/>
              <w:right w:val="single" w:sz="4" w:space="0" w:color="000000"/>
            </w:tcBorders>
            <w:shd w:val="clear" w:color="auto" w:fill="D2D2D2"/>
          </w:tcPr>
          <w:p>
            <w:pPr/>
          </w:p>
        </w:tc>
        <w:tc>
          <w:tcPr>
            <w:tcW w:w="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0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
        </w:tc>
        <w:tc>
          <w:tcPr>
            <w:tcW w:w="92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2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95" w:type="dxa"/>
            <w:vMerge/>
            <w:tcBorders>
              <w:left w:val="single" w:sz="4" w:space="0" w:color="000000"/>
              <w:bottom w:val="nil" w:sz="6" w:space="0" w:color="auto"/>
              <w:right w:val="single" w:sz="4" w:space="0" w:color="000000"/>
            </w:tcBorders>
            <w:shd w:val="clear" w:color="auto" w:fill="D2D2D2"/>
          </w:tcPr>
          <w:p>
            <w:pPr/>
          </w:p>
        </w:tc>
        <w:tc>
          <w:tcPr>
            <w:tcW w:w="1719" w:type="dxa"/>
            <w:gridSpan w:val="3"/>
            <w:vMerge/>
            <w:tcBorders>
              <w:left w:val="single" w:sz="4" w:space="0" w:color="000000"/>
              <w:bottom w:val="single" w:sz="4" w:space="0" w:color="000000"/>
              <w:right w:val="single" w:sz="4" w:space="0" w:color="000000"/>
            </w:tcBorders>
            <w:shd w:val="clear" w:color="auto" w:fill="D2D2D2"/>
          </w:tcPr>
          <w:p>
            <w:pPr/>
          </w:p>
        </w:tc>
        <w:tc>
          <w:tcPr>
            <w:tcW w:w="68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60" w:hanging="183"/>
              <w:jc w:val="left"/>
              <w:rPr>
                <w:rFonts w:ascii="宋体" w:hAnsi="宋体" w:cs="宋体" w:eastAsia="宋体" w:hint="default"/>
                <w:sz w:val="18"/>
                <w:szCs w:val="18"/>
              </w:rPr>
            </w:pPr>
            <w:r>
              <w:rPr>
                <w:rFonts w:ascii="宋体" w:hAnsi="宋体" w:cs="宋体" w:eastAsia="宋体" w:hint="default"/>
                <w:sz w:val="18"/>
                <w:szCs w:val="18"/>
              </w:rPr>
              <w:t>资本公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68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249" w:right="17" w:hanging="226"/>
              <w:jc w:val="left"/>
              <w:rPr>
                <w:rFonts w:ascii="宋体" w:hAnsi="宋体" w:cs="宋体" w:eastAsia="宋体" w:hint="default"/>
                <w:sz w:val="18"/>
                <w:szCs w:val="18"/>
              </w:rPr>
            </w:pPr>
            <w:r>
              <w:rPr>
                <w:rFonts w:ascii="宋体" w:hAnsi="宋体" w:cs="宋体" w:eastAsia="宋体" w:hint="default"/>
                <w:spacing w:val="-24"/>
                <w:w w:val="101"/>
                <w:sz w:val="18"/>
                <w:szCs w:val="18"/>
              </w:rPr>
              <w:t>减：库存</w:t>
            </w:r>
            <w:r>
              <w:rPr>
                <w:rFonts w:ascii="宋体" w:hAnsi="宋体" w:cs="宋体" w:eastAsia="宋体" w:hint="default"/>
                <w:w w:val="101"/>
                <w:sz w:val="18"/>
                <w:szCs w:val="18"/>
              </w:rPr>
              <w:t> </w:t>
            </w:r>
            <w:r>
              <w:rPr>
                <w:rFonts w:ascii="宋体" w:hAnsi="宋体" w:cs="宋体" w:eastAsia="宋体" w:hint="default"/>
                <w:sz w:val="18"/>
                <w:szCs w:val="18"/>
              </w:rPr>
              <w:t>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65"/>
              <w:ind w:left="67" w:right="65"/>
              <w:jc w:val="left"/>
              <w:rPr>
                <w:rFonts w:ascii="宋体" w:hAnsi="宋体" w:cs="宋体" w:eastAsia="宋体" w:hint="default"/>
                <w:sz w:val="18"/>
                <w:szCs w:val="18"/>
              </w:rPr>
            </w:pPr>
            <w:r>
              <w:rPr>
                <w:rFonts w:ascii="宋体" w:hAnsi="宋体" w:cs="宋体" w:eastAsia="宋体" w:hint="default"/>
                <w:sz w:val="18"/>
                <w:szCs w:val="18"/>
              </w:rPr>
              <w:t>其他综</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合收益</w:t>
            </w: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239" w:right="50" w:hanging="183"/>
              <w:jc w:val="left"/>
              <w:rPr>
                <w:rFonts w:ascii="宋体" w:hAnsi="宋体" w:cs="宋体" w:eastAsia="宋体" w:hint="default"/>
                <w:sz w:val="18"/>
                <w:szCs w:val="18"/>
              </w:rPr>
            </w:pPr>
            <w:r>
              <w:rPr>
                <w:rFonts w:ascii="宋体" w:hAnsi="宋体" w:cs="宋体" w:eastAsia="宋体" w:hint="default"/>
                <w:sz w:val="18"/>
                <w:szCs w:val="18"/>
              </w:rPr>
              <w:t>盈余公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积</w:t>
            </w:r>
          </w:p>
        </w:tc>
        <w:tc>
          <w:tcPr>
            <w:tcW w:w="80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307" w:right="31" w:hanging="274"/>
              <w:jc w:val="left"/>
              <w:rPr>
                <w:rFonts w:ascii="宋体" w:hAnsi="宋体" w:cs="宋体" w:eastAsia="宋体" w:hint="default"/>
                <w:sz w:val="18"/>
                <w:szCs w:val="18"/>
              </w:rPr>
            </w:pPr>
            <w:r>
              <w:rPr>
                <w:rFonts w:ascii="宋体" w:hAnsi="宋体" w:cs="宋体" w:eastAsia="宋体" w:hint="default"/>
                <w:sz w:val="18"/>
                <w:szCs w:val="18"/>
              </w:rPr>
              <w:t>未分配利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9"/>
              <w:ind w:left="192" w:right="89" w:hanging="92"/>
              <w:jc w:val="left"/>
              <w:rPr>
                <w:rFonts w:ascii="宋体" w:hAnsi="宋体" w:cs="宋体" w:eastAsia="宋体" w:hint="default"/>
                <w:sz w:val="18"/>
                <w:szCs w:val="18"/>
              </w:rPr>
            </w:pPr>
            <w:r>
              <w:rPr>
                <w:rFonts w:ascii="宋体" w:hAnsi="宋体" w:cs="宋体" w:eastAsia="宋体" w:hint="default"/>
                <w:sz w:val="18"/>
                <w:szCs w:val="18"/>
              </w:rPr>
              <w:t>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益合计</w:t>
            </w:r>
          </w:p>
        </w:tc>
      </w:tr>
      <w:tr>
        <w:trPr>
          <w:trHeight w:val="187" w:hRule="exact"/>
        </w:trPr>
        <w:tc>
          <w:tcPr>
            <w:tcW w:w="1217" w:type="dxa"/>
            <w:vMerge/>
            <w:tcBorders>
              <w:left w:val="single" w:sz="4" w:space="0" w:color="000000"/>
              <w:bottom w:val="nil" w:sz="6" w:space="0" w:color="auto"/>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1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7"/>
              <w:ind w:left="192" w:right="94" w:hanging="92"/>
              <w:jc w:val="left"/>
              <w:rPr>
                <w:rFonts w:ascii="宋体" w:hAnsi="宋体" w:cs="宋体" w:eastAsia="宋体" w:hint="default"/>
                <w:sz w:val="18"/>
                <w:szCs w:val="18"/>
              </w:rPr>
            </w:pPr>
            <w:r>
              <w:rPr>
                <w:rFonts w:ascii="宋体" w:hAnsi="宋体" w:cs="宋体" w:eastAsia="宋体" w:hint="default"/>
                <w:sz w:val="18"/>
                <w:szCs w:val="18"/>
              </w:rPr>
              <w:t>优先</w:t>
            </w:r>
            <w:r>
              <w:rPr>
                <w:rFonts w:ascii="宋体" w:hAnsi="宋体" w:cs="宋体" w:eastAsia="宋体" w:hint="default"/>
                <w:spacing w:val="-86"/>
                <w:sz w:val="18"/>
                <w:szCs w:val="18"/>
              </w:rPr>
              <w:t> </w:t>
            </w:r>
            <w:r>
              <w:rPr>
                <w:rFonts w:ascii="宋体" w:hAnsi="宋体" w:cs="宋体" w:eastAsia="宋体" w:hint="default"/>
                <w:sz w:val="18"/>
                <w:szCs w:val="18"/>
              </w:rPr>
              <w:t>股</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7"/>
              <w:ind w:left="191" w:right="98" w:hanging="92"/>
              <w:jc w:val="left"/>
              <w:rPr>
                <w:rFonts w:ascii="宋体" w:hAnsi="宋体" w:cs="宋体" w:eastAsia="宋体" w:hint="default"/>
                <w:sz w:val="18"/>
                <w:szCs w:val="18"/>
              </w:rPr>
            </w:pPr>
            <w:r>
              <w:rPr>
                <w:rFonts w:ascii="宋体" w:hAnsi="宋体" w:cs="宋体" w:eastAsia="宋体" w:hint="default"/>
                <w:sz w:val="18"/>
                <w:szCs w:val="18"/>
              </w:rPr>
              <w:t>永续</w:t>
            </w:r>
            <w:r>
              <w:rPr>
                <w:rFonts w:ascii="宋体" w:hAnsi="宋体" w:cs="宋体" w:eastAsia="宋体" w:hint="default"/>
                <w:spacing w:val="-86"/>
                <w:sz w:val="18"/>
                <w:szCs w:val="18"/>
              </w:rPr>
              <w:t> </w:t>
            </w:r>
            <w:r>
              <w:rPr>
                <w:rFonts w:ascii="宋体" w:hAnsi="宋体" w:cs="宋体" w:eastAsia="宋体" w:hint="default"/>
                <w:sz w:val="18"/>
                <w:szCs w:val="18"/>
              </w:rPr>
              <w:t>债</w:t>
            </w:r>
          </w:p>
        </w:tc>
        <w:tc>
          <w:tcPr>
            <w:tcW w:w="572" w:type="dxa"/>
            <w:tcBorders>
              <w:top w:val="single" w:sz="4" w:space="0" w:color="000000"/>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4"/>
              <w:ind w:left="2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26" w:type="dxa"/>
            <w:vMerge/>
            <w:tcBorders>
              <w:left w:val="single" w:sz="4" w:space="0" w:color="000000"/>
              <w:right w:val="single" w:sz="4" w:space="0" w:color="000000"/>
            </w:tcBorders>
            <w:shd w:val="clear" w:color="auto" w:fill="D2D2D2"/>
          </w:tcPr>
          <w:p>
            <w:pPr/>
          </w:p>
        </w:tc>
      </w:tr>
      <w:tr>
        <w:trPr>
          <w:trHeight w:val="197" w:hRule="exact"/>
        </w:trPr>
        <w:tc>
          <w:tcPr>
            <w:tcW w:w="1217" w:type="dxa"/>
            <w:vMerge w:val="restart"/>
            <w:tcBorders>
              <w:top w:val="nil" w:sz="6" w:space="0" w:color="auto"/>
              <w:left w:val="single" w:sz="4" w:space="0" w:color="000000"/>
              <w:right w:val="single" w:sz="4" w:space="0" w:color="000000"/>
            </w:tcBorders>
            <w:shd w:val="clear" w:color="auto" w:fill="D2D2D2"/>
          </w:tcPr>
          <w:p>
            <w:pPr/>
          </w:p>
        </w:tc>
        <w:tc>
          <w:tcPr>
            <w:tcW w:w="595" w:type="dxa"/>
            <w:vMerge/>
            <w:tcBorders>
              <w:left w:val="single" w:sz="4" w:space="0" w:color="000000"/>
              <w:bottom w:val="nil" w:sz="6" w:space="0" w:color="auto"/>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2"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783"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right w:val="single" w:sz="4" w:space="0" w:color="000000"/>
            </w:tcBorders>
            <w:shd w:val="clear" w:color="auto" w:fill="D2D2D2"/>
          </w:tcPr>
          <w:p>
            <w:pPr/>
          </w:p>
        </w:tc>
        <w:tc>
          <w:tcPr>
            <w:tcW w:w="802"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926" w:type="dxa"/>
            <w:vMerge/>
            <w:tcBorders>
              <w:left w:val="single" w:sz="4" w:space="0" w:color="000000"/>
              <w:right w:val="single" w:sz="4" w:space="0" w:color="000000"/>
            </w:tcBorders>
            <w:shd w:val="clear" w:color="auto" w:fill="D2D2D2"/>
          </w:tcPr>
          <w:p>
            <w:pPr/>
          </w:p>
        </w:tc>
      </w:tr>
      <w:tr>
        <w:trPr>
          <w:trHeight w:val="154" w:hRule="exact"/>
        </w:trPr>
        <w:tc>
          <w:tcPr>
            <w:tcW w:w="1217" w:type="dxa"/>
            <w:vMerge/>
            <w:tcBorders>
              <w:left w:val="single" w:sz="4" w:space="0" w:color="000000"/>
              <w:right w:val="single" w:sz="4" w:space="0" w:color="000000"/>
            </w:tcBorders>
            <w:shd w:val="clear" w:color="auto" w:fill="D2D2D2"/>
          </w:tcPr>
          <w:p>
            <w:pPr/>
          </w:p>
        </w:tc>
        <w:tc>
          <w:tcPr>
            <w:tcW w:w="595" w:type="dxa"/>
            <w:vMerge w:val="restart"/>
            <w:tcBorders>
              <w:top w:val="nil" w:sz="6" w:space="0" w:color="auto"/>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76" w:type="dxa"/>
            <w:vMerge/>
            <w:tcBorders>
              <w:left w:val="single" w:sz="4" w:space="0" w:color="000000"/>
              <w:right w:val="single" w:sz="4" w:space="0" w:color="000000"/>
            </w:tcBorders>
            <w:shd w:val="clear" w:color="auto" w:fill="D2D2D2"/>
          </w:tcPr>
          <w:p>
            <w:pPr/>
          </w:p>
        </w:tc>
        <w:tc>
          <w:tcPr>
            <w:tcW w:w="572" w:type="dxa"/>
            <w:vMerge/>
            <w:tcBorders>
              <w:left w:val="single" w:sz="4" w:space="0" w:color="000000"/>
              <w:bottom w:val="nil" w:sz="6" w:space="0" w:color="auto"/>
              <w:right w:val="single" w:sz="4" w:space="0" w:color="000000"/>
            </w:tcBorders>
            <w:shd w:val="clear" w:color="auto" w:fill="D2D2D2"/>
          </w:tcPr>
          <w:p>
            <w:pPr/>
          </w:p>
        </w:tc>
        <w:tc>
          <w:tcPr>
            <w:tcW w:w="682"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783" w:type="dxa"/>
            <w:vMerge w:val="restart"/>
            <w:tcBorders>
              <w:top w:val="nil" w:sz="6" w:space="0" w:color="auto"/>
              <w:left w:val="single" w:sz="4" w:space="0" w:color="000000"/>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802" w:type="dxa"/>
            <w:vMerge/>
            <w:tcBorders>
              <w:left w:val="single" w:sz="4" w:space="0" w:color="000000"/>
              <w:bottom w:val="nil" w:sz="6" w:space="0" w:color="auto"/>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c>
          <w:tcPr>
            <w:tcW w:w="926"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217" w:type="dxa"/>
            <w:vMerge/>
            <w:tcBorders>
              <w:left w:val="single" w:sz="4" w:space="0" w:color="000000"/>
              <w:bottom w:val="single" w:sz="4" w:space="0" w:color="000000"/>
              <w:right w:val="single" w:sz="4" w:space="0" w:color="000000"/>
            </w:tcBorders>
            <w:shd w:val="clear" w:color="auto" w:fill="D2D2D2"/>
          </w:tcPr>
          <w:p>
            <w:pPr/>
          </w:p>
        </w:tc>
        <w:tc>
          <w:tcPr>
            <w:tcW w:w="59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2"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83" w:type="dxa"/>
            <w:vMerge/>
            <w:tcBorders>
              <w:left w:val="single" w:sz="4" w:space="0" w:color="000000"/>
              <w:bottom w:val="single" w:sz="4" w:space="0" w:color="000000"/>
              <w:right w:val="single" w:sz="4" w:space="0" w:color="000000"/>
            </w:tcBorders>
            <w:shd w:val="clear" w:color="auto" w:fill="D2D2D2"/>
          </w:tcPr>
          <w:p>
            <w:pPr/>
          </w:p>
        </w:tc>
        <w:tc>
          <w:tcPr>
            <w:tcW w:w="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0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2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217"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 w:type="dxa"/>
            <w:vMerge w:val="restart"/>
            <w:tcBorders>
              <w:top w:val="single" w:sz="4" w:space="0" w:color="000000"/>
              <w:left w:val="single" w:sz="10" w:space="0" w:color="D2D2D2"/>
              <w:right w:val="single" w:sz="4" w:space="0" w:color="000000"/>
            </w:tcBorders>
          </w:tcPr>
          <w:p>
            <w:pPr>
              <w:pStyle w:val="TableParagraph"/>
              <w:spacing w:line="240" w:lineRule="auto" w:before="96"/>
              <w:ind w:left="64" w:right="0"/>
              <w:jc w:val="left"/>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5"/>
              <w:ind w:left="108"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10"/>
              <w:ind w:left="381" w:right="0"/>
              <w:jc w:val="left"/>
              <w:rPr>
                <w:rFonts w:ascii="Times New Roman" w:hAnsi="Times New Roman" w:cs="Times New Roman" w:eastAsia="Times New Roman" w:hint="default"/>
                <w:sz w:val="18"/>
                <w:szCs w:val="18"/>
              </w:rPr>
            </w:pPr>
            <w:r>
              <w:rPr>
                <w:rFonts w:ascii="Times New Roman"/>
                <w:sz w:val="18"/>
              </w:rPr>
              <w:t>00</w:t>
            </w:r>
          </w:p>
        </w:tc>
        <w:tc>
          <w:tcPr>
            <w:tcW w:w="572"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1,078,7</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pacing w:val="-2"/>
                <w:sz w:val="18"/>
              </w:rPr>
              <w:t>96,757.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73</w:t>
            </w:r>
          </w:p>
        </w:tc>
        <w:tc>
          <w:tcPr>
            <w:tcW w:w="687"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78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37,020,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745.42</w:t>
            </w:r>
          </w:p>
        </w:tc>
        <w:tc>
          <w:tcPr>
            <w:tcW w:w="80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186,731,9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28.90</w:t>
            </w:r>
          </w:p>
        </w:tc>
        <w:tc>
          <w:tcPr>
            <w:tcW w:w="797" w:type="dxa"/>
            <w:vMerge w:val="restart"/>
            <w:tcBorders>
              <w:top w:val="single" w:sz="4" w:space="0" w:color="000000"/>
              <w:left w:val="single" w:sz="4" w:space="0" w:color="000000"/>
              <w:right w:val="single" w:sz="4" w:space="0" w:color="000000"/>
            </w:tcBorders>
          </w:tcPr>
          <w:p>
            <w:pPr/>
          </w:p>
        </w:tc>
        <w:tc>
          <w:tcPr>
            <w:tcW w:w="926"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1,625,990,9</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00.05</w:t>
            </w:r>
          </w:p>
        </w:tc>
      </w:tr>
      <w:tr>
        <w:trPr>
          <w:trHeight w:val="706" w:hRule="exact"/>
        </w:trPr>
        <w:tc>
          <w:tcPr>
            <w:tcW w:w="12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3"/>
              <w:ind w:left="11" w:right="12"/>
              <w:jc w:val="left"/>
              <w:rPr>
                <w:rFonts w:ascii="宋体" w:hAnsi="宋体" w:cs="宋体" w:eastAsia="宋体" w:hint="default"/>
                <w:sz w:val="18"/>
                <w:szCs w:val="18"/>
              </w:rPr>
            </w:pPr>
            <w:r>
              <w:rPr>
                <w:rFonts w:ascii="宋体" w:hAnsi="宋体" w:cs="宋体" w:eastAsia="宋体" w:hint="default"/>
                <w:spacing w:val="-14"/>
                <w:w w:val="101"/>
                <w:sz w:val="18"/>
                <w:szCs w:val="18"/>
              </w:rPr>
              <w:t>一、上年期末余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vMerge/>
            <w:tcBorders>
              <w:left w:val="single" w:sz="10" w:space="0" w:color="D2D2D2"/>
              <w:right w:val="single" w:sz="4" w:space="0" w:color="000000"/>
            </w:tcBorders>
          </w:tcPr>
          <w:p>
            <w:pPr/>
          </w:p>
        </w:tc>
        <w:tc>
          <w:tcPr>
            <w:tcW w:w="572"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78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26" w:type="dxa"/>
            <w:vMerge/>
            <w:tcBorders>
              <w:left w:val="single" w:sz="4" w:space="0" w:color="000000"/>
              <w:right w:val="single" w:sz="4" w:space="0" w:color="000000"/>
            </w:tcBorders>
          </w:tcPr>
          <w:p>
            <w:pPr/>
          </w:p>
        </w:tc>
      </w:tr>
      <w:tr>
        <w:trPr>
          <w:trHeight w:val="158" w:hRule="exact"/>
        </w:trPr>
        <w:tc>
          <w:tcPr>
            <w:tcW w:w="1217" w:type="dxa"/>
            <w:tcBorders>
              <w:top w:val="nil" w:sz="6" w:space="0" w:color="auto"/>
              <w:left w:val="single" w:sz="4" w:space="0" w:color="000000"/>
              <w:bottom w:val="single" w:sz="4" w:space="0" w:color="000000"/>
              <w:right w:val="single" w:sz="4" w:space="0" w:color="000000"/>
            </w:tcBorders>
            <w:shd w:val="clear" w:color="auto" w:fill="D2D2D2"/>
          </w:tcPr>
          <w:p>
            <w:pPr/>
          </w:p>
        </w:tc>
        <w:tc>
          <w:tcPr>
            <w:tcW w:w="595" w:type="dxa"/>
            <w:vMerge/>
            <w:tcBorders>
              <w:left w:val="single" w:sz="10" w:space="0" w:color="D2D2D2"/>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78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26" w:type="dxa"/>
            <w:vMerge/>
            <w:tcBorders>
              <w:left w:val="single" w:sz="4" w:space="0" w:color="000000"/>
              <w:bottom w:val="single" w:sz="4" w:space="0" w:color="000000"/>
              <w:right w:val="single" w:sz="4" w:space="0" w:color="000000"/>
            </w:tcBorders>
          </w:tcPr>
          <w:p>
            <w:pPr/>
          </w:p>
        </w:tc>
      </w:tr>
      <w:tr>
        <w:trPr>
          <w:trHeight w:val="716"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2" w:firstLine="360"/>
              <w:jc w:val="left"/>
              <w:rPr>
                <w:rFonts w:ascii="宋体" w:hAnsi="宋体" w:cs="宋体" w:eastAsia="宋体" w:hint="default"/>
                <w:sz w:val="18"/>
                <w:szCs w:val="18"/>
              </w:rPr>
            </w:pPr>
            <w:r>
              <w:rPr>
                <w:rFonts w:ascii="宋体" w:hAnsi="宋体" w:cs="宋体" w:eastAsia="宋体" w:hint="default"/>
                <w:spacing w:val="-19"/>
                <w:w w:val="101"/>
                <w:sz w:val="18"/>
                <w:szCs w:val="18"/>
              </w:rPr>
              <w:t>加：会计政</w:t>
            </w:r>
            <w:r>
              <w:rPr>
                <w:rFonts w:ascii="宋体" w:hAnsi="宋体" w:cs="宋体" w:eastAsia="宋体" w:hint="default"/>
                <w:w w:val="101"/>
                <w:sz w:val="18"/>
                <w:szCs w:val="18"/>
              </w:rPr>
              <w:t> </w:t>
            </w:r>
            <w:r>
              <w:rPr>
                <w:rFonts w:ascii="宋体" w:hAnsi="宋体" w:cs="宋体" w:eastAsia="宋体" w:hint="default"/>
                <w:sz w:val="18"/>
                <w:szCs w:val="18"/>
              </w:rPr>
              <w:t>策变更</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08" w:firstLine="720"/>
              <w:jc w:val="left"/>
              <w:rPr>
                <w:rFonts w:ascii="宋体" w:hAnsi="宋体" w:cs="宋体" w:eastAsia="宋体" w:hint="default"/>
                <w:sz w:val="18"/>
                <w:szCs w:val="18"/>
              </w:rPr>
            </w:pPr>
            <w:r>
              <w:rPr>
                <w:rFonts w:ascii="宋体" w:hAnsi="宋体" w:cs="宋体" w:eastAsia="宋体" w:hint="default"/>
                <w:sz w:val="18"/>
                <w:szCs w:val="18"/>
              </w:rPr>
              <w:t>前期</w:t>
            </w:r>
            <w:r>
              <w:rPr>
                <w:rFonts w:ascii="宋体" w:hAnsi="宋体" w:cs="宋体" w:eastAsia="宋体" w:hint="default"/>
                <w:w w:val="101"/>
                <w:sz w:val="18"/>
                <w:szCs w:val="18"/>
              </w:rPr>
              <w:t> </w:t>
            </w:r>
            <w:r>
              <w:rPr>
                <w:rFonts w:ascii="宋体" w:hAnsi="宋体" w:cs="宋体" w:eastAsia="宋体" w:hint="default"/>
                <w:sz w:val="18"/>
                <w:szCs w:val="18"/>
              </w:rPr>
              <w:t>差错更正</w:t>
            </w:r>
          </w:p>
        </w:tc>
        <w:tc>
          <w:tcPr>
            <w:tcW w:w="595" w:type="dxa"/>
            <w:tcBorders>
              <w:top w:val="single" w:sz="4" w:space="0" w:color="000000"/>
              <w:left w:val="single" w:sz="10" w:space="0" w:color="D2D2D2"/>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二、本年期初余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323,44</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1,468.</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1,078,7</w:t>
            </w:r>
          </w:p>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96,757.</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73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37,020,</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745.42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186,731,9</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28.90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1,625,990,9</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00.05</w:t>
            </w: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
              <w:jc w:val="both"/>
              <w:rPr>
                <w:rFonts w:ascii="宋体" w:hAnsi="宋体" w:cs="宋体" w:eastAsia="宋体" w:hint="default"/>
                <w:sz w:val="18"/>
                <w:szCs w:val="18"/>
              </w:rPr>
            </w:pPr>
            <w:r>
              <w:rPr>
                <w:rFonts w:ascii="宋体" w:hAnsi="宋体" w:cs="宋体" w:eastAsia="宋体" w:hint="default"/>
                <w:spacing w:val="-14"/>
                <w:w w:val="101"/>
                <w:sz w:val="18"/>
                <w:szCs w:val="18"/>
              </w:rPr>
              <w:t>三、本期增减变</w:t>
            </w:r>
            <w:r>
              <w:rPr>
                <w:rFonts w:ascii="宋体" w:hAnsi="宋体" w:cs="宋体" w:eastAsia="宋体" w:hint="default"/>
                <w:w w:val="101"/>
                <w:sz w:val="18"/>
                <w:szCs w:val="18"/>
              </w:rPr>
              <w:t> </w:t>
            </w:r>
            <w:r>
              <w:rPr>
                <w:rFonts w:ascii="宋体" w:hAnsi="宋体" w:cs="宋体" w:eastAsia="宋体" w:hint="default"/>
                <w:spacing w:val="-14"/>
                <w:w w:val="101"/>
                <w:sz w:val="18"/>
                <w:szCs w:val="18"/>
              </w:rPr>
              <w:t>动金额（减少以</w:t>
            </w:r>
            <w:r>
              <w:rPr>
                <w:rFonts w:ascii="宋体" w:hAnsi="宋体" w:cs="宋体" w:eastAsia="宋体" w:hint="default"/>
                <w:w w:val="10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258,75</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3,174.</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-258,75</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3,174.0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-1,504,4</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35.41</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2,510,7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77.06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-9,747,15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3.28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2"/>
                <w:sz w:val="18"/>
              </w:rPr>
              <w:t>-8,740,811.</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63</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（一）综合收益</w:t>
            </w:r>
            <w:r>
              <w:rPr>
                <w:rFonts w:ascii="宋体" w:hAnsi="宋体" w:cs="宋体" w:eastAsia="宋体" w:hint="default"/>
                <w:w w:val="101"/>
                <w:sz w:val="18"/>
                <w:szCs w:val="18"/>
              </w:rPr>
              <w:t> </w:t>
            </w:r>
            <w:r>
              <w:rPr>
                <w:rFonts w:ascii="宋体" w:hAnsi="宋体" w:cs="宋体" w:eastAsia="宋体" w:hint="default"/>
                <w:sz w:val="18"/>
                <w:szCs w:val="18"/>
              </w:rPr>
              <w:t>总额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center"/>
              <w:rPr>
                <w:rFonts w:ascii="Times New Roman" w:hAnsi="Times New Roman" w:cs="Times New Roman" w:eastAsia="Times New Roman" w:hint="default"/>
                <w:sz w:val="18"/>
                <w:szCs w:val="18"/>
              </w:rPr>
            </w:pPr>
            <w:r>
              <w:rPr>
                <w:rFonts w:ascii="Times New Roman"/>
                <w:sz w:val="18"/>
              </w:rPr>
              <w:t>-1,504,4</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35.41</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25,107,77</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0.58</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23,603,335.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17</w:t>
            </w: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（二）所有者投</w:t>
            </w:r>
            <w:r>
              <w:rPr>
                <w:rFonts w:ascii="宋体" w:hAnsi="宋体" w:cs="宋体" w:eastAsia="宋体" w:hint="default"/>
                <w:w w:val="101"/>
                <w:sz w:val="18"/>
                <w:szCs w:val="18"/>
              </w:rPr>
              <w:t> </w:t>
            </w:r>
            <w:r>
              <w:rPr>
                <w:rFonts w:ascii="宋体" w:hAnsi="宋体" w:cs="宋体" w:eastAsia="宋体" w:hint="default"/>
                <w:sz w:val="18"/>
                <w:szCs w:val="18"/>
              </w:rPr>
              <w:t>入和减少资本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的普通股</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具持有者投入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入所有者权益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的金额</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w w:val="101"/>
                <w:sz w:val="18"/>
                <w:szCs w:val="18"/>
              </w:rPr>
              <w:t>（三</w:t>
            </w:r>
            <w:r>
              <w:rPr>
                <w:rFonts w:ascii="宋体" w:hAnsi="宋体" w:cs="宋体" w:eastAsia="宋体" w:hint="default"/>
                <w:spacing w:val="-92"/>
                <w:w w:val="101"/>
                <w:sz w:val="18"/>
                <w:szCs w:val="18"/>
              </w:rPr>
              <w:t>）</w:t>
            </w:r>
            <w:r>
              <w:rPr>
                <w:rFonts w:ascii="宋体" w:hAnsi="宋体" w:cs="宋体" w:eastAsia="宋体" w:hint="default"/>
                <w:w w:val="101"/>
                <w:sz w:val="18"/>
                <w:szCs w:val="18"/>
              </w:rPr>
              <w:t>利</w:t>
            </w:r>
            <w:r>
              <w:rPr>
                <w:rFonts w:ascii="宋体" w:hAnsi="宋体" w:cs="宋体" w:eastAsia="宋体" w:hint="default"/>
                <w:spacing w:val="-5"/>
                <w:w w:val="101"/>
                <w:sz w:val="18"/>
                <w:szCs w:val="18"/>
              </w:rPr>
              <w:t>润</w:t>
            </w:r>
            <w:r>
              <w:rPr>
                <w:rFonts w:ascii="宋体" w:hAnsi="宋体" w:cs="宋体" w:eastAsia="宋体" w:hint="default"/>
                <w:w w:val="101"/>
                <w:sz w:val="18"/>
                <w:szCs w:val="18"/>
              </w:rPr>
              <w:t>分配</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center"/>
              <w:rPr>
                <w:rFonts w:ascii="Times New Roman" w:hAnsi="Times New Roman" w:cs="Times New Roman" w:eastAsia="Times New Roman" w:hint="default"/>
                <w:sz w:val="18"/>
                <w:szCs w:val="18"/>
              </w:rPr>
            </w:pPr>
            <w:r>
              <w:rPr>
                <w:rFonts w:ascii="Times New Roman"/>
                <w:sz w:val="18"/>
              </w:rPr>
              <w:t>2,510,7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77.06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-34,854,9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23.86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-32,344,146</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.80</w:t>
            </w: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9"/>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积</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81" w:right="0"/>
              <w:jc w:val="center"/>
              <w:rPr>
                <w:rFonts w:ascii="Times New Roman" w:hAnsi="Times New Roman" w:cs="Times New Roman" w:eastAsia="Times New Roman" w:hint="default"/>
                <w:sz w:val="18"/>
                <w:szCs w:val="18"/>
              </w:rPr>
            </w:pPr>
            <w:r>
              <w:rPr>
                <w:rFonts w:ascii="Times New Roman"/>
                <w:sz w:val="18"/>
              </w:rPr>
              <w:t>2,510,7</w:t>
            </w:r>
          </w:p>
          <w:p>
            <w:pPr>
              <w:pStyle w:val="TableParagraph"/>
              <w:spacing w:line="240" w:lineRule="auto" w:before="105"/>
              <w:ind w:left="215" w:right="0"/>
              <w:jc w:val="center"/>
              <w:rPr>
                <w:rFonts w:ascii="Times New Roman" w:hAnsi="Times New Roman" w:cs="Times New Roman" w:eastAsia="Times New Roman" w:hint="default"/>
                <w:sz w:val="18"/>
                <w:szCs w:val="18"/>
              </w:rPr>
            </w:pPr>
            <w:r>
              <w:rPr>
                <w:rFonts w:ascii="Times New Roman"/>
                <w:sz w:val="18"/>
              </w:rPr>
              <w:t>77.06</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7" w:right="0"/>
              <w:jc w:val="left"/>
              <w:rPr>
                <w:rFonts w:ascii="Times New Roman" w:hAnsi="Times New Roman" w:cs="Times New Roman" w:eastAsia="Times New Roman" w:hint="default"/>
                <w:sz w:val="18"/>
                <w:szCs w:val="18"/>
              </w:rPr>
            </w:pPr>
            <w:r>
              <w:rPr>
                <w:rFonts w:ascii="Times New Roman"/>
                <w:sz w:val="18"/>
              </w:rPr>
              <w:t>-2,510,77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7.06</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2"/>
              <w:jc w:val="left"/>
              <w:rPr>
                <w:rFonts w:ascii="宋体" w:hAnsi="宋体" w:cs="宋体" w:eastAsia="宋体" w:hint="default"/>
                <w:sz w:val="18"/>
                <w:szCs w:val="18"/>
              </w:rPr>
            </w:pPr>
            <w:r>
              <w:rPr>
                <w:rFonts w:ascii="Times New Roman" w:hAnsi="Times New Roman" w:cs="Times New Roman" w:eastAsia="Times New Roman" w:hint="default"/>
                <w:spacing w:val="-24"/>
                <w:w w:val="101"/>
                <w:sz w:val="18"/>
                <w:szCs w:val="18"/>
              </w:rPr>
              <w:t>2</w:t>
            </w:r>
            <w:r>
              <w:rPr>
                <w:rFonts w:ascii="宋体" w:hAnsi="宋体" w:cs="宋体" w:eastAsia="宋体" w:hint="default"/>
                <w:spacing w:val="-24"/>
                <w:w w:val="101"/>
                <w:sz w:val="18"/>
                <w:szCs w:val="18"/>
              </w:rPr>
              <w:t>．对所有者（或</w:t>
            </w:r>
            <w:r>
              <w:rPr>
                <w:rFonts w:ascii="宋体" w:hAnsi="宋体" w:cs="宋体" w:eastAsia="宋体" w:hint="default"/>
                <w:spacing w:val="-89"/>
                <w:w w:val="101"/>
                <w:sz w:val="18"/>
                <w:szCs w:val="18"/>
              </w:rPr>
              <w:t> </w:t>
            </w:r>
            <w:r>
              <w:rPr>
                <w:rFonts w:ascii="宋体" w:hAnsi="宋体" w:cs="宋体" w:eastAsia="宋体" w:hint="default"/>
                <w:spacing w:val="-89"/>
                <w:w w:val="101"/>
                <w:sz w:val="18"/>
                <w:szCs w:val="18"/>
              </w:rPr>
            </w:r>
            <w:r>
              <w:rPr>
                <w:rFonts w:ascii="宋体" w:hAnsi="宋体" w:cs="宋体" w:eastAsia="宋体" w:hint="default"/>
                <w:sz w:val="18"/>
                <w:szCs w:val="18"/>
              </w:rPr>
              <w:t>股东）的分配</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 w:right="0"/>
              <w:jc w:val="left"/>
              <w:rPr>
                <w:rFonts w:ascii="Times New Roman" w:hAnsi="Times New Roman" w:cs="Times New Roman" w:eastAsia="Times New Roman" w:hint="default"/>
                <w:sz w:val="18"/>
                <w:szCs w:val="18"/>
              </w:rPr>
            </w:pPr>
            <w:r>
              <w:rPr>
                <w:rFonts w:ascii="Times New Roman"/>
                <w:sz w:val="18"/>
              </w:rPr>
              <w:t>-32,344,1</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46.80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-32,344,146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.80</w:t>
            </w:r>
          </w:p>
        </w:tc>
      </w:tr>
      <w:tr>
        <w:trPr>
          <w:trHeight w:val="404"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1"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（四）所有者权</w:t>
            </w:r>
            <w:r>
              <w:rPr>
                <w:rFonts w:ascii="宋体" w:hAnsi="宋体" w:cs="宋体" w:eastAsia="宋体" w:hint="default"/>
                <w:w w:val="101"/>
                <w:sz w:val="18"/>
                <w:szCs w:val="18"/>
              </w:rPr>
              <w:t> </w:t>
            </w:r>
            <w:r>
              <w:rPr>
                <w:rFonts w:ascii="宋体" w:hAnsi="宋体" w:cs="宋体" w:eastAsia="宋体" w:hint="default"/>
                <w:sz w:val="18"/>
                <w:szCs w:val="18"/>
              </w:rPr>
              <w:t>益内部结转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258,75</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3,174.</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-258,75</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3,174.0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8"/>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258,75</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3,174.</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-258,75</w:t>
            </w:r>
          </w:p>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3,174.0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增资本（或股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补亏损</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229"/>
        <w:gridCol w:w="595"/>
        <w:gridCol w:w="572"/>
        <w:gridCol w:w="576"/>
        <w:gridCol w:w="572"/>
        <w:gridCol w:w="682"/>
        <w:gridCol w:w="687"/>
        <w:gridCol w:w="686"/>
        <w:gridCol w:w="783"/>
        <w:gridCol w:w="662"/>
        <w:gridCol w:w="802"/>
        <w:gridCol w:w="797"/>
        <w:gridCol w:w="926"/>
      </w:tblGrid>
      <w:tr>
        <w:trPr>
          <w:trHeight w:val="672"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10"/>
              <w:ind w:left="24" w:right="108"/>
              <w:jc w:val="left"/>
              <w:rPr>
                <w:rFonts w:ascii="宋体" w:hAnsi="宋体" w:cs="宋体" w:eastAsia="宋体" w:hint="default"/>
                <w:sz w:val="18"/>
                <w:szCs w:val="18"/>
              </w:rPr>
            </w:pPr>
            <w:r>
              <w:rPr>
                <w:rFonts w:ascii="宋体" w:hAnsi="宋体" w:cs="宋体" w:eastAsia="宋体" w:hint="default"/>
                <w:spacing w:val="-2"/>
                <w:sz w:val="18"/>
                <w:szCs w:val="18"/>
              </w:rPr>
              <w:t>划变动额结转</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留存收益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益结转留存收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（五</w:t>
            </w:r>
            <w:r>
              <w:rPr>
                <w:rFonts w:ascii="宋体" w:hAnsi="宋体" w:cs="宋体" w:eastAsia="宋体" w:hint="default"/>
                <w:spacing w:val="-92"/>
                <w:w w:val="101"/>
                <w:sz w:val="18"/>
                <w:szCs w:val="18"/>
              </w:rPr>
              <w:t>）</w:t>
            </w:r>
            <w:r>
              <w:rPr>
                <w:rFonts w:ascii="宋体" w:hAnsi="宋体" w:cs="宋体" w:eastAsia="宋体" w:hint="default"/>
                <w:w w:val="101"/>
                <w:sz w:val="18"/>
                <w:szCs w:val="18"/>
              </w:rPr>
              <w:t>专</w:t>
            </w:r>
            <w:r>
              <w:rPr>
                <w:rFonts w:ascii="宋体" w:hAnsi="宋体" w:cs="宋体" w:eastAsia="宋体" w:hint="default"/>
                <w:spacing w:val="-5"/>
                <w:w w:val="101"/>
                <w:sz w:val="18"/>
                <w:szCs w:val="18"/>
              </w:rPr>
              <w:t>项</w:t>
            </w:r>
            <w:r>
              <w:rPr>
                <w:rFonts w:ascii="宋体" w:hAnsi="宋体" w:cs="宋体" w:eastAsia="宋体" w:hint="default"/>
                <w:w w:val="101"/>
                <w:sz w:val="18"/>
                <w:szCs w:val="18"/>
              </w:rPr>
              <w:t>储备</w:t>
            </w:r>
            <w:r>
              <w:rPr>
                <w:rFonts w:ascii="宋体" w:hAnsi="宋体" w:cs="宋体" w:eastAsia="宋体" w:hint="default"/>
                <w:sz w:val="18"/>
                <w:szCs w:val="18"/>
              </w:rPr>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5"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24" w:lineRule="auto"/>
              <w:ind w:left="24" w:right="12"/>
              <w:jc w:val="left"/>
              <w:rPr>
                <w:rFonts w:ascii="宋体" w:hAnsi="宋体" w:cs="宋体" w:eastAsia="宋体" w:hint="default"/>
                <w:sz w:val="18"/>
                <w:szCs w:val="18"/>
              </w:rPr>
            </w:pPr>
            <w:r>
              <w:rPr>
                <w:rFonts w:ascii="宋体" w:hAnsi="宋体" w:cs="宋体" w:eastAsia="宋体" w:hint="default"/>
                <w:spacing w:val="-14"/>
                <w:w w:val="101"/>
                <w:sz w:val="18"/>
                <w:szCs w:val="18"/>
              </w:rPr>
              <w:t>四、本期期末余</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582,19</w:t>
            </w:r>
          </w:p>
          <w:p>
            <w:pPr>
              <w:pStyle w:val="TableParagraph"/>
              <w:spacing w:line="240" w:lineRule="auto" w:before="100"/>
              <w:ind w:left="115" w:right="0"/>
              <w:jc w:val="left"/>
              <w:rPr>
                <w:rFonts w:ascii="Times New Roman" w:hAnsi="Times New Roman" w:cs="Times New Roman" w:eastAsia="Times New Roman" w:hint="default"/>
                <w:sz w:val="18"/>
                <w:szCs w:val="18"/>
              </w:rPr>
            </w:pPr>
            <w:r>
              <w:rPr>
                <w:rFonts w:ascii="Times New Roman"/>
                <w:sz w:val="18"/>
              </w:rPr>
              <w:t>4,642.</w:t>
            </w:r>
          </w:p>
          <w:p>
            <w:pPr>
              <w:pStyle w:val="TableParagraph"/>
              <w:spacing w:line="240" w:lineRule="auto" w:before="110"/>
              <w:ind w:left="388" w:right="0"/>
              <w:jc w:val="left"/>
              <w:rPr>
                <w:rFonts w:ascii="Times New Roman" w:hAnsi="Times New Roman" w:cs="Times New Roman" w:eastAsia="Times New Roman" w:hint="default"/>
                <w:sz w:val="18"/>
                <w:szCs w:val="18"/>
              </w:rPr>
            </w:pPr>
            <w:r>
              <w:rPr>
                <w:rFonts w:ascii="Times New Roman"/>
                <w:sz w:val="18"/>
              </w:rPr>
              <w:t>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820,043</w:t>
            </w:r>
          </w:p>
          <w:p>
            <w:pPr>
              <w:pStyle w:val="TableParagraph"/>
              <w:spacing w:line="240" w:lineRule="auto" w:before="110"/>
              <w:ind w:left="115" w:right="0"/>
              <w:jc w:val="left"/>
              <w:rPr>
                <w:rFonts w:ascii="Times New Roman" w:hAnsi="Times New Roman" w:cs="Times New Roman" w:eastAsia="Times New Roman" w:hint="default"/>
                <w:sz w:val="18"/>
                <w:szCs w:val="18"/>
              </w:rPr>
            </w:pPr>
            <w:r>
              <w:rPr>
                <w:rFonts w:ascii="Times New Roman"/>
                <w:sz w:val="18"/>
              </w:rPr>
              <w:t>,583.73</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-1,504,4</w:t>
            </w:r>
          </w:p>
          <w:p>
            <w:pPr>
              <w:pStyle w:val="TableParagraph"/>
              <w:spacing w:line="240" w:lineRule="auto" w:before="110"/>
              <w:ind w:left="230" w:right="0"/>
              <w:jc w:val="center"/>
              <w:rPr>
                <w:rFonts w:ascii="Times New Roman" w:hAnsi="Times New Roman" w:cs="Times New Roman" w:eastAsia="Times New Roman" w:hint="default"/>
                <w:sz w:val="18"/>
                <w:szCs w:val="18"/>
              </w:rPr>
            </w:pPr>
            <w:r>
              <w:rPr>
                <w:rFonts w:ascii="Times New Roman"/>
                <w:sz w:val="18"/>
              </w:rPr>
              <w:t>35.41</w:t>
            </w:r>
          </w:p>
        </w:tc>
        <w:tc>
          <w:tcPr>
            <w:tcW w:w="78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39,531,</w:t>
            </w:r>
          </w:p>
          <w:p>
            <w:pPr>
              <w:pStyle w:val="TableParagraph"/>
              <w:spacing w:line="240" w:lineRule="auto" w:before="110"/>
              <w:ind w:left="139" w:right="0"/>
              <w:jc w:val="left"/>
              <w:rPr>
                <w:rFonts w:ascii="Times New Roman" w:hAnsi="Times New Roman" w:cs="Times New Roman" w:eastAsia="Times New Roman" w:hint="default"/>
                <w:sz w:val="18"/>
                <w:szCs w:val="18"/>
              </w:rPr>
            </w:pPr>
            <w:r>
              <w:rPr>
                <w:rFonts w:ascii="Times New Roman"/>
                <w:sz w:val="18"/>
              </w:rPr>
              <w:t>522.48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176,984,7</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75.62</w:t>
            </w:r>
          </w:p>
        </w:tc>
        <w:tc>
          <w:tcPr>
            <w:tcW w:w="797"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1,617,250,0</w:t>
            </w:r>
          </w:p>
          <w:p>
            <w:pPr>
              <w:pStyle w:val="TableParagraph"/>
              <w:spacing w:line="240" w:lineRule="auto" w:before="110"/>
              <w:ind w:left="494" w:right="0"/>
              <w:jc w:val="left"/>
              <w:rPr>
                <w:rFonts w:ascii="Times New Roman" w:hAnsi="Times New Roman" w:cs="Times New Roman" w:eastAsia="Times New Roman" w:hint="default"/>
                <w:sz w:val="18"/>
                <w:szCs w:val="18"/>
              </w:rPr>
            </w:pPr>
            <w:r>
              <w:rPr>
                <w:rFonts w:ascii="Times New Roman"/>
                <w:sz w:val="18"/>
              </w:rPr>
              <w:t>88.42</w:t>
            </w:r>
          </w:p>
        </w:tc>
      </w:tr>
    </w:tbl>
    <w:p>
      <w:pPr>
        <w:spacing w:line="240" w:lineRule="auto" w:before="1"/>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bookmarkStart w:name="三、公司基本情况" w:id="166"/>
      <w:bookmarkEnd w:id="166"/>
      <w:r>
        <w:rPr>
          <w:b w:val="0"/>
          <w:bCs w:val="0"/>
        </w:rPr>
      </w:r>
      <w:r>
        <w:rPr/>
        <w:t>三、公司基本情况</w:t>
      </w:r>
      <w:r>
        <w:rPr>
          <w:b w:val="0"/>
          <w:bCs w:val="0"/>
        </w:rPr>
      </w:r>
    </w:p>
    <w:p>
      <w:pPr>
        <w:spacing w:line="240" w:lineRule="auto" w:before="11"/>
        <w:rPr>
          <w:rFonts w:ascii="宋体" w:hAnsi="宋体" w:cs="宋体" w:eastAsia="宋体" w:hint="default"/>
          <w:b/>
          <w:bCs/>
          <w:sz w:val="26"/>
          <w:szCs w:val="26"/>
        </w:rPr>
      </w:pPr>
    </w:p>
    <w:p>
      <w:pPr>
        <w:pStyle w:val="BodyText"/>
        <w:spacing w:line="302" w:lineRule="auto"/>
        <w:ind w:right="1122" w:firstLine="427"/>
        <w:jc w:val="both"/>
      </w:pPr>
      <w:r>
        <w:rPr>
          <w:spacing w:val="-3"/>
        </w:rPr>
        <w:t>北京合纵科技股份有限公司（以下简称</w:t>
      </w:r>
      <w:r>
        <w:rPr>
          <w:rFonts w:ascii="Times New Roman" w:hAnsi="Times New Roman" w:cs="Times New Roman" w:eastAsia="Times New Roman" w:hint="default"/>
          <w:spacing w:val="-3"/>
        </w:rPr>
        <w:t>“</w:t>
      </w:r>
      <w:r>
        <w:rPr>
          <w:spacing w:val="-3"/>
        </w:rPr>
        <w:t>合纵科技</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公司</w:t>
      </w:r>
      <w:r>
        <w:rPr>
          <w:rFonts w:ascii="Times New Roman" w:hAnsi="Times New Roman" w:cs="Times New Roman" w:eastAsia="Times New Roman" w:hint="default"/>
          <w:spacing w:val="-3"/>
        </w:rPr>
        <w:t>”</w:t>
      </w:r>
      <w:r>
        <w:rPr>
          <w:spacing w:val="-3"/>
        </w:rPr>
        <w:t>或者</w:t>
      </w:r>
      <w:r>
        <w:rPr>
          <w:rFonts w:ascii="Times New Roman" w:hAnsi="Times New Roman" w:cs="Times New Roman" w:eastAsia="Times New Roman" w:hint="default"/>
          <w:spacing w:val="-3"/>
        </w:rPr>
        <w:t>“</w:t>
      </w:r>
      <w:r>
        <w:rPr>
          <w:spacing w:val="-3"/>
        </w:rPr>
        <w:t>本公司</w:t>
      </w:r>
      <w:r>
        <w:rPr>
          <w:rFonts w:ascii="Times New Roman" w:hAnsi="Times New Roman" w:cs="Times New Roman" w:eastAsia="Times New Roman" w:hint="default"/>
          <w:spacing w:val="-3"/>
        </w:rPr>
        <w:t>”</w:t>
      </w:r>
      <w:r>
        <w:rPr>
          <w:spacing w:val="-3"/>
        </w:rPr>
        <w:t>）前身为成立于</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15</w:t>
      </w:r>
      <w:r>
        <w:rPr>
          <w:spacing w:val="-3"/>
        </w:rPr>
        <w:t>日的北京合纵科</w:t>
      </w:r>
      <w:r>
        <w:rPr>
          <w:w w:val="101"/>
        </w:rPr>
        <w:t> </w:t>
      </w:r>
      <w:r>
        <w:rPr>
          <w:spacing w:val="-4"/>
        </w:rPr>
        <w:t>技有限公司，</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26</w:t>
      </w:r>
      <w:r>
        <w:rPr>
          <w:spacing w:val="-4"/>
        </w:rPr>
        <w:t>日以经审计的</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30</w:t>
      </w:r>
      <w:r>
        <w:rPr>
          <w:spacing w:val="-4"/>
        </w:rPr>
        <w:t>日的净资产整体折合</w:t>
      </w:r>
      <w:r>
        <w:rPr>
          <w:rFonts w:ascii="Times New Roman" w:hAnsi="Times New Roman" w:cs="Times New Roman" w:eastAsia="Times New Roman" w:hint="default"/>
          <w:spacing w:val="-4"/>
        </w:rPr>
        <w:t>7,218.00</w:t>
      </w:r>
      <w:r>
        <w:rPr>
          <w:spacing w:val="-4"/>
        </w:rPr>
        <w:t>万股变更为股份有限公司。</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10</w:t>
      </w:r>
      <w:r>
        <w:rPr>
          <w:rFonts w:ascii="Times New Roman" w:hAnsi="Times New Roman" w:cs="Times New Roman" w:eastAsia="Times New Roman" w:hint="default"/>
          <w:spacing w:val="27"/>
        </w:rPr>
        <w:t> </w:t>
      </w:r>
      <w:r>
        <w:rPr>
          <w:spacing w:val="-2"/>
        </w:rPr>
        <w:t>日，合纵科技在深圳证券交易所创业板</w:t>
      </w:r>
      <w:r>
        <w:rPr>
          <w:rFonts w:ascii="Times New Roman" w:hAnsi="Times New Roman" w:cs="Times New Roman" w:eastAsia="Times New Roman" w:hint="default"/>
          <w:spacing w:val="-2"/>
        </w:rPr>
        <w:t>A</w:t>
      </w:r>
      <w:r>
        <w:rPr>
          <w:spacing w:val="-2"/>
        </w:rPr>
        <w:t>股上市，首次公开发行</w:t>
      </w:r>
      <w:r>
        <w:rPr>
          <w:rFonts w:ascii="Times New Roman" w:hAnsi="Times New Roman" w:cs="Times New Roman" w:eastAsia="Times New Roman" w:hint="default"/>
          <w:spacing w:val="-2"/>
        </w:rPr>
        <w:t>2,704.50</w:t>
      </w:r>
      <w:r>
        <w:rPr>
          <w:spacing w:val="-2"/>
        </w:rPr>
        <w:t>万股股票，发行后总股本为</w:t>
      </w:r>
      <w:r>
        <w:rPr>
          <w:rFonts w:ascii="Times New Roman" w:hAnsi="Times New Roman" w:cs="Times New Roman" w:eastAsia="Times New Roman" w:hint="default"/>
          <w:spacing w:val="-2"/>
        </w:rPr>
        <w:t>10,818.00</w:t>
      </w:r>
      <w:r>
        <w:rPr>
          <w:spacing w:val="-2"/>
        </w:rPr>
        <w:t>万股，股票简</w:t>
      </w:r>
      <w:r>
        <w:rPr>
          <w:spacing w:val="4"/>
        </w:rPr>
        <w:t> </w:t>
      </w:r>
      <w:r>
        <w:rPr>
          <w:spacing w:val="4"/>
        </w:rPr>
      </w:r>
      <w:r>
        <w:rPr>
          <w:spacing w:val="-2"/>
        </w:rPr>
        <w:t>称</w:t>
      </w:r>
      <w:r>
        <w:rPr>
          <w:rFonts w:ascii="Times New Roman" w:hAnsi="Times New Roman" w:cs="Times New Roman" w:eastAsia="Times New Roman" w:hint="default"/>
          <w:spacing w:val="-2"/>
        </w:rPr>
        <w:t>“</w:t>
      </w:r>
      <w:r>
        <w:rPr>
          <w:spacing w:val="-2"/>
        </w:rPr>
        <w:t>合纵科技</w:t>
      </w:r>
      <w:r>
        <w:rPr>
          <w:rFonts w:ascii="Times New Roman" w:hAnsi="Times New Roman" w:cs="Times New Roman" w:eastAsia="Times New Roman" w:hint="default"/>
          <w:spacing w:val="-2"/>
        </w:rPr>
        <w:t>”</w:t>
      </w:r>
      <w:r>
        <w:rPr>
          <w:spacing w:val="-2"/>
        </w:rPr>
        <w:t>，股票代码</w:t>
      </w:r>
      <w:r>
        <w:rPr>
          <w:rFonts w:ascii="Times New Roman" w:hAnsi="Times New Roman" w:cs="Times New Roman" w:eastAsia="Times New Roman" w:hint="default"/>
          <w:spacing w:val="-2"/>
        </w:rPr>
        <w:t>300477</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15</w:t>
      </w:r>
      <w:r>
        <w:rPr>
          <w:spacing w:val="-2"/>
        </w:rPr>
        <w:t>日，合纵科技以股份总数</w:t>
      </w:r>
      <w:r>
        <w:rPr>
          <w:rFonts w:ascii="Times New Roman" w:hAnsi="Times New Roman" w:cs="Times New Roman" w:eastAsia="Times New Roman" w:hint="default"/>
          <w:spacing w:val="-2"/>
        </w:rPr>
        <w:t>10,818.00</w:t>
      </w:r>
      <w:r>
        <w:rPr>
          <w:spacing w:val="-2"/>
        </w:rPr>
        <w:t>万股为基数，以资本公积向全体股东每</w:t>
      </w:r>
      <w:r>
        <w:rPr>
          <w:rFonts w:ascii="Times New Roman" w:hAnsi="Times New Roman" w:cs="Times New Roman" w:eastAsia="Times New Roman" w:hint="default"/>
          <w:spacing w:val="-2"/>
        </w:rPr>
        <w:t>10</w:t>
      </w:r>
      <w:r>
        <w:rPr>
          <w:rFonts w:ascii="Times New Roman" w:hAnsi="Times New Roman" w:cs="Times New Roman" w:eastAsia="Times New Roman" w:hint="default"/>
          <w:spacing w:val="20"/>
        </w:rPr>
        <w:t> </w:t>
      </w:r>
      <w:r>
        <w:rPr>
          <w:spacing w:val="-2"/>
        </w:rPr>
        <w:t>股转增</w:t>
      </w:r>
      <w:r>
        <w:rPr>
          <w:rFonts w:ascii="Times New Roman" w:hAnsi="Times New Roman" w:cs="Times New Roman" w:eastAsia="Times New Roman" w:hint="default"/>
          <w:spacing w:val="-2"/>
        </w:rPr>
        <w:t>15</w:t>
      </w:r>
      <w:r>
        <w:rPr>
          <w:spacing w:val="-2"/>
        </w:rPr>
        <w:t>股，合计转增股数</w:t>
      </w:r>
      <w:r>
        <w:rPr>
          <w:rFonts w:ascii="Times New Roman" w:hAnsi="Times New Roman" w:cs="Times New Roman" w:eastAsia="Times New Roman" w:hint="default"/>
          <w:spacing w:val="-2"/>
        </w:rPr>
        <w:t>16,227.00</w:t>
      </w:r>
      <w:r>
        <w:rPr>
          <w:spacing w:val="-2"/>
        </w:rPr>
        <w:t>万股，转增后，公司总股本变更为</w:t>
      </w:r>
      <w:r>
        <w:rPr>
          <w:rFonts w:ascii="Times New Roman" w:hAnsi="Times New Roman" w:cs="Times New Roman" w:eastAsia="Times New Roman" w:hint="default"/>
          <w:spacing w:val="-2"/>
        </w:rPr>
        <w:t>27,045.00</w:t>
      </w:r>
      <w:r>
        <w:rPr>
          <w:spacing w:val="-2"/>
        </w:rPr>
        <w:t>万股。</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13</w:t>
      </w:r>
      <w:r>
        <w:rPr>
          <w:spacing w:val="-2"/>
        </w:rPr>
        <w:t>日，公司向特定对象上</w:t>
      </w:r>
      <w:r>
        <w:rPr>
          <w:spacing w:val="47"/>
        </w:rPr>
        <w:t> </w:t>
      </w:r>
      <w:r>
        <w:rPr>
          <w:spacing w:val="47"/>
        </w:rPr>
      </w:r>
      <w:r>
        <w:rPr>
          <w:spacing w:val="-4"/>
          <w:w w:val="101"/>
        </w:rPr>
        <w:t>银基金管理有限公司作为管理人的上银基金合纵科技</w:t>
      </w:r>
      <w:r>
        <w:rPr>
          <w:rFonts w:ascii="Times New Roman" w:hAnsi="Times New Roman" w:cs="Times New Roman" w:eastAsia="Times New Roman" w:hint="default"/>
          <w:spacing w:val="-4"/>
          <w:w w:val="101"/>
        </w:rPr>
        <w:t>1</w:t>
      </w:r>
      <w:r>
        <w:rPr>
          <w:spacing w:val="-4"/>
          <w:w w:val="101"/>
        </w:rPr>
        <w:t>号资产管理计划</w:t>
      </w:r>
      <w:r>
        <w:rPr>
          <w:rFonts w:ascii="Times New Roman" w:hAnsi="Times New Roman" w:cs="Times New Roman" w:eastAsia="Times New Roman" w:hint="default"/>
          <w:spacing w:val="-4"/>
          <w:w w:val="101"/>
        </w:rPr>
        <w:t>(</w:t>
      </w:r>
      <w:r>
        <w:rPr>
          <w:spacing w:val="-4"/>
          <w:w w:val="101"/>
        </w:rPr>
        <w:t>其性质为员工持股计划</w:t>
      </w:r>
      <w:r>
        <w:rPr>
          <w:rFonts w:ascii="Times New Roman" w:hAnsi="Times New Roman" w:cs="Times New Roman" w:eastAsia="Times New Roman" w:hint="default"/>
          <w:spacing w:val="-4"/>
          <w:w w:val="101"/>
        </w:rPr>
        <w:t>)</w:t>
      </w:r>
      <w:r>
        <w:rPr>
          <w:spacing w:val="-4"/>
          <w:w w:val="101"/>
        </w:rPr>
        <w:t>非公开发行</w:t>
      </w:r>
      <w:r>
        <w:rPr>
          <w:rFonts w:ascii="Times New Roman" w:hAnsi="Times New Roman" w:cs="Times New Roman" w:eastAsia="Times New Roman" w:hint="default"/>
          <w:spacing w:val="-4"/>
          <w:w w:val="101"/>
        </w:rPr>
        <w:t>931.8466</w:t>
      </w:r>
      <w:r>
        <w:rPr>
          <w:spacing w:val="-4"/>
          <w:w w:val="101"/>
        </w:rPr>
        <w:t>万股，每</w:t>
      </w:r>
      <w:r>
        <w:rPr>
          <w:spacing w:val="-51"/>
          <w:w w:val="101"/>
        </w:rPr>
        <w:t> </w:t>
      </w:r>
      <w:r>
        <w:rPr>
          <w:spacing w:val="-51"/>
          <w:w w:val="101"/>
        </w:rPr>
      </w:r>
      <w:r>
        <w:rPr/>
        <w:t>股面值</w:t>
      </w:r>
      <w:r>
        <w:rPr>
          <w:rFonts w:ascii="Times New Roman" w:hAnsi="Times New Roman" w:cs="Times New Roman" w:eastAsia="Times New Roman" w:hint="default"/>
        </w:rPr>
        <w:t>1</w:t>
      </w:r>
      <w:r>
        <w:rPr/>
        <w:t>元，变更后的累计股本为</w:t>
      </w:r>
      <w:r>
        <w:rPr>
          <w:rFonts w:ascii="Times New Roman" w:hAnsi="Times New Roman" w:cs="Times New Roman" w:eastAsia="Times New Roman" w:hint="default"/>
        </w:rPr>
        <w:t>27,976.8466</w:t>
      </w:r>
      <w:r>
        <w:rPr/>
        <w:t>万股。</w:t>
      </w:r>
    </w:p>
    <w:p>
      <w:pPr>
        <w:pStyle w:val="BodyText"/>
        <w:spacing w:line="302" w:lineRule="auto" w:before="45"/>
        <w:ind w:right="1122" w:firstLine="427"/>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24</w:t>
      </w:r>
      <w:r>
        <w:rPr>
          <w:spacing w:val="-1"/>
        </w:rPr>
        <w:t>日</w:t>
      </w:r>
      <w:r>
        <w:rPr>
          <w:rFonts w:ascii="Times New Roman" w:hAnsi="Times New Roman" w:cs="Times New Roman" w:eastAsia="Times New Roman" w:hint="default"/>
          <w:spacing w:val="-1"/>
        </w:rPr>
        <w:t>,</w:t>
      </w:r>
      <w:r>
        <w:rPr>
          <w:spacing w:val="-1"/>
        </w:rPr>
        <w:t>合纵科技取得中国证监会《关于核准北京合纵科技股份有限公司向李智军等发行股份及支付现金购买</w:t>
      </w:r>
      <w:r>
        <w:rPr>
          <w:w w:val="101"/>
        </w:rPr>
        <w:t> </w:t>
      </w:r>
      <w:r>
        <w:rPr>
          <w:spacing w:val="-1"/>
        </w:rPr>
        <w:t>资产并募集配套资金的批复》（证监许可</w:t>
      </w:r>
      <w:r>
        <w:rPr>
          <w:rFonts w:ascii="Times New Roman" w:hAnsi="Times New Roman" w:cs="Times New Roman" w:eastAsia="Times New Roman" w:hint="default"/>
          <w:spacing w:val="-1"/>
        </w:rPr>
        <w:t>[2017]1173</w:t>
      </w:r>
      <w:r>
        <w:rPr>
          <w:spacing w:val="-1"/>
        </w:rPr>
        <w:t>号），获准向李智军等发行股份购买资产，公司累计发行</w:t>
      </w:r>
      <w:r>
        <w:rPr>
          <w:rFonts w:ascii="Times New Roman" w:hAnsi="Times New Roman" w:cs="Times New Roman" w:eastAsia="Times New Roman" w:hint="default"/>
          <w:spacing w:val="-1"/>
        </w:rPr>
        <w:t>2,496.7038</w:t>
      </w:r>
      <w:r>
        <w:rPr>
          <w:spacing w:val="-1"/>
        </w:rPr>
        <w:t>万</w:t>
      </w:r>
      <w:r>
        <w:rPr>
          <w:spacing w:val="43"/>
        </w:rPr>
        <w:t> </w:t>
      </w:r>
      <w:r>
        <w:rPr>
          <w:spacing w:val="-4"/>
        </w:rPr>
        <w:t>股，每股面值</w:t>
      </w:r>
      <w:r>
        <w:rPr>
          <w:rFonts w:ascii="Times New Roman" w:hAnsi="Times New Roman" w:cs="Times New Roman" w:eastAsia="Times New Roman" w:hint="default"/>
          <w:spacing w:val="-4"/>
        </w:rPr>
        <w:t>1</w:t>
      </w:r>
      <w:r>
        <w:rPr>
          <w:spacing w:val="-4"/>
        </w:rPr>
        <w:t>元，变更后总股本为</w:t>
      </w:r>
      <w:r>
        <w:rPr>
          <w:rFonts w:ascii="Times New Roman" w:hAnsi="Times New Roman" w:cs="Times New Roman" w:eastAsia="Times New Roman" w:hint="default"/>
          <w:spacing w:val="-4"/>
        </w:rPr>
        <w:t>30,473.5504</w:t>
      </w:r>
      <w:r>
        <w:rPr>
          <w:spacing w:val="-4"/>
        </w:rPr>
        <w:t>万股。</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9</w:t>
      </w:r>
      <w:r>
        <w:rPr>
          <w:spacing w:val="-4"/>
        </w:rPr>
        <w:t>月，合纵科技向控股股东刘泽刚、部分董监高及其他核心骨干</w:t>
      </w:r>
      <w:r>
        <w:rPr>
          <w:spacing w:val="76"/>
        </w:rPr>
        <w:t> </w:t>
      </w:r>
      <w:r>
        <w:rPr>
          <w:spacing w:val="76"/>
        </w:rPr>
      </w:r>
      <w:r>
        <w:rPr>
          <w:spacing w:val="-2"/>
        </w:rPr>
        <w:t>投资设立的持股平台赣州合纵投资管理有限合伙、深圳天风天成资产管理有限公司</w:t>
      </w:r>
      <w:r>
        <w:rPr>
          <w:rFonts w:ascii="Times New Roman" w:hAnsi="Times New Roman" w:cs="Times New Roman" w:eastAsia="Times New Roman" w:hint="default"/>
          <w:spacing w:val="-2"/>
        </w:rPr>
        <w:t>-</w:t>
      </w:r>
      <w:r>
        <w:rPr>
          <w:spacing w:val="-2"/>
        </w:rPr>
        <w:t>天富</w:t>
      </w:r>
      <w:r>
        <w:rPr>
          <w:rFonts w:ascii="Times New Roman" w:hAnsi="Times New Roman" w:cs="Times New Roman" w:eastAsia="Times New Roman" w:hint="default"/>
          <w:spacing w:val="-2"/>
        </w:rPr>
        <w:t>13</w:t>
      </w:r>
      <w:r>
        <w:rPr>
          <w:spacing w:val="-2"/>
        </w:rPr>
        <w:t>号资产管理计划、安信基金管理</w:t>
      </w:r>
      <w:r>
        <w:rPr>
          <w:spacing w:val="54"/>
        </w:rPr>
        <w:t> </w:t>
      </w:r>
      <w:r>
        <w:rPr>
          <w:spacing w:val="54"/>
        </w:rPr>
      </w:r>
      <w:r>
        <w:rPr/>
        <w:t>有限责任公司</w:t>
      </w:r>
      <w:r>
        <w:rPr>
          <w:rFonts w:ascii="Times New Roman" w:hAnsi="Times New Roman" w:cs="Times New Roman" w:eastAsia="Times New Roman" w:hint="default"/>
        </w:rPr>
        <w:t>-</w:t>
      </w:r>
      <w:r>
        <w:rPr/>
        <w:t>安信基金白鹭定增</w:t>
      </w:r>
      <w:r>
        <w:rPr>
          <w:rFonts w:ascii="Times New Roman" w:hAnsi="Times New Roman" w:cs="Times New Roman" w:eastAsia="Times New Roman" w:hint="default"/>
        </w:rPr>
        <w:t>2</w:t>
      </w:r>
      <w:r>
        <w:rPr/>
        <w:t>号资产管理计划非公开发行</w:t>
      </w:r>
      <w:r>
        <w:rPr>
          <w:rFonts w:ascii="Times New Roman" w:hAnsi="Times New Roman" w:cs="Times New Roman" w:eastAsia="Times New Roman" w:hint="default"/>
        </w:rPr>
        <w:t>1,870.5964</w:t>
      </w:r>
      <w:r>
        <w:rPr/>
        <w:t>万股，每股面值</w:t>
      </w:r>
      <w:r>
        <w:rPr>
          <w:rFonts w:ascii="Times New Roman" w:hAnsi="Times New Roman" w:cs="Times New Roman" w:eastAsia="Times New Roman" w:hint="default"/>
        </w:rPr>
        <w:t>1</w:t>
      </w:r>
      <w:r>
        <w:rPr/>
        <w:t>元，变更后总股本为</w:t>
      </w:r>
      <w:r>
        <w:rPr>
          <w:rFonts w:ascii="Times New Roman" w:hAnsi="Times New Roman" w:cs="Times New Roman" w:eastAsia="Times New Roman" w:hint="default"/>
        </w:rPr>
        <w:t>32,344.1468</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t>万股。</w:t>
      </w:r>
    </w:p>
    <w:p>
      <w:pPr>
        <w:pStyle w:val="BodyText"/>
        <w:spacing w:line="240" w:lineRule="auto" w:before="68"/>
        <w:ind w:left="580" w:right="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13</w:t>
      </w:r>
      <w:r>
        <w:rPr>
          <w:spacing w:val="3"/>
        </w:rPr>
        <w:t>日，本公司以总股本</w:t>
      </w:r>
      <w:r>
        <w:rPr>
          <w:rFonts w:ascii="Times New Roman" w:hAnsi="Times New Roman" w:cs="Times New Roman" w:eastAsia="Times New Roman" w:hint="default"/>
          <w:spacing w:val="3"/>
        </w:rPr>
        <w:t>32,344.1468</w:t>
      </w:r>
      <w:r>
        <w:rPr>
          <w:spacing w:val="3"/>
        </w:rPr>
        <w:t>万股为基数，以资本公积向全体股东每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8</w:t>
      </w:r>
      <w:r>
        <w:rPr>
          <w:spacing w:val="3"/>
        </w:rPr>
        <w:t>股，合计转增股数</w:t>
      </w:r>
    </w:p>
    <w:p>
      <w:pPr>
        <w:pStyle w:val="BodyText"/>
        <w:spacing w:line="240" w:lineRule="auto" w:before="67"/>
        <w:ind w:right="0"/>
        <w:jc w:val="left"/>
      </w:pPr>
      <w:r>
        <w:rPr>
          <w:rFonts w:ascii="Times New Roman" w:hAnsi="Times New Roman" w:cs="Times New Roman" w:eastAsia="Times New Roman" w:hint="default"/>
        </w:rPr>
        <w:t>25,875.3174</w:t>
      </w:r>
      <w:r>
        <w:rPr/>
        <w:t>万股，转增后，公司总股本变更为</w:t>
      </w:r>
      <w:r>
        <w:rPr>
          <w:rFonts w:ascii="Times New Roman" w:hAnsi="Times New Roman" w:cs="Times New Roman" w:eastAsia="Times New Roman" w:hint="default"/>
        </w:rPr>
        <w:t>58,219.4642</w:t>
      </w:r>
      <w:r>
        <w:rPr/>
        <w:t>万股。</w:t>
      </w:r>
    </w:p>
    <w:p>
      <w:pPr>
        <w:pStyle w:val="BodyText"/>
        <w:spacing w:line="240" w:lineRule="auto" w:before="96"/>
        <w:ind w:left="580" w:right="0"/>
        <w:jc w:val="left"/>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25</w:t>
      </w:r>
      <w:r>
        <w:rPr>
          <w:spacing w:val="3"/>
        </w:rPr>
        <w:t>日，本公司以总股本</w:t>
      </w:r>
      <w:r>
        <w:rPr>
          <w:rFonts w:ascii="Times New Roman" w:hAnsi="Times New Roman" w:cs="Times New Roman" w:eastAsia="Times New Roman" w:hint="default"/>
          <w:spacing w:val="3"/>
        </w:rPr>
        <w:t>58,219.4642</w:t>
      </w:r>
      <w:r>
        <w:rPr>
          <w:spacing w:val="3"/>
        </w:rPr>
        <w:t>万股为基数，以资本公积向全体股东每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4</w:t>
      </w:r>
      <w:r>
        <w:rPr>
          <w:spacing w:val="3"/>
        </w:rPr>
        <w:t>股，合计转增股数</w:t>
      </w:r>
    </w:p>
    <w:p>
      <w:pPr>
        <w:pStyle w:val="BodyText"/>
        <w:spacing w:line="240" w:lineRule="auto" w:before="67"/>
        <w:ind w:right="0"/>
        <w:jc w:val="left"/>
      </w:pPr>
      <w:r>
        <w:rPr>
          <w:rFonts w:ascii="Times New Roman" w:hAnsi="Times New Roman" w:cs="Times New Roman" w:eastAsia="Times New Roman" w:hint="default"/>
        </w:rPr>
        <w:t>23,287.7856</w:t>
      </w:r>
      <w:r>
        <w:rPr/>
        <w:t>万股，转增后，公司总股本变更为</w:t>
      </w:r>
      <w:r>
        <w:rPr>
          <w:rFonts w:ascii="Times New Roman" w:hAnsi="Times New Roman" w:cs="Times New Roman" w:eastAsia="Times New Roman" w:hint="default"/>
        </w:rPr>
        <w:t>81,507.2498</w:t>
      </w:r>
      <w:r>
        <w:rPr/>
        <w:t>万股。</w:t>
      </w:r>
    </w:p>
    <w:p>
      <w:pPr>
        <w:pStyle w:val="BodyText"/>
        <w:spacing w:line="304" w:lineRule="auto" w:before="97"/>
        <w:ind w:right="1122" w:firstLine="427"/>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27</w:t>
      </w:r>
      <w:r>
        <w:rPr/>
        <w:t>日，本公司向</w:t>
      </w:r>
      <w:r>
        <w:rPr>
          <w:rFonts w:ascii="Times New Roman" w:hAnsi="Times New Roman" w:cs="Times New Roman" w:eastAsia="Times New Roman" w:hint="default"/>
        </w:rPr>
        <w:t>121</w:t>
      </w:r>
      <w:r>
        <w:rPr/>
        <w:t>名符合授予条件激励对象授予</w:t>
      </w:r>
      <w:r>
        <w:rPr>
          <w:rFonts w:ascii="Times New Roman" w:hAnsi="Times New Roman" w:cs="Times New Roman" w:eastAsia="Times New Roman" w:hint="default"/>
        </w:rPr>
        <w:t>1790.32</w:t>
      </w:r>
      <w:r>
        <w:rPr>
          <w:rFonts w:ascii="Times New Roman" w:hAnsi="Times New Roman" w:cs="Times New Roman" w:eastAsia="Times New Roman" w:hint="default"/>
          <w:spacing w:val="34"/>
        </w:rPr>
        <w:t> </w:t>
      </w:r>
      <w:r>
        <w:rPr>
          <w:spacing w:val="-3"/>
        </w:rPr>
        <w:t>万股限制性股票，授予完成后，公司总股本变更</w:t>
      </w:r>
      <w:r>
        <w:rPr>
          <w:w w:val="101"/>
        </w:rPr>
        <w:t> </w:t>
      </w:r>
      <w:r>
        <w:rPr/>
        <w:t>为</w:t>
      </w:r>
      <w:r>
        <w:rPr>
          <w:rFonts w:ascii="Times New Roman" w:hAnsi="Times New Roman" w:cs="Times New Roman" w:eastAsia="Times New Roman" w:hint="default"/>
        </w:rPr>
        <w:t>83,297.5698</w:t>
      </w:r>
      <w:r>
        <w:rPr/>
        <w:t>万股。</w:t>
      </w:r>
    </w:p>
    <w:p>
      <w:pPr>
        <w:pStyle w:val="BodyText"/>
        <w:spacing w:line="304" w:lineRule="auto" w:before="47"/>
        <w:ind w:right="1031" w:firstLine="427"/>
        <w:jc w:val="both"/>
      </w:pPr>
      <w:r>
        <w:rPr>
          <w:spacing w:val="-3"/>
        </w:rPr>
        <w:t>公司企业法人营业执照统一社会信用代码为</w:t>
      </w:r>
      <w:r>
        <w:rPr>
          <w:rFonts w:ascii="Times New Roman" w:hAnsi="Times New Roman" w:cs="Times New Roman" w:eastAsia="Times New Roman" w:hint="default"/>
          <w:spacing w:val="-3"/>
        </w:rPr>
        <w:t>911100006336146947</w:t>
      </w:r>
      <w:r>
        <w:rPr>
          <w:spacing w:val="-3"/>
        </w:rPr>
        <w:t>，注册资本为</w:t>
      </w:r>
      <w:r>
        <w:rPr>
          <w:rFonts w:ascii="Times New Roman" w:hAnsi="Times New Roman" w:cs="Times New Roman" w:eastAsia="Times New Roman" w:hint="default"/>
          <w:spacing w:val="-3"/>
        </w:rPr>
        <w:t>58,219.4642</w:t>
      </w:r>
      <w:r>
        <w:rPr>
          <w:spacing w:val="-3"/>
        </w:rPr>
        <w:t>万元，法定代表人为刘泽刚，</w:t>
      </w:r>
      <w:r>
        <w:rPr>
          <w:w w:val="101"/>
        </w:rPr>
        <w:t> </w:t>
      </w:r>
      <w:r>
        <w:rPr/>
        <w:t>注册地址为北京市海淀区上地三街</w:t>
      </w:r>
      <w:r>
        <w:rPr>
          <w:rFonts w:ascii="Times New Roman" w:hAnsi="Times New Roman" w:cs="Times New Roman" w:eastAsia="Times New Roman" w:hint="default"/>
        </w:rPr>
        <w:t>9</w:t>
      </w:r>
      <w:r>
        <w:rPr/>
        <w:t>号（嘉华大厦）</w:t>
      </w:r>
      <w:r>
        <w:rPr>
          <w:rFonts w:ascii="Times New Roman" w:hAnsi="Times New Roman" w:cs="Times New Roman" w:eastAsia="Times New Roman" w:hint="default"/>
        </w:rPr>
        <w:t>D</w:t>
      </w:r>
      <w:r>
        <w:rPr/>
        <w:t>座</w:t>
      </w:r>
      <w:r>
        <w:rPr>
          <w:rFonts w:ascii="Times New Roman" w:hAnsi="Times New Roman" w:cs="Times New Roman" w:eastAsia="Times New Roman" w:hint="default"/>
        </w:rPr>
        <w:t>1211</w:t>
      </w:r>
      <w:r>
        <w:rPr/>
        <w:t>、</w:t>
      </w:r>
      <w:r>
        <w:rPr>
          <w:rFonts w:ascii="Times New Roman" w:hAnsi="Times New Roman" w:cs="Times New Roman" w:eastAsia="Times New Roman" w:hint="default"/>
        </w:rPr>
        <w:t>1212</w:t>
      </w:r>
      <w:r>
        <w:rPr/>
        <w:t>，营业期限为</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30</w:t>
      </w:r>
      <w:r>
        <w:rPr/>
        <w:t>日至长期。</w:t>
      </w:r>
    </w:p>
    <w:p>
      <w:pPr>
        <w:pStyle w:val="BodyText"/>
        <w:spacing w:line="321" w:lineRule="auto" w:before="42"/>
        <w:ind w:right="1124" w:firstLine="427"/>
        <w:jc w:val="both"/>
      </w:pPr>
      <w:r>
        <w:rPr>
          <w:spacing w:val="-2"/>
        </w:rPr>
        <w:t>本公司经批准的经营范围：技术咨询、技术开发、技术服务、技术推广、技术转让；专业承包；建设工程项目管理；</w:t>
      </w:r>
      <w:r>
        <w:rPr>
          <w:w w:val="101"/>
        </w:rPr>
        <w:t> </w:t>
      </w:r>
      <w:r>
        <w:rPr>
          <w:spacing w:val="-4"/>
        </w:rPr>
        <w:t>销售电子产品、机械设备、建筑材料、五金交电、化工产品（不含危险化学品及一类易制毒化学品）；货物进出口、代理进</w:t>
      </w:r>
      <w:r>
        <w:rPr>
          <w:spacing w:val="40"/>
        </w:rPr>
        <w:t> </w:t>
      </w:r>
      <w:r>
        <w:rPr>
          <w:spacing w:val="40"/>
        </w:rPr>
      </w:r>
      <w:r>
        <w:rPr>
          <w:spacing w:val="-3"/>
        </w:rPr>
        <w:t>出口、技术进出口；机械设备维修</w:t>
      </w:r>
      <w:r>
        <w:rPr>
          <w:rFonts w:ascii="Times New Roman" w:hAnsi="Times New Roman" w:cs="Times New Roman" w:eastAsia="Times New Roman" w:hint="default"/>
          <w:spacing w:val="-3"/>
        </w:rPr>
        <w:t>(</w:t>
      </w:r>
      <w:r>
        <w:rPr>
          <w:spacing w:val="-3"/>
        </w:rPr>
        <w:t>不含汽车维修</w:t>
      </w:r>
      <w:r>
        <w:rPr>
          <w:rFonts w:ascii="Times New Roman" w:hAnsi="Times New Roman" w:cs="Times New Roman" w:eastAsia="Times New Roman" w:hint="default"/>
          <w:spacing w:val="-3"/>
        </w:rPr>
        <w:t>)</w:t>
      </w:r>
      <w:r>
        <w:rPr>
          <w:spacing w:val="-3"/>
        </w:rPr>
        <w:t>；产品设计；经济贸易咨询；生产电器设备。</w:t>
      </w:r>
    </w:p>
    <w:p>
      <w:pPr>
        <w:pStyle w:val="BodyText"/>
        <w:spacing w:line="240" w:lineRule="auto" w:before="28"/>
        <w:ind w:left="580" w:right="0"/>
        <w:jc w:val="left"/>
      </w:pPr>
      <w:r>
        <w:rPr/>
        <w:t>本公司是从事配电及控制设备制造及相关技术服务的高科技企业。公司的主营业务涉及智能配电、商业楼宇、智慧交</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6"/>
        <w:ind w:right="0"/>
        <w:jc w:val="left"/>
      </w:pPr>
      <w:r>
        <w:rPr>
          <w:spacing w:val="-4"/>
        </w:rPr>
        <w:t>通（高速公路、铁路、码头、机场）、工矿企业、医疗卫生、节能环保、互联网（数据中心）、矿山冶炼等诸多领域。生产</w:t>
      </w:r>
      <w:r>
        <w:rPr>
          <w:spacing w:val="42"/>
        </w:rPr>
        <w:t> </w:t>
      </w:r>
      <w:r>
        <w:rPr>
          <w:spacing w:val="42"/>
        </w:rPr>
      </w:r>
      <w:r>
        <w:rPr>
          <w:spacing w:val="-3"/>
        </w:rPr>
        <w:t>和销售户外中高压（</w:t>
      </w:r>
      <w:r>
        <w:rPr>
          <w:rFonts w:ascii="宋体" w:hAnsi="宋体" w:cs="宋体" w:eastAsia="宋体" w:hint="default"/>
          <w:spacing w:val="-3"/>
        </w:rPr>
        <w:t>12</w:t>
      </w:r>
      <w:r>
        <w:rPr>
          <w:spacing w:val="-3"/>
        </w:rPr>
        <w:t>～</w:t>
      </w:r>
      <w:r>
        <w:rPr>
          <w:rFonts w:ascii="宋体" w:hAnsi="宋体" w:cs="宋体" w:eastAsia="宋体" w:hint="default"/>
          <w:spacing w:val="-3"/>
        </w:rPr>
        <w:t>40.5kV</w:t>
      </w:r>
      <w:r>
        <w:rPr>
          <w:spacing w:val="-3"/>
        </w:rPr>
        <w:t>）配电和控制设备，主要产品包括环网柜、柱上开关（户外开关）、箱式变电站、变压器、</w:t>
      </w:r>
      <w:r>
        <w:rPr>
          <w:spacing w:val="78"/>
        </w:rPr>
        <w:t> </w:t>
      </w:r>
      <w:r>
        <w:rPr>
          <w:spacing w:val="78"/>
        </w:rPr>
      </w:r>
      <w:r>
        <w:rPr>
          <w:spacing w:val="-4"/>
        </w:rPr>
        <w:t>其他开关类、电缆附件等，共计六大类二十个系列产品。本公司之子公司湖南雅城新材料有限公司主要经营四氧化三钴、氢</w:t>
      </w:r>
      <w:r>
        <w:rPr>
          <w:spacing w:val="40"/>
        </w:rPr>
        <w:t> </w:t>
      </w:r>
      <w:r>
        <w:rPr>
          <w:spacing w:val="40"/>
        </w:rPr>
      </w:r>
      <w:r>
        <w:rPr>
          <w:spacing w:val="-3"/>
        </w:rPr>
        <w:t>氧化亚钴、磷酸铁等电池正极材料的生产和销售。</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031" w:firstLine="427"/>
        <w:jc w:val="both"/>
      </w:pPr>
      <w:r>
        <w:rPr>
          <w:spacing w:val="-4"/>
        </w:rPr>
        <w:t>本公司财务报表以持续经营假设为基础，根据实际发生的交易和事项，按照财政部于</w:t>
      </w:r>
      <w:r>
        <w:rPr>
          <w:rFonts w:ascii="Times New Roman" w:hAnsi="Times New Roman" w:cs="Times New Roman" w:eastAsia="Times New Roman" w:hint="default"/>
          <w:spacing w:val="-4"/>
        </w:rPr>
        <w:t>2006</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15</w:t>
      </w:r>
      <w:r>
        <w:rPr>
          <w:spacing w:val="-4"/>
        </w:rPr>
        <w:t>日及以后颁布的《企</w:t>
      </w:r>
      <w:r>
        <w:rPr>
          <w:w w:val="101"/>
        </w:rPr>
        <w:t> </w:t>
      </w:r>
      <w:r>
        <w:rPr>
          <w:spacing w:val="-6"/>
        </w:rPr>
        <w:t>业会计准则</w:t>
      </w:r>
      <w:r>
        <w:rPr>
          <w:rFonts w:ascii="Times New Roman" w:hAnsi="Times New Roman" w:cs="Times New Roman" w:eastAsia="Times New Roman" w:hint="default"/>
          <w:spacing w:val="-6"/>
        </w:rPr>
        <w:t>——</w:t>
      </w:r>
      <w:r>
        <w:rPr>
          <w:spacing w:val="-6"/>
        </w:rPr>
        <w:t>基本准则》和各项具体会计准则、企业会计准则应用指南、企业会计准则解释及其他相关规定（以下合称</w:t>
      </w:r>
      <w:r>
        <w:rPr>
          <w:rFonts w:ascii="Times New Roman" w:hAnsi="Times New Roman" w:cs="Times New Roman" w:eastAsia="Times New Roman" w:hint="default"/>
          <w:spacing w:val="-6"/>
        </w:rPr>
        <w:t>“</w:t>
      </w:r>
      <w:r>
        <w:rPr>
          <w:spacing w:val="-6"/>
        </w:rPr>
        <w:t>企</w:t>
      </w:r>
      <w:r>
        <w:rPr>
          <w:spacing w:val="70"/>
        </w:rPr>
        <w:t> </w:t>
      </w:r>
      <w:r>
        <w:rPr>
          <w:spacing w:val="-4"/>
        </w:rPr>
        <w:t>业会计准则</w:t>
      </w:r>
      <w:r>
        <w:rPr>
          <w:rFonts w:ascii="Times New Roman" w:hAnsi="Times New Roman" w:cs="Times New Roman" w:eastAsia="Times New Roman" w:hint="default"/>
          <w:spacing w:val="-4"/>
        </w:rPr>
        <w:t>”</w:t>
      </w:r>
      <w:r>
        <w:rPr>
          <w:spacing w:val="-4"/>
        </w:rPr>
        <w:t>），并参照中国证券监督管理委员会《公开发行证券的公司信息披露编报规则第</w:t>
      </w:r>
      <w:r>
        <w:rPr>
          <w:rFonts w:ascii="Times New Roman" w:hAnsi="Times New Roman" w:cs="Times New Roman" w:eastAsia="Times New Roman" w:hint="default"/>
          <w:spacing w:val="-4"/>
        </w:rPr>
        <w:t>15</w:t>
      </w:r>
      <w:r>
        <w:rPr>
          <w:spacing w:val="-4"/>
        </w:rPr>
        <w:t>号</w:t>
      </w:r>
      <w:r>
        <w:rPr>
          <w:rFonts w:ascii="Times New Roman" w:hAnsi="Times New Roman" w:cs="Times New Roman" w:eastAsia="Times New Roman" w:hint="default"/>
          <w:spacing w:val="-4"/>
        </w:rPr>
        <w:t>——</w:t>
      </w:r>
      <w:r>
        <w:rPr>
          <w:spacing w:val="-4"/>
        </w:rPr>
        <w:t>财务报告的一般规定》</w:t>
      </w:r>
    </w:p>
    <w:p>
      <w:pPr>
        <w:pStyle w:val="BodyText"/>
        <w:spacing w:line="333" w:lineRule="auto" w:before="17"/>
        <w:ind w:left="580" w:right="0" w:hanging="428"/>
        <w:jc w:val="left"/>
      </w:pPr>
      <w:r>
        <w:rPr>
          <w:spacing w:val="-3"/>
        </w:rPr>
        <w:t>（</w:t>
      </w:r>
      <w:r>
        <w:rPr>
          <w:rFonts w:ascii="Times New Roman" w:hAnsi="Times New Roman" w:cs="Times New Roman" w:eastAsia="Times New Roman" w:hint="default"/>
          <w:spacing w:val="-3"/>
        </w:rPr>
        <w:t>2014</w:t>
      </w:r>
      <w:r>
        <w:rPr>
          <w:spacing w:val="-3"/>
        </w:rPr>
        <w:t>年修订）的披露规定编制。</w:t>
      </w:r>
      <w:r>
        <w:rPr>
          <w:spacing w:val="-39"/>
        </w:rPr>
        <w:t> </w:t>
      </w:r>
      <w:r>
        <w:rPr>
          <w:spacing w:val="-39"/>
        </w:rPr>
      </w:r>
      <w:r>
        <w:rPr>
          <w:spacing w:val="-2"/>
        </w:rPr>
        <w:t>根据企业会计准则的相关规定，本公司会计核算以权责发生制为基础。除某些金融工具和投资性房地产外，本财务报</w:t>
      </w:r>
    </w:p>
    <w:p>
      <w:pPr>
        <w:pStyle w:val="BodyText"/>
        <w:spacing w:line="321" w:lineRule="auto" w:before="7"/>
        <w:ind w:right="0"/>
        <w:jc w:val="left"/>
      </w:pPr>
      <w:r>
        <w:rPr>
          <w:spacing w:val="-4"/>
        </w:rPr>
        <w:t>表均以历史成本为计量基础。持有待售的非流动资产，按公允价值减去预计费用后的金额，以及符合持有待售条件时的原账</w:t>
      </w:r>
      <w:r>
        <w:rPr>
          <w:spacing w:val="43"/>
        </w:rPr>
        <w:t> </w:t>
      </w:r>
      <w:r>
        <w:rPr>
          <w:spacing w:val="43"/>
        </w:rPr>
      </w:r>
      <w:r>
        <w:rPr>
          <w:spacing w:val="-3"/>
        </w:rPr>
        <w:t>面价值，取两者孰低计价。资产如果发生减值，则按照相关规定计提相应的减值准备。</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80" w:right="0"/>
        <w:jc w:val="left"/>
      </w:pPr>
      <w:r>
        <w:rPr>
          <w:spacing w:val="-3"/>
        </w:rPr>
        <w:t>本公司在未来</w:t>
      </w:r>
      <w:r>
        <w:rPr>
          <w:rFonts w:ascii="Times New Roman" w:hAnsi="Times New Roman" w:cs="Times New Roman" w:eastAsia="Times New Roman" w:hint="default"/>
          <w:spacing w:val="-3"/>
        </w:rPr>
        <w:t>12</w:t>
      </w:r>
      <w:r>
        <w:rPr>
          <w:spacing w:val="-3"/>
        </w:rPr>
        <w:t>月内不存在影响公司主体财务状况和经营情况不利困素的迹象。</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7"/>
          <w:szCs w:val="27"/>
        </w:rPr>
      </w:pPr>
    </w:p>
    <w:p>
      <w:pPr>
        <w:pStyle w:val="BodyText"/>
        <w:spacing w:line="352" w:lineRule="auto"/>
        <w:ind w:right="8128"/>
        <w:jc w:val="left"/>
      </w:pPr>
      <w:r>
        <w:rPr>
          <w:spacing w:val="-3"/>
        </w:rPr>
        <w:t>具体会计政策和会计估计提示：</w:t>
      </w:r>
      <w:r>
        <w:rPr>
          <w:spacing w:val="-45"/>
        </w:rPr>
        <w:t> </w:t>
      </w:r>
      <w:r>
        <w:rPr>
          <w:spacing w:val="-45"/>
        </w:rPr>
      </w:r>
      <w:r>
        <w:rPr/>
        <w:t>无</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9"/>
        <w:rPr>
          <w:rFonts w:ascii="宋体" w:hAnsi="宋体" w:cs="宋体" w:eastAsia="宋体" w:hint="default"/>
          <w:b/>
          <w:bCs/>
          <w:sz w:val="26"/>
          <w:szCs w:val="26"/>
        </w:rPr>
      </w:pPr>
    </w:p>
    <w:p>
      <w:pPr>
        <w:pStyle w:val="BodyText"/>
        <w:spacing w:line="300" w:lineRule="auto"/>
        <w:ind w:right="1122" w:firstLine="427"/>
        <w:jc w:val="both"/>
      </w:pPr>
      <w:r>
        <w:rPr>
          <w:spacing w:val="-2"/>
        </w:rPr>
        <w:t>本财务报表符合企业会计准则的要求，真实、完整地反映了本公司</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日的合并及公司财务状况以及</w:t>
      </w:r>
      <w:r>
        <w:rPr>
          <w:rFonts w:ascii="Times New Roman" w:hAnsi="Times New Roman" w:cs="Times New Roman" w:eastAsia="Times New Roman" w:hint="default"/>
          <w:spacing w:val="-2"/>
        </w:rPr>
        <w:t>2019</w:t>
      </w:r>
      <w:r>
        <w:rPr>
          <w:spacing w:val="-2"/>
        </w:rPr>
        <w:t>年</w:t>
      </w:r>
      <w:r>
        <w:rPr>
          <w:w w:val="101"/>
        </w:rPr>
        <w:t> </w:t>
      </w:r>
      <w:r>
        <w:rPr>
          <w:spacing w:val="-3"/>
        </w:rPr>
        <w:t>度的合并及公司经营成果和现金流量。</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right="1032" w:firstLine="427"/>
        <w:jc w:val="both"/>
      </w:pPr>
      <w:r>
        <w:rPr>
          <w:spacing w:val="-4"/>
        </w:rPr>
        <w:t>本公司的会计期间分为年度和中期，会计中期指短于一个完整的会计年度的报告期间。本公司会计年度采用公历年度，</w:t>
      </w:r>
      <w:r>
        <w:rPr>
          <w:w w:val="101"/>
        </w:rPr>
        <w:t> </w:t>
      </w:r>
      <w:r>
        <w:rPr>
          <w:spacing w:val="-3"/>
        </w:rPr>
        <w:t>即每年自</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日起至</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日止。</w:t>
      </w:r>
    </w:p>
    <w:p>
      <w:pPr>
        <w:pStyle w:val="BodyText"/>
        <w:spacing w:line="240" w:lineRule="auto" w:before="33"/>
        <w:ind w:left="580" w:right="0"/>
        <w:jc w:val="left"/>
      </w:pPr>
      <w:r>
        <w:rPr/>
        <w:t>本报告期为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01</w:t>
      </w:r>
      <w:r>
        <w:rPr/>
        <w:t>月</w:t>
      </w:r>
      <w:r>
        <w:rPr>
          <w:rFonts w:ascii="Times New Roman" w:hAnsi="Times New Roman" w:cs="Times New Roman" w:eastAsia="Times New Roman" w:hint="default"/>
        </w:rPr>
        <w:t>01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9"/>
        <w:rPr>
          <w:rFonts w:ascii="宋体" w:hAnsi="宋体" w:cs="宋体" w:eastAsia="宋体" w:hint="default"/>
          <w:b/>
          <w:bCs/>
          <w:sz w:val="26"/>
          <w:szCs w:val="26"/>
        </w:rPr>
      </w:pPr>
    </w:p>
    <w:p>
      <w:pPr>
        <w:pStyle w:val="BodyText"/>
        <w:spacing w:line="304" w:lineRule="auto"/>
        <w:ind w:right="0"/>
        <w:jc w:val="left"/>
      </w:pPr>
      <w:r>
        <w:rPr>
          <w:spacing w:val="-4"/>
        </w:rPr>
        <w:t>正常营业周期是指本公司从购买用于加工的资产起至实现现金或现金等价物的期间。本公司以</w:t>
      </w:r>
      <w:r>
        <w:rPr>
          <w:rFonts w:ascii="Times New Roman" w:hAnsi="Times New Roman" w:cs="Times New Roman" w:eastAsia="Times New Roman" w:hint="default"/>
          <w:spacing w:val="-4"/>
        </w:rPr>
        <w:t>12</w:t>
      </w:r>
      <w:r>
        <w:rPr>
          <w:spacing w:val="-4"/>
        </w:rPr>
        <w:t>个月作为一个营业周期，并</w:t>
      </w:r>
      <w:r>
        <w:rPr>
          <w:spacing w:val="43"/>
        </w:rPr>
        <w:t> </w:t>
      </w:r>
      <w:r>
        <w:rPr>
          <w:spacing w:val="43"/>
        </w:rPr>
      </w:r>
      <w:r>
        <w:rPr>
          <w:spacing w:val="-3"/>
        </w:rPr>
        <w:t>以其作为资产和负债的流动性划分标准。</w:t>
      </w:r>
    </w:p>
    <w:p>
      <w:pPr>
        <w:spacing w:line="240" w:lineRule="auto" w:before="13"/>
        <w:rPr>
          <w:rFonts w:ascii="宋体" w:hAnsi="宋体" w:cs="宋体" w:eastAsia="宋体" w:hint="default"/>
          <w:sz w:val="22"/>
          <w:szCs w:val="22"/>
        </w:rPr>
      </w:pPr>
    </w:p>
    <w:p>
      <w:pPr>
        <w:pStyle w:val="Heading3"/>
        <w:spacing w:line="240" w:lineRule="auto"/>
        <w:ind w:right="0"/>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本公司采用人民币作为记账本位币。</w:t>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both"/>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24" w:lineRule="auto"/>
        <w:ind w:right="1122" w:firstLine="427"/>
        <w:jc w:val="both"/>
      </w:pPr>
      <w:r>
        <w:rPr>
          <w:spacing w:val="-2"/>
        </w:rPr>
        <w:t>企业合并，是指将两个或两个以上单独的企业合并形成一个报告主体的交易或事项。企业合并分为同一控制下企业合</w:t>
      </w:r>
      <w:r>
        <w:rPr>
          <w:w w:val="101"/>
        </w:rPr>
        <w:t> </w:t>
      </w:r>
      <w:r>
        <w:rPr>
          <w:spacing w:val="-3"/>
        </w:rPr>
        <w:t>并和非同一控制下企业合并。</w:t>
      </w:r>
    </w:p>
    <w:p>
      <w:pPr>
        <w:pStyle w:val="BodyText"/>
        <w:spacing w:line="333" w:lineRule="auto" w:before="52"/>
        <w:ind w:left="580" w:right="0"/>
        <w:jc w:val="left"/>
      </w:pPr>
      <w:r>
        <w:rPr>
          <w:spacing w:val="-3"/>
        </w:rPr>
        <w:t>（</w:t>
      </w:r>
      <w:r>
        <w:rPr>
          <w:rFonts w:ascii="Times New Roman" w:hAnsi="Times New Roman" w:cs="Times New Roman" w:eastAsia="Times New Roman" w:hint="default"/>
          <w:spacing w:val="-3"/>
        </w:rPr>
        <w:t>1</w:t>
      </w:r>
      <w:r>
        <w:rPr>
          <w:spacing w:val="-3"/>
        </w:rPr>
        <w:t>）同一控制下企业合并</w:t>
      </w:r>
      <w:r>
        <w:rPr>
          <w:spacing w:val="-52"/>
        </w:rPr>
        <w:t> </w:t>
      </w:r>
      <w:r>
        <w:rPr>
          <w:spacing w:val="-52"/>
        </w:rPr>
      </w:r>
      <w:r>
        <w:rPr>
          <w:spacing w:val="-2"/>
        </w:rPr>
        <w:t>参与合并的企业在合并前后均受同一方或相同的多方最终控制，且该控制并非暂时性的，为同一控制下的企业合并。</w:t>
      </w:r>
    </w:p>
    <w:p>
      <w:pPr>
        <w:pStyle w:val="BodyText"/>
        <w:spacing w:line="321" w:lineRule="auto" w:before="6"/>
        <w:ind w:right="1124"/>
        <w:jc w:val="both"/>
      </w:pPr>
      <w:r>
        <w:rPr>
          <w:spacing w:val="-4"/>
        </w:rPr>
        <w:t>同一控制下的企业合并，在合并日取得对其他参与合并企业控制权的一方为合并方，参与合并的其他企业为被合并方。合并</w:t>
      </w:r>
      <w:r>
        <w:rPr>
          <w:spacing w:val="43"/>
        </w:rPr>
        <w:t> </w:t>
      </w:r>
      <w:r>
        <w:rPr>
          <w:spacing w:val="43"/>
        </w:rPr>
      </w:r>
      <w:r>
        <w:rPr>
          <w:spacing w:val="-3"/>
        </w:rPr>
        <w:t>日，是指合并方实际取得对被合并方控制权的日期。</w:t>
      </w:r>
    </w:p>
    <w:p>
      <w:pPr>
        <w:pStyle w:val="BodyText"/>
        <w:spacing w:line="321" w:lineRule="auto" w:before="54"/>
        <w:ind w:right="1036" w:firstLine="427"/>
        <w:jc w:val="both"/>
      </w:pPr>
      <w:r>
        <w:rPr>
          <w:spacing w:val="-2"/>
        </w:rPr>
        <w:t>合并方取得的资产和负债均按合并日在被合并方的账面价值计量。合并方取得的净资产账面价值与支付的合并对价账</w:t>
      </w:r>
      <w:r>
        <w:rPr>
          <w:w w:val="101"/>
        </w:rPr>
        <w:t> </w:t>
      </w:r>
      <w:r>
        <w:rPr>
          <w:spacing w:val="-6"/>
        </w:rPr>
        <w:t>面价值（或发行股份面值总额）的差额，调整资本公积（股本溢价）；资本公积（股本溢价）不足以冲减的，调整留存收益。</w:t>
      </w:r>
    </w:p>
    <w:p>
      <w:pPr>
        <w:pStyle w:val="BodyText"/>
        <w:spacing w:line="240" w:lineRule="auto" w:before="53"/>
        <w:ind w:left="580" w:right="0"/>
        <w:jc w:val="left"/>
      </w:pPr>
      <w:r>
        <w:rPr>
          <w:spacing w:val="-3"/>
        </w:rPr>
        <w:t>合并方为进行企业合并发生的各项直接费用，于发生时计入当期损益。</w:t>
      </w:r>
    </w:p>
    <w:p>
      <w:pPr>
        <w:pStyle w:val="BodyText"/>
        <w:spacing w:line="338" w:lineRule="auto" w:before="115"/>
        <w:ind w:left="580" w:right="0"/>
        <w:jc w:val="left"/>
      </w:pPr>
      <w:r>
        <w:rPr/>
        <w:t>（</w:t>
      </w:r>
      <w:r>
        <w:rPr>
          <w:rFonts w:ascii="Times New Roman" w:hAnsi="Times New Roman" w:cs="Times New Roman" w:eastAsia="Times New Roman" w:hint="default"/>
        </w:rPr>
        <w:t>2</w:t>
      </w:r>
      <w:r>
        <w:rPr/>
        <w:t>）非同一控制下企业合并</w:t>
      </w:r>
      <w:r>
        <w:rPr>
          <w:spacing w:val="-85"/>
        </w:rPr>
        <w:t> </w:t>
      </w:r>
      <w:r>
        <w:rPr>
          <w:spacing w:val="-85"/>
        </w:rPr>
      </w:r>
      <w:r>
        <w:rPr>
          <w:spacing w:val="-2"/>
        </w:rPr>
        <w:t>参与合并的企业在合并前后不受同一方或相同的多方最终控制的，为非同一控制下的企业合并。非同一控制下的企业</w:t>
      </w:r>
    </w:p>
    <w:p>
      <w:pPr>
        <w:pStyle w:val="BodyText"/>
        <w:spacing w:line="321" w:lineRule="auto" w:before="3"/>
        <w:ind w:right="1124"/>
        <w:jc w:val="both"/>
      </w:pPr>
      <w:r>
        <w:rPr>
          <w:spacing w:val="-4"/>
        </w:rPr>
        <w:t>合并，在购买日取得对其他参与合并企业控制权的一方为购买方，参与合并的其他企业为被购买方。购买日，是指为购买方</w:t>
      </w:r>
      <w:r>
        <w:rPr>
          <w:spacing w:val="40"/>
        </w:rPr>
        <w:t> </w:t>
      </w:r>
      <w:r>
        <w:rPr>
          <w:spacing w:val="40"/>
        </w:rPr>
      </w:r>
      <w:r>
        <w:rPr>
          <w:spacing w:val="-3"/>
        </w:rPr>
        <w:t>实际取得对被购买方控制权的日期。</w:t>
      </w:r>
    </w:p>
    <w:p>
      <w:pPr>
        <w:pStyle w:val="BodyText"/>
        <w:spacing w:line="316" w:lineRule="auto" w:before="49"/>
        <w:ind w:right="1122" w:firstLine="427"/>
        <w:jc w:val="both"/>
      </w:pPr>
      <w:r>
        <w:rPr>
          <w:spacing w:val="-2"/>
        </w:rPr>
        <w:t>对于非同一控制下的企业合并，合并成本包含购买日购买方为取得对被购买方的控制权而付出的资产、发生或承担的</w:t>
      </w:r>
      <w:r>
        <w:rPr>
          <w:w w:val="101"/>
        </w:rPr>
        <w:t> </w:t>
      </w:r>
      <w:r>
        <w:rPr>
          <w:spacing w:val="-4"/>
        </w:rPr>
        <w:t>负债以及发行的权益性证券的公允价值，为企业合并发生的审计、法律服务、评估咨询等中介费用以及其他管理费用于发生</w:t>
      </w:r>
      <w:r>
        <w:rPr>
          <w:spacing w:val="43"/>
        </w:rPr>
        <w:t> </w:t>
      </w:r>
      <w:r>
        <w:rPr>
          <w:spacing w:val="43"/>
        </w:rPr>
      </w:r>
      <w:r>
        <w:rPr>
          <w:spacing w:val="-4"/>
        </w:rPr>
        <w:t>时计入当期损益。购买方作为合并对价发行的权益性证券或债务性证券的交易费用，计入权益性证券或债务性证券的初始确</w:t>
      </w:r>
      <w:r>
        <w:rPr>
          <w:spacing w:val="42"/>
        </w:rPr>
        <w:t> </w:t>
      </w:r>
      <w:r>
        <w:rPr>
          <w:spacing w:val="42"/>
        </w:rPr>
      </w:r>
      <w:r>
        <w:rPr>
          <w:spacing w:val="-4"/>
        </w:rPr>
        <w:t>认金额。所涉及的或有对价按其在购买日的公允价值计入合并成本，购买日后</w:t>
      </w:r>
      <w:r>
        <w:rPr>
          <w:rFonts w:ascii="Times New Roman" w:hAnsi="Times New Roman" w:cs="Times New Roman" w:eastAsia="Times New Roman" w:hint="default"/>
          <w:spacing w:val="-4"/>
        </w:rPr>
        <w:t>12</w:t>
      </w:r>
      <w:r>
        <w:rPr>
          <w:spacing w:val="-4"/>
        </w:rPr>
        <w:t>个月内出现对购买日已存在情况的新的或进</w:t>
      </w:r>
      <w:r>
        <w:rPr>
          <w:spacing w:val="48"/>
        </w:rPr>
        <w:t> </w:t>
      </w:r>
      <w:r>
        <w:rPr>
          <w:spacing w:val="48"/>
        </w:rPr>
      </w:r>
      <w:r>
        <w:rPr>
          <w:spacing w:val="-4"/>
        </w:rPr>
        <w:t>一步证据而需要调整或有对价的，相应调整合并商誉。购买方发生的合并成本及在合并中取得的可辨认净资产按购买日的公</w:t>
      </w:r>
      <w:r>
        <w:rPr>
          <w:spacing w:val="39"/>
        </w:rPr>
        <w:t> </w:t>
      </w:r>
      <w:r>
        <w:rPr>
          <w:spacing w:val="39"/>
        </w:rPr>
      </w:r>
      <w:r>
        <w:rPr>
          <w:spacing w:val="-4"/>
        </w:rPr>
        <w:t>允价值计量。合并成本大于合并中取得的被购买方于购买日可辨认净资产公允价值份额的差额，确认为商誉。合并成本小于</w:t>
      </w:r>
      <w:r>
        <w:rPr>
          <w:spacing w:val="43"/>
        </w:rPr>
        <w:t> </w:t>
      </w:r>
      <w:r>
        <w:rPr>
          <w:spacing w:val="43"/>
        </w:rPr>
      </w:r>
      <w:r>
        <w:rPr>
          <w:spacing w:val="-4"/>
        </w:rPr>
        <w:t>合并中取得的被购买方可辨认净资产公允价值份额的，首先对取得的被购买方各项可辨认资产、负债及或有负债的公允价值</w:t>
      </w:r>
      <w:r>
        <w:rPr>
          <w:spacing w:val="43"/>
        </w:rPr>
        <w:t> </w:t>
      </w:r>
      <w:r>
        <w:rPr>
          <w:spacing w:val="43"/>
        </w:rPr>
      </w:r>
      <w:r>
        <w:rPr>
          <w:spacing w:val="-4"/>
        </w:rPr>
        <w:t>以及合并成本的计量进行复核，复核后合并成本仍小于合并中取得的被购买方可辨认净资产公允价值份额的，其差额计入当</w:t>
      </w:r>
      <w:r>
        <w:rPr>
          <w:spacing w:val="43"/>
        </w:rPr>
        <w:t> </w:t>
      </w:r>
      <w:r>
        <w:rPr>
          <w:spacing w:val="43"/>
        </w:rPr>
      </w:r>
      <w:r>
        <w:rPr/>
        <w:t>期损益。</w:t>
      </w:r>
    </w:p>
    <w:p>
      <w:pPr>
        <w:pStyle w:val="BodyText"/>
        <w:spacing w:line="314" w:lineRule="auto" w:before="53"/>
        <w:ind w:right="1122" w:firstLine="427"/>
        <w:jc w:val="both"/>
      </w:pPr>
      <w:r>
        <w:rPr>
          <w:spacing w:val="-2"/>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2"/>
        </w:rPr>
        <w:t>12</w:t>
      </w:r>
      <w:r>
        <w:rPr>
          <w:rFonts w:ascii="Times New Roman" w:hAnsi="Times New Roman" w:cs="Times New Roman" w:eastAsia="Times New Roman" w:hint="default"/>
          <w:w w:val="101"/>
        </w:rPr>
        <w:t> </w:t>
      </w:r>
      <w:r>
        <w:rPr>
          <w:spacing w:val="-4"/>
        </w:rPr>
        <w:t>个月内，如取得新的或进一步的信息表明购买日的相关情况已经存在，预期被购买方在购买日可抵扣暂时性差异带来的经济</w:t>
      </w:r>
      <w:r>
        <w:rPr>
          <w:spacing w:val="42"/>
        </w:rPr>
        <w:t> </w:t>
      </w:r>
      <w:r>
        <w:rPr>
          <w:spacing w:val="42"/>
        </w:rPr>
      </w:r>
      <w:r>
        <w:rPr>
          <w:spacing w:val="-4"/>
        </w:rPr>
        <w:t>利益能够实现的，则确认相关的递延所得税资产，同时减少商誉，商誉不足冲减的，差额部分确认为当期损益；除上述情况</w:t>
      </w:r>
      <w:r>
        <w:rPr>
          <w:spacing w:val="41"/>
        </w:rPr>
        <w:t> </w:t>
      </w:r>
      <w:r>
        <w:rPr>
          <w:spacing w:val="41"/>
        </w:rPr>
      </w:r>
      <w:r>
        <w:rPr>
          <w:spacing w:val="-3"/>
        </w:rPr>
        <w:t>以外，确认与企业合并相关的递延所得税资产的，计入当期损益。</w:t>
      </w:r>
    </w:p>
    <w:p>
      <w:pPr>
        <w:pStyle w:val="BodyText"/>
        <w:spacing w:line="302" w:lineRule="auto" w:before="59"/>
        <w:ind w:right="0" w:firstLine="427"/>
        <w:jc w:val="left"/>
      </w:pPr>
      <w:r>
        <w:rPr>
          <w:spacing w:val="-9"/>
          <w:w w:val="101"/>
        </w:rPr>
        <w:t>通过多次交易分步实现的非同一控制下企业合并，根据《财政部关于印发企业会计准则解释第</w:t>
      </w:r>
      <w:r>
        <w:rPr>
          <w:rFonts w:ascii="Times New Roman" w:hAnsi="Times New Roman" w:cs="Times New Roman" w:eastAsia="Times New Roman" w:hint="default"/>
          <w:spacing w:val="-9"/>
          <w:w w:val="101"/>
        </w:rPr>
        <w:t>5</w:t>
      </w:r>
      <w:r>
        <w:rPr>
          <w:spacing w:val="-9"/>
          <w:w w:val="101"/>
        </w:rPr>
        <w:t>号的通知》（财会〔</w:t>
      </w:r>
      <w:r>
        <w:rPr>
          <w:rFonts w:ascii="Times New Roman" w:hAnsi="Times New Roman" w:cs="Times New Roman" w:eastAsia="Times New Roman" w:hint="default"/>
          <w:spacing w:val="-9"/>
          <w:w w:val="101"/>
        </w:rPr>
        <w:t>2012</w:t>
      </w:r>
      <w:r>
        <w:rPr>
          <w:spacing w:val="-9"/>
          <w:w w:val="101"/>
        </w:rPr>
        <w:t>〕</w:t>
      </w:r>
      <w:r>
        <w:rPr>
          <w:w w:val="101"/>
        </w:rPr>
        <w:t> </w:t>
      </w:r>
      <w:r>
        <w:rPr>
          <w:rFonts w:ascii="Times New Roman" w:hAnsi="Times New Roman" w:cs="Times New Roman" w:eastAsia="Times New Roman" w:hint="default"/>
          <w:spacing w:val="-3"/>
        </w:rPr>
        <w:t>19</w:t>
      </w:r>
      <w:r>
        <w:rPr>
          <w:spacing w:val="-3"/>
        </w:rPr>
        <w:t>号）和《企业会计准则第</w:t>
      </w:r>
      <w:r>
        <w:rPr>
          <w:rFonts w:ascii="Times New Roman" w:hAnsi="Times New Roman" w:cs="Times New Roman" w:eastAsia="Times New Roman" w:hint="default"/>
          <w:spacing w:val="-3"/>
        </w:rPr>
        <w:t>33</w:t>
      </w:r>
      <w:r>
        <w:rPr>
          <w:spacing w:val="-3"/>
        </w:rPr>
        <w:t>号</w:t>
      </w:r>
      <w:r>
        <w:rPr>
          <w:rFonts w:ascii="Times New Roman" w:hAnsi="Times New Roman" w:cs="Times New Roman" w:eastAsia="Times New Roman" w:hint="default"/>
          <w:spacing w:val="-3"/>
        </w:rPr>
        <w:t>——</w:t>
      </w:r>
      <w:r>
        <w:rPr>
          <w:spacing w:val="-3"/>
        </w:rPr>
        <w:t>合并财务报表》第五十一条关于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的判断标准（参见本附注三、</w:t>
      </w:r>
      <w:r>
        <w:rPr>
          <w:rFonts w:ascii="Times New Roman" w:hAnsi="Times New Roman" w:cs="Times New Roman" w:eastAsia="Times New Roman" w:hint="default"/>
          <w:spacing w:val="-3"/>
        </w:rPr>
        <w:t>5</w:t>
      </w:r>
      <w:r>
        <w:rPr>
          <w:spacing w:val="-3"/>
        </w:rPr>
        <w:t>（</w:t>
      </w:r>
      <w:r>
        <w:rPr>
          <w:rFonts w:ascii="Times New Roman" w:hAnsi="Times New Roman" w:cs="Times New Roman" w:eastAsia="Times New Roman" w:hint="default"/>
          <w:spacing w:val="-3"/>
        </w:rPr>
        <w:t>2</w:t>
      </w:r>
      <w:r>
        <w:rPr>
          <w:spacing w:val="-3"/>
        </w:rPr>
        <w:t>）），</w:t>
      </w:r>
      <w:r>
        <w:rPr>
          <w:spacing w:val="78"/>
        </w:rPr>
        <w:t> </w:t>
      </w:r>
      <w:r>
        <w:rPr>
          <w:spacing w:val="78"/>
        </w:rPr>
      </w:r>
      <w:r>
        <w:rPr>
          <w:spacing w:val="-3"/>
        </w:rPr>
        <w:t>判断该多次交易是否属于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的，参考本部分前面各段描述及本附注三、</w:t>
      </w:r>
      <w:r>
        <w:rPr>
          <w:rFonts w:ascii="Times New Roman" w:hAnsi="Times New Roman" w:cs="Times New Roman" w:eastAsia="Times New Roman" w:hint="default"/>
          <w:spacing w:val="-3"/>
        </w:rPr>
        <w:t>14“</w:t>
      </w:r>
      <w:r>
        <w:rPr>
          <w:spacing w:val="-3"/>
        </w:rPr>
        <w:t>长期股权投资</w:t>
      </w:r>
      <w:r>
        <w:rPr>
          <w:rFonts w:ascii="Times New Roman" w:hAnsi="Times New Roman" w:cs="Times New Roman" w:eastAsia="Times New Roman" w:hint="default"/>
          <w:spacing w:val="-3"/>
        </w:rPr>
        <w:t>”</w:t>
      </w:r>
      <w:r>
        <w:rPr>
          <w:spacing w:val="-3"/>
        </w:rPr>
        <w:t>进</w:t>
      </w:r>
      <w:r>
        <w:rPr>
          <w:spacing w:val="53"/>
        </w:rPr>
        <w:t> </w:t>
      </w:r>
      <w:r>
        <w:rPr>
          <w:spacing w:val="-3"/>
        </w:rPr>
        <w:t>行会计处理；不属于</w:t>
      </w:r>
      <w:r>
        <w:rPr>
          <w:rFonts w:ascii="Times New Roman" w:hAnsi="Times New Roman" w:cs="Times New Roman" w:eastAsia="Times New Roman" w:hint="default"/>
          <w:spacing w:val="-3"/>
        </w:rPr>
        <w:t>“</w:t>
      </w:r>
      <w:r>
        <w:rPr>
          <w:spacing w:val="-3"/>
        </w:rPr>
        <w:t>一揽子交易</w:t>
      </w:r>
      <w:r>
        <w:rPr>
          <w:rFonts w:ascii="Times New Roman" w:hAnsi="Times New Roman" w:cs="Times New Roman" w:eastAsia="Times New Roman" w:hint="default"/>
          <w:spacing w:val="-3"/>
        </w:rPr>
        <w:t>”</w:t>
      </w:r>
      <w:r>
        <w:rPr>
          <w:spacing w:val="-3"/>
        </w:rPr>
        <w:t>的，区分个别财务报表和合并财务报表进行相关会计处理：</w:t>
      </w:r>
    </w:p>
    <w:p>
      <w:pPr>
        <w:pStyle w:val="BodyText"/>
        <w:spacing w:line="319" w:lineRule="auto" w:before="44"/>
        <w:ind w:right="1124" w:firstLine="427"/>
        <w:jc w:val="both"/>
      </w:pPr>
      <w:r>
        <w:rPr>
          <w:spacing w:val="-2"/>
        </w:rPr>
        <w:t>在个别财务报表中，以购买日之前所持被购买方的股权投资的账面价值与购买日新增投资成本之和，作为该项投资的</w:t>
      </w:r>
      <w:r>
        <w:rPr>
          <w:w w:val="101"/>
        </w:rPr>
        <w:t> </w:t>
      </w:r>
      <w:r>
        <w:rPr>
          <w:spacing w:val="-4"/>
        </w:rPr>
        <w:t>初始投资成本；购买日之前持有的被购买方的股权涉及其他综合收益的，在处置该项投资时将与其相关的其他综合收益采用</w:t>
      </w:r>
      <w:r>
        <w:rPr>
          <w:spacing w:val="44"/>
        </w:rPr>
        <w:t> </w:t>
      </w:r>
      <w:r>
        <w:rPr>
          <w:spacing w:val="44"/>
        </w:rPr>
      </w:r>
      <w:r>
        <w:rPr>
          <w:spacing w:val="-4"/>
        </w:rPr>
        <w:t>与被购买方直接处置相关资产或负债相同的基础进行会计处理（即，除了按照权益法核算的在被购买方重新计量设定受益计</w:t>
      </w:r>
      <w:r>
        <w:rPr>
          <w:spacing w:val="38"/>
        </w:rPr>
        <w:t> </w:t>
      </w:r>
      <w:r>
        <w:rPr>
          <w:spacing w:val="38"/>
        </w:rPr>
      </w:r>
      <w:r>
        <w:rPr>
          <w:spacing w:val="-3"/>
        </w:rPr>
        <w:t>划净负债或净资产导致的变动中的相应份额以外，其余转入当期投资收益）。</w:t>
      </w:r>
    </w:p>
    <w:p>
      <w:pPr>
        <w:pStyle w:val="BodyText"/>
        <w:spacing w:line="319" w:lineRule="auto" w:before="50"/>
        <w:ind w:right="1124"/>
        <w:jc w:val="both"/>
      </w:pPr>
      <w:r>
        <w:rPr>
          <w:spacing w:val="-4"/>
        </w:rPr>
        <w:t>在合并财务报表中，对于购买日之前持有的被购买方的股权，按照该股权在购买日的公允价值进行重新计量，公允价值与其</w:t>
      </w:r>
      <w:r>
        <w:rPr>
          <w:spacing w:val="43"/>
        </w:rPr>
        <w:t> </w:t>
      </w:r>
      <w:r>
        <w:rPr>
          <w:spacing w:val="43"/>
        </w:rPr>
      </w:r>
      <w:r>
        <w:rPr>
          <w:spacing w:val="-4"/>
        </w:rPr>
        <w:t>账面价值的差额计入当期投资收益；购买日之前持有的被购买方的股权涉及其他综合收益的，与其相关的其他综合收益应当</w:t>
      </w:r>
      <w:r>
        <w:rPr>
          <w:spacing w:val="41"/>
        </w:rPr>
        <w:t> </w:t>
      </w:r>
      <w:r>
        <w:rPr>
          <w:spacing w:val="41"/>
        </w:rPr>
      </w:r>
      <w:r>
        <w:rPr>
          <w:spacing w:val="-5"/>
        </w:rPr>
        <w:t>采用与被购买方直接处置相关资产或负债相同的基础进行会计处理（即，除了按照权益法核算的在被购买方重新计量设定受</w:t>
      </w:r>
      <w:r>
        <w:rPr>
          <w:spacing w:val="6"/>
        </w:rPr>
        <w:t> </w:t>
      </w:r>
      <w:r>
        <w:rPr>
          <w:spacing w:val="6"/>
        </w:rPr>
      </w:r>
      <w:r>
        <w:rPr>
          <w:spacing w:val="-3"/>
        </w:rPr>
        <w:t>益计划净负债或净资产导致的变动中的相应份额以外，其余转为购买日所属当期投资收益）。</w:t>
      </w:r>
    </w:p>
    <w:p>
      <w:pPr>
        <w:spacing w:after="0" w:line="319" w:lineRule="auto"/>
        <w:jc w:val="both"/>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1"/>
        <w:rPr>
          <w:rFonts w:ascii="宋体" w:hAnsi="宋体" w:cs="宋体" w:eastAsia="宋体" w:hint="default"/>
          <w:b/>
          <w:bCs/>
          <w:sz w:val="27"/>
          <w:szCs w:val="27"/>
        </w:rPr>
      </w:pPr>
    </w:p>
    <w:p>
      <w:pPr>
        <w:pStyle w:val="BodyText"/>
        <w:spacing w:line="333" w:lineRule="auto"/>
        <w:ind w:left="518" w:right="0"/>
        <w:jc w:val="left"/>
      </w:pPr>
      <w:r>
        <w:rPr>
          <w:spacing w:val="-3"/>
        </w:rPr>
        <w:t>（</w:t>
      </w:r>
      <w:r>
        <w:rPr>
          <w:rFonts w:ascii="Times New Roman" w:hAnsi="Times New Roman" w:cs="Times New Roman" w:eastAsia="Times New Roman" w:hint="default"/>
          <w:spacing w:val="-3"/>
        </w:rPr>
        <w:t>1</w:t>
      </w:r>
      <w:r>
        <w:rPr>
          <w:spacing w:val="-3"/>
        </w:rPr>
        <w:t>）合并财务报表范围的确定原则</w:t>
      </w:r>
      <w:r>
        <w:rPr>
          <w:spacing w:val="-40"/>
        </w:rPr>
        <w:t> </w:t>
      </w:r>
      <w:r>
        <w:rPr>
          <w:spacing w:val="-40"/>
        </w:rPr>
      </w:r>
      <w:r>
        <w:rPr>
          <w:spacing w:val="-5"/>
        </w:rPr>
        <w:t>合并财务报表的合并范围以控制为基础予以确定。控制是指本公司拥有对被投资方的权力，通过参与被投资方的相关活</w:t>
      </w:r>
    </w:p>
    <w:p>
      <w:pPr>
        <w:pStyle w:val="BodyText"/>
        <w:spacing w:line="316" w:lineRule="auto" w:before="6"/>
        <w:ind w:right="1047"/>
        <w:jc w:val="both"/>
      </w:pPr>
      <w:r>
        <w:rPr>
          <w:spacing w:val="-4"/>
        </w:rPr>
        <w:t>动而享有可变回报，并且有能力运用对被投资方的权力影响该回报金额。合并范围包括本公司及全部子公司。子公司，是指</w:t>
      </w:r>
      <w:r>
        <w:rPr>
          <w:spacing w:val="41"/>
        </w:rPr>
        <w:t> </w:t>
      </w:r>
      <w:r>
        <w:rPr>
          <w:spacing w:val="41"/>
        </w:rPr>
      </w:r>
      <w:r>
        <w:rPr>
          <w:spacing w:val="-3"/>
        </w:rPr>
        <w:t>被本公司控制的主体。一旦相关事实和情况的变化导致上述控制定义涉及的相关要素发生了变化，本公司将进行重新评估。</w:t>
      </w:r>
    </w:p>
    <w:p>
      <w:pPr>
        <w:pStyle w:val="BodyText"/>
        <w:spacing w:line="528" w:lineRule="exact" w:before="22"/>
        <w:ind w:left="575" w:right="0" w:hanging="58"/>
        <w:jc w:val="left"/>
      </w:pPr>
      <w:r>
        <w:rPr>
          <w:spacing w:val="-3"/>
        </w:rPr>
        <w:t>（</w:t>
      </w:r>
      <w:r>
        <w:rPr>
          <w:rFonts w:ascii="Times New Roman" w:hAnsi="Times New Roman" w:cs="Times New Roman" w:eastAsia="Times New Roman" w:hint="default"/>
          <w:spacing w:val="-3"/>
        </w:rPr>
        <w:t>2</w:t>
      </w:r>
      <w:r>
        <w:rPr>
          <w:spacing w:val="-3"/>
        </w:rPr>
        <w:t>）合并财务报表编制的方法</w:t>
      </w:r>
      <w:r>
        <w:rPr>
          <w:spacing w:val="-46"/>
        </w:rPr>
        <w:t> </w:t>
      </w:r>
      <w:r>
        <w:rPr>
          <w:spacing w:val="-46"/>
        </w:rPr>
      </w:r>
      <w:r>
        <w:rPr>
          <w:spacing w:val="-2"/>
        </w:rPr>
        <w:t>从取得子公司的净资产和生产经营决策的实际控制权之日起，本公司开始将其纳入合并范围；从丧失实际控制权之日</w:t>
      </w:r>
    </w:p>
    <w:p>
      <w:pPr>
        <w:pStyle w:val="BodyText"/>
        <w:spacing w:line="316" w:lineRule="auto"/>
        <w:ind w:right="1122"/>
        <w:jc w:val="both"/>
      </w:pPr>
      <w:r>
        <w:rPr>
          <w:spacing w:val="-5"/>
        </w:rPr>
        <w:t>起停止纳入合并范围。对于处置的子公司，处置日前的经营成果和现金流量已经适当地包括在合并利润表和合并现金流量表</w:t>
      </w:r>
      <w:r>
        <w:rPr>
          <w:spacing w:val="6"/>
        </w:rPr>
        <w:t> </w:t>
      </w:r>
      <w:r>
        <w:rPr>
          <w:spacing w:val="6"/>
        </w:rPr>
      </w:r>
      <w:r>
        <w:rPr>
          <w:spacing w:val="-4"/>
        </w:rPr>
        <w:t>中；当期处置的子公司，不调整合并资产负债表的期初数。非同一控制下企业合并增加的子公司，其购买日后的经营成果及</w:t>
      </w:r>
      <w:r>
        <w:rPr>
          <w:spacing w:val="42"/>
        </w:rPr>
        <w:t> </w:t>
      </w:r>
      <w:r>
        <w:rPr>
          <w:spacing w:val="42"/>
        </w:rPr>
      </w:r>
      <w:r>
        <w:rPr>
          <w:spacing w:val="-4"/>
        </w:rPr>
        <w:t>现金流量已经适当地包括在合并利润表和合并现金流量表中，且不调整合并财务报表的期初数和对比数。同一控制下企业合</w:t>
      </w:r>
      <w:r>
        <w:rPr>
          <w:spacing w:val="44"/>
        </w:rPr>
        <w:t> </w:t>
      </w:r>
      <w:r>
        <w:rPr>
          <w:spacing w:val="44"/>
        </w:rPr>
      </w:r>
      <w:r>
        <w:rPr>
          <w:spacing w:val="-4"/>
          <w:w w:val="101"/>
        </w:rPr>
        <w:t>并增加的子公司及吸收合并下的被合并方，其自合并当期期初至合并日的经营成果和现金流量已经适当地包括在合并利润表</w:t>
      </w:r>
      <w:r>
        <w:rPr>
          <w:w w:val="101"/>
        </w:rPr>
        <w:t> </w:t>
      </w:r>
      <w:r>
        <w:rPr>
          <w:spacing w:val="-3"/>
        </w:rPr>
        <w:t>和合并现金流量表中，并且同时调整合并财务报表的对比数。</w:t>
      </w:r>
    </w:p>
    <w:p>
      <w:pPr>
        <w:spacing w:line="240" w:lineRule="auto" w:before="13"/>
        <w:rPr>
          <w:rFonts w:ascii="宋体" w:hAnsi="宋体" w:cs="宋体" w:eastAsia="宋体" w:hint="default"/>
          <w:sz w:val="17"/>
          <w:szCs w:val="17"/>
        </w:rPr>
      </w:pPr>
    </w:p>
    <w:p>
      <w:pPr>
        <w:pStyle w:val="BodyText"/>
        <w:spacing w:line="316" w:lineRule="auto"/>
        <w:ind w:right="1124" w:firstLine="422"/>
        <w:jc w:val="both"/>
      </w:pPr>
      <w:r>
        <w:rPr>
          <w:spacing w:val="-2"/>
        </w:rPr>
        <w:t>在编制合并财务报表时，子公司与本公司采用的会计政策或会计期间不一致的，按照本公司的会计政策和会计期间对</w:t>
      </w:r>
      <w:r>
        <w:rPr>
          <w:w w:val="101"/>
        </w:rPr>
        <w:t> </w:t>
      </w:r>
      <w:r>
        <w:rPr>
          <w:spacing w:val="-4"/>
        </w:rPr>
        <w:t>子公司财务报表进行必要的调整。对于非同一控制下企业合并取得的子公司，以购买日可辨认净资产公允价值为基础对其财</w:t>
      </w:r>
      <w:r>
        <w:rPr>
          <w:spacing w:val="44"/>
        </w:rPr>
        <w:t> </w:t>
      </w:r>
      <w:r>
        <w:rPr>
          <w:spacing w:val="44"/>
        </w:rPr>
      </w:r>
      <w:r>
        <w:rPr/>
        <w:t>务报表进行调整。</w:t>
      </w:r>
    </w:p>
    <w:p>
      <w:pPr>
        <w:pStyle w:val="BodyText"/>
        <w:spacing w:line="528" w:lineRule="exact" w:before="22"/>
        <w:ind w:left="575" w:right="0"/>
        <w:jc w:val="left"/>
      </w:pPr>
      <w:r>
        <w:rPr>
          <w:spacing w:val="-3"/>
        </w:rPr>
        <w:t>公司内所有重大往来余额、交易及未实现利润在合并财务报表编制时予以抵销。</w:t>
      </w:r>
      <w:r>
        <w:rPr>
          <w:spacing w:val="13"/>
        </w:rPr>
        <w:t> </w:t>
      </w:r>
      <w:r>
        <w:rPr>
          <w:spacing w:val="13"/>
        </w:rPr>
      </w:r>
      <w:r>
        <w:rPr>
          <w:spacing w:val="-2"/>
        </w:rPr>
        <w:t>子公司的股东权益及当期净损益中不属于本公司所拥有的部分分别作为少数股东权益及少数股东损益在合并财务报表</w:t>
      </w:r>
    </w:p>
    <w:p>
      <w:pPr>
        <w:pStyle w:val="BodyText"/>
        <w:spacing w:line="300" w:lineRule="auto"/>
        <w:ind w:right="1128"/>
        <w:jc w:val="both"/>
      </w:pPr>
      <w:r>
        <w:rPr>
          <w:spacing w:val="-3"/>
        </w:rPr>
        <w:t>中股东权益及净利润项下单独列示。子公司当期净损益中属于少数股东权益的份额，在合并利润表中净利润项目下以</w:t>
      </w:r>
      <w:r>
        <w:rPr>
          <w:rFonts w:ascii="Times New Roman" w:hAnsi="Times New Roman" w:cs="Times New Roman" w:eastAsia="Times New Roman" w:hint="default"/>
          <w:spacing w:val="-3"/>
        </w:rPr>
        <w:t>“</w:t>
      </w:r>
      <w:r>
        <w:rPr>
          <w:spacing w:val="-3"/>
        </w:rPr>
        <w:t>少数</w:t>
      </w:r>
      <w:r>
        <w:rPr>
          <w:spacing w:val="82"/>
        </w:rPr>
        <w:t> </w:t>
      </w:r>
      <w:r>
        <w:rPr>
          <w:spacing w:val="-3"/>
        </w:rPr>
        <w:t>股东损益</w:t>
      </w:r>
      <w:r>
        <w:rPr>
          <w:rFonts w:ascii="Times New Roman" w:hAnsi="Times New Roman" w:cs="Times New Roman" w:eastAsia="Times New Roman" w:hint="default"/>
          <w:spacing w:val="-3"/>
        </w:rPr>
        <w:t>”</w:t>
      </w:r>
      <w:r>
        <w:rPr>
          <w:spacing w:val="-3"/>
        </w:rPr>
        <w:t>项目列示。少数股东分担的子公司的亏损超过了少数股东在该子公司期初股东权益中所享有的份额，仍冲减少数</w:t>
      </w:r>
      <w:r>
        <w:rPr>
          <w:spacing w:val="-2"/>
        </w:rPr>
        <w:t> </w:t>
      </w:r>
      <w:r>
        <w:rPr>
          <w:spacing w:val="-2"/>
        </w:rPr>
      </w:r>
      <w:r>
        <w:rPr/>
        <w:t>股东权益。</w:t>
      </w:r>
    </w:p>
    <w:p>
      <w:pPr>
        <w:spacing w:line="240" w:lineRule="auto" w:before="12"/>
        <w:rPr>
          <w:rFonts w:ascii="宋体" w:hAnsi="宋体" w:cs="宋体" w:eastAsia="宋体" w:hint="default"/>
          <w:sz w:val="18"/>
          <w:szCs w:val="18"/>
        </w:rPr>
      </w:pPr>
    </w:p>
    <w:p>
      <w:pPr>
        <w:pStyle w:val="BodyText"/>
        <w:spacing w:line="312" w:lineRule="auto"/>
        <w:ind w:right="1123" w:firstLine="422"/>
        <w:jc w:val="both"/>
      </w:pPr>
      <w:r>
        <w:rPr>
          <w:spacing w:val="-2"/>
        </w:rPr>
        <w:t>当因处置部分股权投资或其他原因丧失了对原有子公司的控制权时，对于剩余股权，按照其在丧失控制权日的公允价</w:t>
      </w:r>
      <w:r>
        <w:rPr>
          <w:w w:val="101"/>
        </w:rPr>
        <w:t> </w:t>
      </w:r>
      <w:r>
        <w:rPr>
          <w:spacing w:val="-4"/>
        </w:rPr>
        <w:t>值进行重新计量。处置股权取得的对价与剩余股权公允价值之和，减去按原持股比例计算应享有原有子公司自购买日开始持</w:t>
      </w:r>
      <w:r>
        <w:rPr>
          <w:spacing w:val="42"/>
        </w:rPr>
        <w:t> </w:t>
      </w:r>
      <w:r>
        <w:rPr>
          <w:spacing w:val="42"/>
        </w:rPr>
      </w:r>
      <w:r>
        <w:rPr>
          <w:spacing w:val="-4"/>
        </w:rPr>
        <w:t>续计算的净资产的份额之间的差额，计入丧失控制权当期的投资收益。与原有子公司股权投资相关的其他综合收益，在丧失</w:t>
      </w:r>
      <w:r>
        <w:rPr>
          <w:spacing w:val="43"/>
        </w:rPr>
        <w:t> </w:t>
      </w:r>
      <w:r>
        <w:rPr>
          <w:spacing w:val="43"/>
        </w:rPr>
      </w:r>
      <w:r>
        <w:rPr>
          <w:spacing w:val="-5"/>
        </w:rPr>
        <w:t>控制权时采用与被购买方直接处置相关资产或负债相同的基础进行会计处理（即，除了在该原有子公司重新计量设定受益计</w:t>
      </w:r>
      <w:r>
        <w:rPr>
          <w:spacing w:val="6"/>
        </w:rPr>
        <w:t> </w:t>
      </w:r>
      <w:r>
        <w:rPr>
          <w:spacing w:val="6"/>
        </w:rPr>
      </w:r>
      <w:r>
        <w:rPr>
          <w:spacing w:val="-6"/>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6"/>
        </w:rPr>
        <w:t>2</w:t>
      </w:r>
      <w:r>
        <w:rPr>
          <w:spacing w:val="-6"/>
        </w:rPr>
        <w:t>号</w:t>
      </w:r>
      <w:r>
        <w:rPr>
          <w:rFonts w:ascii="Times New Roman" w:hAnsi="Times New Roman" w:cs="Times New Roman" w:eastAsia="Times New Roman" w:hint="default"/>
          <w:spacing w:val="-6"/>
        </w:rPr>
        <w:t>——</w:t>
      </w:r>
      <w:r>
        <w:rPr>
          <w:rFonts w:ascii="Times New Roman" w:hAnsi="Times New Roman" w:cs="Times New Roman" w:eastAsia="Times New Roman" w:hint="default"/>
          <w:spacing w:val="24"/>
        </w:rPr>
        <w:t> </w:t>
      </w:r>
      <w:r>
        <w:rPr>
          <w:spacing w:val="-3"/>
        </w:rPr>
        <w:t>长期股权投资》或《企业会计准则第</w:t>
      </w:r>
      <w:r>
        <w:rPr>
          <w:rFonts w:ascii="Times New Roman" w:hAnsi="Times New Roman" w:cs="Times New Roman" w:eastAsia="Times New Roman" w:hint="default"/>
          <w:spacing w:val="-3"/>
        </w:rPr>
        <w:t>22</w:t>
      </w:r>
      <w:r>
        <w:rPr>
          <w:spacing w:val="-3"/>
        </w:rPr>
        <w:t>号</w:t>
      </w:r>
      <w:r>
        <w:rPr>
          <w:rFonts w:ascii="Times New Roman" w:hAnsi="Times New Roman" w:cs="Times New Roman" w:eastAsia="Times New Roman" w:hint="default"/>
          <w:spacing w:val="-3"/>
        </w:rPr>
        <w:t>——</w:t>
      </w:r>
      <w:r>
        <w:rPr>
          <w:spacing w:val="-3"/>
        </w:rPr>
        <w:t>金融工具确认和计量》等相关规定进行后续计量，详见本附注三、</w:t>
      </w:r>
      <w:r>
        <w:rPr>
          <w:rFonts w:ascii="Times New Roman" w:hAnsi="Times New Roman" w:cs="Times New Roman" w:eastAsia="Times New Roman" w:hint="default"/>
          <w:spacing w:val="-3"/>
        </w:rPr>
        <w:t>14“</w:t>
      </w:r>
      <w:r>
        <w:rPr>
          <w:spacing w:val="-3"/>
        </w:rPr>
        <w:t>长期股</w:t>
      </w:r>
      <w:r>
        <w:rPr>
          <w:spacing w:val="5"/>
        </w:rPr>
        <w:t> </w:t>
      </w:r>
      <w:r>
        <w:rPr>
          <w:spacing w:val="5"/>
        </w:rPr>
      </w:r>
      <w:r>
        <w:rPr>
          <w:spacing w:val="-3"/>
        </w:rPr>
        <w:t>权投资</w:t>
      </w:r>
      <w:r>
        <w:rPr>
          <w:rFonts w:ascii="Times New Roman" w:hAnsi="Times New Roman" w:cs="Times New Roman" w:eastAsia="Times New Roman" w:hint="default"/>
          <w:spacing w:val="-3"/>
        </w:rPr>
        <w:t>”</w:t>
      </w:r>
      <w:r>
        <w:rPr>
          <w:spacing w:val="-3"/>
        </w:rPr>
        <w:t>或本附注三、</w:t>
      </w:r>
      <w:r>
        <w:rPr>
          <w:rFonts w:ascii="Times New Roman" w:hAnsi="Times New Roman" w:cs="Times New Roman" w:eastAsia="Times New Roman" w:hint="default"/>
          <w:spacing w:val="-3"/>
        </w:rPr>
        <w:t>10“</w:t>
      </w:r>
      <w:r>
        <w:rPr>
          <w:spacing w:val="-3"/>
        </w:rPr>
        <w:t>金融工具</w:t>
      </w:r>
      <w:r>
        <w:rPr>
          <w:rFonts w:ascii="Times New Roman" w:hAnsi="Times New Roman" w:cs="Times New Roman" w:eastAsia="Times New Roman" w:hint="default"/>
          <w:spacing w:val="-3"/>
        </w:rPr>
        <w:t>”</w:t>
      </w:r>
      <w:r>
        <w:rPr>
          <w:spacing w:val="-3"/>
        </w:rPr>
        <w:t>。</w:t>
      </w:r>
    </w:p>
    <w:p>
      <w:pPr>
        <w:spacing w:line="240" w:lineRule="auto" w:before="10"/>
        <w:rPr>
          <w:rFonts w:ascii="宋体" w:hAnsi="宋体" w:cs="宋体" w:eastAsia="宋体" w:hint="default"/>
          <w:sz w:val="16"/>
          <w:szCs w:val="16"/>
        </w:rPr>
      </w:pPr>
    </w:p>
    <w:p>
      <w:pPr>
        <w:pStyle w:val="BodyText"/>
        <w:spacing w:line="312" w:lineRule="auto"/>
        <w:ind w:right="1023" w:firstLine="422"/>
        <w:jc w:val="left"/>
      </w:pPr>
      <w:r>
        <w:rPr>
          <w:spacing w:val="-2"/>
        </w:rPr>
        <w:t>本公司通过多次交易分步处置对子公司股权投资直至丧失控制权的，需区分处置对子公司股权投资直至丧失控制权的</w:t>
      </w:r>
      <w:r>
        <w:rPr>
          <w:w w:val="101"/>
        </w:rPr>
        <w:t> </w:t>
      </w:r>
      <w:r>
        <w:rPr>
          <w:spacing w:val="-4"/>
        </w:rPr>
        <w:t>各项交易是否属于一揽子交易。处置对子公司股权投资的各项交易的条款、条件以及经济影响符合以下一种或多种情况，通</w:t>
      </w:r>
      <w:r>
        <w:rPr>
          <w:spacing w:val="43"/>
        </w:rPr>
        <w:t> </w:t>
      </w:r>
      <w:r>
        <w:rPr>
          <w:spacing w:val="43"/>
        </w:rPr>
      </w:r>
      <w:r>
        <w:rPr>
          <w:spacing w:val="-4"/>
        </w:rPr>
        <w:t>常表明应将多次交易事项作为一揽子交易进行会计处理：①这些交易是同时或者在考虑了彼此影响的情况下订立的；②这些</w:t>
      </w:r>
      <w:r>
        <w:rPr>
          <w:spacing w:val="43"/>
        </w:rPr>
        <w:t> </w:t>
      </w:r>
      <w:r>
        <w:rPr>
          <w:spacing w:val="43"/>
        </w:rPr>
      </w:r>
      <w:r>
        <w:rPr>
          <w:spacing w:val="-6"/>
          <w:w w:val="101"/>
        </w:rPr>
        <w:t>交易整体才能达成一项完整的商业结果；③一项交易的发生取决于其他至少一项交易的发生；④一项交易单独看是不经济的，</w:t>
      </w:r>
      <w:r>
        <w:rPr>
          <w:spacing w:val="-71"/>
          <w:w w:val="101"/>
        </w:rPr>
        <w:t> </w:t>
      </w:r>
      <w:r>
        <w:rPr>
          <w:spacing w:val="-71"/>
          <w:w w:val="101"/>
        </w:rPr>
      </w:r>
      <w:r>
        <w:rPr>
          <w:spacing w:val="-3"/>
        </w:rPr>
        <w:t>但是和其他交易一并考虑时是经济的。不属于一揽子交易的，对其中的每一项交易视情况分别按照</w:t>
      </w:r>
      <w:r>
        <w:rPr>
          <w:rFonts w:ascii="Times New Roman" w:hAnsi="Times New Roman" w:cs="Times New Roman" w:eastAsia="Times New Roman" w:hint="default"/>
          <w:spacing w:val="-3"/>
        </w:rPr>
        <w:t>“</w:t>
      </w:r>
      <w:r>
        <w:rPr>
          <w:spacing w:val="-3"/>
        </w:rPr>
        <w:t>不丧失控制权的情况下</w:t>
      </w:r>
      <w:r>
        <w:rPr>
          <w:spacing w:val="-1"/>
        </w:rPr>
        <w:t> </w:t>
      </w:r>
      <w:r>
        <w:rPr>
          <w:spacing w:val="-1"/>
        </w:rPr>
      </w:r>
      <w:r>
        <w:rPr>
          <w:spacing w:val="-2"/>
        </w:rPr>
        <w:t>部分处置对子公司的长期股权投资</w:t>
      </w:r>
      <w:r>
        <w:rPr>
          <w:rFonts w:ascii="Times New Roman" w:hAnsi="Times New Roman" w:cs="Times New Roman" w:eastAsia="Times New Roman" w:hint="default"/>
          <w:spacing w:val="-2"/>
        </w:rPr>
        <w:t>”</w:t>
      </w:r>
      <w:r>
        <w:rPr>
          <w:spacing w:val="-2"/>
        </w:rPr>
        <w:t>（详见本附注三、</w:t>
      </w:r>
      <w:r>
        <w:rPr>
          <w:rFonts w:ascii="Times New Roman" w:hAnsi="Times New Roman" w:cs="Times New Roman" w:eastAsia="Times New Roman" w:hint="default"/>
          <w:spacing w:val="-2"/>
        </w:rPr>
        <w:t>14</w:t>
      </w:r>
      <w:r>
        <w:rPr>
          <w:spacing w:val="-2"/>
        </w:rPr>
        <w:t>、（</w:t>
      </w:r>
      <w:r>
        <w:rPr>
          <w:rFonts w:ascii="Times New Roman" w:hAnsi="Times New Roman" w:cs="Times New Roman" w:eastAsia="Times New Roman" w:hint="default"/>
          <w:spacing w:val="-2"/>
        </w:rPr>
        <w:t>2</w:t>
      </w:r>
      <w:r>
        <w:rPr>
          <w:spacing w:val="-2"/>
        </w:rPr>
        <w:t>）④）和</w:t>
      </w:r>
      <w:r>
        <w:rPr>
          <w:rFonts w:ascii="Times New Roman" w:hAnsi="Times New Roman" w:cs="Times New Roman" w:eastAsia="Times New Roman" w:hint="default"/>
          <w:spacing w:val="-2"/>
        </w:rPr>
        <w:t>“</w:t>
      </w:r>
      <w:r>
        <w:rPr>
          <w:spacing w:val="-2"/>
        </w:rPr>
        <w:t>因处置部分股权投资或其他原因丧失了对原有子公</w:t>
      </w:r>
      <w:r>
        <w:rPr>
          <w:spacing w:val="44"/>
        </w:rPr>
        <w:t> </w:t>
      </w:r>
      <w:r>
        <w:rPr>
          <w:spacing w:val="44"/>
        </w:rPr>
      </w:r>
      <w:r>
        <w:rPr>
          <w:spacing w:val="-4"/>
        </w:rPr>
        <w:t>司的控制权</w:t>
      </w:r>
      <w:r>
        <w:rPr>
          <w:rFonts w:ascii="Times New Roman" w:hAnsi="Times New Roman" w:cs="Times New Roman" w:eastAsia="Times New Roman" w:hint="default"/>
          <w:spacing w:val="-4"/>
        </w:rPr>
        <w:t>”</w:t>
      </w:r>
      <w:r>
        <w:rPr>
          <w:spacing w:val="-4"/>
        </w:rPr>
        <w:t>（详见前段）适用的原则进行会计处理。处置对子公司股权投资直至丧失控制权的各项交易属于一揽子交易的，</w:t>
      </w:r>
      <w:r>
        <w:rPr>
          <w:spacing w:val="56"/>
        </w:rPr>
        <w:t> </w:t>
      </w:r>
      <w:r>
        <w:rPr>
          <w:spacing w:val="56"/>
        </w:rPr>
      </w:r>
      <w:r>
        <w:rPr>
          <w:spacing w:val="-4"/>
        </w:rPr>
        <w:t>将各项交易作为一项处置子公司并丧失控制权的交易进行会计处理；但是，在丧失控制权之前每一次处置价款与处置投资对</w:t>
      </w:r>
      <w:r>
        <w:rPr>
          <w:spacing w:val="39"/>
        </w:rPr>
        <w:t> </w:t>
      </w:r>
      <w:r>
        <w:rPr>
          <w:spacing w:val="39"/>
        </w:rPr>
      </w:r>
      <w:r>
        <w:rPr>
          <w:spacing w:val="-4"/>
        </w:rPr>
        <w:t>应的享有该子公司净资产份额的差额，在合并财务报表中确认为其他综合收益，在丧失控制权时一并转入丧失控制权当期的</w:t>
      </w:r>
      <w:r>
        <w:rPr>
          <w:spacing w:val="45"/>
        </w:rPr>
        <w:t> </w:t>
      </w:r>
      <w:r>
        <w:rPr>
          <w:spacing w:val="45"/>
        </w:rPr>
      </w:r>
      <w:r>
        <w:rPr/>
        <w:t>损益。</w:t>
      </w:r>
    </w:p>
    <w:p>
      <w:pPr>
        <w:spacing w:after="0" w:line="312"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both"/>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422"/>
        <w:jc w:val="left"/>
      </w:pPr>
      <w:r>
        <w:rPr>
          <w:spacing w:val="-4"/>
        </w:rPr>
        <w:t>合营安排，是指一项由两个或两个以上的参与方共同控制的安排。本公司根据在合营安排中享有的权利和承担的义务，</w:t>
      </w:r>
      <w:r>
        <w:rPr>
          <w:w w:val="101"/>
        </w:rPr>
        <w:t> </w:t>
      </w:r>
      <w:r>
        <w:rPr>
          <w:spacing w:val="-4"/>
        </w:rPr>
        <w:t>将合营安排分为共同经营和合营企业。共同经营，是指本公司享有该安排相关资产且承担该安排相关负债的合营安排。合营</w:t>
      </w:r>
      <w:r>
        <w:rPr>
          <w:spacing w:val="43"/>
        </w:rPr>
        <w:t> </w:t>
      </w:r>
      <w:r>
        <w:rPr>
          <w:spacing w:val="43"/>
        </w:rPr>
      </w:r>
      <w:r>
        <w:rPr>
          <w:spacing w:val="-3"/>
        </w:rPr>
        <w:t>企业，是指本公司仅对该安排的净资产享有权利的合营安排。</w:t>
      </w:r>
    </w:p>
    <w:p>
      <w:pPr>
        <w:spacing w:line="240" w:lineRule="auto" w:before="11"/>
        <w:rPr>
          <w:rFonts w:ascii="宋体" w:hAnsi="宋体" w:cs="宋体" w:eastAsia="宋体" w:hint="default"/>
          <w:sz w:val="17"/>
          <w:szCs w:val="17"/>
        </w:rPr>
      </w:pPr>
    </w:p>
    <w:p>
      <w:pPr>
        <w:pStyle w:val="BodyText"/>
        <w:spacing w:line="300" w:lineRule="auto"/>
        <w:ind w:right="1122" w:firstLine="422"/>
        <w:jc w:val="both"/>
      </w:pPr>
      <w:r>
        <w:rPr>
          <w:spacing w:val="-3"/>
        </w:rPr>
        <w:t>本公司对合营企业的投资采用权益法核算，按照本附注三、</w:t>
      </w:r>
      <w:r>
        <w:rPr>
          <w:rFonts w:ascii="Times New Roman" w:hAnsi="Times New Roman" w:cs="Times New Roman" w:eastAsia="Times New Roman" w:hint="default"/>
          <w:spacing w:val="-3"/>
        </w:rPr>
        <w:t>14</w:t>
      </w:r>
      <w:r>
        <w:rPr>
          <w:spacing w:val="-3"/>
        </w:rPr>
        <w:t>（</w:t>
      </w:r>
      <w:r>
        <w:rPr>
          <w:rFonts w:ascii="Times New Roman" w:hAnsi="Times New Roman" w:cs="Times New Roman" w:eastAsia="Times New Roman" w:hint="default"/>
          <w:spacing w:val="-3"/>
        </w:rPr>
        <w:t>2</w:t>
      </w:r>
      <w:r>
        <w:rPr>
          <w:spacing w:val="-3"/>
        </w:rPr>
        <w:t>）②</w:t>
      </w:r>
      <w:r>
        <w:rPr>
          <w:rFonts w:ascii="Times New Roman" w:hAnsi="Times New Roman" w:cs="Times New Roman" w:eastAsia="Times New Roman" w:hint="default"/>
          <w:spacing w:val="-3"/>
        </w:rPr>
        <w:t>“</w:t>
      </w:r>
      <w:r>
        <w:rPr>
          <w:spacing w:val="-3"/>
        </w:rPr>
        <w:t>权益法核算的长期股权投资</w:t>
      </w:r>
      <w:r>
        <w:rPr>
          <w:rFonts w:ascii="Times New Roman" w:hAnsi="Times New Roman" w:cs="Times New Roman" w:eastAsia="Times New Roman" w:hint="default"/>
          <w:spacing w:val="-3"/>
        </w:rPr>
        <w:t>”</w:t>
      </w:r>
      <w:r>
        <w:rPr>
          <w:spacing w:val="-3"/>
        </w:rPr>
        <w:t>中所述的会计政策</w:t>
      </w:r>
      <w:r>
        <w:rPr>
          <w:w w:val="101"/>
        </w:rPr>
        <w:t> </w:t>
      </w:r>
      <w:r>
        <w:rPr/>
        <w:t>处理。</w:t>
      </w:r>
    </w:p>
    <w:p>
      <w:pPr>
        <w:spacing w:line="240" w:lineRule="auto" w:before="12"/>
        <w:rPr>
          <w:rFonts w:ascii="宋体" w:hAnsi="宋体" w:cs="宋体" w:eastAsia="宋体" w:hint="default"/>
          <w:sz w:val="18"/>
          <w:szCs w:val="18"/>
        </w:rPr>
      </w:pPr>
    </w:p>
    <w:p>
      <w:pPr>
        <w:pStyle w:val="BodyText"/>
        <w:spacing w:line="316" w:lineRule="auto"/>
        <w:ind w:right="1122" w:firstLine="422"/>
        <w:jc w:val="both"/>
      </w:pPr>
      <w:r>
        <w:rPr>
          <w:spacing w:val="-2"/>
        </w:rPr>
        <w:t>本公司作为合营方对共同经营，确认本公司单独持有的资产、单独所承担的负债，以及按本公司份额确认共同持有的</w:t>
      </w:r>
      <w:r>
        <w:rPr>
          <w:w w:val="101"/>
        </w:rPr>
        <w:t> </w:t>
      </w:r>
      <w:r>
        <w:rPr>
          <w:spacing w:val="-4"/>
        </w:rPr>
        <w:t>资产和共同承担的负债；确认出售本公司享有的共同经营产出份额所产生的收入；按本公司份额确认共同经营因出售产出所</w:t>
      </w:r>
      <w:r>
        <w:rPr>
          <w:spacing w:val="44"/>
        </w:rPr>
        <w:t> </w:t>
      </w:r>
      <w:r>
        <w:rPr>
          <w:spacing w:val="44"/>
        </w:rPr>
      </w:r>
      <w:r>
        <w:rPr>
          <w:spacing w:val="-3"/>
        </w:rPr>
        <w:t>产生的收入；确认本公司单独所发生的费用，以及按本公司份额确认共同经营发生的费用。</w:t>
      </w:r>
    </w:p>
    <w:p>
      <w:pPr>
        <w:spacing w:line="240" w:lineRule="auto" w:before="12"/>
        <w:rPr>
          <w:rFonts w:ascii="宋体" w:hAnsi="宋体" w:cs="宋体" w:eastAsia="宋体" w:hint="default"/>
          <w:sz w:val="17"/>
          <w:szCs w:val="17"/>
        </w:rPr>
      </w:pPr>
    </w:p>
    <w:p>
      <w:pPr>
        <w:pStyle w:val="BodyText"/>
        <w:spacing w:line="312" w:lineRule="auto"/>
        <w:ind w:right="1124" w:firstLine="422"/>
        <w:jc w:val="both"/>
      </w:pPr>
      <w:r>
        <w:rPr>
          <w:spacing w:val="-2"/>
        </w:rPr>
        <w:t>当本公司作为合营方向共同经营投出或出售资产（该资产不构成业务，下同）、或者自共同经营购买资产时，在该等</w:t>
      </w:r>
      <w:r>
        <w:rPr>
          <w:w w:val="101"/>
        </w:rPr>
        <w:t> </w:t>
      </w:r>
      <w:r>
        <w:rPr>
          <w:spacing w:val="-4"/>
        </w:rPr>
        <w:t>资产出售给第三方之前，本公司仅确认因该交易产生的损益中归属于共同经营其他参与方的部分。该等资产发生符合《企业</w:t>
      </w:r>
      <w:r>
        <w:rPr>
          <w:spacing w:val="43"/>
        </w:rPr>
        <w:t> </w:t>
      </w:r>
      <w:r>
        <w:rPr>
          <w:spacing w:val="43"/>
        </w:rPr>
      </w:r>
      <w:r>
        <w:rPr>
          <w:spacing w:val="-3"/>
        </w:rPr>
        <w:t>会计准则第</w:t>
      </w:r>
      <w:r>
        <w:rPr>
          <w:rFonts w:ascii="Times New Roman" w:hAnsi="Times New Roman" w:cs="Times New Roman" w:eastAsia="Times New Roman" w:hint="default"/>
          <w:spacing w:val="-3"/>
        </w:rPr>
        <w:t>8</w:t>
      </w:r>
      <w:r>
        <w:rPr>
          <w:spacing w:val="-3"/>
        </w:rPr>
        <w:t>号</w:t>
      </w:r>
      <w:r>
        <w:rPr>
          <w:rFonts w:ascii="Times New Roman" w:hAnsi="Times New Roman" w:cs="Times New Roman" w:eastAsia="Times New Roman" w:hint="default"/>
          <w:spacing w:val="-3"/>
        </w:rPr>
        <w:t>——</w:t>
      </w:r>
      <w:r>
        <w:rPr>
          <w:spacing w:val="-3"/>
        </w:rPr>
        <w:t>资产减值》等规定的资产减值损失的，对于由本公司向共同经营投出或出售资产的情况，本公司全额确</w:t>
      </w:r>
      <w:r>
        <w:rPr>
          <w:spacing w:val="76"/>
        </w:rPr>
        <w:t> </w:t>
      </w:r>
      <w:r>
        <w:rPr>
          <w:spacing w:val="76"/>
        </w:rPr>
      </w:r>
      <w:r>
        <w:rPr>
          <w:spacing w:val="-3"/>
        </w:rPr>
        <w:t>认该损失；对于本公司自共同经营购买资产的情况，本公司按承担的份额确认该损失。</w:t>
      </w:r>
    </w:p>
    <w:p>
      <w:pPr>
        <w:spacing w:line="240" w:lineRule="auto" w:before="12"/>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4" w:firstLine="422"/>
        <w:jc w:val="both"/>
      </w:pPr>
      <w:r>
        <w:rPr>
          <w:spacing w:val="-2"/>
        </w:rPr>
        <w:t>本公司现金及现金等价物包括库存现金、可以随时用于支付的存款以及本公司持有的期限短（一般为从购买日起，三</w:t>
      </w:r>
      <w:r>
        <w:rPr>
          <w:w w:val="101"/>
        </w:rPr>
        <w:t> </w:t>
      </w:r>
      <w:r>
        <w:rPr>
          <w:spacing w:val="-3"/>
        </w:rPr>
        <w:t>个月内到期）、流动性强、易于转换为已知金额的现金、价值变动风险很小的投资。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pStyle w:val="BodyText"/>
        <w:spacing w:line="510" w:lineRule="atLeast" w:before="83"/>
        <w:ind w:left="575" w:right="0"/>
        <w:jc w:val="left"/>
      </w:pPr>
      <w:r>
        <w:rPr>
          <w:spacing w:val="-3"/>
        </w:rPr>
        <w:t>（</w:t>
      </w:r>
      <w:r>
        <w:rPr>
          <w:rFonts w:ascii="Times New Roman" w:hAnsi="Times New Roman" w:cs="Times New Roman" w:eastAsia="Times New Roman" w:hint="default"/>
          <w:spacing w:val="-3"/>
        </w:rPr>
        <w:t>1</w:t>
      </w:r>
      <w:r>
        <w:rPr>
          <w:spacing w:val="-3"/>
        </w:rPr>
        <w:t>）外币交易的折算方法</w:t>
      </w:r>
      <w:r>
        <w:rPr>
          <w:spacing w:val="-52"/>
        </w:rPr>
        <w:t> </w:t>
      </w:r>
      <w:r>
        <w:rPr>
          <w:spacing w:val="-52"/>
        </w:rPr>
      </w:r>
      <w:r>
        <w:rPr>
          <w:spacing w:val="-2"/>
        </w:rPr>
        <w:t>本公司发生的外币交易在初始确认时，按交易日的即期汇率（通常指中国人民银行公布的当日外汇牌价的中间价，下</w:t>
      </w:r>
    </w:p>
    <w:p>
      <w:pPr>
        <w:pStyle w:val="BodyText"/>
        <w:spacing w:line="300" w:lineRule="auto" w:before="76"/>
        <w:ind w:right="1123"/>
        <w:jc w:val="both"/>
      </w:pPr>
      <w:r>
        <w:rPr>
          <w:spacing w:val="-4"/>
        </w:rPr>
        <w:t>同）</w:t>
      </w:r>
      <w:r>
        <w:rPr>
          <w:rFonts w:ascii="Times New Roman" w:hAnsi="Times New Roman" w:cs="Times New Roman" w:eastAsia="Times New Roman" w:hint="default"/>
          <w:spacing w:val="-4"/>
        </w:rPr>
        <w:t>/</w:t>
      </w:r>
      <w:r>
        <w:rPr>
          <w:spacing w:val="-4"/>
        </w:rPr>
        <w:t>当期平均汇率</w:t>
      </w:r>
      <w:r>
        <w:rPr>
          <w:rFonts w:ascii="Times New Roman" w:hAnsi="Times New Roman" w:cs="Times New Roman" w:eastAsia="Times New Roman" w:hint="default"/>
          <w:spacing w:val="-4"/>
        </w:rPr>
        <w:t>/</w:t>
      </w:r>
      <w:r>
        <w:rPr>
          <w:spacing w:val="-4"/>
        </w:rPr>
        <w:t>当期加权平均汇率</w:t>
      </w:r>
      <w:r>
        <w:rPr>
          <w:rFonts w:ascii="Times New Roman" w:hAnsi="Times New Roman" w:cs="Times New Roman" w:eastAsia="Times New Roman" w:hint="default"/>
          <w:spacing w:val="-4"/>
        </w:rPr>
        <w:t>/</w:t>
      </w:r>
      <w:r>
        <w:rPr>
          <w:spacing w:val="-4"/>
        </w:rPr>
        <w:t>（按照公司实际情况描述）折算为记账本位币金额，但公司发生的外币兑换业务或涉</w:t>
      </w:r>
      <w:r>
        <w:rPr>
          <w:spacing w:val="79"/>
        </w:rPr>
        <w:t> </w:t>
      </w:r>
      <w:r>
        <w:rPr>
          <w:spacing w:val="79"/>
        </w:rPr>
      </w:r>
      <w:r>
        <w:rPr>
          <w:spacing w:val="-3"/>
        </w:rPr>
        <w:t>及外币兑换的交易事项，按照实际采用的汇率折算为记账本位币金额。</w:t>
      </w:r>
    </w:p>
    <w:p>
      <w:pPr>
        <w:pStyle w:val="BodyText"/>
        <w:spacing w:line="528" w:lineRule="exact" w:before="35"/>
        <w:ind w:left="575" w:right="0"/>
        <w:jc w:val="left"/>
      </w:pPr>
      <w:r>
        <w:rPr>
          <w:spacing w:val="-3"/>
        </w:rPr>
        <w:t>（</w:t>
      </w:r>
      <w:r>
        <w:rPr>
          <w:rFonts w:ascii="Times New Roman" w:hAnsi="Times New Roman" w:cs="Times New Roman" w:eastAsia="Times New Roman" w:hint="default"/>
          <w:spacing w:val="-3"/>
        </w:rPr>
        <w:t>2</w:t>
      </w:r>
      <w:r>
        <w:rPr>
          <w:spacing w:val="-3"/>
        </w:rPr>
        <w:t>）对于外币货币性项目和外币非货币性项目的折算方法</w:t>
      </w:r>
      <w:r>
        <w:rPr>
          <w:spacing w:val="-11"/>
        </w:rPr>
        <w:t> </w:t>
      </w:r>
      <w:r>
        <w:rPr>
          <w:spacing w:val="-11"/>
        </w:rPr>
      </w:r>
      <w:r>
        <w:rPr>
          <w:spacing w:val="-2"/>
        </w:rPr>
        <w:t>资产负债表日，对于外币货币性项目采用资产负债表日即期汇率折算，由此产生的汇兑差额，除：①属于与购建符合</w:t>
      </w:r>
    </w:p>
    <w:p>
      <w:pPr>
        <w:pStyle w:val="BodyText"/>
        <w:spacing w:line="316" w:lineRule="auto"/>
        <w:ind w:right="1123"/>
        <w:jc w:val="both"/>
      </w:pPr>
      <w:r>
        <w:rPr>
          <w:spacing w:val="-4"/>
          <w:w w:val="101"/>
        </w:rPr>
        <w:t>资本化条件的资产相关的外币专门借款产生的汇兑差额按照借款费用资本化的原则处理；②用于境外经营净投资有效套期的</w:t>
      </w:r>
      <w:r>
        <w:rPr>
          <w:w w:val="101"/>
        </w:rPr>
        <w:t> </w:t>
      </w:r>
      <w:r>
        <w:rPr>
          <w:spacing w:val="-4"/>
        </w:rPr>
        <w:t>套期工具的汇兑差额（该差额计入其他综合收益，直至净投资被处置才被确认为当期损益）；以及③可供出售的外币货币性</w:t>
      </w:r>
      <w:r>
        <w:rPr>
          <w:spacing w:val="40"/>
        </w:rPr>
        <w:t> </w:t>
      </w:r>
      <w:r>
        <w:rPr>
          <w:spacing w:val="40"/>
        </w:rPr>
      </w:r>
      <w:r>
        <w:rPr>
          <w:spacing w:val="-3"/>
        </w:rPr>
        <w:t>项目除摊余成本之外的其他账面余额变动产生的汇兑差额计入其他综合收益之外，均计入当期损益。</w:t>
      </w:r>
    </w:p>
    <w:p>
      <w:pPr>
        <w:spacing w:line="240" w:lineRule="auto" w:before="13"/>
        <w:rPr>
          <w:rFonts w:ascii="宋体" w:hAnsi="宋体" w:cs="宋体" w:eastAsia="宋体" w:hint="default"/>
          <w:sz w:val="17"/>
          <w:szCs w:val="17"/>
        </w:rPr>
      </w:pPr>
    </w:p>
    <w:p>
      <w:pPr>
        <w:pStyle w:val="BodyText"/>
        <w:spacing w:line="316" w:lineRule="auto"/>
        <w:ind w:right="1124" w:firstLine="422"/>
        <w:jc w:val="both"/>
      </w:pPr>
      <w:r>
        <w:rPr>
          <w:spacing w:val="-2"/>
        </w:rPr>
        <w:t>编制合并财务报表涉及境外经营的，如有实质上构成对境外经营净投资的外币货币性项目，因汇率变动而产生的汇兑</w:t>
      </w:r>
      <w:r>
        <w:rPr>
          <w:w w:val="101"/>
        </w:rPr>
        <w:t> </w:t>
      </w:r>
      <w:r>
        <w:rPr>
          <w:spacing w:val="-3"/>
        </w:rPr>
        <w:t>差额，计入其他综合收益；处置境外经营时，转入处置当期损益。</w:t>
      </w:r>
    </w:p>
    <w:p>
      <w:pPr>
        <w:spacing w:line="240" w:lineRule="auto" w:before="12"/>
        <w:rPr>
          <w:rFonts w:ascii="宋体" w:hAnsi="宋体" w:cs="宋体" w:eastAsia="宋体" w:hint="default"/>
          <w:sz w:val="17"/>
          <w:szCs w:val="17"/>
        </w:rPr>
      </w:pPr>
    </w:p>
    <w:p>
      <w:pPr>
        <w:pStyle w:val="BodyText"/>
        <w:spacing w:line="316" w:lineRule="auto"/>
        <w:ind w:right="1124" w:firstLine="422"/>
        <w:jc w:val="both"/>
      </w:pPr>
      <w:r>
        <w:rPr>
          <w:spacing w:val="-2"/>
        </w:rPr>
        <w:t>以历史成本计量的外币非货币性项目，仍采用交易发生日的即期汇率折算的记账本位币金额计量。以公允价值计量的</w:t>
      </w:r>
      <w:r>
        <w:rPr>
          <w:w w:val="101"/>
        </w:rPr>
        <w:t> </w:t>
      </w:r>
      <w:r>
        <w:rPr>
          <w:spacing w:val="-4"/>
        </w:rPr>
        <w:t>外币非货币性项目，采用公允价值确定日的即期汇率折算，折算后的记账本位币金额与原记账本位币金额的差额，作为公允</w:t>
      </w:r>
      <w:r>
        <w:rPr>
          <w:spacing w:val="43"/>
        </w:rPr>
        <w:t> </w:t>
      </w:r>
      <w:r>
        <w:rPr>
          <w:spacing w:val="43"/>
        </w:rPr>
      </w:r>
      <w:r>
        <w:rPr>
          <w:spacing w:val="-3"/>
        </w:rPr>
        <w:t>价值变动（含汇率变动）处理，计入当期损益或确认为其他综合收益。</w:t>
      </w:r>
    </w:p>
    <w:p>
      <w:pPr>
        <w:spacing w:line="240" w:lineRule="auto" w:before="13"/>
        <w:rPr>
          <w:rFonts w:ascii="宋体" w:hAnsi="宋体" w:cs="宋体" w:eastAsia="宋体" w:hint="default"/>
          <w:sz w:val="17"/>
          <w:szCs w:val="17"/>
        </w:rPr>
      </w:pPr>
    </w:p>
    <w:p>
      <w:pPr>
        <w:pStyle w:val="BodyText"/>
        <w:spacing w:line="508" w:lineRule="auto"/>
        <w:ind w:left="575" w:right="0"/>
        <w:jc w:val="left"/>
      </w:pPr>
      <w:r>
        <w:rPr>
          <w:spacing w:val="-3"/>
        </w:rPr>
        <w:t>（</w:t>
      </w:r>
      <w:r>
        <w:rPr>
          <w:rFonts w:ascii="Times New Roman" w:hAnsi="Times New Roman" w:cs="Times New Roman" w:eastAsia="Times New Roman" w:hint="default"/>
          <w:spacing w:val="-3"/>
        </w:rPr>
        <w:t>3</w:t>
      </w:r>
      <w:r>
        <w:rPr>
          <w:spacing w:val="-3"/>
        </w:rPr>
        <w:t>）外币财务报表的折算方法</w:t>
      </w:r>
      <w:r>
        <w:rPr>
          <w:spacing w:val="-46"/>
        </w:rPr>
        <w:t> </w:t>
      </w:r>
      <w:r>
        <w:rPr>
          <w:spacing w:val="-46"/>
        </w:rPr>
      </w:r>
      <w:r>
        <w:rPr>
          <w:spacing w:val="-2"/>
        </w:rPr>
        <w:t>编制合并财务报表涉及境外经营的，如有实质上构成对境外经营净投资的外币货币性项目，因汇率变动而产生的汇兑</w:t>
      </w:r>
    </w:p>
    <w:p>
      <w:pPr>
        <w:spacing w:after="0" w:line="508"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both"/>
      </w:pPr>
      <w:r>
        <w:rPr>
          <w:spacing w:val="-3"/>
        </w:rPr>
        <w:t>差额，作为</w:t>
      </w:r>
      <w:r>
        <w:rPr>
          <w:rFonts w:ascii="Times New Roman" w:hAnsi="Times New Roman" w:cs="Times New Roman" w:eastAsia="Times New Roman" w:hint="default"/>
          <w:spacing w:val="-3"/>
        </w:rPr>
        <w:t>“</w:t>
      </w:r>
      <w:r>
        <w:rPr>
          <w:spacing w:val="-3"/>
        </w:rPr>
        <w:t>外币报表折算差额</w:t>
      </w:r>
      <w:r>
        <w:rPr>
          <w:rFonts w:ascii="Times New Roman" w:hAnsi="Times New Roman" w:cs="Times New Roman" w:eastAsia="Times New Roman" w:hint="default"/>
          <w:spacing w:val="-3"/>
        </w:rPr>
        <w:t>”</w:t>
      </w:r>
      <w:r>
        <w:rPr>
          <w:spacing w:val="-3"/>
        </w:rPr>
        <w:t>确认为其他综合收益；处置境外经营时，计入处置当期损益。</w:t>
      </w:r>
    </w:p>
    <w:p>
      <w:pPr>
        <w:spacing w:line="240" w:lineRule="auto" w:before="4"/>
        <w:rPr>
          <w:rFonts w:ascii="宋体" w:hAnsi="宋体" w:cs="宋体" w:eastAsia="宋体" w:hint="default"/>
          <w:sz w:val="21"/>
          <w:szCs w:val="21"/>
        </w:rPr>
      </w:pPr>
    </w:p>
    <w:p>
      <w:pPr>
        <w:pStyle w:val="BodyText"/>
        <w:spacing w:line="312" w:lineRule="auto"/>
        <w:ind w:right="1122" w:firstLine="422"/>
        <w:jc w:val="both"/>
      </w:pPr>
      <w:r>
        <w:rPr>
          <w:spacing w:val="-2"/>
        </w:rPr>
        <w:t>境外经营的外币财务报表按以下方法折算为人民币报表：资产负债表中的资产和负债项目，采用资产负债表日的即期</w:t>
      </w:r>
      <w:r>
        <w:rPr>
          <w:w w:val="101"/>
        </w:rPr>
        <w:t> </w:t>
      </w:r>
      <w:r>
        <w:rPr>
          <w:spacing w:val="-4"/>
        </w:rPr>
        <w:t>汇率折算；股东权益类项目除</w:t>
      </w:r>
      <w:r>
        <w:rPr>
          <w:rFonts w:ascii="Times New Roman" w:hAnsi="Times New Roman" w:cs="Times New Roman" w:eastAsia="Times New Roman" w:hint="default"/>
          <w:spacing w:val="-4"/>
        </w:rPr>
        <w:t>“</w:t>
      </w:r>
      <w:r>
        <w:rPr>
          <w:spacing w:val="-4"/>
        </w:rPr>
        <w:t>未分配利润</w:t>
      </w:r>
      <w:r>
        <w:rPr>
          <w:rFonts w:ascii="Times New Roman" w:hAnsi="Times New Roman" w:cs="Times New Roman" w:eastAsia="Times New Roman" w:hint="default"/>
          <w:spacing w:val="-4"/>
        </w:rPr>
        <w:t>”</w:t>
      </w:r>
      <w:r>
        <w:rPr>
          <w:spacing w:val="-4"/>
        </w:rPr>
        <w:t>项目外，其他项目采用发生时的即期汇率折算。利润表中的收入和费用项目，采</w:t>
      </w:r>
      <w:r>
        <w:rPr>
          <w:spacing w:val="64"/>
        </w:rPr>
        <w:t> </w:t>
      </w:r>
      <w:r>
        <w:rPr>
          <w:spacing w:val="64"/>
        </w:rPr>
      </w:r>
      <w:r>
        <w:rPr>
          <w:spacing w:val="-3"/>
        </w:rPr>
        <w:t>用交易发生日的即期汇率</w:t>
      </w:r>
      <w:r>
        <w:rPr>
          <w:rFonts w:ascii="Times New Roman" w:hAnsi="Times New Roman" w:cs="Times New Roman" w:eastAsia="Times New Roman" w:hint="default"/>
          <w:spacing w:val="-3"/>
        </w:rPr>
        <w:t>/</w:t>
      </w:r>
      <w:r>
        <w:rPr>
          <w:spacing w:val="-3"/>
        </w:rPr>
        <w:t>当期平均汇率</w:t>
      </w:r>
      <w:r>
        <w:rPr>
          <w:rFonts w:ascii="Times New Roman" w:hAnsi="Times New Roman" w:cs="Times New Roman" w:eastAsia="Times New Roman" w:hint="default"/>
          <w:spacing w:val="-3"/>
        </w:rPr>
        <w:t>/</w:t>
      </w:r>
      <w:r>
        <w:rPr>
          <w:spacing w:val="-3"/>
        </w:rPr>
        <w:t>当期加权平均汇率折算。年初未分配利润为上一年折算后的年末未分配利润；年末</w:t>
      </w:r>
      <w:r>
        <w:rPr>
          <w:spacing w:val="73"/>
        </w:rPr>
        <w:t> </w:t>
      </w:r>
      <w:r>
        <w:rPr>
          <w:spacing w:val="73"/>
        </w:rPr>
      </w:r>
      <w:r>
        <w:rPr>
          <w:spacing w:val="-4"/>
        </w:rPr>
        <w:t>未分配利润按折算后的利润分配各项目计算列示；折算后资产类项目与负债类项目和股东权益类项目合计数的差额，作为外</w:t>
      </w:r>
      <w:r>
        <w:rPr>
          <w:spacing w:val="42"/>
        </w:rPr>
        <w:t> </w:t>
      </w:r>
      <w:r>
        <w:rPr>
          <w:spacing w:val="42"/>
        </w:rPr>
      </w:r>
      <w:r>
        <w:rPr>
          <w:spacing w:val="-4"/>
        </w:rPr>
        <w:t>币报表折算差额，确认为其他综合收益。处置境外经营并丧失控制权时，将资产负债表中股东权益项目下列示的、与该境外</w:t>
      </w:r>
      <w:r>
        <w:rPr>
          <w:spacing w:val="40"/>
        </w:rPr>
        <w:t> </w:t>
      </w:r>
      <w:r>
        <w:rPr>
          <w:spacing w:val="40"/>
        </w:rPr>
      </w:r>
      <w:r>
        <w:rPr>
          <w:spacing w:val="-3"/>
        </w:rPr>
        <w:t>经营相关的外币报表折算差额，全部或按处置该境外经营的比例转入处置当期损益。</w:t>
      </w:r>
    </w:p>
    <w:p>
      <w:pPr>
        <w:spacing w:line="240" w:lineRule="auto" w:before="3"/>
        <w:rPr>
          <w:rFonts w:ascii="宋体" w:hAnsi="宋体" w:cs="宋体" w:eastAsia="宋体" w:hint="default"/>
          <w:sz w:val="18"/>
          <w:szCs w:val="18"/>
        </w:rPr>
      </w:pPr>
    </w:p>
    <w:p>
      <w:pPr>
        <w:pStyle w:val="BodyText"/>
        <w:spacing w:line="300" w:lineRule="auto"/>
        <w:ind w:right="1122" w:firstLine="422"/>
        <w:jc w:val="both"/>
      </w:pPr>
      <w:r>
        <w:rPr>
          <w:spacing w:val="-4"/>
        </w:rPr>
        <w:t>外币现金流量以及境外子公司的现金流量，采用现金流量发生日的即期汇率</w:t>
      </w:r>
      <w:r>
        <w:rPr>
          <w:rFonts w:ascii="Times New Roman" w:hAnsi="Times New Roman" w:cs="Times New Roman" w:eastAsia="Times New Roman" w:hint="default"/>
          <w:spacing w:val="-4"/>
        </w:rPr>
        <w:t>/</w:t>
      </w:r>
      <w:r>
        <w:rPr>
          <w:spacing w:val="-4"/>
        </w:rPr>
        <w:t>当期平均汇率</w:t>
      </w:r>
      <w:r>
        <w:rPr>
          <w:rFonts w:ascii="Times New Roman" w:hAnsi="Times New Roman" w:cs="Times New Roman" w:eastAsia="Times New Roman" w:hint="default"/>
          <w:spacing w:val="-4"/>
        </w:rPr>
        <w:t>/</w:t>
      </w:r>
      <w:r>
        <w:rPr>
          <w:spacing w:val="-4"/>
        </w:rPr>
        <w:t>当期加权平均汇率折算。汇</w:t>
      </w:r>
      <w:r>
        <w:rPr>
          <w:w w:val="101"/>
        </w:rPr>
        <w:t> </w:t>
      </w:r>
      <w:r>
        <w:rPr>
          <w:spacing w:val="-3"/>
        </w:rPr>
        <w:t>率变动对现金的影响额作为调节项目，在现金流量表中单独列报。</w:t>
      </w:r>
    </w:p>
    <w:p>
      <w:pPr>
        <w:pStyle w:val="BodyText"/>
        <w:spacing w:line="528" w:lineRule="exact" w:before="35"/>
        <w:ind w:left="575" w:right="0"/>
        <w:jc w:val="left"/>
      </w:pPr>
      <w:r>
        <w:rPr>
          <w:spacing w:val="-3"/>
        </w:rPr>
        <w:t>年初数和上年实际数按照上年财务报表折算后的数额列示。</w:t>
      </w:r>
      <w:r>
        <w:rPr>
          <w:spacing w:val="-10"/>
        </w:rPr>
        <w:t> </w:t>
      </w:r>
      <w:r>
        <w:rPr>
          <w:spacing w:val="-10"/>
        </w:rPr>
      </w:r>
      <w:r>
        <w:rPr>
          <w:spacing w:val="-2"/>
        </w:rPr>
        <w:t>在处置本公司在境外经营的全部所有者权益或因处置部分股权投资或其他原因丧失了对境外经营控制权时，将资产负</w:t>
      </w:r>
    </w:p>
    <w:p>
      <w:pPr>
        <w:pStyle w:val="BodyText"/>
        <w:spacing w:line="300" w:lineRule="auto"/>
        <w:ind w:right="1128"/>
        <w:jc w:val="both"/>
      </w:pPr>
      <w:r>
        <w:rPr>
          <w:spacing w:val="-2"/>
        </w:rPr>
        <w:t>债表中股东权益</w:t>
      </w:r>
      <w:r>
        <w:rPr>
          <w:rFonts w:ascii="Times New Roman" w:hAnsi="Times New Roman" w:cs="Times New Roman" w:eastAsia="Times New Roman" w:hint="default"/>
          <w:spacing w:val="-2"/>
        </w:rPr>
        <w:t>/</w:t>
      </w:r>
      <w:r>
        <w:rPr>
          <w:spacing w:val="-2"/>
        </w:rPr>
        <w:t>所有者权益项目下列示的、与该境外经营相关的归属于母公司所有者权益的外币报表折算差额，全部转入</w:t>
      </w:r>
      <w:r>
        <w:rPr>
          <w:spacing w:val="62"/>
        </w:rPr>
        <w:t> </w:t>
      </w:r>
      <w:r>
        <w:rPr>
          <w:spacing w:val="62"/>
        </w:rPr>
      </w:r>
      <w:r>
        <w:rPr>
          <w:spacing w:val="-3"/>
        </w:rPr>
        <w:t>处置当期损益。</w:t>
      </w:r>
    </w:p>
    <w:p>
      <w:pPr>
        <w:spacing w:line="240" w:lineRule="auto" w:before="12"/>
        <w:rPr>
          <w:rFonts w:ascii="宋体" w:hAnsi="宋体" w:cs="宋体" w:eastAsia="宋体" w:hint="default"/>
          <w:sz w:val="18"/>
          <w:szCs w:val="18"/>
        </w:rPr>
      </w:pPr>
    </w:p>
    <w:p>
      <w:pPr>
        <w:pStyle w:val="BodyText"/>
        <w:spacing w:line="316" w:lineRule="auto"/>
        <w:ind w:right="0" w:firstLine="422"/>
        <w:jc w:val="left"/>
      </w:pPr>
      <w:r>
        <w:rPr>
          <w:spacing w:val="-2"/>
        </w:rPr>
        <w:t>在处置部分股权投资或其他原因导致持有境外经营权益比例降低但不丧失对境外经营控制权时，与该境外经营处置部</w:t>
      </w:r>
      <w:r>
        <w:rPr>
          <w:w w:val="101"/>
        </w:rPr>
        <w:t> </w:t>
      </w:r>
      <w:r>
        <w:rPr>
          <w:spacing w:val="-6"/>
          <w:w w:val="101"/>
        </w:rPr>
        <w:t>分相关的外币报表折算差额将归属于少数股东权益，不转入当期损益。在处置境外经营为联营企业或合营企业的部分股权时，</w:t>
      </w:r>
      <w:r>
        <w:rPr>
          <w:spacing w:val="-71"/>
          <w:w w:val="101"/>
        </w:rPr>
        <w:t> </w:t>
      </w:r>
      <w:r>
        <w:rPr>
          <w:spacing w:val="-71"/>
          <w:w w:val="101"/>
        </w:rPr>
      </w:r>
      <w:r>
        <w:rPr>
          <w:spacing w:val="-3"/>
        </w:rPr>
        <w:t>与该境外经营相关的外币报表折算差额，按处置该境外经营的比例转入处置当期损益。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80" w:right="0"/>
        <w:jc w:val="left"/>
      </w:pPr>
      <w:r>
        <w:rPr>
          <w:rFonts w:ascii="宋体" w:hAnsi="宋体" w:cs="宋体" w:eastAsia="宋体" w:hint="default"/>
        </w:rPr>
        <w:t>2019</w:t>
      </w:r>
      <w:r>
        <w:rPr>
          <w:rFonts w:ascii="宋体" w:hAnsi="宋体" w:cs="宋体" w:eastAsia="宋体" w:hint="default"/>
          <w:spacing w:val="-47"/>
        </w:rPr>
        <w:t> </w:t>
      </w:r>
      <w:r>
        <w:rPr>
          <w:spacing w:val="-3"/>
        </w:rPr>
        <w:t>年度适用的会计政策</w:t>
      </w:r>
      <w:r>
        <w:rPr>
          <w:spacing w:val="-57"/>
        </w:rPr>
        <w:t> </w:t>
      </w:r>
      <w:r>
        <w:rPr>
          <w:spacing w:val="-57"/>
        </w:rPr>
      </w:r>
      <w:r>
        <w:rPr>
          <w:spacing w:val="-2"/>
        </w:rPr>
        <w:t>金融工具，是指形成一方的金融资产并形成其他方的金融负债或权益工具的合同。当本公司成为金融工具合同的一方</w:t>
      </w:r>
    </w:p>
    <w:p>
      <w:pPr>
        <w:pStyle w:val="BodyText"/>
        <w:spacing w:line="352" w:lineRule="auto"/>
        <w:ind w:left="580" w:right="0" w:hanging="428"/>
        <w:jc w:val="left"/>
      </w:pPr>
      <w:r>
        <w:rPr>
          <w:spacing w:val="-3"/>
        </w:rPr>
        <w:t>时，确认相关的金融资产或金融负债。</w:t>
      </w:r>
      <w:r>
        <w:rPr>
          <w:spacing w:val="-39"/>
        </w:rPr>
        <w:t> </w:t>
      </w:r>
      <w:r>
        <w:rPr>
          <w:spacing w:val="-39"/>
        </w:rPr>
      </w:r>
      <w:r>
        <w:rPr>
          <w:spacing w:val="-2"/>
        </w:rPr>
        <w:t>金融资产和金融负债在初始确认时以公允价值计量：①对于以公允价值计量且其变动计入当期损益的金融资产和金融</w:t>
      </w:r>
    </w:p>
    <w:p>
      <w:pPr>
        <w:pStyle w:val="BodyText"/>
        <w:spacing w:line="321" w:lineRule="auto"/>
        <w:ind w:right="1123"/>
        <w:jc w:val="both"/>
      </w:pPr>
      <w:r>
        <w:rPr>
          <w:spacing w:val="-4"/>
        </w:rPr>
        <w:t>负债，相关交易费用直接计入当期损益；②对于其他类别的金融资产和金融负债，相关交易费用计入初始确认金额。金融资</w:t>
      </w:r>
      <w:r>
        <w:rPr>
          <w:spacing w:val="40"/>
        </w:rPr>
        <w:t> </w:t>
      </w:r>
      <w:r>
        <w:rPr>
          <w:spacing w:val="40"/>
        </w:rPr>
      </w:r>
      <w:r>
        <w:rPr>
          <w:spacing w:val="-3"/>
        </w:rPr>
        <w:t>产和金融负债的后续计量取决于其分类。</w:t>
      </w:r>
    </w:p>
    <w:p>
      <w:pPr>
        <w:pStyle w:val="BodyText"/>
        <w:spacing w:line="321" w:lineRule="auto" w:before="49"/>
        <w:ind w:right="1047" w:firstLine="427"/>
        <w:jc w:val="both"/>
      </w:pPr>
      <w:r>
        <w:rPr>
          <w:spacing w:val="-2"/>
        </w:rPr>
        <w:t>金融资产或金融负债满足下列条件之一的，表明持有目的是交易性的：①取得相关金融资产或承担相关金融负债的目</w:t>
      </w:r>
      <w:r>
        <w:rPr>
          <w:w w:val="101"/>
        </w:rPr>
        <w:t> </w:t>
      </w:r>
      <w:r>
        <w:rPr>
          <w:spacing w:val="-4"/>
        </w:rPr>
        <w:t>的，主要是为了近期内出售或回购；②初始确认时属于集中管理的可辨认金融工具组合的一部分，且有客观证据表明近期实</w:t>
      </w:r>
      <w:r>
        <w:rPr>
          <w:spacing w:val="43"/>
        </w:rPr>
        <w:t> </w:t>
      </w:r>
      <w:r>
        <w:rPr>
          <w:spacing w:val="43"/>
        </w:rPr>
      </w:r>
      <w:r>
        <w:rPr>
          <w:spacing w:val="-3"/>
        </w:rPr>
        <w:t>际存在短期获利模式；③属于衍生工具，但符合财务担保合同定义的衍生工具以及被指定为有效套期工具的衍生工具除外。</w:t>
      </w:r>
    </w:p>
    <w:p>
      <w:pPr>
        <w:pStyle w:val="BodyText"/>
        <w:spacing w:line="352" w:lineRule="auto" w:before="58"/>
        <w:ind w:left="580" w:right="1037"/>
        <w:jc w:val="left"/>
      </w:pPr>
      <w:r>
        <w:rPr/>
        <w:t>（</w:t>
      </w:r>
      <w:r>
        <w:rPr>
          <w:rFonts w:ascii="宋体" w:hAnsi="宋体" w:cs="宋体" w:eastAsia="宋体" w:hint="default"/>
        </w:rPr>
        <w:t>1</w:t>
      </w:r>
      <w:r>
        <w:rPr/>
        <w:t>）债务工具</w:t>
      </w:r>
      <w:r>
        <w:rPr>
          <w:spacing w:val="-85"/>
        </w:rPr>
        <w:t> </w:t>
      </w:r>
      <w:r>
        <w:rPr>
          <w:spacing w:val="-85"/>
        </w:rPr>
      </w:r>
      <w:r>
        <w:rPr>
          <w:spacing w:val="-2"/>
        </w:rPr>
        <w:t>债务工具是指从发行方角度分析符合金融负债定义的工具。债务工具的分类和后续计量取决于本公司管理金融资产的</w:t>
      </w:r>
    </w:p>
    <w:p>
      <w:pPr>
        <w:pStyle w:val="BodyText"/>
        <w:spacing w:line="321" w:lineRule="auto"/>
        <w:ind w:right="1123"/>
        <w:jc w:val="both"/>
      </w:pPr>
      <w:r>
        <w:rPr>
          <w:spacing w:val="-4"/>
        </w:rPr>
        <w:t>业务模式，以及金融资产的合同现金流量特征。不能通过现金流量特征测试的，直接分类为以公允价值计量且其变动计入当</w:t>
      </w:r>
      <w:r>
        <w:rPr>
          <w:spacing w:val="43"/>
        </w:rPr>
        <w:t> </w:t>
      </w:r>
      <w:r>
        <w:rPr>
          <w:spacing w:val="43"/>
        </w:rPr>
      </w:r>
      <w:r>
        <w:rPr>
          <w:spacing w:val="-4"/>
        </w:rPr>
        <w:t>期损益的金融资产；能够通过现金流量特征测试的，其分类取决于管理金融资产的业务模式，以及是否将其指定为以公允价</w:t>
      </w:r>
      <w:r>
        <w:rPr>
          <w:spacing w:val="43"/>
        </w:rPr>
        <w:t> </w:t>
      </w:r>
      <w:r>
        <w:rPr>
          <w:spacing w:val="43"/>
        </w:rPr>
      </w:r>
      <w:r>
        <w:rPr>
          <w:spacing w:val="-3"/>
        </w:rPr>
        <w:t>值计量且其变动计入当期损益的金融资产。</w:t>
      </w:r>
    </w:p>
    <w:p>
      <w:pPr>
        <w:pStyle w:val="BodyText"/>
        <w:spacing w:line="319" w:lineRule="auto" w:before="49"/>
        <w:ind w:right="1122" w:firstLine="427"/>
        <w:jc w:val="both"/>
      </w:pPr>
      <w:r>
        <w:rPr>
          <w:spacing w:val="-2"/>
        </w:rPr>
        <w:t>①以摊余成本计量。本公司管理此类金融资产的业务模式为以收取合同现金流量为目标，且此类金融资产的合同现金</w:t>
      </w:r>
      <w:r>
        <w:rPr>
          <w:w w:val="101"/>
        </w:rPr>
        <w:t> </w:t>
      </w:r>
      <w:r>
        <w:rPr>
          <w:spacing w:val="-4"/>
        </w:rPr>
        <w:t>流量特征与基本借贷安排相一致，即在特定日期产生的现金流量，仅为对本金和以未偿付本金金额为基础的利息的支付，同</w:t>
      </w:r>
      <w:r>
        <w:rPr>
          <w:spacing w:val="43"/>
        </w:rPr>
        <w:t> </w:t>
      </w:r>
      <w:r>
        <w:rPr>
          <w:spacing w:val="43"/>
        </w:rPr>
      </w:r>
      <w:r>
        <w:rPr>
          <w:spacing w:val="-1"/>
        </w:rPr>
        <w:t>时并未指定此类金融资产为以公允价值计量且其变动计入当期损益。本公司对于此类金融资产按照实际利率法确认利息收</w:t>
      </w:r>
      <w:r>
        <w:rPr>
          <w:spacing w:val="65"/>
        </w:rPr>
        <w:t> </w:t>
      </w:r>
      <w:r>
        <w:rPr>
          <w:spacing w:val="65"/>
        </w:rPr>
      </w:r>
      <w:r>
        <w:rPr>
          <w:spacing w:val="-4"/>
        </w:rPr>
        <w:t>入。此类金融资产因终止确认产生的利得或损失以及因减值导致的损失直接计入当期损益，列示为应收票据、应收账款、其</w:t>
      </w:r>
      <w:r>
        <w:rPr>
          <w:spacing w:val="41"/>
        </w:rPr>
        <w:t> </w:t>
      </w:r>
      <w:r>
        <w:rPr>
          <w:spacing w:val="41"/>
        </w:rPr>
      </w:r>
      <w:r>
        <w:rPr>
          <w:spacing w:val="-3"/>
        </w:rPr>
        <w:t>他应收款、债权投资、长期应收款等。</w:t>
      </w:r>
    </w:p>
    <w:p>
      <w:pPr>
        <w:pStyle w:val="BodyText"/>
        <w:spacing w:line="316" w:lineRule="auto" w:before="55"/>
        <w:ind w:right="1124" w:firstLine="427"/>
        <w:jc w:val="both"/>
      </w:pPr>
      <w:r>
        <w:rPr>
          <w:spacing w:val="-2"/>
        </w:rPr>
        <w:t>②以公允价值计量且其变动计入其他综合收益。本公司管理此类金融资产的业务模式为既以收取合同现金流量为目标</w:t>
      </w:r>
      <w:r>
        <w:rPr>
          <w:w w:val="101"/>
        </w:rPr>
        <w:t> </w:t>
      </w:r>
      <w:r>
        <w:rPr>
          <w:spacing w:val="-4"/>
        </w:rPr>
        <w:t>又以出售为目标，且此类金融资产的合同现金流量特征与基本借贷安排相一致，即在特定日期产生的现金流量，仅为对本金</w:t>
      </w:r>
    </w:p>
    <w:p>
      <w:pPr>
        <w:spacing w:after="0" w:line="316"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9" w:lineRule="auto" w:before="46"/>
        <w:ind w:right="1124"/>
        <w:jc w:val="both"/>
      </w:pPr>
      <w:r>
        <w:rPr>
          <w:spacing w:val="-4"/>
        </w:rPr>
        <w:t>和以未偿付本金金额为基础的利息的支付，同时并未指定此类金融资产为以公允价值计量且其变动计入当期损益。此类金融</w:t>
      </w:r>
      <w:r>
        <w:rPr>
          <w:spacing w:val="44"/>
        </w:rPr>
        <w:t> </w:t>
      </w:r>
      <w:r>
        <w:rPr>
          <w:spacing w:val="44"/>
        </w:rPr>
      </w:r>
      <w:r>
        <w:rPr>
          <w:spacing w:val="-4"/>
        </w:rPr>
        <w:t>资产按照公允价值计量且其变动计入其他综合收益，但减值损失或利得、汇兑损益和按照实际利率法计算的利息收入计入当</w:t>
      </w:r>
      <w:r>
        <w:rPr>
          <w:spacing w:val="44"/>
        </w:rPr>
        <w:t> </w:t>
      </w:r>
      <w:r>
        <w:rPr>
          <w:spacing w:val="44"/>
        </w:rPr>
      </w:r>
      <w:r>
        <w:rPr>
          <w:spacing w:val="-4"/>
        </w:rPr>
        <w:t>期损益。此类金融资产终止确认时，累计计入其他综合收益的公允价值变动将结转计入当期损益，列示为应收款项融资、其</w:t>
      </w:r>
      <w:r>
        <w:rPr>
          <w:spacing w:val="40"/>
        </w:rPr>
        <w:t> </w:t>
      </w:r>
      <w:r>
        <w:rPr>
          <w:spacing w:val="40"/>
        </w:rPr>
      </w:r>
      <w:r>
        <w:rPr/>
        <w:t>他债权投资。</w:t>
      </w:r>
    </w:p>
    <w:p>
      <w:pPr>
        <w:pStyle w:val="BodyText"/>
        <w:spacing w:line="319" w:lineRule="auto" w:before="50"/>
        <w:ind w:right="1124" w:firstLine="427"/>
        <w:jc w:val="both"/>
      </w:pPr>
      <w:r>
        <w:rPr>
          <w:spacing w:val="-2"/>
        </w:rPr>
        <w:t>③以公允价值计量且其变动计入当期损益。本公司将持有的未划分为以摊余成本计量和以公允价值计量且其变动计入</w:t>
      </w:r>
      <w:r>
        <w:rPr>
          <w:w w:val="101"/>
        </w:rPr>
        <w:t> </w:t>
      </w:r>
      <w:r>
        <w:rPr>
          <w:spacing w:val="-4"/>
        </w:rPr>
        <w:t>其他综合收益的债务工具，以公允价值计量且其变动计入当期损益，分类为以公允价值计量且其变动计入当期损益的金融资</w:t>
      </w:r>
      <w:r>
        <w:rPr>
          <w:spacing w:val="43"/>
        </w:rPr>
        <w:t> </w:t>
      </w:r>
      <w:r>
        <w:rPr>
          <w:spacing w:val="43"/>
        </w:rPr>
      </w:r>
      <w:r>
        <w:rPr>
          <w:spacing w:val="-3"/>
        </w:rPr>
        <w:t>产，列示为交易性金融资产或其他非流动金融资产。</w:t>
      </w:r>
    </w:p>
    <w:p>
      <w:pPr>
        <w:pStyle w:val="BodyText"/>
        <w:spacing w:line="352" w:lineRule="auto" w:before="60"/>
        <w:ind w:left="580" w:right="1037"/>
        <w:jc w:val="left"/>
      </w:pPr>
      <w:r>
        <w:rPr/>
        <w:t>（</w:t>
      </w:r>
      <w:r>
        <w:rPr>
          <w:rFonts w:ascii="宋体" w:hAnsi="宋体" w:cs="宋体" w:eastAsia="宋体" w:hint="default"/>
        </w:rPr>
        <w:t>2</w:t>
      </w:r>
      <w:r>
        <w:rPr/>
        <w:t>）权益工具</w:t>
      </w:r>
      <w:r>
        <w:rPr>
          <w:spacing w:val="-85"/>
        </w:rPr>
        <w:t> </w:t>
      </w:r>
      <w:r>
        <w:rPr>
          <w:spacing w:val="-85"/>
        </w:rPr>
      </w:r>
      <w:r>
        <w:rPr>
          <w:spacing w:val="-2"/>
        </w:rPr>
        <w:t>权益工具是指从发行方角度分析符合权益工具定义的工具。权益工具投资以公允价值计量且其变动计入当期损益，列</w:t>
      </w:r>
    </w:p>
    <w:p>
      <w:pPr>
        <w:pStyle w:val="BodyText"/>
        <w:spacing w:line="319" w:lineRule="auto"/>
        <w:ind w:right="1123"/>
        <w:jc w:val="both"/>
      </w:pPr>
      <w:r>
        <w:rPr>
          <w:spacing w:val="-4"/>
        </w:rPr>
        <w:t>示为交易性金融资产，但本公司管理层指定为以公允价值计量且其变动计入其他综合收益除外。指定为以公允价值计量且其</w:t>
      </w:r>
      <w:r>
        <w:rPr>
          <w:spacing w:val="43"/>
        </w:rPr>
        <w:t> </w:t>
      </w:r>
      <w:r>
        <w:rPr>
          <w:spacing w:val="43"/>
        </w:rPr>
      </w:r>
      <w:r>
        <w:rPr>
          <w:spacing w:val="-4"/>
        </w:rPr>
        <w:t>变动计入综合收益的，列示为其他权益工具投资，相关公允价值变动不得结转至当期损益，且该指定一经作出不得撤销。相</w:t>
      </w:r>
      <w:r>
        <w:rPr>
          <w:spacing w:val="40"/>
        </w:rPr>
        <w:t> </w:t>
      </w:r>
      <w:r>
        <w:rPr>
          <w:spacing w:val="40"/>
        </w:rPr>
      </w:r>
      <w:r>
        <w:rPr>
          <w:spacing w:val="-4"/>
        </w:rPr>
        <w:t>关股利收入计入当期损益。其他权益工具投资不计提减值准备，终止确认时，之前计入其他综合收益的累计利得或损失从其</w:t>
      </w:r>
      <w:r>
        <w:rPr>
          <w:spacing w:val="43"/>
        </w:rPr>
        <w:t> </w:t>
      </w:r>
      <w:r>
        <w:rPr>
          <w:spacing w:val="43"/>
        </w:rPr>
      </w:r>
      <w:r>
        <w:rPr>
          <w:spacing w:val="-3"/>
        </w:rPr>
        <w:t>他综合收益转出，计入留存收益。</w:t>
      </w:r>
    </w:p>
    <w:p>
      <w:pPr>
        <w:pStyle w:val="BodyText"/>
        <w:spacing w:line="362" w:lineRule="auto" w:before="55"/>
        <w:ind w:left="580" w:right="2648"/>
        <w:jc w:val="left"/>
      </w:pPr>
      <w:r>
        <w:rPr/>
        <w:t>（</w:t>
      </w:r>
      <w:r>
        <w:rPr>
          <w:rFonts w:ascii="宋体" w:hAnsi="宋体" w:cs="宋体" w:eastAsia="宋体" w:hint="default"/>
        </w:rPr>
        <w:t>3</w:t>
      </w:r>
      <w:r>
        <w:rPr/>
        <w:t>）金融负债</w:t>
      </w:r>
      <w:r>
        <w:rPr>
          <w:spacing w:val="-85"/>
        </w:rPr>
        <w:t> </w:t>
      </w:r>
      <w:r>
        <w:rPr>
          <w:spacing w:val="-85"/>
        </w:rPr>
      </w:r>
      <w:r>
        <w:rPr>
          <w:spacing w:val="-3"/>
        </w:rPr>
        <w:t>金融负债于初始确认时分类为以公允价值计量且其变动计入当期损益的金融负债及其他金融负债。</w:t>
      </w:r>
    </w:p>
    <w:p>
      <w:pPr>
        <w:pStyle w:val="BodyText"/>
        <w:spacing w:line="316" w:lineRule="auto" w:before="18"/>
        <w:ind w:right="1032" w:firstLine="427"/>
        <w:jc w:val="both"/>
      </w:pPr>
      <w:r>
        <w:rPr>
          <w:spacing w:val="-2"/>
        </w:rPr>
        <w:t>以公允价值计量且其变动计入当期损益的金融负债，包括交易性金融负债和指定为以公允价值计量且其变动计入当期</w:t>
      </w:r>
      <w:r>
        <w:rPr>
          <w:w w:val="101"/>
        </w:rPr>
        <w:t> </w:t>
      </w:r>
      <w:r>
        <w:rPr>
          <w:spacing w:val="-6"/>
          <w:w w:val="101"/>
        </w:rPr>
        <w:t>损益的金融负债。满足以下条件之一时，金融负债可在初始计量时指定为以公允价值计量且其变动计入当期损益的金融负债：</w:t>
      </w:r>
      <w:r>
        <w:rPr>
          <w:spacing w:val="-6"/>
        </w:rPr>
      </w:r>
    </w:p>
    <w:p>
      <w:pPr>
        <w:pStyle w:val="BodyText"/>
        <w:spacing w:line="321" w:lineRule="auto" w:before="19"/>
        <w:ind w:right="1124"/>
        <w:jc w:val="both"/>
      </w:pPr>
      <w:r>
        <w:rPr>
          <w:spacing w:val="-4"/>
        </w:rPr>
        <w:t>①该项指定能够消除或显著减少会计错配；②根据正式书面文件载明的风险管理或投资策略，以公允价值为基础对金融负债</w:t>
      </w:r>
      <w:r>
        <w:rPr>
          <w:spacing w:val="43"/>
        </w:rPr>
        <w:t> </w:t>
      </w:r>
      <w:r>
        <w:rPr>
          <w:spacing w:val="43"/>
        </w:rPr>
      </w:r>
      <w:r>
        <w:rPr>
          <w:spacing w:val="-4"/>
        </w:rPr>
        <w:t>组合或金融资产和金融负债组合进行管理和业绩评价，并在公司内部以此为基础向关键管理人员报告。该指定一经作出，不</w:t>
      </w:r>
      <w:r>
        <w:rPr>
          <w:spacing w:val="43"/>
        </w:rPr>
        <w:t> </w:t>
      </w:r>
      <w:r>
        <w:rPr>
          <w:spacing w:val="43"/>
        </w:rPr>
      </w:r>
      <w:r>
        <w:rPr/>
        <w:t>得撤销。</w:t>
      </w:r>
    </w:p>
    <w:p>
      <w:pPr>
        <w:pStyle w:val="BodyText"/>
        <w:spacing w:line="319" w:lineRule="auto" w:before="49"/>
        <w:ind w:right="1123" w:firstLine="427"/>
        <w:jc w:val="both"/>
      </w:pPr>
      <w:r>
        <w:rPr>
          <w:spacing w:val="-2"/>
        </w:rPr>
        <w:t>指定为以公允价值计量且变动计入当期损益的金融负债，由公司自身信用风险变动引起的公允价值的变动金额，计入</w:t>
      </w:r>
      <w:r>
        <w:rPr>
          <w:w w:val="101"/>
        </w:rPr>
        <w:t> </w:t>
      </w:r>
      <w:r>
        <w:rPr>
          <w:spacing w:val="-4"/>
        </w:rPr>
        <w:t>其他综合收益；其他公允价值变动，计入当期损益。该金融负债终止确认时，之前计入其他综合收益的累计利得或损失从其</w:t>
      </w:r>
      <w:r>
        <w:rPr>
          <w:spacing w:val="41"/>
        </w:rPr>
        <w:t> </w:t>
      </w:r>
      <w:r>
        <w:rPr>
          <w:spacing w:val="41"/>
        </w:rPr>
      </w:r>
      <w:r>
        <w:rPr>
          <w:spacing w:val="-3"/>
        </w:rPr>
        <w:t>他综合收益转出，计入留存收益。</w:t>
      </w:r>
    </w:p>
    <w:p>
      <w:pPr>
        <w:pStyle w:val="BodyText"/>
        <w:spacing w:line="324" w:lineRule="auto" w:before="55"/>
        <w:ind w:right="1124" w:firstLine="427"/>
        <w:jc w:val="both"/>
      </w:pPr>
      <w:r>
        <w:rPr>
          <w:spacing w:val="-2"/>
        </w:rPr>
        <w:t>本公司其他金融负债主要包括短期借款、长期借款等。对于此类金融负债，采用实际利率法，按照摊余成本进行后续</w:t>
      </w:r>
      <w:r>
        <w:rPr>
          <w:w w:val="101"/>
        </w:rPr>
        <w:t> </w:t>
      </w:r>
      <w:r>
        <w:rPr/>
        <w:t>计量。</w:t>
      </w:r>
    </w:p>
    <w:p>
      <w:pPr>
        <w:pStyle w:val="BodyText"/>
        <w:spacing w:line="319" w:lineRule="auto" w:before="47"/>
        <w:ind w:right="1122" w:firstLine="427"/>
        <w:jc w:val="both"/>
      </w:pPr>
      <w:r>
        <w:rPr>
          <w:spacing w:val="-2"/>
        </w:rPr>
        <w:t>财务担保合同，是指当特定债务人到期不能按照最初或修改后的债务工具条款偿付债务时，要求发行方向蒙受损失的</w:t>
      </w:r>
      <w:r>
        <w:rPr>
          <w:w w:val="101"/>
        </w:rPr>
        <w:t> </w:t>
      </w:r>
      <w:r>
        <w:rPr>
          <w:spacing w:val="-4"/>
        </w:rPr>
        <w:t>合同持有人赔付特定金额的合同。贷款承诺，是指按照预先规定的条款和条件提供信用的确定性承诺。不属于以公允价值计</w:t>
      </w:r>
      <w:r>
        <w:rPr>
          <w:spacing w:val="43"/>
        </w:rPr>
        <w:t> </w:t>
      </w:r>
      <w:r>
        <w:rPr>
          <w:spacing w:val="43"/>
        </w:rPr>
      </w:r>
      <w:r>
        <w:rPr>
          <w:spacing w:val="-4"/>
        </w:rPr>
        <w:t>量且其变动计入当期损益的金融负债的财务担保合同，以及以低于市场利率贷款的贷款承诺，本公司作为发行方的，在初始</w:t>
      </w:r>
      <w:r>
        <w:rPr>
          <w:spacing w:val="44"/>
        </w:rPr>
        <w:t> </w:t>
      </w:r>
      <w:r>
        <w:rPr>
          <w:spacing w:val="44"/>
        </w:rPr>
      </w:r>
      <w:r>
        <w:rPr>
          <w:spacing w:val="-3"/>
        </w:rPr>
        <w:t>确认后按照以下二者孰高进行计量：①损失准备金额；②初始确认金额扣除依据《企业会计准则第 </w:t>
      </w:r>
      <w:r>
        <w:rPr>
          <w:rFonts w:ascii="宋体" w:hAnsi="宋体" w:cs="宋体" w:eastAsia="宋体" w:hint="default"/>
        </w:rPr>
        <w:t>14 </w:t>
      </w:r>
      <w:r>
        <w:rPr>
          <w:spacing w:val="-3"/>
        </w:rPr>
        <w:t>号——收入》确定的</w:t>
      </w:r>
      <w:r>
        <w:rPr>
          <w:spacing w:val="-17"/>
        </w:rPr>
        <w:t> </w:t>
      </w:r>
      <w:r>
        <w:rPr>
          <w:spacing w:val="-17"/>
        </w:rPr>
      </w:r>
      <w:r>
        <w:rPr/>
        <w:t>累计摊销额后的余额。</w:t>
      </w:r>
    </w:p>
    <w:p>
      <w:pPr>
        <w:pStyle w:val="BodyText"/>
        <w:spacing w:line="362" w:lineRule="auto" w:before="55"/>
        <w:ind w:left="580" w:right="6287"/>
        <w:jc w:val="left"/>
      </w:pPr>
      <w:r>
        <w:rPr>
          <w:spacing w:val="-3"/>
        </w:rPr>
        <w:t>（</w:t>
      </w:r>
      <w:r>
        <w:rPr>
          <w:rFonts w:ascii="宋体" w:hAnsi="宋体" w:cs="宋体" w:eastAsia="宋体" w:hint="default"/>
          <w:spacing w:val="-3"/>
        </w:rPr>
        <w:t>4</w:t>
      </w:r>
      <w:r>
        <w:rPr>
          <w:spacing w:val="-3"/>
        </w:rPr>
        <w:t>）金融资产和金融负债的终止确认</w:t>
      </w:r>
      <w:r>
        <w:rPr>
          <w:spacing w:val="-35"/>
        </w:rPr>
        <w:t> </w:t>
      </w:r>
      <w:r>
        <w:rPr>
          <w:spacing w:val="-35"/>
        </w:rPr>
      </w:r>
      <w:r>
        <w:rPr>
          <w:spacing w:val="-3"/>
        </w:rPr>
        <w:t>金融资产满足下列条件之一的，予以终止确认：</w:t>
      </w:r>
    </w:p>
    <w:p>
      <w:pPr>
        <w:pStyle w:val="BodyText"/>
        <w:spacing w:line="240" w:lineRule="auto" w:before="23"/>
        <w:ind w:left="580" w:right="0"/>
        <w:jc w:val="left"/>
      </w:pPr>
      <w:r>
        <w:rPr>
          <w:spacing w:val="-3"/>
        </w:rPr>
        <w:t>①收取该金融资产现金流量的合同权利终止；</w:t>
      </w:r>
    </w:p>
    <w:p>
      <w:pPr>
        <w:pStyle w:val="BodyText"/>
        <w:spacing w:line="240" w:lineRule="auto" w:before="115"/>
        <w:ind w:left="580" w:right="0"/>
        <w:jc w:val="left"/>
      </w:pPr>
      <w:r>
        <w:rPr>
          <w:spacing w:val="-3"/>
        </w:rPr>
        <w:t>②该金融资产已转移，且本公司将金融资产所有权上几乎所有的风险和报酬转移给转入方；</w:t>
      </w:r>
    </w:p>
    <w:p>
      <w:pPr>
        <w:pStyle w:val="BodyText"/>
        <w:spacing w:line="321" w:lineRule="auto" w:before="115"/>
        <w:ind w:right="1124" w:firstLine="427"/>
        <w:jc w:val="both"/>
      </w:pPr>
      <w:r>
        <w:rPr>
          <w:spacing w:val="-2"/>
        </w:rPr>
        <w:t>③该金融资产已转移，虽然本公司既没有转移也没有保留金融资产所有权上几乎所有的风险和报酬，但是放弃了对该</w:t>
      </w:r>
      <w:r>
        <w:rPr>
          <w:w w:val="101"/>
        </w:rPr>
        <w:t> </w:t>
      </w:r>
      <w:r>
        <w:rPr/>
        <w:t>金融资产的控制。</w:t>
      </w:r>
    </w:p>
    <w:p>
      <w:pPr>
        <w:pStyle w:val="BodyText"/>
        <w:spacing w:line="240" w:lineRule="auto" w:before="53"/>
        <w:ind w:left="580" w:right="0"/>
        <w:jc w:val="left"/>
      </w:pPr>
      <w:r>
        <w:rPr>
          <w:w w:val="101"/>
        </w:rPr>
        <w:t>金</w:t>
      </w:r>
      <w:r>
        <w:rPr>
          <w:spacing w:val="-5"/>
          <w:w w:val="101"/>
        </w:rPr>
        <w:t>融</w:t>
      </w:r>
      <w:r>
        <w:rPr>
          <w:w w:val="101"/>
        </w:rPr>
        <w:t>负</w:t>
      </w:r>
      <w:r>
        <w:rPr>
          <w:spacing w:val="-5"/>
          <w:w w:val="101"/>
        </w:rPr>
        <w:t>债</w:t>
      </w:r>
      <w:r>
        <w:rPr>
          <w:w w:val="101"/>
        </w:rPr>
        <w:t>（</w:t>
      </w:r>
      <w:r>
        <w:rPr>
          <w:spacing w:val="-5"/>
          <w:w w:val="101"/>
        </w:rPr>
        <w:t>或</w:t>
      </w:r>
      <w:r>
        <w:rPr>
          <w:w w:val="101"/>
        </w:rPr>
        <w:t>其</w:t>
      </w:r>
      <w:r>
        <w:rPr>
          <w:spacing w:val="-5"/>
          <w:w w:val="101"/>
        </w:rPr>
        <w:t>一</w:t>
      </w:r>
      <w:r>
        <w:rPr>
          <w:w w:val="101"/>
        </w:rPr>
        <w:t>部</w:t>
      </w:r>
      <w:r>
        <w:rPr>
          <w:spacing w:val="-5"/>
          <w:w w:val="101"/>
        </w:rPr>
        <w:t>分</w:t>
      </w:r>
      <w:r>
        <w:rPr>
          <w:w w:val="101"/>
        </w:rPr>
        <w:t>）</w:t>
      </w:r>
      <w:r>
        <w:rPr>
          <w:spacing w:val="-5"/>
          <w:w w:val="101"/>
        </w:rPr>
        <w:t>的</w:t>
      </w:r>
      <w:r>
        <w:rPr>
          <w:w w:val="101"/>
        </w:rPr>
        <w:t>现</w:t>
      </w:r>
      <w:r>
        <w:rPr>
          <w:spacing w:val="-5"/>
          <w:w w:val="101"/>
        </w:rPr>
        <w:t>时</w:t>
      </w:r>
      <w:r>
        <w:rPr>
          <w:w w:val="101"/>
        </w:rPr>
        <w:t>义</w:t>
      </w:r>
      <w:r>
        <w:rPr>
          <w:spacing w:val="-5"/>
          <w:w w:val="101"/>
        </w:rPr>
        <w:t>务</w:t>
      </w:r>
      <w:r>
        <w:rPr>
          <w:w w:val="101"/>
        </w:rPr>
        <w:t>已</w:t>
      </w:r>
      <w:r>
        <w:rPr>
          <w:spacing w:val="-5"/>
          <w:w w:val="101"/>
        </w:rPr>
        <w:t>经</w:t>
      </w:r>
      <w:r>
        <w:rPr>
          <w:w w:val="101"/>
        </w:rPr>
        <w:t>解</w:t>
      </w:r>
      <w:r>
        <w:rPr>
          <w:spacing w:val="-4"/>
          <w:w w:val="101"/>
        </w:rPr>
        <w:t>除</w:t>
      </w:r>
      <w:r>
        <w:rPr>
          <w:w w:val="101"/>
        </w:rPr>
        <w:t>的</w:t>
      </w:r>
      <w:r>
        <w:rPr>
          <w:spacing w:val="-5"/>
          <w:w w:val="101"/>
        </w:rPr>
        <w:t>，</w:t>
      </w:r>
      <w:r>
        <w:rPr>
          <w:w w:val="101"/>
        </w:rPr>
        <w:t>本</w:t>
      </w:r>
      <w:r>
        <w:rPr>
          <w:spacing w:val="-5"/>
          <w:w w:val="101"/>
        </w:rPr>
        <w:t>公</w:t>
      </w:r>
      <w:r>
        <w:rPr>
          <w:w w:val="101"/>
        </w:rPr>
        <w:t>司</w:t>
      </w:r>
      <w:r>
        <w:rPr>
          <w:spacing w:val="-5"/>
          <w:w w:val="101"/>
        </w:rPr>
        <w:t>终止</w:t>
      </w:r>
      <w:r>
        <w:rPr>
          <w:w w:val="101"/>
        </w:rPr>
        <w:t>确</w:t>
      </w:r>
      <w:r>
        <w:rPr>
          <w:spacing w:val="-5"/>
          <w:w w:val="101"/>
        </w:rPr>
        <w:t>认</w:t>
      </w:r>
      <w:r>
        <w:rPr>
          <w:w w:val="101"/>
        </w:rPr>
        <w:t>该</w:t>
      </w:r>
      <w:r>
        <w:rPr>
          <w:spacing w:val="-5"/>
          <w:w w:val="101"/>
        </w:rPr>
        <w:t>金</w:t>
      </w:r>
      <w:r>
        <w:rPr>
          <w:w w:val="101"/>
        </w:rPr>
        <w:t>融</w:t>
      </w:r>
      <w:r>
        <w:rPr>
          <w:spacing w:val="-5"/>
          <w:w w:val="101"/>
        </w:rPr>
        <w:t>负</w:t>
      </w:r>
      <w:r>
        <w:rPr>
          <w:w w:val="101"/>
        </w:rPr>
        <w:t>债</w:t>
      </w:r>
      <w:r>
        <w:rPr>
          <w:spacing w:val="-5"/>
          <w:w w:val="101"/>
        </w:rPr>
        <w:t>（</w:t>
      </w:r>
      <w:r>
        <w:rPr>
          <w:w w:val="101"/>
        </w:rPr>
        <w:t>或</w:t>
      </w:r>
      <w:r>
        <w:rPr>
          <w:spacing w:val="-5"/>
          <w:w w:val="101"/>
        </w:rPr>
        <w:t>该</w:t>
      </w:r>
      <w:r>
        <w:rPr>
          <w:w w:val="101"/>
        </w:rPr>
        <w:t>部</w:t>
      </w:r>
      <w:r>
        <w:rPr>
          <w:spacing w:val="-5"/>
          <w:w w:val="101"/>
        </w:rPr>
        <w:t>分</w:t>
      </w:r>
      <w:r>
        <w:rPr>
          <w:w w:val="101"/>
        </w:rPr>
        <w:t>金</w:t>
      </w:r>
      <w:r>
        <w:rPr>
          <w:spacing w:val="-5"/>
          <w:w w:val="101"/>
        </w:rPr>
        <w:t>融</w:t>
      </w:r>
      <w:r>
        <w:rPr>
          <w:w w:val="101"/>
        </w:rPr>
        <w:t>负债</w:t>
      </w:r>
      <w:r>
        <w:rPr>
          <w:spacing w:val="-96"/>
          <w:w w:val="101"/>
        </w:rPr>
        <w:t>）</w:t>
      </w:r>
      <w:r>
        <w:rPr>
          <w:w w:val="101"/>
        </w:rPr>
        <w:t>。</w:t>
      </w:r>
      <w:r>
        <w:rPr/>
      </w:r>
    </w:p>
    <w:p>
      <w:pPr>
        <w:pStyle w:val="BodyText"/>
        <w:spacing w:line="357" w:lineRule="auto" w:before="115"/>
        <w:ind w:left="580" w:right="0"/>
        <w:jc w:val="left"/>
      </w:pPr>
      <w:r>
        <w:rPr/>
        <w:t>（</w:t>
      </w:r>
      <w:r>
        <w:rPr>
          <w:rFonts w:ascii="宋体" w:hAnsi="宋体" w:cs="宋体" w:eastAsia="宋体" w:hint="default"/>
        </w:rPr>
        <w:t>5</w:t>
      </w:r>
      <w:r>
        <w:rPr/>
        <w:t>）金融工具的减值</w:t>
      </w:r>
      <w:r>
        <w:rPr>
          <w:spacing w:val="-88"/>
        </w:rPr>
        <w:t> </w:t>
      </w:r>
      <w:r>
        <w:rPr>
          <w:spacing w:val="-88"/>
        </w:rPr>
      </w:r>
      <w:r>
        <w:rPr>
          <w:spacing w:val="-2"/>
        </w:rPr>
        <w:t>本公司以预期信用损失为基础进行金融工具减值会计处理并确认损失准备。预期信用损失，是指以发生违约的风险为</w:t>
      </w:r>
    </w:p>
    <w:p>
      <w:pPr>
        <w:pStyle w:val="BodyText"/>
        <w:spacing w:line="321" w:lineRule="auto"/>
        <w:ind w:right="1124"/>
        <w:jc w:val="both"/>
      </w:pPr>
      <w:r>
        <w:rPr>
          <w:spacing w:val="-4"/>
        </w:rPr>
        <w:t>权重的金融工具信用损失的加权平均值。信用损失，是指按照原实际利率折现的、根据合同应收的所有合同现金流量与预期</w:t>
      </w:r>
      <w:r>
        <w:rPr>
          <w:spacing w:val="43"/>
        </w:rPr>
        <w:t> </w:t>
      </w:r>
      <w:r>
        <w:rPr>
          <w:spacing w:val="43"/>
        </w:rPr>
      </w:r>
      <w:r>
        <w:rPr>
          <w:spacing w:val="-3"/>
        </w:rPr>
        <w:t>收取的所有现金流量之间的差额，即全部现金短缺的现值。</w:t>
      </w:r>
    </w:p>
    <w:p>
      <w:pPr>
        <w:pStyle w:val="BodyText"/>
        <w:spacing w:line="240" w:lineRule="auto" w:before="48"/>
        <w:ind w:left="580" w:right="0"/>
        <w:jc w:val="left"/>
      </w:pPr>
      <w:r>
        <w:rPr/>
        <w:t>本公司计量金融工具预期信用损失的方法反映的因素包括：通过评价一系列可能的结果而确定的无偏概率加权平均金</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21" w:lineRule="auto" w:before="46"/>
        <w:ind w:right="0"/>
        <w:jc w:val="left"/>
      </w:pPr>
      <w:r>
        <w:rPr>
          <w:spacing w:val="-4"/>
        </w:rPr>
        <w:t>额；货币时间价值；在资产负债表日无须付出不必要的额外成本或努力即可获得的有关过去事项、当前状况以及未来经济状</w:t>
      </w:r>
      <w:r>
        <w:rPr>
          <w:spacing w:val="44"/>
        </w:rPr>
        <w:t> </w:t>
      </w:r>
      <w:r>
        <w:rPr>
          <w:spacing w:val="44"/>
        </w:rPr>
      </w:r>
      <w:r>
        <w:rPr>
          <w:spacing w:val="-3"/>
        </w:rPr>
        <w:t>况预测的合理且有依据的信息。本公司按照下列方法确定相关金融工具的预期信用损失：</w:t>
      </w:r>
    </w:p>
    <w:p>
      <w:pPr>
        <w:pStyle w:val="BodyText"/>
        <w:spacing w:line="240" w:lineRule="auto" w:before="53"/>
        <w:ind w:left="580" w:right="0"/>
        <w:jc w:val="left"/>
      </w:pPr>
      <w:r>
        <w:rPr>
          <w:spacing w:val="-3"/>
        </w:rPr>
        <w:t>①对于金融资产，信用损失为本公司应收取的合同现金流量与预期收取的现金流量之间差额的现值；</w:t>
      </w:r>
    </w:p>
    <w:p>
      <w:pPr>
        <w:pStyle w:val="BodyText"/>
        <w:spacing w:line="240" w:lineRule="auto" w:before="120"/>
        <w:ind w:left="580" w:right="0"/>
        <w:jc w:val="left"/>
      </w:pPr>
      <w:r>
        <w:rPr>
          <w:spacing w:val="-3"/>
        </w:rPr>
        <w:t>②对于租赁应收款项，信用损失为本公司应收取的合同现金流量与预期收取的现金流量之间差额的现值；</w:t>
      </w:r>
    </w:p>
    <w:p>
      <w:pPr>
        <w:pStyle w:val="BodyText"/>
        <w:spacing w:line="321" w:lineRule="auto" w:before="110"/>
        <w:ind w:right="0" w:firstLine="427"/>
        <w:jc w:val="left"/>
      </w:pPr>
      <w:r>
        <w:rPr>
          <w:spacing w:val="-2"/>
        </w:rPr>
        <w:t>③对于未提用的贷款承诺，信用损失为在贷款承诺持有人提用相应贷款的情况下，本公司应收取的合同现金流量与预</w:t>
      </w:r>
      <w:r>
        <w:rPr>
          <w:w w:val="101"/>
        </w:rPr>
        <w:t> </w:t>
      </w:r>
      <w:r>
        <w:rPr>
          <w:spacing w:val="-3"/>
        </w:rPr>
        <w:t>期收取的现金流量之间差额的现值。本公司对贷款承诺预期信用损失的估计，与其对该贷款承诺提用情况的预期保持一致；</w:t>
      </w:r>
    </w:p>
    <w:p>
      <w:pPr>
        <w:pStyle w:val="BodyText"/>
        <w:spacing w:line="321" w:lineRule="auto" w:before="49"/>
        <w:ind w:right="0" w:firstLine="427"/>
        <w:jc w:val="left"/>
      </w:pPr>
      <w:r>
        <w:rPr>
          <w:spacing w:val="-2"/>
        </w:rPr>
        <w:t>④对于财务担保合同，信用损失为本公司就该合同持有人发生的信用损失向其做出赔付的预计付款额，减去本公司预</w:t>
      </w:r>
      <w:r>
        <w:rPr>
          <w:w w:val="101"/>
        </w:rPr>
        <w:t> </w:t>
      </w:r>
      <w:r>
        <w:rPr>
          <w:spacing w:val="-3"/>
        </w:rPr>
        <w:t>期向该合同持有人、债务人或任何其他方收取的金额之间差额的现值；</w:t>
      </w:r>
    </w:p>
    <w:p>
      <w:pPr>
        <w:pStyle w:val="BodyText"/>
        <w:spacing w:line="321" w:lineRule="auto" w:before="54"/>
        <w:ind w:right="0" w:firstLine="427"/>
        <w:jc w:val="left"/>
      </w:pPr>
      <w:r>
        <w:rPr>
          <w:spacing w:val="-2"/>
        </w:rPr>
        <w:t>⑤对于资产负债表日已发生信用减值但并非购买或源生已发生信用减值的金融资产，信用损失为该金融资产账面余额</w:t>
      </w:r>
      <w:r>
        <w:rPr>
          <w:w w:val="101"/>
        </w:rPr>
        <w:t> </w:t>
      </w:r>
      <w:r>
        <w:rPr>
          <w:spacing w:val="-3"/>
        </w:rPr>
        <w:t>与按原实际利率折现的估计未来现金流量的现值之间的差额。</w:t>
      </w:r>
    </w:p>
    <w:p>
      <w:pPr>
        <w:pStyle w:val="BodyText"/>
        <w:spacing w:line="319" w:lineRule="auto" w:before="49"/>
        <w:ind w:right="0" w:firstLine="427"/>
        <w:jc w:val="left"/>
      </w:pPr>
      <w:r>
        <w:rPr>
          <w:spacing w:val="-6"/>
          <w:w w:val="101"/>
        </w:rPr>
        <w:t>对于购买或源生的未发生信用减值的金融工具，每个资产负债表日，考虑合理且有依据的信息（包括前瞻性信息），评</w:t>
      </w:r>
      <w:r>
        <w:rPr>
          <w:w w:val="101"/>
        </w:rPr>
        <w:t> </w:t>
      </w:r>
      <w:r>
        <w:rPr>
          <w:spacing w:val="-4"/>
        </w:rPr>
        <w:t>估其信用风险自初始确认后是否显著增加，按照三阶段分别确认预期信用损失。信用风险自初始确认后未显著增加的，处于</w:t>
      </w:r>
      <w:r>
        <w:rPr>
          <w:spacing w:val="45"/>
        </w:rPr>
        <w:t> </w:t>
      </w:r>
      <w:r>
        <w:rPr>
          <w:spacing w:val="45"/>
        </w:rPr>
      </w:r>
      <w:r>
        <w:rPr>
          <w:spacing w:val="-3"/>
        </w:rPr>
        <w:t>第一阶段，按照该金融工具未来 </w:t>
      </w:r>
      <w:r>
        <w:rPr>
          <w:rFonts w:ascii="宋体" w:hAnsi="宋体" w:cs="宋体" w:eastAsia="宋体" w:hint="default"/>
        </w:rPr>
        <w:t>12 </w:t>
      </w:r>
      <w:r>
        <w:rPr>
          <w:spacing w:val="-3"/>
        </w:rPr>
        <w:t>个月内的预期信用损失计量损失准备；信用风险自初始确认后已显著增加但尚未发生信</w:t>
      </w:r>
      <w:r>
        <w:rPr>
          <w:spacing w:val="-18"/>
        </w:rPr>
        <w:t> </w:t>
      </w:r>
      <w:r>
        <w:rPr>
          <w:spacing w:val="-18"/>
        </w:rPr>
      </w:r>
      <w:r>
        <w:rPr>
          <w:spacing w:val="-3"/>
        </w:rPr>
        <w:t>用减值的，处于第二阶段，按照该金融工具整个存续期的预期信用损失计量损失准备；自初始确认后已经发生信用减值的，</w:t>
      </w:r>
      <w:r>
        <w:rPr>
          <w:spacing w:val="66"/>
        </w:rPr>
        <w:t> </w:t>
      </w:r>
      <w:r>
        <w:rPr>
          <w:spacing w:val="66"/>
        </w:rPr>
      </w:r>
      <w:r>
        <w:rPr>
          <w:spacing w:val="-4"/>
        </w:rPr>
        <w:t>处于第三阶段，按照该金融工具整个存续期的预期信用损失计量损失准备。处于第一阶段和第二阶段的金融工具，按照其账</w:t>
      </w:r>
      <w:r>
        <w:rPr>
          <w:spacing w:val="43"/>
        </w:rPr>
        <w:t> </w:t>
      </w:r>
      <w:r>
        <w:rPr>
          <w:spacing w:val="43"/>
        </w:rPr>
      </w:r>
      <w:r>
        <w:rPr>
          <w:spacing w:val="-3"/>
        </w:rPr>
        <w:t>面余额和实际利率计算利息收入；处于第三阶段的金融工具，按照其摊余成本和实际利率计算确定利息收入。</w:t>
      </w:r>
    </w:p>
    <w:p>
      <w:pPr>
        <w:pStyle w:val="BodyText"/>
        <w:spacing w:line="321" w:lineRule="auto" w:before="50"/>
        <w:ind w:right="0" w:firstLine="427"/>
        <w:jc w:val="left"/>
      </w:pPr>
      <w:r>
        <w:rPr>
          <w:spacing w:val="-2"/>
        </w:rPr>
        <w:t>对于购买或源生的已发生信用减值的金融资产，在资产负债表日仅将自初始确认后整个存续期内预期信用损失的累计</w:t>
      </w:r>
      <w:r>
        <w:rPr>
          <w:w w:val="101"/>
        </w:rPr>
        <w:t> </w:t>
      </w:r>
      <w:r>
        <w:rPr>
          <w:spacing w:val="-3"/>
        </w:rPr>
        <w:t>变动确认为损失准备，其利息收入按照金融资产的摊余成本和经信用调整的实际利率计算确定。</w:t>
      </w:r>
    </w:p>
    <w:p>
      <w:pPr>
        <w:pStyle w:val="BodyText"/>
        <w:spacing w:line="321" w:lineRule="auto" w:before="54"/>
        <w:ind w:right="0" w:firstLine="427"/>
        <w:jc w:val="left"/>
      </w:pPr>
      <w:r>
        <w:rPr>
          <w:spacing w:val="-2"/>
        </w:rPr>
        <w:t>损失准备的增加或转回，作为减值损失或利得，计入当期损益。对于持有的以公允价值计量且其变动计入其他综合收</w:t>
      </w:r>
      <w:r>
        <w:rPr>
          <w:w w:val="101"/>
        </w:rPr>
        <w:t> </w:t>
      </w:r>
      <w:r>
        <w:rPr>
          <w:spacing w:val="-3"/>
        </w:rPr>
        <w:t>益的债务工具，减值损失或利得计入当期损益的同时调整其他综合收益。</w:t>
      </w:r>
    </w:p>
    <w:p>
      <w:pPr>
        <w:pStyle w:val="BodyText"/>
        <w:spacing w:line="357" w:lineRule="auto" w:before="53"/>
        <w:ind w:left="580" w:right="0"/>
        <w:jc w:val="left"/>
      </w:pPr>
      <w:r>
        <w:rPr>
          <w:spacing w:val="-3"/>
        </w:rPr>
        <w:t>根据公司实际情况具体处理如下：</w:t>
      </w:r>
      <w:r>
        <w:rPr>
          <w:spacing w:val="-44"/>
        </w:rPr>
        <w:t> </w:t>
      </w:r>
      <w:r>
        <w:rPr>
          <w:spacing w:val="-44"/>
        </w:rPr>
      </w:r>
      <w:r>
        <w:rPr>
          <w:rFonts w:ascii="宋体" w:hAnsi="宋体" w:cs="宋体" w:eastAsia="宋体" w:hint="default"/>
          <w:spacing w:val="-3"/>
        </w:rPr>
        <w:t>A.</w:t>
      </w:r>
      <w:r>
        <w:rPr>
          <w:spacing w:val="-3"/>
        </w:rPr>
        <w:t>对于应收的各种承兑票据，无论是否存在重大融资成分，本公司均按照整个存续期的预期信用损失计量损失准备。</w:t>
      </w:r>
      <w:r>
        <w:rPr>
          <w:spacing w:val="63"/>
        </w:rPr>
        <w:t> </w:t>
      </w:r>
      <w:r>
        <w:rPr>
          <w:spacing w:val="63"/>
        </w:rPr>
      </w:r>
      <w:r>
        <w:rPr>
          <w:spacing w:val="-4"/>
        </w:rPr>
        <w:t>基于应收的各种承兑票据的信用风险特征，本公司参考历史信用损失经验，结合当前状况以及对未来经济状况的预测，</w:t>
      </w:r>
    </w:p>
    <w:p>
      <w:pPr>
        <w:pStyle w:val="BodyText"/>
        <w:spacing w:line="355" w:lineRule="auto"/>
        <w:ind w:left="580" w:right="0" w:hanging="428"/>
        <w:jc w:val="left"/>
      </w:pPr>
      <w:r>
        <w:rPr>
          <w:spacing w:val="-3"/>
        </w:rPr>
        <w:t>对应收的各种承兑票据不计提信用损失金额。</w:t>
      </w:r>
      <w:r>
        <w:rPr>
          <w:spacing w:val="-27"/>
        </w:rPr>
        <w:t> </w:t>
      </w:r>
      <w:r>
        <w:rPr>
          <w:spacing w:val="-27"/>
        </w:rPr>
      </w:r>
      <w:r>
        <w:rPr>
          <w:rFonts w:ascii="宋体" w:hAnsi="宋体" w:cs="宋体" w:eastAsia="宋体" w:hint="default"/>
          <w:spacing w:val="-3"/>
        </w:rPr>
        <w:t>B.</w:t>
      </w:r>
      <w:r>
        <w:rPr>
          <w:spacing w:val="-3"/>
        </w:rPr>
        <w:t>对于应收账款，无论是否存在重大融资成分，本公司均按照整个存续期的预期信用损失计量损失准备。</w:t>
      </w:r>
      <w:r>
        <w:rPr>
          <w:w w:val="101"/>
        </w:rPr>
        <w:t> </w:t>
      </w:r>
      <w:r>
        <w:rPr>
          <w:spacing w:val="-2"/>
        </w:rPr>
        <w:t>当单项应收账款无法以合理成本取得评估预期信用损失的信息时，本公司依据信用风险特征，将应收账款划分为若干</w:t>
      </w:r>
    </w:p>
    <w:p>
      <w:pPr>
        <w:pStyle w:val="BodyText"/>
        <w:spacing w:line="357" w:lineRule="auto"/>
        <w:ind w:left="580" w:right="0" w:hanging="428"/>
        <w:jc w:val="left"/>
      </w:pPr>
      <w:r>
        <w:rPr>
          <w:spacing w:val="-3"/>
        </w:rPr>
        <w:t>组合，在组合基础上计算预期信用损失。</w:t>
      </w:r>
      <w:r>
        <w:rPr>
          <w:spacing w:val="-33"/>
        </w:rPr>
        <w:t> </w:t>
      </w:r>
      <w:r>
        <w:rPr>
          <w:spacing w:val="-33"/>
        </w:rPr>
      </w:r>
      <w:r>
        <w:rPr>
          <w:spacing w:val="-2"/>
        </w:rPr>
        <w:t>对于划分为组合的应收账款，本公司参考历史信用损失经验，结合当前状况以及对未来经济状况的预测，编制应收账</w:t>
      </w:r>
    </w:p>
    <w:p>
      <w:pPr>
        <w:pStyle w:val="BodyText"/>
        <w:spacing w:line="229" w:lineRule="exact"/>
        <w:ind w:right="0"/>
        <w:jc w:val="left"/>
      </w:pPr>
      <w:r>
        <w:rPr>
          <w:spacing w:val="-3"/>
        </w:rPr>
        <w:t>款账龄与整个存续期预期信用损失率对照表，计算预期信用损失。确定应收账款组合的依据如下：</w:t>
      </w:r>
    </w:p>
    <w:p>
      <w:pPr>
        <w:spacing w:line="240" w:lineRule="auto" w:before="10"/>
        <w:rPr>
          <w:rFonts w:ascii="宋体" w:hAnsi="宋体" w:cs="宋体" w:eastAsia="宋体" w:hint="default"/>
          <w:sz w:val="7"/>
          <w:szCs w:val="7"/>
        </w:rPr>
      </w:pPr>
    </w:p>
    <w:tbl>
      <w:tblPr>
        <w:tblW w:w="0" w:type="auto"/>
        <w:jc w:val="left"/>
        <w:tblInd w:w="575" w:type="dxa"/>
        <w:tblLayout w:type="fixed"/>
        <w:tblCellMar>
          <w:top w:w="0" w:type="dxa"/>
          <w:left w:w="0" w:type="dxa"/>
          <w:bottom w:w="0" w:type="dxa"/>
          <w:right w:w="0" w:type="dxa"/>
        </w:tblCellMar>
        <w:tblLook w:val="01E0"/>
      </w:tblPr>
      <w:tblGrid>
        <w:gridCol w:w="3045"/>
        <w:gridCol w:w="5743"/>
      </w:tblGrid>
      <w:tr>
        <w:trPr>
          <w:trHeight w:val="403" w:hRule="exact"/>
        </w:trPr>
        <w:tc>
          <w:tcPr>
            <w:tcW w:w="3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7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410" w:hRule="exact"/>
        </w:trPr>
        <w:tc>
          <w:tcPr>
            <w:tcW w:w="3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z w:val="18"/>
                <w:szCs w:val="18"/>
              </w:rPr>
              <w:t>：一般信用组合</w:t>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pacing w:val="-3"/>
                <w:sz w:val="18"/>
                <w:szCs w:val="18"/>
              </w:rPr>
              <w:t>经常性往来的业务客户，经评估没有特殊较高或较低的信用风险</w:t>
            </w:r>
          </w:p>
        </w:tc>
      </w:tr>
      <w:tr>
        <w:trPr>
          <w:trHeight w:val="711" w:hRule="exact"/>
        </w:trPr>
        <w:tc>
          <w:tcPr>
            <w:tcW w:w="3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0"/>
                <w:sz w:val="18"/>
                <w:szCs w:val="18"/>
              </w:rPr>
              <w:t> </w:t>
            </w:r>
            <w:r>
              <w:rPr>
                <w:rFonts w:ascii="宋体" w:hAnsi="宋体" w:cs="宋体" w:eastAsia="宋体" w:hint="default"/>
                <w:sz w:val="18"/>
                <w:szCs w:val="18"/>
              </w:rPr>
              <w:t>2</w:t>
            </w:r>
            <w:r>
              <w:rPr>
                <w:rFonts w:ascii="宋体" w:hAnsi="宋体" w:cs="宋体" w:eastAsia="宋体" w:hint="default"/>
                <w:sz w:val="18"/>
                <w:szCs w:val="18"/>
              </w:rPr>
              <w:t>：其他信用组合</w:t>
            </w:r>
          </w:p>
        </w:tc>
        <w:tc>
          <w:tcPr>
            <w:tcW w:w="57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105" w:right="100" w:firstLine="427"/>
              <w:jc w:val="left"/>
              <w:rPr>
                <w:rFonts w:ascii="宋体" w:hAnsi="宋体" w:cs="宋体" w:eastAsia="宋体" w:hint="default"/>
                <w:sz w:val="18"/>
                <w:szCs w:val="18"/>
              </w:rPr>
            </w:pPr>
            <w:r>
              <w:rPr>
                <w:rFonts w:ascii="宋体" w:hAnsi="宋体" w:cs="宋体" w:eastAsia="宋体" w:hint="default"/>
                <w:spacing w:val="-1"/>
                <w:sz w:val="18"/>
                <w:szCs w:val="18"/>
              </w:rPr>
              <w:t>信用良好且交易频繁的长期客户，经评估信用风险极低，以及集</w:t>
            </w:r>
            <w:r>
              <w:rPr>
                <w:rFonts w:ascii="宋体" w:hAnsi="宋体" w:cs="宋体" w:eastAsia="宋体" w:hint="default"/>
                <w:w w:val="101"/>
                <w:sz w:val="18"/>
                <w:szCs w:val="18"/>
              </w:rPr>
              <w:t> </w:t>
            </w:r>
            <w:r>
              <w:rPr>
                <w:rFonts w:ascii="宋体" w:hAnsi="宋体" w:cs="宋体" w:eastAsia="宋体" w:hint="default"/>
                <w:sz w:val="18"/>
                <w:szCs w:val="18"/>
              </w:rPr>
              <w:t>团内部关联方单位</w:t>
            </w:r>
          </w:p>
        </w:tc>
      </w:tr>
    </w:tbl>
    <w:p>
      <w:pPr>
        <w:pStyle w:val="BodyText"/>
        <w:spacing w:line="240" w:lineRule="auto" w:before="53"/>
        <w:ind w:left="580" w:right="0"/>
        <w:jc w:val="left"/>
      </w:pPr>
      <w:r>
        <w:rPr>
          <w:spacing w:val="-3"/>
        </w:rPr>
        <w:t>不同组合计提坏账准备的计提方法：</w:t>
      </w:r>
    </w:p>
    <w:p>
      <w:pPr>
        <w:spacing w:line="240" w:lineRule="auto" w:before="2"/>
        <w:rPr>
          <w:rFonts w:ascii="宋体" w:hAnsi="宋体" w:cs="宋体" w:eastAsia="宋体" w:hint="default"/>
          <w:sz w:val="8"/>
          <w:szCs w:val="8"/>
        </w:rPr>
      </w:pPr>
    </w:p>
    <w:tbl>
      <w:tblPr>
        <w:tblW w:w="0" w:type="auto"/>
        <w:jc w:val="left"/>
        <w:tblInd w:w="575" w:type="dxa"/>
        <w:tblLayout w:type="fixed"/>
        <w:tblCellMar>
          <w:top w:w="0" w:type="dxa"/>
          <w:left w:w="0" w:type="dxa"/>
          <w:bottom w:w="0" w:type="dxa"/>
          <w:right w:w="0" w:type="dxa"/>
        </w:tblCellMar>
        <w:tblLook w:val="01E0"/>
      </w:tblPr>
      <w:tblGrid>
        <w:gridCol w:w="2968"/>
        <w:gridCol w:w="581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z w:val="18"/>
                <w:szCs w:val="18"/>
              </w:rPr>
              <w:t>计提方法</w:t>
            </w:r>
          </w:p>
        </w:tc>
      </w:tr>
      <w:tr>
        <w:trPr>
          <w:trHeight w:val="410"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z w:val="18"/>
                <w:szCs w:val="18"/>
              </w:rPr>
              <w:t>：一般信用组合</w:t>
            </w:r>
          </w:p>
        </w:tc>
        <w:tc>
          <w:tcPr>
            <w:tcW w:w="5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pacing w:val="-3"/>
                <w:sz w:val="18"/>
                <w:szCs w:val="18"/>
              </w:rPr>
              <w:t>按账龄分析法计提坏账准备</w:t>
            </w:r>
          </w:p>
        </w:tc>
      </w:tr>
      <w:tr>
        <w:trPr>
          <w:trHeight w:val="408"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3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0"/>
                <w:sz w:val="18"/>
                <w:szCs w:val="18"/>
              </w:rPr>
              <w:t> </w:t>
            </w:r>
            <w:r>
              <w:rPr>
                <w:rFonts w:ascii="宋体" w:hAnsi="宋体" w:cs="宋体" w:eastAsia="宋体" w:hint="default"/>
                <w:sz w:val="18"/>
                <w:szCs w:val="18"/>
              </w:rPr>
              <w:t>2</w:t>
            </w:r>
            <w:r>
              <w:rPr>
                <w:rFonts w:ascii="宋体" w:hAnsi="宋体" w:cs="宋体" w:eastAsia="宋体" w:hint="default"/>
                <w:sz w:val="18"/>
                <w:szCs w:val="18"/>
              </w:rPr>
              <w:t>：其他信用组合</w:t>
            </w:r>
          </w:p>
        </w:tc>
        <w:tc>
          <w:tcPr>
            <w:tcW w:w="5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32" w:right="0"/>
              <w:jc w:val="left"/>
              <w:rPr>
                <w:rFonts w:ascii="宋体" w:hAnsi="宋体" w:cs="宋体" w:eastAsia="宋体" w:hint="default"/>
                <w:sz w:val="18"/>
                <w:szCs w:val="18"/>
              </w:rPr>
            </w:pPr>
            <w:r>
              <w:rPr>
                <w:rFonts w:ascii="宋体" w:hAnsi="宋体" w:cs="宋体" w:eastAsia="宋体" w:hint="default"/>
                <w:spacing w:val="-3"/>
                <w:sz w:val="18"/>
                <w:szCs w:val="18"/>
              </w:rPr>
              <w:t>不计提坏账准备</w:t>
            </w:r>
          </w:p>
        </w:tc>
      </w:tr>
    </w:tbl>
    <w:p>
      <w:pPr>
        <w:pStyle w:val="BodyText"/>
        <w:spacing w:line="240" w:lineRule="auto" w:before="54"/>
        <w:ind w:left="580" w:right="0"/>
        <w:jc w:val="left"/>
      </w:pPr>
      <w:r>
        <w:rPr>
          <w:spacing w:val="-3"/>
        </w:rPr>
        <w:t>组合中，按照账龄分析法计提坏账准备的组合计提方法</w:t>
      </w:r>
    </w:p>
    <w:p>
      <w:pPr>
        <w:spacing w:line="240" w:lineRule="auto" w:before="10"/>
        <w:rPr>
          <w:rFonts w:ascii="宋体" w:hAnsi="宋体" w:cs="宋体" w:eastAsia="宋体" w:hint="default"/>
          <w:sz w:val="7"/>
          <w:szCs w:val="7"/>
        </w:rPr>
      </w:pPr>
    </w:p>
    <w:tbl>
      <w:tblPr>
        <w:tblW w:w="0" w:type="auto"/>
        <w:jc w:val="left"/>
        <w:tblInd w:w="527" w:type="dxa"/>
        <w:tblLayout w:type="fixed"/>
        <w:tblCellMar>
          <w:top w:w="0" w:type="dxa"/>
          <w:left w:w="0" w:type="dxa"/>
          <w:bottom w:w="0" w:type="dxa"/>
          <w:right w:w="0" w:type="dxa"/>
        </w:tblCellMar>
        <w:tblLook w:val="01E0"/>
      </w:tblPr>
      <w:tblGrid>
        <w:gridCol w:w="4903"/>
        <w:gridCol w:w="3981"/>
      </w:tblGrid>
      <w:tr>
        <w:trPr>
          <w:trHeight w:val="403" w:hRule="exact"/>
        </w:trPr>
        <w:tc>
          <w:tcPr>
            <w:tcW w:w="4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5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51" w:right="0"/>
              <w:jc w:val="left"/>
              <w:rPr>
                <w:rFonts w:ascii="宋体" w:hAnsi="宋体" w:cs="宋体" w:eastAsia="宋体" w:hint="default"/>
                <w:sz w:val="18"/>
                <w:szCs w:val="18"/>
              </w:rPr>
            </w:pPr>
            <w:r>
              <w:rPr>
                <w:rFonts w:ascii="宋体" w:hAnsi="宋体" w:cs="宋体" w:eastAsia="宋体" w:hint="default"/>
                <w:spacing w:val="-3"/>
                <w:sz w:val="18"/>
                <w:szCs w:val="18"/>
              </w:rPr>
              <w:t>应收账款预期信用损失率（</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10"/>
        <w:rPr>
          <w:rFonts w:ascii="宋体" w:hAnsi="宋体" w:cs="宋体" w:eastAsia="宋体" w:hint="default"/>
          <w:sz w:val="24"/>
          <w:szCs w:val="24"/>
        </w:rPr>
      </w:pPr>
    </w:p>
    <w:tbl>
      <w:tblPr>
        <w:tblW w:w="0" w:type="auto"/>
        <w:jc w:val="left"/>
        <w:tblInd w:w="527" w:type="dxa"/>
        <w:tblLayout w:type="fixed"/>
        <w:tblCellMar>
          <w:top w:w="0" w:type="dxa"/>
          <w:left w:w="0" w:type="dxa"/>
          <w:bottom w:w="0" w:type="dxa"/>
          <w:right w:w="0" w:type="dxa"/>
        </w:tblCellMar>
        <w:tblLook w:val="01E0"/>
      </w:tblPr>
      <w:tblGrid>
        <w:gridCol w:w="4903"/>
        <w:gridCol w:w="3981"/>
      </w:tblGrid>
      <w:tr>
        <w:trPr>
          <w:trHeight w:val="403" w:hRule="exact"/>
        </w:trPr>
        <w:tc>
          <w:tcPr>
            <w:tcW w:w="49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5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398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451" w:right="0"/>
              <w:jc w:val="left"/>
              <w:rPr>
                <w:rFonts w:ascii="宋体" w:hAnsi="宋体" w:cs="宋体" w:eastAsia="宋体" w:hint="default"/>
                <w:sz w:val="18"/>
                <w:szCs w:val="18"/>
              </w:rPr>
            </w:pPr>
            <w:r>
              <w:rPr>
                <w:rFonts w:ascii="宋体" w:hAnsi="宋体" w:cs="宋体" w:eastAsia="宋体" w:hint="default"/>
                <w:spacing w:val="-3"/>
                <w:sz w:val="18"/>
                <w:szCs w:val="18"/>
              </w:rPr>
              <w:t>应收账款预期信用损失率（</w:t>
            </w:r>
            <w:r>
              <w:rPr>
                <w:rFonts w:ascii="宋体" w:hAnsi="宋体" w:cs="宋体" w:eastAsia="宋体" w:hint="default"/>
                <w:spacing w:val="-3"/>
                <w:sz w:val="18"/>
                <w:szCs w:val="18"/>
              </w:rPr>
              <w:t>%</w:t>
            </w:r>
            <w:r>
              <w:rPr>
                <w:rFonts w:ascii="宋体" w:hAnsi="宋体" w:cs="宋体" w:eastAsia="宋体" w:hint="default"/>
                <w:spacing w:val="-3"/>
                <w:sz w:val="18"/>
                <w:szCs w:val="18"/>
              </w:rPr>
              <w:t>）</w:t>
            </w:r>
          </w:p>
        </w:tc>
      </w:tr>
      <w:tr>
        <w:trPr>
          <w:trHeight w:val="410" w:hRule="exact"/>
        </w:trPr>
        <w:tc>
          <w:tcPr>
            <w:tcW w:w="490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年，下同）</w:t>
            </w:r>
          </w:p>
        </w:tc>
        <w:tc>
          <w:tcPr>
            <w:tcW w:w="398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宋体" w:hAnsi="宋体" w:cs="宋体" w:eastAsia="宋体" w:hint="default"/>
                <w:sz w:val="18"/>
                <w:szCs w:val="18"/>
              </w:rPr>
            </w:pPr>
            <w:r>
              <w:rPr>
                <w:rFonts w:ascii="宋体"/>
                <w:sz w:val="18"/>
              </w:rPr>
              <w:t>5.00</w:t>
            </w:r>
          </w:p>
        </w:tc>
      </w:tr>
      <w:tr>
        <w:trPr>
          <w:trHeight w:val="404" w:hRule="exact"/>
        </w:trPr>
        <w:tc>
          <w:tcPr>
            <w:tcW w:w="4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5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451" w:right="0"/>
              <w:jc w:val="left"/>
              <w:rPr>
                <w:rFonts w:ascii="宋体" w:hAnsi="宋体" w:cs="宋体" w:eastAsia="宋体" w:hint="default"/>
                <w:sz w:val="18"/>
                <w:szCs w:val="18"/>
              </w:rPr>
            </w:pPr>
            <w:r>
              <w:rPr>
                <w:rFonts w:ascii="宋体"/>
                <w:sz w:val="18"/>
              </w:rPr>
              <w:t>10.00</w:t>
            </w:r>
          </w:p>
        </w:tc>
      </w:tr>
      <w:tr>
        <w:trPr>
          <w:trHeight w:val="408" w:hRule="exact"/>
        </w:trPr>
        <w:tc>
          <w:tcPr>
            <w:tcW w:w="4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sz w:val="18"/>
              </w:rPr>
              <w:t>20.00</w:t>
            </w:r>
          </w:p>
        </w:tc>
      </w:tr>
      <w:tr>
        <w:trPr>
          <w:trHeight w:val="408" w:hRule="exact"/>
        </w:trPr>
        <w:tc>
          <w:tcPr>
            <w:tcW w:w="4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sz w:val="18"/>
              </w:rPr>
              <w:t>50.00</w:t>
            </w:r>
          </w:p>
        </w:tc>
      </w:tr>
      <w:tr>
        <w:trPr>
          <w:trHeight w:val="408" w:hRule="exact"/>
        </w:trPr>
        <w:tc>
          <w:tcPr>
            <w:tcW w:w="4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sz w:val="18"/>
              </w:rPr>
              <w:t>80.00</w:t>
            </w:r>
          </w:p>
        </w:tc>
      </w:tr>
      <w:tr>
        <w:trPr>
          <w:trHeight w:val="408" w:hRule="exact"/>
        </w:trPr>
        <w:tc>
          <w:tcPr>
            <w:tcW w:w="4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3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宋体" w:hAnsi="宋体" w:cs="宋体" w:eastAsia="宋体" w:hint="default"/>
                <w:sz w:val="18"/>
                <w:szCs w:val="18"/>
              </w:rPr>
            </w:pPr>
            <w:r>
              <w:rPr>
                <w:rFonts w:ascii="宋体"/>
                <w:sz w:val="18"/>
              </w:rPr>
              <w:t>100.00</w:t>
            </w:r>
          </w:p>
        </w:tc>
      </w:tr>
    </w:tbl>
    <w:p>
      <w:pPr>
        <w:pStyle w:val="BodyText"/>
        <w:spacing w:line="316" w:lineRule="auto" w:before="53"/>
        <w:ind w:right="1122" w:firstLine="427"/>
        <w:jc w:val="both"/>
      </w:pPr>
      <w:r>
        <w:rPr>
          <w:rFonts w:ascii="宋体" w:hAnsi="宋体" w:cs="宋体" w:eastAsia="宋体" w:hint="default"/>
          <w:spacing w:val="-4"/>
        </w:rPr>
        <w:t>C.</w:t>
      </w:r>
      <w:r>
        <w:rPr>
          <w:spacing w:val="-4"/>
        </w:rPr>
        <w:t>对于其他应收款，信用风险自初始确认后未显著增加的，处于第一阶段，按照该金融工具未来 </w:t>
      </w:r>
      <w:r>
        <w:rPr>
          <w:rFonts w:ascii="宋体" w:hAnsi="宋体" w:cs="宋体" w:eastAsia="宋体" w:hint="default"/>
        </w:rPr>
        <w:t>12</w:t>
      </w:r>
      <w:r>
        <w:rPr>
          <w:rFonts w:ascii="宋体" w:hAnsi="宋体" w:cs="宋体" w:eastAsia="宋体" w:hint="default"/>
          <w:spacing w:val="5"/>
        </w:rPr>
        <w:t> </w:t>
      </w:r>
      <w:r>
        <w:rPr/>
        <w:t>个月内的预期信用</w:t>
      </w:r>
      <w:r>
        <w:rPr>
          <w:w w:val="101"/>
        </w:rPr>
        <w:t> </w:t>
      </w:r>
      <w:r>
        <w:rPr>
          <w:spacing w:val="-4"/>
        </w:rPr>
        <w:t>损失计量损失准备；信用风险自初始确认后已显著增加但尚未发生信用减值的，处于第二阶段，按照该金融工具整个存续期</w:t>
      </w:r>
      <w:r>
        <w:rPr>
          <w:spacing w:val="43"/>
        </w:rPr>
        <w:t> </w:t>
      </w:r>
      <w:r>
        <w:rPr>
          <w:spacing w:val="43"/>
        </w:rPr>
      </w:r>
      <w:r>
        <w:rPr>
          <w:spacing w:val="-4"/>
        </w:rPr>
        <w:t>的预期信用损失计量损失准备；自初始确认后已经发生信用减值的，处于第三阶段，按照该金融工具整个存续期的预期信用</w:t>
      </w:r>
      <w:r>
        <w:rPr>
          <w:spacing w:val="43"/>
        </w:rPr>
        <w:t> </w:t>
      </w:r>
      <w:r>
        <w:rPr>
          <w:spacing w:val="43"/>
        </w:rPr>
      </w:r>
      <w:r>
        <w:rPr>
          <w:spacing w:val="-3"/>
        </w:rPr>
        <w:t>损失计量损失准备。</w:t>
      </w:r>
    </w:p>
    <w:p>
      <w:pPr>
        <w:pStyle w:val="BodyText"/>
        <w:spacing w:line="319" w:lineRule="auto" w:before="52"/>
        <w:ind w:right="1124" w:firstLine="427"/>
        <w:jc w:val="both"/>
      </w:pPr>
      <w:r>
        <w:rPr>
          <w:spacing w:val="-2"/>
        </w:rPr>
        <w:t>公司处于第一阶段的其他应收款，单项其他应收款无法以合理成本取得评估预期信用损失的信息，公司依据信用风险</w:t>
      </w:r>
      <w:r>
        <w:rPr>
          <w:w w:val="101"/>
        </w:rPr>
        <w:t> </w:t>
      </w:r>
      <w:r>
        <w:rPr>
          <w:spacing w:val="-4"/>
        </w:rPr>
        <w:t>特征将其他应收款划分为若干组合，在组合基础上计算预期信用损失，对于划分为组合的其他应收款，公司参考历史信用损</w:t>
      </w:r>
      <w:r>
        <w:rPr>
          <w:spacing w:val="43"/>
        </w:rPr>
        <w:t> </w:t>
      </w:r>
      <w:r>
        <w:rPr>
          <w:spacing w:val="43"/>
        </w:rPr>
      </w:r>
      <w:r>
        <w:rPr>
          <w:spacing w:val="-4"/>
        </w:rPr>
        <w:t>失经验，结合当前状况以及对未来经济状况的预测，编制其他应收款账龄与预期信用损失率对照表，计算预期信用损失，确</w:t>
      </w:r>
      <w:r>
        <w:rPr>
          <w:spacing w:val="40"/>
        </w:rPr>
        <w:t> </w:t>
      </w:r>
      <w:r>
        <w:rPr>
          <w:spacing w:val="40"/>
        </w:rPr>
      </w:r>
      <w:r>
        <w:rPr>
          <w:spacing w:val="-3"/>
        </w:rPr>
        <w:t>定组合的依据如下：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0"/>
          <w:szCs w:val="10"/>
        </w:rPr>
      </w:pPr>
    </w:p>
    <w:tbl>
      <w:tblPr>
        <w:tblW w:w="0" w:type="auto"/>
        <w:jc w:val="left"/>
        <w:tblInd w:w="594" w:type="dxa"/>
        <w:tblLayout w:type="fixed"/>
        <w:tblCellMar>
          <w:top w:w="0" w:type="dxa"/>
          <w:left w:w="0" w:type="dxa"/>
          <w:bottom w:w="0" w:type="dxa"/>
          <w:right w:w="0" w:type="dxa"/>
        </w:tblCellMar>
        <w:tblLook w:val="01E0"/>
      </w:tblPr>
      <w:tblGrid>
        <w:gridCol w:w="3045"/>
        <w:gridCol w:w="5704"/>
      </w:tblGrid>
      <w:tr>
        <w:trPr>
          <w:trHeight w:val="404" w:hRule="exact"/>
        </w:trPr>
        <w:tc>
          <w:tcPr>
            <w:tcW w:w="304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2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7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pacing w:val="-3"/>
                <w:sz w:val="18"/>
                <w:szCs w:val="18"/>
              </w:rPr>
              <w:t>确定组合的依据</w:t>
            </w:r>
          </w:p>
        </w:tc>
      </w:tr>
      <w:tr>
        <w:trPr>
          <w:trHeight w:val="713" w:hRule="exact"/>
        </w:trPr>
        <w:tc>
          <w:tcPr>
            <w:tcW w:w="3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z w:val="18"/>
                <w:szCs w:val="18"/>
              </w:rPr>
              <w:t>：一般信用组合</w:t>
            </w:r>
          </w:p>
        </w:tc>
        <w:tc>
          <w:tcPr>
            <w:tcW w:w="5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6"/>
              <w:ind w:left="105" w:right="95" w:firstLine="427"/>
              <w:jc w:val="left"/>
              <w:rPr>
                <w:rFonts w:ascii="宋体" w:hAnsi="宋体" w:cs="宋体" w:eastAsia="宋体" w:hint="default"/>
                <w:sz w:val="18"/>
                <w:szCs w:val="18"/>
              </w:rPr>
            </w:pPr>
            <w:r>
              <w:rPr>
                <w:rFonts w:ascii="宋体" w:hAnsi="宋体" w:cs="宋体" w:eastAsia="宋体" w:hint="default"/>
                <w:spacing w:val="-2"/>
                <w:sz w:val="18"/>
                <w:szCs w:val="18"/>
              </w:rPr>
              <w:t>经常性往来的业务单位或个人，经评估没有特殊较高或较低的信</w:t>
            </w:r>
            <w:r>
              <w:rPr>
                <w:rFonts w:ascii="宋体" w:hAnsi="宋体" w:cs="宋体" w:eastAsia="宋体" w:hint="default"/>
                <w:w w:val="101"/>
                <w:sz w:val="18"/>
                <w:szCs w:val="18"/>
              </w:rPr>
              <w:t> </w:t>
            </w:r>
            <w:r>
              <w:rPr>
                <w:rFonts w:ascii="宋体" w:hAnsi="宋体" w:cs="宋体" w:eastAsia="宋体" w:hint="default"/>
                <w:sz w:val="18"/>
                <w:szCs w:val="18"/>
              </w:rPr>
              <w:t>用风险</w:t>
            </w:r>
          </w:p>
        </w:tc>
      </w:tr>
      <w:tr>
        <w:trPr>
          <w:trHeight w:val="715" w:hRule="exact"/>
        </w:trPr>
        <w:tc>
          <w:tcPr>
            <w:tcW w:w="3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28"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0"/>
                <w:sz w:val="18"/>
                <w:szCs w:val="18"/>
              </w:rPr>
              <w:t> </w:t>
            </w:r>
            <w:r>
              <w:rPr>
                <w:rFonts w:ascii="宋体" w:hAnsi="宋体" w:cs="宋体" w:eastAsia="宋体" w:hint="default"/>
                <w:sz w:val="18"/>
                <w:szCs w:val="18"/>
              </w:rPr>
              <w:t>2</w:t>
            </w:r>
            <w:r>
              <w:rPr>
                <w:rFonts w:ascii="宋体" w:hAnsi="宋体" w:cs="宋体" w:eastAsia="宋体" w:hint="default"/>
                <w:sz w:val="18"/>
                <w:szCs w:val="18"/>
              </w:rPr>
              <w:t>：其他信用组合</w:t>
            </w:r>
          </w:p>
        </w:tc>
        <w:tc>
          <w:tcPr>
            <w:tcW w:w="5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105" w:right="95" w:firstLine="427"/>
              <w:jc w:val="left"/>
              <w:rPr>
                <w:rFonts w:ascii="宋体" w:hAnsi="宋体" w:cs="宋体" w:eastAsia="宋体" w:hint="default"/>
                <w:sz w:val="18"/>
                <w:szCs w:val="18"/>
              </w:rPr>
            </w:pPr>
            <w:r>
              <w:rPr>
                <w:rFonts w:ascii="宋体" w:hAnsi="宋体" w:cs="宋体" w:eastAsia="宋体" w:hint="default"/>
                <w:spacing w:val="-2"/>
                <w:sz w:val="18"/>
                <w:szCs w:val="18"/>
              </w:rPr>
              <w:t>信用良好且交易频繁的长期单位，经评估信用风险极低，以及集</w:t>
            </w:r>
            <w:r>
              <w:rPr>
                <w:rFonts w:ascii="宋体" w:hAnsi="宋体" w:cs="宋体" w:eastAsia="宋体" w:hint="default"/>
                <w:w w:val="101"/>
                <w:sz w:val="18"/>
                <w:szCs w:val="18"/>
              </w:rPr>
              <w:t> </w:t>
            </w:r>
            <w:r>
              <w:rPr>
                <w:rFonts w:ascii="宋体" w:hAnsi="宋体" w:cs="宋体" w:eastAsia="宋体" w:hint="default"/>
                <w:sz w:val="18"/>
                <w:szCs w:val="18"/>
              </w:rPr>
              <w:t>团内部关联方单位</w:t>
            </w:r>
          </w:p>
        </w:tc>
      </w:tr>
    </w:tbl>
    <w:p>
      <w:pPr>
        <w:pStyle w:val="BodyText"/>
        <w:spacing w:line="240" w:lineRule="auto" w:before="54"/>
        <w:ind w:left="580" w:right="0"/>
        <w:jc w:val="left"/>
      </w:pPr>
      <w:r>
        <w:rPr>
          <w:spacing w:val="-3"/>
        </w:rPr>
        <w:t>不同组合计提坏账准备的计提方法：</w:t>
      </w:r>
    </w:p>
    <w:p>
      <w:pPr>
        <w:spacing w:line="240" w:lineRule="auto" w:before="2"/>
        <w:rPr>
          <w:rFonts w:ascii="宋体" w:hAnsi="宋体" w:cs="宋体" w:eastAsia="宋体" w:hint="default"/>
          <w:sz w:val="8"/>
          <w:szCs w:val="8"/>
        </w:rPr>
      </w:pPr>
    </w:p>
    <w:tbl>
      <w:tblPr>
        <w:tblW w:w="0" w:type="auto"/>
        <w:jc w:val="left"/>
        <w:tblInd w:w="575" w:type="dxa"/>
        <w:tblLayout w:type="fixed"/>
        <w:tblCellMar>
          <w:top w:w="0" w:type="dxa"/>
          <w:left w:w="0" w:type="dxa"/>
          <w:bottom w:w="0" w:type="dxa"/>
          <w:right w:w="0" w:type="dxa"/>
        </w:tblCellMar>
        <w:tblLook w:val="01E0"/>
      </w:tblPr>
      <w:tblGrid>
        <w:gridCol w:w="2968"/>
        <w:gridCol w:w="5819"/>
      </w:tblGrid>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81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z w:val="18"/>
                <w:szCs w:val="18"/>
              </w:rPr>
              <w:t>计提方法</w:t>
            </w:r>
          </w:p>
        </w:tc>
      </w:tr>
      <w:tr>
        <w:trPr>
          <w:trHeight w:val="410"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0"/>
                <w:sz w:val="18"/>
                <w:szCs w:val="18"/>
              </w:rPr>
              <w:t> </w:t>
            </w:r>
            <w:r>
              <w:rPr>
                <w:rFonts w:ascii="宋体" w:hAnsi="宋体" w:cs="宋体" w:eastAsia="宋体" w:hint="default"/>
                <w:sz w:val="18"/>
                <w:szCs w:val="18"/>
              </w:rPr>
              <w:t>1</w:t>
            </w:r>
            <w:r>
              <w:rPr>
                <w:rFonts w:ascii="宋体" w:hAnsi="宋体" w:cs="宋体" w:eastAsia="宋体" w:hint="default"/>
                <w:sz w:val="18"/>
                <w:szCs w:val="18"/>
              </w:rPr>
              <w:t>：一般信用组合</w:t>
            </w:r>
          </w:p>
        </w:tc>
        <w:tc>
          <w:tcPr>
            <w:tcW w:w="5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532" w:right="0"/>
              <w:jc w:val="left"/>
              <w:rPr>
                <w:rFonts w:ascii="宋体" w:hAnsi="宋体" w:cs="宋体" w:eastAsia="宋体" w:hint="default"/>
                <w:sz w:val="18"/>
                <w:szCs w:val="18"/>
              </w:rPr>
            </w:pPr>
            <w:r>
              <w:rPr>
                <w:rFonts w:ascii="宋体" w:hAnsi="宋体" w:cs="宋体" w:eastAsia="宋体" w:hint="default"/>
                <w:spacing w:val="-3"/>
                <w:sz w:val="18"/>
                <w:szCs w:val="18"/>
              </w:rPr>
              <w:t>按账龄分析法计提坏账准备</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33"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0"/>
                <w:sz w:val="18"/>
                <w:szCs w:val="18"/>
              </w:rPr>
              <w:t> </w:t>
            </w:r>
            <w:r>
              <w:rPr>
                <w:rFonts w:ascii="宋体" w:hAnsi="宋体" w:cs="宋体" w:eastAsia="宋体" w:hint="default"/>
                <w:sz w:val="18"/>
                <w:szCs w:val="18"/>
              </w:rPr>
              <w:t>2</w:t>
            </w:r>
            <w:r>
              <w:rPr>
                <w:rFonts w:ascii="宋体" w:hAnsi="宋体" w:cs="宋体" w:eastAsia="宋体" w:hint="default"/>
                <w:sz w:val="18"/>
                <w:szCs w:val="18"/>
              </w:rPr>
              <w:t>：其他信用组合</w:t>
            </w:r>
          </w:p>
        </w:tc>
        <w:tc>
          <w:tcPr>
            <w:tcW w:w="5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32" w:right="0"/>
              <w:jc w:val="left"/>
              <w:rPr>
                <w:rFonts w:ascii="宋体" w:hAnsi="宋体" w:cs="宋体" w:eastAsia="宋体" w:hint="default"/>
                <w:sz w:val="18"/>
                <w:szCs w:val="18"/>
              </w:rPr>
            </w:pPr>
            <w:r>
              <w:rPr>
                <w:rFonts w:ascii="宋体" w:hAnsi="宋体" w:cs="宋体" w:eastAsia="宋体" w:hint="default"/>
                <w:spacing w:val="-3"/>
                <w:sz w:val="18"/>
                <w:szCs w:val="18"/>
              </w:rPr>
              <w:t>不计提坏账准备</w:t>
            </w:r>
          </w:p>
        </w:tc>
      </w:tr>
    </w:tbl>
    <w:p>
      <w:pPr>
        <w:pStyle w:val="BodyText"/>
        <w:spacing w:line="240" w:lineRule="auto" w:before="54"/>
        <w:ind w:left="580" w:right="0"/>
        <w:jc w:val="left"/>
      </w:pPr>
      <w:r>
        <w:rPr>
          <w:spacing w:val="-3"/>
        </w:rPr>
        <w:t>组合中，按照账龄分析法计提坏账准备的组合计提方法</w:t>
      </w:r>
    </w:p>
    <w:p>
      <w:pPr>
        <w:spacing w:line="240" w:lineRule="auto" w:before="9"/>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4480"/>
        <w:gridCol w:w="4403"/>
      </w:tblGrid>
      <w:tr>
        <w:trPr>
          <w:trHeight w:val="389" w:hRule="exact"/>
        </w:trPr>
        <w:tc>
          <w:tcPr>
            <w:tcW w:w="4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440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其他应收款预期信用损失率（</w:t>
            </w:r>
            <w:r>
              <w:rPr>
                <w:rFonts w:ascii="宋体" w:hAnsi="宋体" w:cs="宋体" w:eastAsia="宋体" w:hint="default"/>
                <w:sz w:val="18"/>
                <w:szCs w:val="18"/>
              </w:rPr>
              <w:t>%</w:t>
            </w:r>
            <w:r>
              <w:rPr>
                <w:rFonts w:ascii="宋体" w:hAnsi="宋体" w:cs="宋体" w:eastAsia="宋体" w:hint="default"/>
                <w:sz w:val="18"/>
                <w:szCs w:val="18"/>
              </w:rPr>
              <w:t>）</w:t>
            </w:r>
          </w:p>
        </w:tc>
      </w:tr>
      <w:tr>
        <w:trPr>
          <w:trHeight w:val="418" w:hRule="exact"/>
        </w:trPr>
        <w:tc>
          <w:tcPr>
            <w:tcW w:w="448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5"/>
              <w:ind w:left="451"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年，下同）</w:t>
            </w:r>
          </w:p>
        </w:tc>
        <w:tc>
          <w:tcPr>
            <w:tcW w:w="4403"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65"/>
              <w:ind w:left="451" w:right="0"/>
              <w:jc w:val="left"/>
              <w:rPr>
                <w:rFonts w:ascii="宋体" w:hAnsi="宋体" w:cs="宋体" w:eastAsia="宋体" w:hint="default"/>
                <w:sz w:val="18"/>
                <w:szCs w:val="18"/>
              </w:rPr>
            </w:pPr>
            <w:r>
              <w:rPr>
                <w:rFonts w:ascii="宋体"/>
                <w:sz w:val="18"/>
              </w:rPr>
              <w:t>5.00</w:t>
            </w:r>
          </w:p>
        </w:tc>
      </w:tr>
      <w:tr>
        <w:trPr>
          <w:trHeight w:val="403"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4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宋体" w:hAnsi="宋体" w:cs="宋体" w:eastAsia="宋体" w:hint="default"/>
                <w:sz w:val="18"/>
                <w:szCs w:val="18"/>
              </w:rPr>
            </w:pPr>
            <w:r>
              <w:rPr>
                <w:rFonts w:ascii="宋体"/>
                <w:sz w:val="18"/>
              </w:rPr>
              <w:t>10.00</w:t>
            </w:r>
          </w:p>
        </w:tc>
      </w:tr>
      <w:tr>
        <w:trPr>
          <w:trHeight w:val="408"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1"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4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451" w:right="0"/>
              <w:jc w:val="left"/>
              <w:rPr>
                <w:rFonts w:ascii="宋体" w:hAnsi="宋体" w:cs="宋体" w:eastAsia="宋体" w:hint="default"/>
                <w:sz w:val="18"/>
                <w:szCs w:val="18"/>
              </w:rPr>
            </w:pPr>
            <w:r>
              <w:rPr>
                <w:rFonts w:ascii="宋体"/>
                <w:sz w:val="18"/>
              </w:rPr>
              <w:t>20.00</w:t>
            </w:r>
          </w:p>
        </w:tc>
      </w:tr>
      <w:tr>
        <w:trPr>
          <w:trHeight w:val="408"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4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sz w:val="18"/>
              </w:rPr>
              <w:t>50.00</w:t>
            </w:r>
          </w:p>
        </w:tc>
      </w:tr>
      <w:tr>
        <w:trPr>
          <w:trHeight w:val="408"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1"/>
                <w:sz w:val="18"/>
                <w:szCs w:val="18"/>
              </w:rPr>
              <w:t> </w:t>
            </w:r>
            <w:r>
              <w:rPr>
                <w:rFonts w:ascii="宋体" w:hAnsi="宋体" w:cs="宋体" w:eastAsia="宋体" w:hint="default"/>
                <w:sz w:val="18"/>
                <w:szCs w:val="18"/>
              </w:rPr>
              <w:t>年</w:t>
            </w:r>
          </w:p>
        </w:tc>
        <w:tc>
          <w:tcPr>
            <w:tcW w:w="4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51" w:right="0"/>
              <w:jc w:val="left"/>
              <w:rPr>
                <w:rFonts w:ascii="宋体" w:hAnsi="宋体" w:cs="宋体" w:eastAsia="宋体" w:hint="default"/>
                <w:sz w:val="18"/>
                <w:szCs w:val="18"/>
              </w:rPr>
            </w:pPr>
            <w:r>
              <w:rPr>
                <w:rFonts w:ascii="宋体"/>
                <w:sz w:val="18"/>
              </w:rPr>
              <w:t>80.00</w:t>
            </w:r>
          </w:p>
        </w:tc>
      </w:tr>
      <w:tr>
        <w:trPr>
          <w:trHeight w:val="408" w:hRule="exact"/>
        </w:trPr>
        <w:tc>
          <w:tcPr>
            <w:tcW w:w="4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39"/>
                <w:sz w:val="18"/>
                <w:szCs w:val="18"/>
              </w:rPr>
              <w:t> </w:t>
            </w:r>
            <w:r>
              <w:rPr>
                <w:rFonts w:ascii="宋体" w:hAnsi="宋体" w:cs="宋体" w:eastAsia="宋体" w:hint="default"/>
                <w:sz w:val="18"/>
                <w:szCs w:val="18"/>
              </w:rPr>
              <w:t>年以上</w:t>
            </w:r>
          </w:p>
        </w:tc>
        <w:tc>
          <w:tcPr>
            <w:tcW w:w="4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宋体" w:hAnsi="宋体" w:cs="宋体" w:eastAsia="宋体" w:hint="default"/>
                <w:sz w:val="18"/>
                <w:szCs w:val="18"/>
              </w:rPr>
            </w:pPr>
            <w:r>
              <w:rPr>
                <w:rFonts w:ascii="宋体"/>
                <w:sz w:val="18"/>
              </w:rPr>
              <w:t>100.00</w:t>
            </w:r>
          </w:p>
        </w:tc>
      </w:tr>
    </w:tbl>
    <w:p>
      <w:pPr>
        <w:pStyle w:val="BodyText"/>
        <w:spacing w:line="352" w:lineRule="auto" w:before="53"/>
        <w:ind w:left="580" w:right="0"/>
        <w:jc w:val="left"/>
      </w:pPr>
      <w:r>
        <w:rPr/>
        <w:t>（</w:t>
      </w:r>
      <w:r>
        <w:rPr>
          <w:rFonts w:ascii="宋体" w:hAnsi="宋体" w:cs="宋体" w:eastAsia="宋体" w:hint="default"/>
        </w:rPr>
        <w:t>6</w:t>
      </w:r>
      <w:r>
        <w:rPr/>
        <w:t>）金融资产和金融负债的抵销</w:t>
      </w:r>
      <w:r>
        <w:rPr>
          <w:spacing w:val="-86"/>
        </w:rPr>
        <w:t> </w:t>
      </w:r>
      <w:r>
        <w:rPr>
          <w:spacing w:val="-86"/>
        </w:rPr>
      </w:r>
      <w:r>
        <w:rPr>
          <w:spacing w:val="-2"/>
        </w:rPr>
        <w:t>当本公司具有抵销已确认金融资产和金融负债的法定权利，且目前可执行该种法定权利，同时本公司计划以净额结算</w:t>
      </w:r>
    </w:p>
    <w:p>
      <w:pPr>
        <w:pStyle w:val="BodyText"/>
        <w:spacing w:line="321" w:lineRule="auto"/>
        <w:ind w:right="0"/>
        <w:jc w:val="left"/>
      </w:pPr>
      <w:r>
        <w:rPr>
          <w:spacing w:val="-4"/>
        </w:rPr>
        <w:t>或同时变现该金融资产和清偿该金融负债时，金融资产和金融负债以相互抵销后的金额在资产负债表内列示。除此以外，金</w:t>
      </w:r>
      <w:r>
        <w:rPr>
          <w:spacing w:val="44"/>
        </w:rPr>
        <w:t> </w:t>
      </w:r>
      <w:r>
        <w:rPr>
          <w:spacing w:val="44"/>
        </w:rPr>
      </w:r>
      <w:r>
        <w:rPr>
          <w:spacing w:val="-3"/>
        </w:rPr>
        <w:t>融资产和金融负债在资产负债表内分别列示，不予相互抵销。</w:t>
      </w:r>
    </w:p>
    <w:p>
      <w:pPr>
        <w:spacing w:after="0" w:line="321"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352" w:lineRule="auto" w:before="46"/>
        <w:ind w:left="580" w:right="0"/>
        <w:jc w:val="left"/>
      </w:pPr>
      <w:r>
        <w:rPr>
          <w:spacing w:val="-3"/>
        </w:rPr>
        <w:t>（</w:t>
      </w:r>
      <w:r>
        <w:rPr>
          <w:rFonts w:ascii="宋体" w:hAnsi="宋体" w:cs="宋体" w:eastAsia="宋体" w:hint="default"/>
          <w:spacing w:val="-3"/>
        </w:rPr>
        <w:t>7</w:t>
      </w:r>
      <w:r>
        <w:rPr>
          <w:spacing w:val="-3"/>
        </w:rPr>
        <w:t>）金融工具的公允价值确定</w:t>
      </w:r>
      <w:r>
        <w:rPr>
          <w:spacing w:val="-46"/>
        </w:rPr>
        <w:t> </w:t>
      </w:r>
      <w:r>
        <w:rPr>
          <w:spacing w:val="-46"/>
        </w:rPr>
      </w:r>
      <w:r>
        <w:rPr>
          <w:spacing w:val="-2"/>
        </w:rPr>
        <w:t>存在活跃市场的金融工具，以市场参与者在计量日发生的有序交易中，出售一项资产所能收到或者转移一项负债所需</w:t>
      </w:r>
    </w:p>
    <w:p>
      <w:pPr>
        <w:pStyle w:val="BodyText"/>
        <w:spacing w:line="319" w:lineRule="auto"/>
        <w:ind w:right="1122"/>
        <w:jc w:val="both"/>
      </w:pPr>
      <w:r>
        <w:rPr>
          <w:spacing w:val="-4"/>
        </w:rPr>
        <w:t>支付的价格确定其公允价值。不存在活跃市场的金融工具，采用估值技术确定其公允价值。在估值时，本公司采用在当前情</w:t>
      </w:r>
      <w:r>
        <w:rPr>
          <w:spacing w:val="40"/>
        </w:rPr>
        <w:t> </w:t>
      </w:r>
      <w:r>
        <w:rPr>
          <w:spacing w:val="40"/>
        </w:rPr>
      </w:r>
      <w:r>
        <w:rPr>
          <w:spacing w:val="-4"/>
          <w:w w:val="101"/>
        </w:rPr>
        <w:t>况下适用并且有足够可利用数据和其他信息支持的估值技术，选择与市场参与者在相关资产或负债的交易中所考虑的资产或</w:t>
      </w:r>
      <w:r>
        <w:rPr>
          <w:w w:val="101"/>
        </w:rPr>
        <w:t> </w:t>
      </w:r>
      <w:r>
        <w:rPr>
          <w:spacing w:val="-4"/>
        </w:rPr>
        <w:t>负债特征相一致的输入值，并尽可能优先使用相关可观察输入值。在相关可观察输入值无法取得或取得不切实可行时，使用</w:t>
      </w:r>
      <w:r>
        <w:rPr>
          <w:spacing w:val="44"/>
        </w:rPr>
        <w:t> </w:t>
      </w:r>
      <w:r>
        <w:rPr>
          <w:spacing w:val="44"/>
        </w:rPr>
      </w:r>
      <w:r>
        <w:rPr/>
        <w:t>不可观察输入值。</w:t>
      </w:r>
    </w:p>
    <w:p>
      <w:pPr>
        <w:pStyle w:val="BodyText"/>
        <w:spacing w:line="352" w:lineRule="auto" w:before="60"/>
        <w:ind w:left="580" w:right="0"/>
        <w:jc w:val="left"/>
      </w:pPr>
      <w:r>
        <w:rPr>
          <w:rFonts w:ascii="宋体" w:hAnsi="宋体" w:cs="宋体" w:eastAsia="宋体" w:hint="default"/>
        </w:rPr>
        <w:t>2018</w:t>
      </w:r>
      <w:r>
        <w:rPr>
          <w:rFonts w:ascii="宋体" w:hAnsi="宋体" w:cs="宋体" w:eastAsia="宋体" w:hint="default"/>
          <w:spacing w:val="-47"/>
        </w:rPr>
        <w:t> </w:t>
      </w:r>
      <w:r>
        <w:rPr>
          <w:spacing w:val="-3"/>
        </w:rPr>
        <w:t>年度适用的会计政策</w:t>
      </w:r>
      <w:r>
        <w:rPr>
          <w:spacing w:val="-57"/>
        </w:rPr>
        <w:t> </w:t>
      </w:r>
      <w:r>
        <w:rPr>
          <w:spacing w:val="-57"/>
        </w:rPr>
      </w:r>
      <w:r>
        <w:rPr>
          <w:spacing w:val="-2"/>
        </w:rPr>
        <w:t>在本公司成为金融工具合同的一方时确认一项金融资产或金融负债。金融资产和金融负债在初始确认时以公允价值计</w:t>
      </w:r>
    </w:p>
    <w:p>
      <w:pPr>
        <w:pStyle w:val="BodyText"/>
        <w:spacing w:line="321" w:lineRule="auto"/>
        <w:ind w:right="1124"/>
        <w:jc w:val="both"/>
      </w:pPr>
      <w:r>
        <w:rPr>
          <w:spacing w:val="-4"/>
        </w:rPr>
        <w:t>量。对于以公允价值计量且其变动计入当期损益的金融资产和金融负债，相关的交易费用直接计入损益，对于其他类别的金</w:t>
      </w:r>
      <w:r>
        <w:rPr>
          <w:spacing w:val="43"/>
        </w:rPr>
        <w:t> </w:t>
      </w:r>
      <w:r>
        <w:rPr>
          <w:spacing w:val="43"/>
        </w:rPr>
      </w:r>
      <w:r>
        <w:rPr>
          <w:spacing w:val="-3"/>
        </w:rPr>
        <w:t>融资产和金融负债，相关交易费用计入初始确认金额。</w:t>
      </w:r>
    </w:p>
    <w:p>
      <w:pPr>
        <w:pStyle w:val="BodyText"/>
        <w:spacing w:line="357" w:lineRule="auto" w:before="53"/>
        <w:ind w:left="580" w:right="0"/>
        <w:jc w:val="left"/>
      </w:pPr>
      <w:r>
        <w:rPr>
          <w:spacing w:val="-3"/>
        </w:rPr>
        <w:t>（</w:t>
      </w:r>
      <w:r>
        <w:rPr>
          <w:rFonts w:ascii="宋体" w:hAnsi="宋体" w:cs="宋体" w:eastAsia="宋体" w:hint="default"/>
          <w:spacing w:val="-3"/>
        </w:rPr>
        <w:t>1</w:t>
      </w:r>
      <w:r>
        <w:rPr>
          <w:spacing w:val="-3"/>
        </w:rPr>
        <w:t>）金融资产和金融负债的公允价值确定方法</w:t>
      </w:r>
      <w:r>
        <w:rPr>
          <w:spacing w:val="-23"/>
        </w:rPr>
        <w:t> </w:t>
      </w:r>
      <w:r>
        <w:rPr>
          <w:spacing w:val="-23"/>
        </w:rPr>
      </w:r>
      <w:r>
        <w:rPr>
          <w:spacing w:val="-2"/>
        </w:rPr>
        <w:t>公允价值，是指市场参与者在计量日发生的有序交易中，出售一项资产所能收到或者转移一项负债所需支付的价格。</w:t>
      </w:r>
    </w:p>
    <w:p>
      <w:pPr>
        <w:pStyle w:val="BodyText"/>
        <w:spacing w:line="224" w:lineRule="exact"/>
        <w:ind w:right="0"/>
        <w:jc w:val="both"/>
      </w:pPr>
      <w:r>
        <w:rPr>
          <w:spacing w:val="-4"/>
        </w:rPr>
        <w:t>金融工具存在活跃市场的，本公司采用活跃市场中的报价确定其公允价值。活跃市场中的报价是指易于定期从交易所、经纪</w:t>
      </w:r>
    </w:p>
    <w:p>
      <w:pPr>
        <w:pStyle w:val="BodyText"/>
        <w:spacing w:line="319" w:lineRule="auto" w:before="77"/>
        <w:ind w:right="0"/>
        <w:jc w:val="left"/>
      </w:pPr>
      <w:r>
        <w:rPr>
          <w:spacing w:val="-4"/>
        </w:rPr>
        <w:t>商、行业协会、定价服务机构等获得的价格，且代表了在公平交易中实际发生的市场交易的价格。金融工具不存在活跃市场</w:t>
      </w:r>
      <w:r>
        <w:rPr>
          <w:spacing w:val="40"/>
        </w:rPr>
        <w:t> </w:t>
      </w:r>
      <w:r>
        <w:rPr>
          <w:spacing w:val="40"/>
        </w:rPr>
      </w:r>
      <w:r>
        <w:rPr>
          <w:spacing w:val="-6"/>
          <w:w w:val="101"/>
        </w:rPr>
        <w:t>的，本公司采用估值技术确定其公允价值。估值技术包括参考熟悉情况并自愿交易的各方最近进行的市场交易中使用的价格、</w:t>
      </w:r>
      <w:r>
        <w:rPr>
          <w:spacing w:val="-66"/>
          <w:w w:val="101"/>
        </w:rPr>
        <w:t> </w:t>
      </w:r>
      <w:r>
        <w:rPr>
          <w:spacing w:val="-66"/>
          <w:w w:val="101"/>
        </w:rPr>
      </w:r>
      <w:r>
        <w:rPr>
          <w:spacing w:val="-3"/>
        </w:rPr>
        <w:t>参照实质上相同的其他金融工具当前的公允价值、现金流量折现法和期权定价模型等。</w:t>
      </w:r>
    </w:p>
    <w:p>
      <w:pPr>
        <w:pStyle w:val="BodyText"/>
        <w:spacing w:line="352" w:lineRule="auto" w:before="55"/>
        <w:ind w:left="580" w:right="0"/>
        <w:jc w:val="left"/>
      </w:pPr>
      <w:r>
        <w:rPr>
          <w:spacing w:val="-3"/>
        </w:rPr>
        <w:t>（</w:t>
      </w:r>
      <w:r>
        <w:rPr>
          <w:rFonts w:ascii="宋体" w:hAnsi="宋体" w:cs="宋体" w:eastAsia="宋体" w:hint="default"/>
          <w:spacing w:val="-3"/>
        </w:rPr>
        <w:t>2</w:t>
      </w:r>
      <w:r>
        <w:rPr>
          <w:spacing w:val="-3"/>
        </w:rPr>
        <w:t>）金融资产的分类、确认和计量</w:t>
      </w:r>
      <w:r>
        <w:rPr>
          <w:spacing w:val="-40"/>
        </w:rPr>
        <w:t> </w:t>
      </w:r>
      <w:r>
        <w:rPr>
          <w:spacing w:val="-40"/>
        </w:rPr>
      </w:r>
      <w:r>
        <w:rPr>
          <w:spacing w:val="-2"/>
        </w:rPr>
        <w:t>以常规方式买卖金融资产，按交易日进行会计确认和终止确认。金融资产在初始确认时划分为以公允价值计量且其变</w:t>
      </w:r>
    </w:p>
    <w:p>
      <w:pPr>
        <w:pStyle w:val="BodyText"/>
        <w:spacing w:line="232" w:lineRule="exact"/>
        <w:ind w:right="0"/>
        <w:jc w:val="both"/>
      </w:pPr>
      <w:r>
        <w:rPr>
          <w:spacing w:val="-3"/>
        </w:rPr>
        <w:t>动计入当期损益的金融资产、持有至到期投资、贷款和应收款项以及可供出售金融资产。</w:t>
      </w:r>
    </w:p>
    <w:p>
      <w:pPr>
        <w:pStyle w:val="BodyText"/>
        <w:spacing w:line="355" w:lineRule="auto" w:before="120"/>
        <w:ind w:left="580" w:right="0"/>
        <w:jc w:val="left"/>
      </w:pPr>
      <w:r>
        <w:rPr>
          <w:spacing w:val="-3"/>
        </w:rPr>
        <w:t>①以公允价值计量且其变动计入当期损益的金融资产</w:t>
      </w:r>
      <w:r>
        <w:rPr>
          <w:spacing w:val="-21"/>
        </w:rPr>
        <w:t> </w:t>
      </w:r>
      <w:r>
        <w:rPr>
          <w:spacing w:val="-21"/>
        </w:rPr>
      </w:r>
      <w:r>
        <w:rPr>
          <w:spacing w:val="-3"/>
        </w:rPr>
        <w:t>包括交易性金融资产和指定为以公允价值计量且其变动计入当期损益的金融资产。</w:t>
      </w:r>
      <w:r>
        <w:rPr>
          <w:spacing w:val="14"/>
        </w:rPr>
        <w:t> </w:t>
      </w:r>
      <w:r>
        <w:rPr>
          <w:spacing w:val="14"/>
        </w:rPr>
      </w:r>
      <w:r>
        <w:rPr>
          <w:spacing w:val="-2"/>
        </w:rPr>
        <w:t>交易性金融资产是指满足下列条件之一的金融资产：</w:t>
      </w:r>
      <w:r>
        <w:rPr>
          <w:rFonts w:ascii="宋体" w:hAnsi="宋体" w:cs="宋体" w:eastAsia="宋体" w:hint="default"/>
          <w:spacing w:val="-2"/>
        </w:rPr>
        <w:t>A.</w:t>
      </w:r>
      <w:r>
        <w:rPr>
          <w:spacing w:val="-2"/>
        </w:rPr>
        <w:t>取得该金融资产的目的，主要是为了近期内出售；</w:t>
      </w:r>
      <w:r>
        <w:rPr>
          <w:rFonts w:ascii="宋体" w:hAnsi="宋体" w:cs="宋体" w:eastAsia="宋体" w:hint="default"/>
          <w:spacing w:val="-2"/>
        </w:rPr>
        <w:t>B.</w:t>
      </w:r>
      <w:r>
        <w:rPr>
          <w:spacing w:val="-2"/>
        </w:rPr>
        <w:t>属于进行</w:t>
      </w:r>
    </w:p>
    <w:p>
      <w:pPr>
        <w:pStyle w:val="BodyText"/>
        <w:spacing w:line="321" w:lineRule="auto"/>
        <w:ind w:right="1122"/>
        <w:jc w:val="both"/>
      </w:pPr>
      <w:r>
        <w:rPr>
          <w:spacing w:val="-4"/>
        </w:rPr>
        <w:t>集中管理的可辨认金融工具组合的一部分，且有客观证据表明本公司近期采用短期获利方式对该组合进行管理；</w:t>
      </w:r>
      <w:r>
        <w:rPr>
          <w:rFonts w:ascii="宋体" w:hAnsi="宋体" w:cs="宋体" w:eastAsia="宋体" w:hint="default"/>
          <w:spacing w:val="-4"/>
        </w:rPr>
        <w:t>C.</w:t>
      </w:r>
      <w:r>
        <w:rPr>
          <w:spacing w:val="-4"/>
        </w:rPr>
        <w:t>属于衍生</w:t>
      </w:r>
      <w:r>
        <w:rPr>
          <w:spacing w:val="49"/>
        </w:rPr>
        <w:t> </w:t>
      </w:r>
      <w:r>
        <w:rPr>
          <w:spacing w:val="49"/>
        </w:rPr>
      </w:r>
      <w:r>
        <w:rPr>
          <w:spacing w:val="-4"/>
        </w:rPr>
        <w:t>工具，但是，被指定且为有效套期工具的衍生工具、属于财务担保合同的衍生工具、与在活跃市场中没有报价且其公允价值</w:t>
      </w:r>
      <w:r>
        <w:rPr>
          <w:spacing w:val="41"/>
        </w:rPr>
        <w:t> </w:t>
      </w:r>
      <w:r>
        <w:rPr>
          <w:spacing w:val="41"/>
        </w:rPr>
      </w:r>
      <w:r>
        <w:rPr>
          <w:spacing w:val="-3"/>
        </w:rPr>
        <w:t>不能可靠计量的权益工具投资挂钩并须通过交付该权益工具结算的衍生工具除外。</w:t>
      </w:r>
    </w:p>
    <w:p>
      <w:pPr>
        <w:pStyle w:val="BodyText"/>
        <w:spacing w:line="319" w:lineRule="auto" w:before="53"/>
        <w:ind w:right="1122" w:firstLine="427"/>
        <w:jc w:val="both"/>
      </w:pPr>
      <w:r>
        <w:rPr>
          <w:spacing w:val="-2"/>
        </w:rPr>
        <w:t>符合下述条件之一的金融资产，在初始确认时可指定为以公允价值计量且其变动计入当期损益的金融资产：</w:t>
      </w:r>
      <w:r>
        <w:rPr>
          <w:rFonts w:ascii="宋体" w:hAnsi="宋体" w:cs="宋体" w:eastAsia="宋体" w:hint="default"/>
          <w:spacing w:val="-2"/>
        </w:rPr>
        <w:t>A.</w:t>
      </w:r>
      <w:r>
        <w:rPr>
          <w:spacing w:val="-2"/>
        </w:rPr>
        <w:t>该指定</w:t>
      </w:r>
      <w:r>
        <w:rPr>
          <w:w w:val="101"/>
        </w:rPr>
        <w:t> </w:t>
      </w:r>
      <w:r>
        <w:rPr>
          <w:spacing w:val="-4"/>
          <w:w w:val="101"/>
        </w:rPr>
        <w:t>可以消除或明显减少由于该金融资产的计量基础不同所导致的相关利得或损失在确认或计量方面不一致的情况；</w:t>
      </w:r>
      <w:r>
        <w:rPr>
          <w:rFonts w:ascii="宋体" w:hAnsi="宋体" w:cs="宋体" w:eastAsia="宋体" w:hint="default"/>
          <w:spacing w:val="-4"/>
          <w:w w:val="101"/>
        </w:rPr>
        <w:t>B.</w:t>
      </w:r>
      <w:r>
        <w:rPr>
          <w:spacing w:val="-4"/>
          <w:w w:val="101"/>
        </w:rPr>
        <w:t>本公司风</w:t>
      </w:r>
      <w:r>
        <w:rPr>
          <w:spacing w:val="-87"/>
          <w:w w:val="101"/>
        </w:rPr>
        <w:t> </w:t>
      </w:r>
      <w:r>
        <w:rPr>
          <w:spacing w:val="-87"/>
          <w:w w:val="101"/>
        </w:rPr>
      </w:r>
      <w:r>
        <w:rPr>
          <w:spacing w:val="-4"/>
          <w:w w:val="101"/>
        </w:rPr>
        <w:t>险管理或投资策略的正式书面文件已载明，对该金融资产所在的金融资产组合或金融资产和金融负债组合以公允价值为基础</w:t>
      </w:r>
      <w:r>
        <w:rPr>
          <w:w w:val="101"/>
        </w:rPr>
        <w:t> </w:t>
      </w:r>
      <w:r>
        <w:rPr>
          <w:spacing w:val="-3"/>
        </w:rPr>
        <w:t>进行管理、评价并向关键管理人员报告。</w:t>
      </w:r>
    </w:p>
    <w:p>
      <w:pPr>
        <w:pStyle w:val="BodyText"/>
        <w:spacing w:line="321" w:lineRule="auto" w:before="51"/>
        <w:ind w:right="1123" w:firstLine="427"/>
        <w:jc w:val="both"/>
      </w:pPr>
      <w:r>
        <w:rPr>
          <w:spacing w:val="-2"/>
        </w:rPr>
        <w:t>以公允价值计量且其变动计入当期损益的金融资产采用公允价值进行后续计量，公允价值变动形成的利得或损失以及</w:t>
      </w:r>
      <w:r>
        <w:rPr>
          <w:w w:val="101"/>
        </w:rPr>
        <w:t> </w:t>
      </w:r>
      <w:r>
        <w:rPr>
          <w:spacing w:val="-3"/>
        </w:rPr>
        <w:t>与该等金融资产相关的股利和利息收入计入当期损益。</w:t>
      </w:r>
    </w:p>
    <w:p>
      <w:pPr>
        <w:pStyle w:val="BodyText"/>
        <w:spacing w:line="357" w:lineRule="auto" w:before="53"/>
        <w:ind w:left="580" w:right="1037"/>
        <w:jc w:val="left"/>
      </w:pPr>
      <w:r>
        <w:rPr/>
        <w:t>②持有至到期投资</w:t>
      </w:r>
      <w:r>
        <w:rPr>
          <w:spacing w:val="-86"/>
        </w:rPr>
        <w:t> </w:t>
      </w:r>
      <w:r>
        <w:rPr>
          <w:spacing w:val="-86"/>
        </w:rPr>
      </w:r>
      <w:r>
        <w:rPr>
          <w:spacing w:val="-3"/>
        </w:rPr>
        <w:t>是指到期日固定、回收金额固定或可确定，且本公司有明确意图和能力持有至到期的非衍生金融资产。</w:t>
      </w:r>
      <w:r>
        <w:rPr>
          <w:spacing w:val="42"/>
        </w:rPr>
        <w:t> </w:t>
      </w:r>
      <w:r>
        <w:rPr>
          <w:spacing w:val="42"/>
        </w:rPr>
      </w:r>
      <w:r>
        <w:rPr>
          <w:spacing w:val="-2"/>
        </w:rPr>
        <w:t>持有至到期投资采用实际利率法，按摊余成本进行后续计量，在终止确认、发生减值或摊销时产生的利得或损失，计</w:t>
      </w:r>
    </w:p>
    <w:p>
      <w:pPr>
        <w:pStyle w:val="BodyText"/>
        <w:spacing w:line="229" w:lineRule="exact"/>
        <w:ind w:right="0"/>
        <w:jc w:val="both"/>
      </w:pPr>
      <w:r>
        <w:rPr/>
        <w:t>入当期损益。</w:t>
      </w:r>
    </w:p>
    <w:p>
      <w:pPr>
        <w:pStyle w:val="BodyText"/>
        <w:spacing w:line="319" w:lineRule="auto" w:before="110"/>
        <w:ind w:right="1122" w:firstLine="427"/>
        <w:jc w:val="both"/>
      </w:pPr>
      <w:r>
        <w:rPr>
          <w:spacing w:val="-2"/>
        </w:rPr>
        <w:t>实际利率法是指按照金融资产或金融负债（含一组金融资产或金融负债）的实际利率计算其摊余成本及各期利息收入</w:t>
      </w:r>
      <w:r>
        <w:rPr>
          <w:w w:val="101"/>
        </w:rPr>
        <w:t> </w:t>
      </w:r>
      <w:r>
        <w:rPr>
          <w:spacing w:val="-4"/>
        </w:rPr>
        <w:t>或支出的方法。实际利率是指将金融资产或金融负债在预期存续期间或适用的更短期间内的未来现金流量，折现为该金融资</w:t>
      </w:r>
      <w:r>
        <w:rPr>
          <w:spacing w:val="44"/>
        </w:rPr>
        <w:t> </w:t>
      </w:r>
      <w:r>
        <w:rPr>
          <w:spacing w:val="44"/>
        </w:rPr>
      </w:r>
      <w:r>
        <w:rPr>
          <w:spacing w:val="-3"/>
        </w:rPr>
        <w:t>产或金融负债当前账面价值所使用的利率。</w:t>
      </w:r>
    </w:p>
    <w:p>
      <w:pPr>
        <w:pStyle w:val="BodyText"/>
        <w:spacing w:line="321" w:lineRule="auto" w:before="55"/>
        <w:ind w:right="1124" w:firstLine="427"/>
        <w:jc w:val="both"/>
      </w:pPr>
      <w:r>
        <w:rPr>
          <w:spacing w:val="-2"/>
        </w:rPr>
        <w:t>在计算实际利率时，本公司将在考虑金融资产或金融负债所有合同条款的基础上预计未来现金流量（不考虑未来的信</w:t>
      </w:r>
      <w:r>
        <w:rPr>
          <w:w w:val="101"/>
        </w:rPr>
        <w:t> </w:t>
      </w:r>
      <w:r>
        <w:rPr>
          <w:spacing w:val="-4"/>
          <w:w w:val="101"/>
        </w:rPr>
        <w:t>用损失），同时还将考虑金融资产或金融负债合同各方之间支付或收取的、属于实际利率组成部分的各项收费、交易费用及</w:t>
      </w:r>
      <w:r>
        <w:rPr>
          <w:w w:val="101"/>
        </w:rPr>
        <w:t> </w:t>
      </w:r>
      <w:r>
        <w:rPr>
          <w:spacing w:val="-3"/>
        </w:rPr>
        <w:t>折价或溢价等。</w:t>
      </w:r>
    </w:p>
    <w:p>
      <w:pPr>
        <w:pStyle w:val="BodyText"/>
        <w:spacing w:line="240" w:lineRule="auto" w:before="53"/>
        <w:ind w:left="580" w:right="0"/>
        <w:jc w:val="left"/>
      </w:pPr>
      <w:r>
        <w:rPr/>
        <w:t>③贷款和应收款项</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21" w:lineRule="auto" w:before="46"/>
        <w:ind w:right="0" w:firstLine="427"/>
        <w:jc w:val="left"/>
      </w:pPr>
      <w:r>
        <w:rPr>
          <w:spacing w:val="-2"/>
        </w:rPr>
        <w:t>是指在活跃市场中没有报价、回收金额固定或可确定的非衍生金融资产。本公司划分为贷款和应收款的金融资产包括</w:t>
      </w:r>
      <w:r>
        <w:rPr>
          <w:w w:val="101"/>
        </w:rPr>
        <w:t> </w:t>
      </w:r>
      <w:r>
        <w:rPr>
          <w:spacing w:val="-3"/>
        </w:rPr>
        <w:t>应收票据、应收账款、应收利息、应收股利及其他应收款等。</w:t>
      </w:r>
    </w:p>
    <w:p>
      <w:pPr>
        <w:pStyle w:val="BodyText"/>
        <w:spacing w:line="324" w:lineRule="auto" w:before="49"/>
        <w:ind w:right="1037" w:firstLine="427"/>
        <w:jc w:val="left"/>
      </w:pPr>
      <w:r>
        <w:rPr>
          <w:spacing w:val="-2"/>
        </w:rPr>
        <w:t>贷款和应收款项采用实际利率法，按摊余成本进行后续计量，在终止确认、发生减值或摊销时产生的利得或损失，计</w:t>
      </w:r>
      <w:r>
        <w:rPr>
          <w:w w:val="101"/>
        </w:rPr>
        <w:t> </w:t>
      </w:r>
      <w:r>
        <w:rPr/>
        <w:t>入当期损益。</w:t>
      </w:r>
    </w:p>
    <w:p>
      <w:pPr>
        <w:pStyle w:val="BodyText"/>
        <w:spacing w:line="352" w:lineRule="auto" w:before="56"/>
        <w:ind w:left="580" w:right="0"/>
        <w:jc w:val="left"/>
      </w:pPr>
      <w:r>
        <w:rPr>
          <w:spacing w:val="-3"/>
        </w:rPr>
        <w:t>④可供出售金融资产</w:t>
      </w:r>
      <w:r>
        <w:rPr>
          <w:spacing w:val="-62"/>
        </w:rPr>
        <w:t> </w:t>
      </w:r>
      <w:r>
        <w:rPr>
          <w:spacing w:val="-62"/>
        </w:rPr>
      </w:r>
      <w:r>
        <w:rPr>
          <w:spacing w:val="-4"/>
        </w:rPr>
        <w:t>包括初始确认时即被指定为可供出售的非衍生金融资产，以及除了以公允价值计量且其变动计入当期损益的金融资产、</w:t>
      </w:r>
    </w:p>
    <w:p>
      <w:pPr>
        <w:pStyle w:val="BodyText"/>
        <w:spacing w:line="352" w:lineRule="auto"/>
        <w:ind w:left="580" w:right="0" w:hanging="428"/>
        <w:jc w:val="left"/>
      </w:pPr>
      <w:r>
        <w:rPr>
          <w:spacing w:val="-3"/>
        </w:rPr>
        <w:t>贷款和应收款项、持有至到期投资以外的金融资产。</w:t>
      </w:r>
      <w:r>
        <w:rPr>
          <w:spacing w:val="-21"/>
        </w:rPr>
        <w:t> </w:t>
      </w:r>
      <w:r>
        <w:rPr>
          <w:spacing w:val="-21"/>
        </w:rPr>
      </w:r>
      <w:r>
        <w:rPr>
          <w:spacing w:val="-2"/>
        </w:rPr>
        <w:t>可供出售债务工具投资的期末成本按照其摊余成本法确定，即初始确认金额扣除已偿还的本金，加上或减去采用实际</w:t>
      </w:r>
    </w:p>
    <w:p>
      <w:pPr>
        <w:pStyle w:val="BodyText"/>
        <w:spacing w:line="321" w:lineRule="auto"/>
        <w:ind w:right="0"/>
        <w:jc w:val="left"/>
      </w:pPr>
      <w:r>
        <w:rPr>
          <w:spacing w:val="-4"/>
        </w:rPr>
        <w:t>利率法将该初始确认金额与到期日金额之间的差额进行摊销形成的累计摊销额，并扣除已发生的减值损失后的金额。可供出</w:t>
      </w:r>
      <w:r>
        <w:rPr>
          <w:spacing w:val="38"/>
        </w:rPr>
        <w:t> </w:t>
      </w:r>
      <w:r>
        <w:rPr>
          <w:spacing w:val="38"/>
        </w:rPr>
      </w:r>
      <w:r>
        <w:rPr>
          <w:spacing w:val="-3"/>
        </w:rPr>
        <w:t>售权益工具投资的期末成本为其初始取得成本。</w:t>
      </w:r>
    </w:p>
    <w:p>
      <w:pPr>
        <w:pStyle w:val="BodyText"/>
        <w:spacing w:line="319" w:lineRule="auto" w:before="53"/>
        <w:ind w:right="0" w:firstLine="427"/>
        <w:jc w:val="left"/>
      </w:pPr>
      <w:r>
        <w:rPr>
          <w:spacing w:val="-2"/>
        </w:rPr>
        <w:t>可供出售金融资产采用公允价值进行后续计量，公允价值变动形成的利得或损失，除减值损失和外币货币性金融资产</w:t>
      </w:r>
      <w:r>
        <w:rPr>
          <w:w w:val="101"/>
        </w:rPr>
        <w:t> </w:t>
      </w:r>
      <w:r>
        <w:rPr>
          <w:spacing w:val="-3"/>
        </w:rPr>
        <w:t>与摊余成本相关的汇兑差额计入当期损益外，确认为其他综合收益，在该金融资产终止确认时转出，计入当期损益。但是，</w:t>
      </w:r>
      <w:r>
        <w:rPr>
          <w:spacing w:val="66"/>
        </w:rPr>
        <w:t> </w:t>
      </w:r>
      <w:r>
        <w:rPr>
          <w:spacing w:val="66"/>
        </w:rPr>
      </w:r>
      <w:r>
        <w:rPr>
          <w:spacing w:val="-4"/>
          <w:w w:val="101"/>
        </w:rPr>
        <w:t>在活跃市场中没有报价且其公允价值不能可靠计量的权益工具投资，以及与该权益工具挂钩并须通过交付该权益工具结算的</w:t>
      </w:r>
      <w:r>
        <w:rPr>
          <w:w w:val="101"/>
        </w:rPr>
        <w:t> </w:t>
      </w:r>
      <w:r>
        <w:rPr>
          <w:spacing w:val="-3"/>
        </w:rPr>
        <w:t>衍生金融资产，按照成本进行后续计量。</w:t>
      </w:r>
    </w:p>
    <w:p>
      <w:pPr>
        <w:pStyle w:val="BodyText"/>
        <w:spacing w:line="352" w:lineRule="auto" w:before="55"/>
        <w:ind w:left="580" w:right="1054"/>
        <w:jc w:val="left"/>
      </w:pPr>
      <w:r>
        <w:rPr>
          <w:spacing w:val="-3"/>
        </w:rPr>
        <w:t>可供出售金融资产持有期间取得的利息及被投资单位宣告发放的现金股利，计入投资收益。</w:t>
      </w:r>
      <w:r>
        <w:rPr>
          <w:spacing w:val="25"/>
        </w:rPr>
        <w:t> </w:t>
      </w:r>
      <w:r>
        <w:rPr>
          <w:spacing w:val="25"/>
        </w:rPr>
      </w:r>
      <w:r>
        <w:rPr>
          <w:spacing w:val="-3"/>
        </w:rPr>
        <w:t>因持有意图或能力发生改变，或公允价值不再能够可靠计量，或根据《企业会计准则第 </w:t>
      </w:r>
      <w:r>
        <w:rPr>
          <w:rFonts w:ascii="宋体" w:hAnsi="宋体" w:cs="宋体" w:eastAsia="宋体" w:hint="default"/>
        </w:rPr>
        <w:t>22</w:t>
      </w:r>
      <w:r>
        <w:rPr>
          <w:rFonts w:ascii="宋体" w:hAnsi="宋体" w:cs="宋体" w:eastAsia="宋体" w:hint="default"/>
          <w:spacing w:val="63"/>
        </w:rPr>
        <w:t> </w:t>
      </w:r>
      <w:r>
        <w:rPr>
          <w:spacing w:val="-3"/>
        </w:rPr>
        <w:t>号—金融工具确认和计量》</w:t>
      </w:r>
    </w:p>
    <w:p>
      <w:pPr>
        <w:pStyle w:val="BodyText"/>
        <w:spacing w:line="319" w:lineRule="auto"/>
        <w:ind w:right="1124"/>
        <w:jc w:val="both"/>
      </w:pPr>
      <w:r>
        <w:rPr>
          <w:spacing w:val="-4"/>
          <w:w w:val="101"/>
        </w:rPr>
        <w:t>第十六条规定将持有至到期投资重分类为可供出售金融资产的期限已超过两个完整的会计年度，使金融资产不再适合按照公</w:t>
      </w:r>
      <w:r>
        <w:rPr>
          <w:w w:val="101"/>
        </w:rPr>
        <w:t> </w:t>
      </w:r>
      <w:r>
        <w:rPr>
          <w:spacing w:val="-4"/>
        </w:rPr>
        <w:t>允价值计量时，本公司将可供出售金融资产改按成本或摊余成本计量。重分类日，该金融资产的成本或摊余成本为该日的公</w:t>
      </w:r>
      <w:r>
        <w:rPr>
          <w:spacing w:val="43"/>
        </w:rPr>
        <w:t> </w:t>
      </w:r>
      <w:r>
        <w:rPr>
          <w:spacing w:val="43"/>
        </w:rPr>
      </w:r>
      <w:r>
        <w:rPr>
          <w:spacing w:val="-3"/>
        </w:rPr>
        <w:t>允价值或账面价值。</w:t>
      </w:r>
    </w:p>
    <w:p>
      <w:pPr>
        <w:pStyle w:val="BodyText"/>
        <w:spacing w:line="319" w:lineRule="auto" w:before="56"/>
        <w:ind w:right="0" w:firstLine="427"/>
        <w:jc w:val="left"/>
      </w:pPr>
      <w:r>
        <w:rPr>
          <w:spacing w:val="-2"/>
        </w:rPr>
        <w:t>该金融资产有固定到期日的，与该金融资产相关、原计入其他综合收益的利得或损失，在该金融资产的剩余期限内，</w:t>
      </w:r>
      <w:r>
        <w:rPr>
          <w:w w:val="101"/>
        </w:rPr>
        <w:t> </w:t>
      </w:r>
      <w:r>
        <w:rPr>
          <w:spacing w:val="-4"/>
        </w:rPr>
        <w:t>采用实际利率法摊销，计入当期损益；该金融资产的摊余成本与到期日金额之间的差额，在该金融资产的剩余期限内，采用</w:t>
      </w:r>
      <w:r>
        <w:rPr>
          <w:spacing w:val="40"/>
        </w:rPr>
        <w:t> </w:t>
      </w:r>
      <w:r>
        <w:rPr>
          <w:spacing w:val="40"/>
        </w:rPr>
      </w:r>
      <w:r>
        <w:rPr>
          <w:spacing w:val="-3"/>
        </w:rPr>
        <w:t>实际利率法摊销，计入当期损益。该金融资产没有固定到期日的，原计入其他综合收益的利得或损失仍保留在股东权益中，</w:t>
      </w:r>
      <w:r>
        <w:rPr>
          <w:spacing w:val="67"/>
        </w:rPr>
        <w:t> </w:t>
      </w:r>
      <w:r>
        <w:rPr>
          <w:spacing w:val="67"/>
        </w:rPr>
      </w:r>
      <w:r>
        <w:rPr>
          <w:spacing w:val="-3"/>
        </w:rPr>
        <w:t>在该金融资产被处置时转出，计入当期损益。</w:t>
      </w:r>
    </w:p>
    <w:p>
      <w:pPr>
        <w:pStyle w:val="BodyText"/>
        <w:spacing w:line="352" w:lineRule="auto" w:before="55"/>
        <w:ind w:left="580" w:right="0"/>
        <w:jc w:val="left"/>
      </w:pPr>
      <w:r>
        <w:rPr/>
        <w:t>（</w:t>
      </w:r>
      <w:r>
        <w:rPr>
          <w:rFonts w:ascii="宋体" w:hAnsi="宋体" w:cs="宋体" w:eastAsia="宋体" w:hint="default"/>
        </w:rPr>
        <w:t>3</w:t>
      </w:r>
      <w:r>
        <w:rPr/>
        <w:t>）金融资产减值</w:t>
      </w:r>
      <w:r>
        <w:rPr>
          <w:spacing w:val="-85"/>
        </w:rPr>
        <w:t> </w:t>
      </w:r>
      <w:r>
        <w:rPr>
          <w:spacing w:val="-85"/>
        </w:rPr>
      </w:r>
      <w:r>
        <w:rPr>
          <w:spacing w:val="-2"/>
        </w:rPr>
        <w:t>除了以公允价值计量且其变动计入当期损益的金融资产外，本公司在每个资产负债表日对其他金融资产的账面价值进</w:t>
      </w:r>
    </w:p>
    <w:p>
      <w:pPr>
        <w:pStyle w:val="BodyText"/>
        <w:spacing w:line="357" w:lineRule="auto"/>
        <w:ind w:left="580" w:right="0" w:hanging="428"/>
        <w:jc w:val="left"/>
      </w:pPr>
      <w:r>
        <w:rPr>
          <w:spacing w:val="-3"/>
        </w:rPr>
        <w:t>行检查，有客观证据表明金融资产发生减值的，计提减值准备。</w:t>
      </w:r>
      <w:r>
        <w:rPr>
          <w:spacing w:val="-9"/>
        </w:rPr>
        <w:t> </w:t>
      </w:r>
      <w:r>
        <w:rPr>
          <w:spacing w:val="-9"/>
        </w:rPr>
      </w:r>
      <w:r>
        <w:rPr>
          <w:spacing w:val="-2"/>
        </w:rPr>
        <w:t>本公司对单项金额重大的金融资产单独进行减值测试；对单项金额不重大的金融资产，单独进行减值测试或包括在具</w:t>
      </w:r>
    </w:p>
    <w:p>
      <w:pPr>
        <w:pStyle w:val="BodyText"/>
        <w:spacing w:line="224" w:lineRule="exact"/>
        <w:ind w:right="0"/>
        <w:jc w:val="left"/>
      </w:pPr>
      <w:r>
        <w:rPr>
          <w:spacing w:val="-4"/>
        </w:rPr>
        <w:t>有类似信用风险特征的金融资产组合中进行减值测试。单独测试未发生减值的金融资产（包括单项金额重大和不重大的金融</w:t>
      </w:r>
    </w:p>
    <w:p>
      <w:pPr>
        <w:pStyle w:val="BodyText"/>
        <w:spacing w:line="324" w:lineRule="auto" w:before="76"/>
        <w:ind w:right="1117"/>
        <w:jc w:val="left"/>
      </w:pPr>
      <w:r>
        <w:rPr>
          <w:spacing w:val="-4"/>
          <w:w w:val="101"/>
        </w:rPr>
        <w:t>资产），包括在具有类似信用风险特征的金融资产组合中再进行减值测试。已单项确认减值损失的金融资产，不包括在具有</w:t>
      </w:r>
      <w:r>
        <w:rPr>
          <w:w w:val="101"/>
        </w:rPr>
        <w:t> </w:t>
      </w:r>
      <w:r>
        <w:rPr>
          <w:spacing w:val="-3"/>
        </w:rPr>
        <w:t>类似信用风险特征的金融资产组合中进行减值测试。</w:t>
      </w:r>
    </w:p>
    <w:p>
      <w:pPr>
        <w:pStyle w:val="BodyText"/>
        <w:spacing w:line="352" w:lineRule="auto" w:before="52"/>
        <w:ind w:left="580" w:right="0"/>
        <w:jc w:val="left"/>
      </w:pPr>
      <w:r>
        <w:rPr>
          <w:spacing w:val="-3"/>
        </w:rPr>
        <w:t>①持有至到期投资、贷款和应收款项减值</w:t>
      </w:r>
      <w:r>
        <w:rPr>
          <w:spacing w:val="-33"/>
        </w:rPr>
        <w:t> </w:t>
      </w:r>
      <w:r>
        <w:rPr>
          <w:spacing w:val="-33"/>
        </w:rPr>
      </w:r>
      <w:r>
        <w:rPr>
          <w:spacing w:val="-2"/>
        </w:rPr>
        <w:t>以成本或摊余成本计量的金融资产将其账面价值减记至预计未来现金流量现值，减记金额确认为减值损失，计入当期</w:t>
      </w:r>
    </w:p>
    <w:p>
      <w:pPr>
        <w:pStyle w:val="BodyText"/>
        <w:spacing w:line="321" w:lineRule="auto"/>
        <w:ind w:right="1037"/>
        <w:jc w:val="left"/>
      </w:pPr>
      <w:r>
        <w:rPr>
          <w:spacing w:val="-3"/>
        </w:rPr>
        <w:t>损益。金融资产在确认减值损失后，如有客观证据表明该金融资产价值已恢复，且客观上与确认该损失后发生的事项有关，</w:t>
      </w:r>
      <w:r>
        <w:rPr>
          <w:spacing w:val="66"/>
        </w:rPr>
        <w:t> </w:t>
      </w:r>
      <w:r>
        <w:rPr>
          <w:spacing w:val="66"/>
        </w:rPr>
      </w:r>
      <w:r>
        <w:rPr>
          <w:spacing w:val="-4"/>
          <w:w w:val="101"/>
        </w:rPr>
        <w:t>原确认的减值损失予以转回，金融资产转回减值损失后的账面价值不超过假定不计提减值准备情况下该金融资产在转回日的</w:t>
      </w:r>
      <w:r>
        <w:rPr>
          <w:w w:val="101"/>
        </w:rPr>
        <w:t> </w:t>
      </w:r>
      <w:r>
        <w:rPr/>
        <w:t>摊余成本。</w:t>
      </w:r>
    </w:p>
    <w:p>
      <w:pPr>
        <w:pStyle w:val="BodyText"/>
        <w:spacing w:line="352" w:lineRule="auto" w:before="58"/>
        <w:ind w:left="580" w:right="0"/>
        <w:jc w:val="left"/>
      </w:pPr>
      <w:r>
        <w:rPr>
          <w:spacing w:val="-3"/>
        </w:rPr>
        <w:t>②可供出售金融资产减值</w:t>
      </w:r>
      <w:r>
        <w:rPr>
          <w:spacing w:val="-56"/>
        </w:rPr>
        <w:t> </w:t>
      </w:r>
      <w:r>
        <w:rPr>
          <w:spacing w:val="-56"/>
        </w:rPr>
      </w:r>
      <w:r>
        <w:rPr>
          <w:spacing w:val="-2"/>
        </w:rPr>
        <w:t>当综合相关因素判断可供出售权益工具投资公允价值下跌是严重或非暂时性下跌时，表明该可供出售权益工具投资发</w:t>
      </w:r>
    </w:p>
    <w:p>
      <w:pPr>
        <w:pStyle w:val="BodyText"/>
        <w:spacing w:line="352" w:lineRule="auto"/>
        <w:ind w:left="580" w:right="0" w:hanging="428"/>
        <w:jc w:val="left"/>
      </w:pPr>
      <w:r>
        <w:rPr>
          <w:spacing w:val="-6"/>
          <w:w w:val="101"/>
        </w:rPr>
        <w:t>生减值。其中“严重下跌”是指公允价值下跌幅度累计超过</w:t>
      </w:r>
      <w:r>
        <w:rPr>
          <w:spacing w:val="-41"/>
          <w:w w:val="101"/>
        </w:rPr>
        <w:t> </w:t>
      </w:r>
      <w:r>
        <w:rPr>
          <w:rFonts w:ascii="宋体" w:hAnsi="宋体" w:cs="宋体" w:eastAsia="宋体" w:hint="default"/>
          <w:spacing w:val="-8"/>
          <w:w w:val="101"/>
        </w:rPr>
        <w:t>20%</w:t>
      </w:r>
      <w:r>
        <w:rPr>
          <w:spacing w:val="-8"/>
          <w:w w:val="101"/>
        </w:rPr>
        <w:t>；“非暂时性下跌”是指公允价值连续下跌时间超过</w:t>
      </w:r>
      <w:r>
        <w:rPr>
          <w:spacing w:val="-41"/>
          <w:w w:val="101"/>
        </w:rPr>
        <w:t> </w:t>
      </w:r>
      <w:r>
        <w:rPr>
          <w:rFonts w:ascii="宋体" w:hAnsi="宋体" w:cs="宋体" w:eastAsia="宋体" w:hint="default"/>
          <w:w w:val="101"/>
        </w:rPr>
        <w:t>12</w:t>
      </w:r>
      <w:r>
        <w:rPr>
          <w:rFonts w:ascii="宋体" w:hAnsi="宋体" w:cs="宋体" w:eastAsia="宋体" w:hint="default"/>
          <w:spacing w:val="-41"/>
          <w:w w:val="101"/>
        </w:rPr>
        <w:t> </w:t>
      </w:r>
      <w:r>
        <w:rPr>
          <w:spacing w:val="-2"/>
          <w:w w:val="101"/>
        </w:rPr>
        <w:t>个月。</w:t>
      </w:r>
      <w:r>
        <w:rPr>
          <w:spacing w:val="-88"/>
          <w:w w:val="101"/>
        </w:rPr>
        <w:t> </w:t>
      </w:r>
      <w:r>
        <w:rPr>
          <w:spacing w:val="-88"/>
          <w:w w:val="101"/>
        </w:rPr>
      </w:r>
      <w:r>
        <w:rPr>
          <w:spacing w:val="-2"/>
        </w:rPr>
        <w:t>可供出售金融资产发生减值时，将原计入其他综合收益的因公允价值下降形成的累计损失予以转出并计入当期损益，</w:t>
      </w:r>
    </w:p>
    <w:p>
      <w:pPr>
        <w:pStyle w:val="BodyText"/>
        <w:spacing w:line="321" w:lineRule="auto"/>
        <w:ind w:right="1037"/>
        <w:jc w:val="left"/>
      </w:pPr>
      <w:r>
        <w:rPr>
          <w:spacing w:val="-1"/>
        </w:rPr>
        <w:t>该转出的累计损失为该资产初始取得成本扣除已收回本金和已摊销金额、当前公允价值和原已计入损益的减值损失后的余</w:t>
      </w:r>
      <w:r>
        <w:rPr>
          <w:spacing w:val="65"/>
        </w:rPr>
        <w:t> </w:t>
      </w:r>
      <w:r>
        <w:rPr>
          <w:spacing w:val="65"/>
        </w:rPr>
      </w:r>
      <w:r>
        <w:rPr/>
        <w:t>额。</w:t>
      </w:r>
    </w:p>
    <w:p>
      <w:pPr>
        <w:pStyle w:val="BodyText"/>
        <w:spacing w:line="240" w:lineRule="auto" w:before="53"/>
        <w:ind w:left="580" w:right="0"/>
        <w:jc w:val="left"/>
      </w:pPr>
      <w:r>
        <w:rPr/>
        <w:t>在确认减值损失后，期后如有客观证据表明该金融资产价值已恢复，且客观上与确认该损失后发生的事项有关，原确</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21" w:lineRule="auto" w:before="46"/>
        <w:ind w:right="1037"/>
        <w:jc w:val="left"/>
      </w:pPr>
      <w:r>
        <w:rPr>
          <w:spacing w:val="-4"/>
        </w:rPr>
        <w:t>认的减值损失予以转回，可供出售权益工具投资的减值损失转回确认为其他综合收益，可供出售债务工具的减值损失转回计</w:t>
      </w:r>
      <w:r>
        <w:rPr>
          <w:spacing w:val="44"/>
        </w:rPr>
        <w:t> </w:t>
      </w:r>
      <w:r>
        <w:rPr>
          <w:spacing w:val="44"/>
        </w:rPr>
      </w:r>
      <w:r>
        <w:rPr/>
        <w:t>入当期损益。</w:t>
      </w:r>
    </w:p>
    <w:p>
      <w:pPr>
        <w:pStyle w:val="BodyText"/>
        <w:spacing w:line="324" w:lineRule="auto" w:before="49"/>
        <w:ind w:right="1124" w:firstLine="427"/>
        <w:jc w:val="both"/>
      </w:pPr>
      <w:r>
        <w:rPr>
          <w:spacing w:val="-2"/>
        </w:rPr>
        <w:t>在活跃市场中没有报价且其公允价值不能可靠计量的权益工具投资，或与该权益工具挂钩并须通过交付该权益工具结</w:t>
      </w:r>
      <w:r>
        <w:rPr>
          <w:w w:val="101"/>
        </w:rPr>
        <w:t> </w:t>
      </w:r>
      <w:r>
        <w:rPr>
          <w:spacing w:val="-3"/>
        </w:rPr>
        <w:t>算的衍生金融资产的减值损失，不予转回。</w:t>
      </w:r>
    </w:p>
    <w:p>
      <w:pPr>
        <w:pStyle w:val="BodyText"/>
        <w:spacing w:line="352" w:lineRule="auto" w:before="56"/>
        <w:ind w:left="580" w:right="0"/>
        <w:jc w:val="left"/>
      </w:pPr>
      <w:r>
        <w:rPr>
          <w:spacing w:val="-3"/>
        </w:rPr>
        <w:t>（</w:t>
      </w:r>
      <w:r>
        <w:rPr>
          <w:rFonts w:ascii="宋体" w:hAnsi="宋体" w:cs="宋体" w:eastAsia="宋体" w:hint="default"/>
          <w:spacing w:val="-3"/>
        </w:rPr>
        <w:t>4</w:t>
      </w:r>
      <w:r>
        <w:rPr>
          <w:spacing w:val="-3"/>
        </w:rPr>
        <w:t>）金融资产转移的确认依据和计量方法</w:t>
      </w:r>
      <w:r>
        <w:rPr>
          <w:spacing w:val="-29"/>
        </w:rPr>
        <w:t> </w:t>
      </w:r>
      <w:r>
        <w:rPr>
          <w:spacing w:val="-29"/>
        </w:rPr>
      </w:r>
      <w:r>
        <w:rPr>
          <w:spacing w:val="-2"/>
        </w:rPr>
        <w:t>满足下列条件之一的金融资产，予以终止确认：①收取该金融资产现金流量的合同权利终止；②该金融资产已转移，</w:t>
      </w:r>
    </w:p>
    <w:p>
      <w:pPr>
        <w:pStyle w:val="BodyText"/>
        <w:spacing w:line="321" w:lineRule="auto"/>
        <w:ind w:right="0"/>
        <w:jc w:val="left"/>
      </w:pPr>
      <w:r>
        <w:rPr>
          <w:spacing w:val="-4"/>
        </w:rPr>
        <w:t>且将金融资产所有权上几乎所有的风险和报酬转移给转入方；③该金融资产已转移，虽然企业既没有转移也没有保留金融资</w:t>
      </w:r>
      <w:r>
        <w:rPr>
          <w:spacing w:val="44"/>
        </w:rPr>
        <w:t> </w:t>
      </w:r>
      <w:r>
        <w:rPr>
          <w:spacing w:val="44"/>
        </w:rPr>
      </w:r>
      <w:r>
        <w:rPr>
          <w:spacing w:val="-3"/>
        </w:rPr>
        <w:t>产所有权上几乎所有的风险和报酬，但是放弃了对该金融资产控制。</w:t>
      </w:r>
    </w:p>
    <w:p>
      <w:pPr>
        <w:pStyle w:val="BodyText"/>
        <w:spacing w:line="319" w:lineRule="auto" w:before="49"/>
        <w:ind w:right="1124" w:firstLine="427"/>
        <w:jc w:val="both"/>
      </w:pPr>
      <w:r>
        <w:rPr>
          <w:spacing w:val="-2"/>
        </w:rPr>
        <w:t>若企业既没有转移也没有保留金融资产所有权上几乎所有的风险和报酬，且未放弃对该金融资产的控制的，则按照继</w:t>
      </w:r>
      <w:r>
        <w:rPr>
          <w:w w:val="101"/>
        </w:rPr>
        <w:t> </w:t>
      </w:r>
      <w:r>
        <w:rPr>
          <w:spacing w:val="-4"/>
        </w:rPr>
        <w:t>续涉入所转移金融资产的程度确认有关金融资产，并相应确认有关负债。继续涉入所转移金融资产的程度，是指该金融资产</w:t>
      </w:r>
      <w:r>
        <w:rPr>
          <w:spacing w:val="43"/>
        </w:rPr>
        <w:t> </w:t>
      </w:r>
      <w:r>
        <w:rPr>
          <w:spacing w:val="43"/>
        </w:rPr>
      </w:r>
      <w:r>
        <w:rPr>
          <w:spacing w:val="-3"/>
        </w:rPr>
        <w:t>价值变动使企业面临的风险水平。</w:t>
      </w:r>
    </w:p>
    <w:p>
      <w:pPr>
        <w:pStyle w:val="BodyText"/>
        <w:spacing w:line="321" w:lineRule="auto" w:before="55"/>
        <w:ind w:right="1124" w:firstLine="427"/>
        <w:jc w:val="both"/>
      </w:pPr>
      <w:r>
        <w:rPr>
          <w:spacing w:val="-2"/>
        </w:rPr>
        <w:t>金融资产整体转移满足终止确认条件的，将所转移金融资产的账面价值及因转移而收到的对价与原计入其他综合收益</w:t>
      </w:r>
      <w:r>
        <w:rPr>
          <w:w w:val="101"/>
        </w:rPr>
        <w:t> </w:t>
      </w:r>
      <w:r>
        <w:rPr>
          <w:spacing w:val="-3"/>
        </w:rPr>
        <w:t>的公允价值变动累计额之和的差额计入当期损益。</w:t>
      </w:r>
    </w:p>
    <w:p>
      <w:pPr>
        <w:pStyle w:val="BodyText"/>
        <w:spacing w:line="319" w:lineRule="auto" w:before="49"/>
        <w:ind w:right="1124" w:firstLine="427"/>
        <w:jc w:val="both"/>
      </w:pPr>
      <w:r>
        <w:rPr>
          <w:spacing w:val="-2"/>
        </w:rPr>
        <w:t>金融资产部分转移满足终止确认条件的，将所转移金融资产的账面价值在终止确认及未终止确认部分之间按其相对的</w:t>
      </w:r>
      <w:r>
        <w:rPr>
          <w:w w:val="101"/>
        </w:rPr>
        <w:t> </w:t>
      </w:r>
      <w:r>
        <w:rPr>
          <w:spacing w:val="-4"/>
          <w:w w:val="101"/>
        </w:rPr>
        <w:t>公允价值进行分摊，并将因转移而收到的对价与应分摊至终止确认部分的原计入其他综合收益的公允价值变动累计额之和与</w:t>
      </w:r>
      <w:r>
        <w:rPr>
          <w:w w:val="101"/>
        </w:rPr>
        <w:t> </w:t>
      </w:r>
      <w:r>
        <w:rPr>
          <w:spacing w:val="-3"/>
        </w:rPr>
        <w:t>分摊的前述账面金额之差额计入当期损益。</w:t>
      </w:r>
    </w:p>
    <w:p>
      <w:pPr>
        <w:pStyle w:val="BodyText"/>
        <w:spacing w:line="319" w:lineRule="auto" w:before="50"/>
        <w:ind w:right="1123" w:firstLine="427"/>
        <w:jc w:val="both"/>
      </w:pPr>
      <w:r>
        <w:rPr>
          <w:spacing w:val="-2"/>
        </w:rPr>
        <w:t>本公司对采用附追索权方式出售的金融资产，或将持有的金融资产背书转让，需确定该金融资产所有权上几乎所有的</w:t>
      </w:r>
      <w:r>
        <w:rPr>
          <w:w w:val="101"/>
        </w:rPr>
        <w:t> </w:t>
      </w:r>
      <w:r>
        <w:rPr>
          <w:spacing w:val="-4"/>
        </w:rPr>
        <w:t>风险和报酬是否已经转移。已将该金融资产所有权上几乎所有的风险和报酬转移给转入方的，终止确认该金融资产；保留了</w:t>
      </w:r>
      <w:r>
        <w:rPr>
          <w:spacing w:val="43"/>
        </w:rPr>
        <w:t> </w:t>
      </w:r>
      <w:r>
        <w:rPr>
          <w:spacing w:val="43"/>
        </w:rPr>
      </w:r>
      <w:r>
        <w:rPr>
          <w:spacing w:val="-4"/>
        </w:rPr>
        <w:t>金融资产所有权上几乎所有的风险和报酬的，不终止确认该金融资产；既没有转移也没有保留金融资产所有权上几乎所有的</w:t>
      </w:r>
      <w:r>
        <w:rPr>
          <w:spacing w:val="43"/>
        </w:rPr>
        <w:t> </w:t>
      </w:r>
      <w:r>
        <w:rPr>
          <w:spacing w:val="43"/>
        </w:rPr>
      </w:r>
      <w:r>
        <w:rPr>
          <w:spacing w:val="-3"/>
        </w:rPr>
        <w:t>风险和报酬的，则继续判断企业是否对该资产保留了控制，并根据前面各段所述的原则进行会计处理。</w:t>
      </w:r>
    </w:p>
    <w:p>
      <w:pPr>
        <w:pStyle w:val="BodyText"/>
        <w:spacing w:line="352" w:lineRule="auto" w:before="60"/>
        <w:ind w:left="580" w:right="0"/>
        <w:jc w:val="left"/>
      </w:pPr>
      <w:r>
        <w:rPr/>
        <w:t>（</w:t>
      </w:r>
      <w:r>
        <w:rPr>
          <w:rFonts w:ascii="宋体" w:hAnsi="宋体" w:cs="宋体" w:eastAsia="宋体" w:hint="default"/>
        </w:rPr>
        <w:t>5</w:t>
      </w:r>
      <w:r>
        <w:rPr/>
        <w:t>）金融负债的分类和计量</w:t>
      </w:r>
      <w:r>
        <w:rPr>
          <w:spacing w:val="-85"/>
        </w:rPr>
        <w:t> </w:t>
      </w:r>
      <w:r>
        <w:rPr>
          <w:spacing w:val="-85"/>
        </w:rPr>
      </w:r>
      <w:r>
        <w:rPr>
          <w:spacing w:val="-4"/>
        </w:rPr>
        <w:t>金融负债在初始确认时划分为以公允价值计量且其变动计入当期损益的金融负债和其他金融负债。初始确认金融负债，</w:t>
      </w:r>
    </w:p>
    <w:p>
      <w:pPr>
        <w:pStyle w:val="BodyText"/>
        <w:spacing w:line="321" w:lineRule="auto"/>
        <w:ind w:right="0"/>
        <w:jc w:val="left"/>
      </w:pPr>
      <w:r>
        <w:rPr>
          <w:spacing w:val="-4"/>
        </w:rPr>
        <w:t>以公允价值计量。对于以公允价值计量且其变动计入当期损益的金融负债，相关的交易费用直接计入当期损益，对于其他金</w:t>
      </w:r>
      <w:r>
        <w:rPr>
          <w:spacing w:val="43"/>
        </w:rPr>
        <w:t> </w:t>
      </w:r>
      <w:r>
        <w:rPr>
          <w:spacing w:val="43"/>
        </w:rPr>
      </w:r>
      <w:r>
        <w:rPr>
          <w:spacing w:val="-3"/>
        </w:rPr>
        <w:t>融负债，相关交易费用计入初始确认金额。</w:t>
      </w:r>
    </w:p>
    <w:p>
      <w:pPr>
        <w:pStyle w:val="BodyText"/>
        <w:spacing w:line="357" w:lineRule="auto" w:before="54"/>
        <w:ind w:left="580" w:right="0"/>
        <w:jc w:val="left"/>
      </w:pPr>
      <w:r>
        <w:rPr>
          <w:spacing w:val="-3"/>
        </w:rPr>
        <w:t>①以公允价值计量且其变动计入当期损益的金融负债</w:t>
      </w:r>
      <w:r>
        <w:rPr>
          <w:spacing w:val="-21"/>
        </w:rPr>
        <w:t> </w:t>
      </w:r>
      <w:r>
        <w:rPr>
          <w:spacing w:val="-21"/>
        </w:rPr>
      </w:r>
      <w:r>
        <w:rPr>
          <w:spacing w:val="-2"/>
        </w:rPr>
        <w:t>分类为交易性金融负债和在初始确认时指定为以公允价值计量且其变动计入当期损益的金融负债的条件与分类为交易</w:t>
      </w:r>
    </w:p>
    <w:p>
      <w:pPr>
        <w:pStyle w:val="BodyText"/>
        <w:spacing w:line="352" w:lineRule="auto"/>
        <w:ind w:left="580" w:right="0" w:hanging="428"/>
        <w:jc w:val="left"/>
      </w:pPr>
      <w:r>
        <w:rPr>
          <w:spacing w:val="-3"/>
        </w:rPr>
        <w:t>性金融资产和在初始确认时指定为以公允价值计量且其变动计入当期损益的金融资产的条件一致。</w:t>
      </w:r>
      <w:r>
        <w:rPr>
          <w:spacing w:val="37"/>
        </w:rPr>
        <w:t> </w:t>
      </w:r>
      <w:r>
        <w:rPr>
          <w:spacing w:val="37"/>
        </w:rPr>
      </w:r>
      <w:r>
        <w:rPr>
          <w:spacing w:val="-2"/>
        </w:rPr>
        <w:t>以公允价值计量且其变动计入当期损益的金融负债采用公允价值进行后续计量，公允价值的变动形成的利得或损失以</w:t>
      </w:r>
    </w:p>
    <w:p>
      <w:pPr>
        <w:pStyle w:val="BodyText"/>
        <w:spacing w:line="232" w:lineRule="exact"/>
        <w:ind w:right="0"/>
        <w:jc w:val="left"/>
      </w:pPr>
      <w:r>
        <w:rPr>
          <w:spacing w:val="-3"/>
        </w:rPr>
        <w:t>及与该等金融负债相关的股利和利息支出计入当期损益。</w:t>
      </w:r>
    </w:p>
    <w:p>
      <w:pPr>
        <w:pStyle w:val="BodyText"/>
        <w:spacing w:line="357" w:lineRule="auto" w:before="115"/>
        <w:ind w:left="580" w:right="1037"/>
        <w:jc w:val="left"/>
      </w:pPr>
      <w:r>
        <w:rPr>
          <w:spacing w:val="-3"/>
        </w:rPr>
        <w:t>②其他金融负债</w:t>
      </w:r>
      <w:r>
        <w:rPr>
          <w:spacing w:val="-68"/>
        </w:rPr>
        <w:t> </w:t>
      </w:r>
      <w:r>
        <w:rPr>
          <w:spacing w:val="-68"/>
        </w:rPr>
      </w:r>
      <w:r>
        <w:rPr>
          <w:spacing w:val="-2"/>
        </w:rPr>
        <w:t>与在活跃市场中没有报价、公允价值不能可靠计量的权益工具挂钩并须通过交付该权益工具结算的衍生金融负债，按</w:t>
      </w:r>
    </w:p>
    <w:p>
      <w:pPr>
        <w:pStyle w:val="BodyText"/>
        <w:spacing w:line="224" w:lineRule="exact"/>
        <w:ind w:right="0"/>
        <w:jc w:val="left"/>
      </w:pPr>
      <w:r>
        <w:rPr>
          <w:spacing w:val="-4"/>
        </w:rPr>
        <w:t>照成本进行后续计量。其他金融负债采用实际利率法，按摊余成本进行后续计量，终止确认或摊销产生的利得或损失计入当</w:t>
      </w:r>
    </w:p>
    <w:p>
      <w:pPr>
        <w:pStyle w:val="BodyText"/>
        <w:spacing w:line="240" w:lineRule="auto" w:before="81"/>
        <w:ind w:right="0"/>
        <w:jc w:val="left"/>
      </w:pPr>
      <w:r>
        <w:rPr/>
        <w:t>期损益。</w:t>
      </w:r>
    </w:p>
    <w:p>
      <w:pPr>
        <w:pStyle w:val="BodyText"/>
        <w:spacing w:line="352" w:lineRule="auto" w:before="115"/>
        <w:ind w:left="580" w:right="0"/>
        <w:jc w:val="left"/>
      </w:pPr>
      <w:r>
        <w:rPr>
          <w:spacing w:val="-3"/>
        </w:rPr>
        <w:t>③财务担保合同及贷款承诺</w:t>
      </w:r>
      <w:r>
        <w:rPr>
          <w:spacing w:val="-51"/>
        </w:rPr>
        <w:t> </w:t>
      </w:r>
      <w:r>
        <w:rPr>
          <w:spacing w:val="-51"/>
        </w:rPr>
      </w:r>
      <w:r>
        <w:rPr>
          <w:spacing w:val="-2"/>
        </w:rPr>
        <w:t>不属于指定为以公允价值计量且其变动计入当期损益的金融负债的财务担保合同，或没有指定为以公允价值计量且其</w:t>
      </w:r>
    </w:p>
    <w:p>
      <w:pPr>
        <w:pStyle w:val="BodyText"/>
        <w:spacing w:line="227" w:lineRule="exact"/>
        <w:ind w:right="0"/>
        <w:jc w:val="left"/>
      </w:pPr>
      <w:r>
        <w:rPr>
          <w:spacing w:val="-3"/>
        </w:rPr>
        <w:t>变动计入损益并将以低于市场利率贷款的贷款承诺，以公允价值进行初始确认，在初始确认后按照《企业会计准则第  </w:t>
      </w:r>
      <w:r>
        <w:rPr>
          <w:rFonts w:ascii="宋体" w:hAnsi="宋体" w:cs="宋体" w:eastAsia="宋体" w:hint="default"/>
        </w:rPr>
        <w:t>13</w:t>
      </w:r>
      <w:r>
        <w:rPr>
          <w:rFonts w:ascii="宋体" w:hAnsi="宋体" w:cs="宋体" w:eastAsia="宋体" w:hint="default"/>
          <w:spacing w:val="-17"/>
        </w:rPr>
        <w:t> </w:t>
      </w:r>
      <w:r>
        <w:rPr/>
        <w:t>号</w:t>
      </w:r>
    </w:p>
    <w:p>
      <w:pPr>
        <w:pStyle w:val="BodyText"/>
        <w:spacing w:line="321" w:lineRule="auto" w:before="76"/>
        <w:ind w:right="0"/>
        <w:jc w:val="left"/>
      </w:pPr>
      <w:r>
        <w:rPr>
          <w:spacing w:val="-3"/>
        </w:rPr>
        <w:t>—或有事项》确定的金额和初始确认金额扣除按照《企业会计准则第 </w:t>
      </w:r>
      <w:r>
        <w:rPr>
          <w:rFonts w:ascii="宋体" w:hAnsi="宋体" w:cs="宋体" w:eastAsia="宋体" w:hint="default"/>
        </w:rPr>
        <w:t>14 </w:t>
      </w:r>
      <w:r>
        <w:rPr>
          <w:spacing w:val="-3"/>
        </w:rPr>
        <w:t>号—收入》的原则确定的累计摊销额后的余额之中</w:t>
      </w:r>
      <w:r>
        <w:rPr>
          <w:spacing w:val="-17"/>
        </w:rPr>
        <w:t> </w:t>
      </w:r>
      <w:r>
        <w:rPr>
          <w:spacing w:val="-17"/>
        </w:rPr>
      </w:r>
      <w:r>
        <w:rPr>
          <w:spacing w:val="-3"/>
        </w:rPr>
        <w:t>的较高者进行后续计量。</w:t>
      </w:r>
    </w:p>
    <w:p>
      <w:pPr>
        <w:pStyle w:val="BodyText"/>
        <w:spacing w:line="352" w:lineRule="auto" w:before="58"/>
        <w:ind w:left="580" w:right="0"/>
        <w:jc w:val="left"/>
      </w:pPr>
      <w:r>
        <w:rPr>
          <w:spacing w:val="-3"/>
        </w:rPr>
        <w:t>（</w:t>
      </w:r>
      <w:r>
        <w:rPr>
          <w:rFonts w:ascii="宋体" w:hAnsi="宋体" w:cs="宋体" w:eastAsia="宋体" w:hint="default"/>
          <w:spacing w:val="-3"/>
        </w:rPr>
        <w:t>6</w:t>
      </w:r>
      <w:r>
        <w:rPr>
          <w:spacing w:val="-3"/>
        </w:rPr>
        <w:t>）金融负债的终止确认</w:t>
      </w:r>
      <w:r>
        <w:rPr>
          <w:spacing w:val="-52"/>
        </w:rPr>
        <w:t> </w:t>
      </w:r>
      <w:r>
        <w:rPr>
          <w:spacing w:val="-52"/>
        </w:rPr>
      </w:r>
      <w:r>
        <w:rPr>
          <w:spacing w:val="-2"/>
        </w:rPr>
        <w:t>金融负债的现时义务全部或部分已经解除的，才能终止确认该金融负债或其一部分。本公司（债务人）与债权人之间</w:t>
      </w:r>
      <w:r>
        <w:rPr/>
      </w:r>
    </w:p>
    <w:p>
      <w:pPr>
        <w:pStyle w:val="BodyText"/>
        <w:spacing w:line="321" w:lineRule="auto"/>
        <w:ind w:right="0"/>
        <w:jc w:val="left"/>
      </w:pPr>
      <w:r>
        <w:rPr>
          <w:spacing w:val="-4"/>
        </w:rPr>
        <w:t>签订协议，以承担新金融负债方式替换现存金融负债，且新金融负债与现存金融负债的合同条款实质上不同的，终止确认现</w:t>
      </w:r>
      <w:r>
        <w:rPr>
          <w:spacing w:val="43"/>
        </w:rPr>
        <w:t> </w:t>
      </w:r>
      <w:r>
        <w:rPr>
          <w:spacing w:val="43"/>
        </w:rPr>
      </w:r>
      <w:r>
        <w:rPr>
          <w:spacing w:val="-3"/>
        </w:rPr>
        <w:t>存金融负债，并同时确认新金融负债。</w:t>
      </w:r>
    </w:p>
    <w:p>
      <w:pPr>
        <w:spacing w:after="0" w:line="321"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21" w:lineRule="auto" w:before="46"/>
        <w:ind w:right="1124" w:firstLine="427"/>
        <w:jc w:val="both"/>
      </w:pPr>
      <w:r>
        <w:rPr>
          <w:spacing w:val="-2"/>
        </w:rPr>
        <w:t>金融负债全部或部分终止确认的，将终止确认部分的账面价值与支付的对价（包括转出的非现金资产或承担的新金融</w:t>
      </w:r>
      <w:r>
        <w:rPr>
          <w:w w:val="101"/>
        </w:rPr>
        <w:t> </w:t>
      </w:r>
      <w:r>
        <w:rPr>
          <w:spacing w:val="-3"/>
        </w:rPr>
        <w:t>负债）之间的差额，计入当期损益。</w:t>
      </w:r>
    </w:p>
    <w:p>
      <w:pPr>
        <w:pStyle w:val="BodyText"/>
        <w:spacing w:line="357" w:lineRule="auto" w:before="53"/>
        <w:ind w:left="580" w:right="0"/>
        <w:jc w:val="left"/>
      </w:pPr>
      <w:r>
        <w:rPr>
          <w:spacing w:val="-3"/>
        </w:rPr>
        <w:t>（</w:t>
      </w:r>
      <w:r>
        <w:rPr>
          <w:rFonts w:ascii="宋体" w:hAnsi="宋体" w:cs="宋体" w:eastAsia="宋体" w:hint="default"/>
          <w:spacing w:val="-3"/>
        </w:rPr>
        <w:t>7</w:t>
      </w:r>
      <w:r>
        <w:rPr>
          <w:spacing w:val="-3"/>
        </w:rPr>
        <w:t>）衍生工具及嵌入衍生工具</w:t>
      </w:r>
      <w:r>
        <w:rPr>
          <w:spacing w:val="-46"/>
        </w:rPr>
        <w:t> </w:t>
      </w:r>
      <w:r>
        <w:rPr>
          <w:spacing w:val="-46"/>
        </w:rPr>
      </w:r>
      <w:r>
        <w:rPr>
          <w:spacing w:val="-2"/>
        </w:rPr>
        <w:t>衍生工具于相关合同签署日以公允价值进行初始计量，并以公允价值进行后续计量。除指定为套期工具且套期高度有</w:t>
      </w:r>
    </w:p>
    <w:p>
      <w:pPr>
        <w:pStyle w:val="BodyText"/>
        <w:spacing w:line="224" w:lineRule="exact"/>
        <w:ind w:right="0"/>
        <w:jc w:val="left"/>
      </w:pPr>
      <w:r>
        <w:rPr>
          <w:spacing w:val="-4"/>
        </w:rPr>
        <w:t>效的衍生工具，其公允价值变动形成的利得或损失将根据套期关系的性质按照套期会计的要求确定计入损益的期间外，其余</w:t>
      </w:r>
    </w:p>
    <w:p>
      <w:pPr>
        <w:pStyle w:val="BodyText"/>
        <w:spacing w:line="352" w:lineRule="auto" w:before="81"/>
        <w:ind w:left="580" w:right="0" w:hanging="428"/>
        <w:jc w:val="left"/>
      </w:pPr>
      <w:r>
        <w:rPr>
          <w:spacing w:val="-3"/>
        </w:rPr>
        <w:t>衍生工具的公允价值变动计入当期损益。</w:t>
      </w:r>
      <w:r>
        <w:rPr>
          <w:spacing w:val="-33"/>
        </w:rPr>
        <w:t> </w:t>
      </w:r>
      <w:r>
        <w:rPr>
          <w:spacing w:val="-33"/>
        </w:rPr>
      </w:r>
      <w:r>
        <w:rPr>
          <w:spacing w:val="-2"/>
        </w:rPr>
        <w:t>对包含嵌入衍生工具的混合工具，如未指定为以公允价值计量且其变动计入当期损益的金融资产或金融负债，嵌入衍</w:t>
      </w:r>
    </w:p>
    <w:p>
      <w:pPr>
        <w:pStyle w:val="BodyText"/>
        <w:spacing w:line="321" w:lineRule="auto"/>
        <w:ind w:right="1124"/>
        <w:jc w:val="both"/>
      </w:pPr>
      <w:r>
        <w:rPr>
          <w:spacing w:val="-4"/>
        </w:rPr>
        <w:t>生工具与该主合同在经济特征及风险方面不存在紧密关系，且与嵌入衍生工具条件相同，单独存在的工具符合衍生工具定义</w:t>
      </w:r>
      <w:r>
        <w:rPr>
          <w:spacing w:val="42"/>
        </w:rPr>
        <w:t> </w:t>
      </w:r>
      <w:r>
        <w:rPr>
          <w:spacing w:val="42"/>
        </w:rPr>
      </w:r>
      <w:r>
        <w:rPr>
          <w:spacing w:val="-4"/>
        </w:rPr>
        <w:t>的，嵌入衍生工具从混合工具中分拆，作为单独的衍生金融工具处理。如果无法在取得时或后续的资产负债表日对嵌入衍生</w:t>
      </w:r>
      <w:r>
        <w:rPr>
          <w:spacing w:val="43"/>
        </w:rPr>
        <w:t> </w:t>
      </w:r>
      <w:r>
        <w:rPr>
          <w:spacing w:val="43"/>
        </w:rPr>
      </w:r>
      <w:r>
        <w:rPr>
          <w:spacing w:val="-3"/>
        </w:rPr>
        <w:t>工具进行单独计量，则将混合工具整体指定为以公允价值计量且其变动计入当期损益的金融资产或金融负债。</w:t>
      </w:r>
    </w:p>
    <w:p>
      <w:pPr>
        <w:pStyle w:val="BodyText"/>
        <w:spacing w:line="321" w:lineRule="auto" w:before="49"/>
        <w:ind w:right="1123" w:firstLine="427"/>
        <w:jc w:val="both"/>
      </w:pPr>
      <w:r>
        <w:rPr>
          <w:spacing w:val="-2"/>
        </w:rPr>
        <w:t>对已在初始确认时分拆的混合工具，若之后混合工具合同条款发生变化，且发生的变化将对原混合工具合同现金流量</w:t>
      </w:r>
      <w:r>
        <w:rPr>
          <w:w w:val="101"/>
        </w:rPr>
        <w:t> </w:t>
      </w:r>
      <w:r>
        <w:rPr>
          <w:spacing w:val="-3"/>
        </w:rPr>
        <w:t>产生重大影响，则重新评价嵌入衍生工具是否应当分拆。</w:t>
      </w:r>
    </w:p>
    <w:p>
      <w:pPr>
        <w:pStyle w:val="BodyText"/>
        <w:spacing w:line="324" w:lineRule="auto" w:before="53"/>
        <w:ind w:right="1124" w:firstLine="427"/>
        <w:jc w:val="both"/>
      </w:pPr>
      <w:r>
        <w:rPr>
          <w:spacing w:val="-2"/>
        </w:rPr>
        <w:t>对于首次执行日前持有的混合工具合同，本公司在首次执行日与前述合同条款变化所要求的重新评价日两者较后者，</w:t>
      </w:r>
      <w:r>
        <w:rPr>
          <w:w w:val="101"/>
        </w:rPr>
        <w:t> </w:t>
      </w:r>
      <w:r>
        <w:rPr>
          <w:spacing w:val="-3"/>
        </w:rPr>
        <w:t>评价是否将嵌入衍生工具从主合同分拆并单独处理。</w:t>
      </w:r>
    </w:p>
    <w:p>
      <w:pPr>
        <w:pStyle w:val="BodyText"/>
        <w:spacing w:line="352" w:lineRule="auto" w:before="52"/>
        <w:ind w:left="580" w:right="1037"/>
        <w:jc w:val="left"/>
      </w:pPr>
      <w:r>
        <w:rPr/>
        <w:t>①可转换债券</w:t>
      </w:r>
      <w:r>
        <w:rPr>
          <w:spacing w:val="-86"/>
        </w:rPr>
        <w:t> </w:t>
      </w:r>
      <w:r>
        <w:rPr>
          <w:spacing w:val="-86"/>
        </w:rPr>
      </w:r>
      <w:r>
        <w:rPr>
          <w:spacing w:val="-2"/>
        </w:rPr>
        <w:t>公司发行的同时包含负债和转换选择权成分的可转换债券，初始确认时进行分拆，分别予以确认。其中，以固定金额</w:t>
      </w:r>
    </w:p>
    <w:p>
      <w:pPr>
        <w:pStyle w:val="BodyText"/>
        <w:spacing w:line="357" w:lineRule="auto"/>
        <w:ind w:left="580" w:right="0" w:hanging="428"/>
        <w:jc w:val="left"/>
      </w:pPr>
      <w:r>
        <w:rPr>
          <w:spacing w:val="-3"/>
        </w:rPr>
        <w:t>的现金或其他金融资产换取固定数量的自身权益工具结算的转换选择权，作为权益进行核算。</w:t>
      </w:r>
      <w:r>
        <w:rPr>
          <w:spacing w:val="31"/>
        </w:rPr>
        <w:t> </w:t>
      </w:r>
      <w:r>
        <w:rPr>
          <w:spacing w:val="31"/>
        </w:rPr>
      </w:r>
      <w:r>
        <w:rPr>
          <w:spacing w:val="-2"/>
        </w:rPr>
        <w:t>初始确认时，负债部分的公允价值按类似不具有转换选择权债券的现行市场价格确定。可转换债券的整体发行价格扣</w:t>
      </w:r>
    </w:p>
    <w:p>
      <w:pPr>
        <w:pStyle w:val="BodyText"/>
        <w:spacing w:line="224" w:lineRule="exact"/>
        <w:ind w:right="0"/>
        <w:jc w:val="left"/>
      </w:pPr>
      <w:r>
        <w:rPr>
          <w:spacing w:val="-4"/>
        </w:rPr>
        <w:t>除负债部分的公允价值的差额，作为债券持有人将债券转换为权益工具的转换选择权的价值，计入“资本公积－其他资本公</w:t>
      </w:r>
    </w:p>
    <w:p>
      <w:pPr>
        <w:pStyle w:val="BodyText"/>
        <w:spacing w:line="352" w:lineRule="auto" w:before="81"/>
        <w:ind w:left="580" w:right="1037" w:hanging="428"/>
        <w:jc w:val="left"/>
      </w:pPr>
      <w:r>
        <w:rPr>
          <w:spacing w:val="-20"/>
          <w:w w:val="101"/>
        </w:rPr>
        <w:t>积（股份转换权）”。</w:t>
      </w:r>
      <w:r>
        <w:rPr>
          <w:w w:val="101"/>
        </w:rPr>
        <w:t> </w:t>
      </w:r>
      <w:r>
        <w:rPr>
          <w:spacing w:val="-2"/>
        </w:rPr>
        <w:t>公司发行的认股权和债券分离交易的可转换公司债券，认股权持有人到期没有行权的，在到期时将原计入“资本公积</w:t>
      </w:r>
    </w:p>
    <w:p>
      <w:pPr>
        <w:pStyle w:val="BodyText"/>
        <w:spacing w:line="352" w:lineRule="auto"/>
        <w:ind w:left="580" w:right="0" w:hanging="428"/>
        <w:jc w:val="left"/>
      </w:pPr>
      <w:r>
        <w:rPr>
          <w:spacing w:val="-6"/>
          <w:w w:val="101"/>
        </w:rPr>
        <w:t>——其他资本公积”的部分转入“资本公积——股本溢价”。</w:t>
      </w:r>
      <w:r>
        <w:rPr>
          <w:spacing w:val="-82"/>
          <w:w w:val="101"/>
        </w:rPr>
        <w:t> </w:t>
      </w:r>
      <w:r>
        <w:rPr>
          <w:spacing w:val="-82"/>
          <w:w w:val="101"/>
        </w:rPr>
      </w:r>
      <w:r>
        <w:rPr>
          <w:spacing w:val="-2"/>
        </w:rPr>
        <w:t>公司发行的同时含负债和转换选择权的可转换债券，初始确认时进行分拆，分别予以确认。其中，不通过以固定金额</w:t>
      </w:r>
    </w:p>
    <w:p>
      <w:pPr>
        <w:pStyle w:val="BodyText"/>
        <w:spacing w:line="324" w:lineRule="auto"/>
        <w:ind w:right="1127"/>
        <w:jc w:val="both"/>
      </w:pPr>
      <w:r>
        <w:rPr>
          <w:spacing w:val="-4"/>
          <w:w w:val="101"/>
        </w:rPr>
        <w:t>的现金或其他金融资产换取固定数量本身权益工具的方式结算的转换选择权确认为一项转换选择权衍生工具。于可转换债券</w:t>
      </w:r>
      <w:r>
        <w:rPr>
          <w:w w:val="101"/>
        </w:rPr>
        <w:t> </w:t>
      </w:r>
      <w:r>
        <w:rPr>
          <w:spacing w:val="-3"/>
        </w:rPr>
        <w:t>发行时，负债和转换选择权衍生工具均按公允价值进行初始确认。</w:t>
      </w:r>
    </w:p>
    <w:p>
      <w:pPr>
        <w:pStyle w:val="BodyText"/>
        <w:spacing w:line="321" w:lineRule="auto" w:before="52"/>
        <w:ind w:right="1124" w:firstLine="427"/>
        <w:jc w:val="both"/>
      </w:pPr>
      <w:r>
        <w:rPr>
          <w:spacing w:val="-2"/>
        </w:rPr>
        <w:t>初始确认后，可转换债券的负债部分采用实际利率法按摊余成本计量。转换选择权衍生工具按公允价值计量，且公允</w:t>
      </w:r>
      <w:r>
        <w:rPr>
          <w:w w:val="101"/>
        </w:rPr>
        <w:t> </w:t>
      </w:r>
      <w:r>
        <w:rPr>
          <w:spacing w:val="-3"/>
        </w:rPr>
        <w:t>价值变动计入损益。</w:t>
      </w:r>
    </w:p>
    <w:p>
      <w:pPr>
        <w:pStyle w:val="BodyText"/>
        <w:spacing w:line="321" w:lineRule="auto" w:before="49"/>
        <w:ind w:right="1122" w:firstLine="427"/>
        <w:jc w:val="both"/>
      </w:pPr>
      <w:r>
        <w:rPr>
          <w:spacing w:val="-2"/>
        </w:rPr>
        <w:t>发行可转换债券发生的交易费用，在负债和权益</w:t>
      </w:r>
      <w:r>
        <w:rPr>
          <w:rFonts w:ascii="宋体" w:hAnsi="宋体" w:cs="宋体" w:eastAsia="宋体" w:hint="default"/>
          <w:spacing w:val="-2"/>
        </w:rPr>
        <w:t>/</w:t>
      </w:r>
      <w:r>
        <w:rPr>
          <w:spacing w:val="-2"/>
        </w:rPr>
        <w:t>转换选择权衍生工具成分之间按照发行收入的分配比例</w:t>
      </w:r>
      <w:r>
        <w:rPr>
          <w:rFonts w:ascii="宋体" w:hAnsi="宋体" w:cs="宋体" w:eastAsia="宋体" w:hint="default"/>
          <w:spacing w:val="-2"/>
        </w:rPr>
        <w:t>/</w:t>
      </w:r>
      <w:r>
        <w:rPr>
          <w:spacing w:val="-2"/>
        </w:rPr>
        <w:t>各自的相对</w:t>
      </w:r>
      <w:r>
        <w:rPr>
          <w:w w:val="101"/>
        </w:rPr>
        <w:t> </w:t>
      </w:r>
      <w:r>
        <w:rPr>
          <w:spacing w:val="-3"/>
        </w:rPr>
        <w:t>公允价值进行分摊。与权益部分相关的交易费用直接计入权益</w:t>
      </w:r>
      <w:r>
        <w:rPr>
          <w:rFonts w:ascii="宋体" w:hAnsi="宋体" w:cs="宋体" w:eastAsia="宋体" w:hint="default"/>
          <w:spacing w:val="-3"/>
        </w:rPr>
        <w:t>/</w:t>
      </w:r>
      <w:r>
        <w:rPr>
          <w:spacing w:val="-3"/>
        </w:rPr>
        <w:t>与转换选择权衍生工具相关的交易费用计入损益。与负债部</w:t>
      </w:r>
      <w:r>
        <w:rPr>
          <w:spacing w:val="76"/>
        </w:rPr>
        <w:t> </w:t>
      </w:r>
      <w:r>
        <w:rPr>
          <w:spacing w:val="76"/>
        </w:rPr>
      </w:r>
      <w:r>
        <w:rPr>
          <w:spacing w:val="-3"/>
        </w:rPr>
        <w:t>分相关的交易费用计入负债部分的账面价值，并按实际利率法于可转换债券的期间内进行摊销。</w:t>
      </w:r>
    </w:p>
    <w:p>
      <w:pPr>
        <w:pStyle w:val="BodyText"/>
        <w:spacing w:line="357" w:lineRule="auto" w:before="53"/>
        <w:ind w:left="580" w:right="0"/>
        <w:jc w:val="left"/>
      </w:pPr>
      <w:r>
        <w:rPr/>
        <w:t>（</w:t>
      </w:r>
      <w:r>
        <w:rPr>
          <w:rFonts w:ascii="宋体" w:hAnsi="宋体" w:cs="宋体" w:eastAsia="宋体" w:hint="default"/>
        </w:rPr>
        <w:t>8</w:t>
      </w:r>
      <w:r>
        <w:rPr/>
        <w:t>）金融资产和金融负债的抵销</w:t>
      </w:r>
      <w:r>
        <w:rPr>
          <w:spacing w:val="-86"/>
        </w:rPr>
        <w:t> </w:t>
      </w:r>
      <w:r>
        <w:rPr>
          <w:spacing w:val="-86"/>
        </w:rPr>
      </w:r>
      <w:r>
        <w:rPr>
          <w:spacing w:val="-2"/>
        </w:rPr>
        <w:t>当本公司具有抵销已确认金融资产和金融负债的法定权利，且目前可执行该种法定权利，同时本公司计划以净额结算</w:t>
      </w:r>
    </w:p>
    <w:p>
      <w:pPr>
        <w:pStyle w:val="BodyText"/>
        <w:spacing w:line="224" w:lineRule="exact"/>
        <w:ind w:right="0"/>
        <w:jc w:val="left"/>
      </w:pPr>
      <w:r>
        <w:rPr>
          <w:spacing w:val="-4"/>
        </w:rPr>
        <w:t>或同时变现该金融资产和清偿该金融负债时，金融资产和金融负债以相互抵销后的金额在资产负债表内列示。除此以外，金</w:t>
      </w:r>
    </w:p>
    <w:p>
      <w:pPr>
        <w:pStyle w:val="BodyText"/>
        <w:spacing w:line="240" w:lineRule="auto" w:before="81"/>
        <w:ind w:right="0"/>
        <w:jc w:val="left"/>
      </w:pPr>
      <w:r>
        <w:rPr>
          <w:spacing w:val="-3"/>
        </w:rPr>
        <w:t>融资产和金融负债在资产负债表内分别列示，不予相互抵销。</w:t>
      </w:r>
    </w:p>
    <w:p>
      <w:pPr>
        <w:pStyle w:val="BodyText"/>
        <w:spacing w:line="352" w:lineRule="auto" w:before="115"/>
        <w:ind w:left="580" w:right="1037"/>
        <w:jc w:val="left"/>
      </w:pPr>
      <w:r>
        <w:rPr/>
        <w:t>（</w:t>
      </w:r>
      <w:r>
        <w:rPr>
          <w:rFonts w:ascii="宋体" w:hAnsi="宋体" w:cs="宋体" w:eastAsia="宋体" w:hint="default"/>
        </w:rPr>
        <w:t>9</w:t>
      </w:r>
      <w:r>
        <w:rPr/>
        <w:t>）权益工具</w:t>
      </w:r>
      <w:r>
        <w:rPr>
          <w:spacing w:val="-85"/>
        </w:rPr>
        <w:t> </w:t>
      </w:r>
      <w:r>
        <w:rPr>
          <w:spacing w:val="-85"/>
        </w:rPr>
      </w:r>
      <w:r>
        <w:rPr>
          <w:spacing w:val="-6"/>
          <w:w w:val="101"/>
        </w:rPr>
        <w:t>权益工具是指能证明拥有本公司在扣除所有负债后的资产中的剩余权益的合同。本公司发行（含再融资）、回购、出售</w:t>
      </w:r>
      <w:r>
        <w:rPr>
          <w:spacing w:val="-6"/>
        </w:rPr>
      </w:r>
    </w:p>
    <w:p>
      <w:pPr>
        <w:pStyle w:val="BodyText"/>
        <w:spacing w:line="362" w:lineRule="auto"/>
        <w:ind w:left="580" w:right="1028" w:hanging="428"/>
        <w:jc w:val="left"/>
      </w:pPr>
      <w:r>
        <w:rPr>
          <w:w w:val="101"/>
        </w:rPr>
        <w:t>或</w:t>
      </w:r>
      <w:r>
        <w:rPr>
          <w:spacing w:val="-5"/>
          <w:w w:val="101"/>
        </w:rPr>
        <w:t>注</w:t>
      </w:r>
      <w:r>
        <w:rPr>
          <w:w w:val="101"/>
        </w:rPr>
        <w:t>销</w:t>
      </w:r>
      <w:r>
        <w:rPr>
          <w:spacing w:val="-5"/>
          <w:w w:val="101"/>
        </w:rPr>
        <w:t>权</w:t>
      </w:r>
      <w:r>
        <w:rPr>
          <w:w w:val="101"/>
        </w:rPr>
        <w:t>益</w:t>
      </w:r>
      <w:r>
        <w:rPr>
          <w:spacing w:val="-5"/>
          <w:w w:val="101"/>
        </w:rPr>
        <w:t>工</w:t>
      </w:r>
      <w:r>
        <w:rPr>
          <w:w w:val="101"/>
        </w:rPr>
        <w:t>具</w:t>
      </w:r>
      <w:r>
        <w:rPr>
          <w:spacing w:val="-5"/>
          <w:w w:val="101"/>
        </w:rPr>
        <w:t>作</w:t>
      </w:r>
      <w:r>
        <w:rPr>
          <w:w w:val="101"/>
        </w:rPr>
        <w:t>为</w:t>
      </w:r>
      <w:r>
        <w:rPr>
          <w:spacing w:val="-5"/>
          <w:w w:val="101"/>
        </w:rPr>
        <w:t>权</w:t>
      </w:r>
      <w:r>
        <w:rPr>
          <w:w w:val="101"/>
        </w:rPr>
        <w:t>益</w:t>
      </w:r>
      <w:r>
        <w:rPr>
          <w:spacing w:val="-5"/>
          <w:w w:val="101"/>
        </w:rPr>
        <w:t>的</w:t>
      </w:r>
      <w:r>
        <w:rPr>
          <w:w w:val="101"/>
        </w:rPr>
        <w:t>变</w:t>
      </w:r>
      <w:r>
        <w:rPr>
          <w:spacing w:val="-5"/>
          <w:w w:val="101"/>
        </w:rPr>
        <w:t>动</w:t>
      </w:r>
      <w:r>
        <w:rPr>
          <w:w w:val="101"/>
        </w:rPr>
        <w:t>处</w:t>
      </w:r>
      <w:r>
        <w:rPr>
          <w:spacing w:val="-5"/>
          <w:w w:val="101"/>
        </w:rPr>
        <w:t>理</w:t>
      </w:r>
      <w:r>
        <w:rPr>
          <w:spacing w:val="-87"/>
          <w:w w:val="101"/>
        </w:rPr>
        <w:t>。</w:t>
      </w:r>
      <w:r>
        <w:rPr>
          <w:spacing w:val="-5"/>
          <w:w w:val="101"/>
        </w:rPr>
        <w:t>本</w:t>
      </w:r>
      <w:r>
        <w:rPr>
          <w:w w:val="101"/>
        </w:rPr>
        <w:t>公</w:t>
      </w:r>
      <w:r>
        <w:rPr>
          <w:spacing w:val="-5"/>
          <w:w w:val="101"/>
        </w:rPr>
        <w:t>司</w:t>
      </w:r>
      <w:r>
        <w:rPr>
          <w:w w:val="101"/>
        </w:rPr>
        <w:t>不</w:t>
      </w:r>
      <w:r>
        <w:rPr>
          <w:spacing w:val="-5"/>
          <w:w w:val="101"/>
        </w:rPr>
        <w:t>确</w:t>
      </w:r>
      <w:r>
        <w:rPr>
          <w:w w:val="101"/>
        </w:rPr>
        <w:t>认</w:t>
      </w:r>
      <w:r>
        <w:rPr>
          <w:spacing w:val="-5"/>
          <w:w w:val="101"/>
        </w:rPr>
        <w:t>权</w:t>
      </w:r>
      <w:r>
        <w:rPr>
          <w:w w:val="101"/>
        </w:rPr>
        <w:t>益</w:t>
      </w:r>
      <w:r>
        <w:rPr>
          <w:spacing w:val="-5"/>
          <w:w w:val="101"/>
        </w:rPr>
        <w:t>工具</w:t>
      </w:r>
      <w:r>
        <w:rPr>
          <w:w w:val="101"/>
        </w:rPr>
        <w:t>的</w:t>
      </w:r>
      <w:r>
        <w:rPr>
          <w:spacing w:val="-5"/>
          <w:w w:val="101"/>
        </w:rPr>
        <w:t>公</w:t>
      </w:r>
      <w:r>
        <w:rPr>
          <w:w w:val="101"/>
        </w:rPr>
        <w:t>允</w:t>
      </w:r>
      <w:r>
        <w:rPr>
          <w:spacing w:val="-5"/>
          <w:w w:val="101"/>
        </w:rPr>
        <w:t>价</w:t>
      </w:r>
      <w:r>
        <w:rPr>
          <w:w w:val="101"/>
        </w:rPr>
        <w:t>值</w:t>
      </w:r>
      <w:r>
        <w:rPr>
          <w:spacing w:val="-5"/>
          <w:w w:val="101"/>
        </w:rPr>
        <w:t>变</w:t>
      </w:r>
      <w:r>
        <w:rPr>
          <w:w w:val="101"/>
        </w:rPr>
        <w:t>动</w:t>
      </w:r>
      <w:r>
        <w:rPr>
          <w:spacing w:val="-87"/>
          <w:w w:val="101"/>
        </w:rPr>
        <w:t>。</w:t>
      </w:r>
      <w:r>
        <w:rPr>
          <w:spacing w:val="-5"/>
          <w:w w:val="101"/>
        </w:rPr>
        <w:t>与</w:t>
      </w:r>
      <w:r>
        <w:rPr>
          <w:w w:val="101"/>
        </w:rPr>
        <w:t>权</w:t>
      </w:r>
      <w:r>
        <w:rPr>
          <w:spacing w:val="-5"/>
          <w:w w:val="101"/>
        </w:rPr>
        <w:t>益</w:t>
      </w:r>
      <w:r>
        <w:rPr>
          <w:w w:val="101"/>
        </w:rPr>
        <w:t>性</w:t>
      </w:r>
      <w:r>
        <w:rPr>
          <w:spacing w:val="-5"/>
          <w:w w:val="101"/>
        </w:rPr>
        <w:t>交易</w:t>
      </w:r>
      <w:r>
        <w:rPr>
          <w:w w:val="101"/>
        </w:rPr>
        <w:t>相</w:t>
      </w:r>
      <w:r>
        <w:rPr>
          <w:spacing w:val="-5"/>
          <w:w w:val="101"/>
        </w:rPr>
        <w:t>关</w:t>
      </w:r>
      <w:r>
        <w:rPr>
          <w:w w:val="101"/>
        </w:rPr>
        <w:t>的</w:t>
      </w:r>
      <w:r>
        <w:rPr>
          <w:spacing w:val="-5"/>
          <w:w w:val="101"/>
        </w:rPr>
        <w:t>交</w:t>
      </w:r>
      <w:r>
        <w:rPr>
          <w:spacing w:val="1"/>
          <w:w w:val="101"/>
        </w:rPr>
        <w:t>易</w:t>
      </w:r>
      <w:r>
        <w:rPr>
          <w:spacing w:val="-5"/>
          <w:w w:val="101"/>
        </w:rPr>
        <w:t>费</w:t>
      </w:r>
      <w:r>
        <w:rPr>
          <w:w w:val="101"/>
        </w:rPr>
        <w:t>用</w:t>
      </w:r>
      <w:r>
        <w:rPr>
          <w:spacing w:val="-5"/>
          <w:w w:val="101"/>
        </w:rPr>
        <w:t>从</w:t>
      </w:r>
      <w:r>
        <w:rPr>
          <w:w w:val="101"/>
        </w:rPr>
        <w:t>权</w:t>
      </w:r>
      <w:r>
        <w:rPr>
          <w:spacing w:val="-5"/>
          <w:w w:val="101"/>
        </w:rPr>
        <w:t>益</w:t>
      </w:r>
      <w:r>
        <w:rPr>
          <w:w w:val="101"/>
        </w:rPr>
        <w:t>中</w:t>
      </w:r>
      <w:r>
        <w:rPr>
          <w:spacing w:val="-5"/>
          <w:w w:val="101"/>
        </w:rPr>
        <w:t>扣</w:t>
      </w:r>
      <w:r>
        <w:rPr>
          <w:w w:val="101"/>
        </w:rPr>
        <w:t>减。</w:t>
      </w:r>
      <w:r>
        <w:rPr>
          <w:w w:val="101"/>
        </w:rPr>
        <w:t> 本</w:t>
      </w:r>
      <w:r>
        <w:rPr>
          <w:spacing w:val="-5"/>
          <w:w w:val="101"/>
        </w:rPr>
        <w:t>公</w:t>
      </w:r>
      <w:r>
        <w:rPr>
          <w:w w:val="101"/>
        </w:rPr>
        <w:t>司</w:t>
      </w:r>
      <w:r>
        <w:rPr>
          <w:spacing w:val="-5"/>
          <w:w w:val="101"/>
        </w:rPr>
        <w:t>对</w:t>
      </w:r>
      <w:r>
        <w:rPr>
          <w:w w:val="101"/>
        </w:rPr>
        <w:t>权</w:t>
      </w:r>
      <w:r>
        <w:rPr>
          <w:spacing w:val="-5"/>
          <w:w w:val="101"/>
        </w:rPr>
        <w:t>益</w:t>
      </w:r>
      <w:r>
        <w:rPr>
          <w:w w:val="101"/>
        </w:rPr>
        <w:t>工</w:t>
      </w:r>
      <w:r>
        <w:rPr>
          <w:spacing w:val="-5"/>
          <w:w w:val="101"/>
        </w:rPr>
        <w:t>具</w:t>
      </w:r>
      <w:r>
        <w:rPr>
          <w:w w:val="101"/>
        </w:rPr>
        <w:t>持</w:t>
      </w:r>
      <w:r>
        <w:rPr>
          <w:spacing w:val="-5"/>
          <w:w w:val="101"/>
        </w:rPr>
        <w:t>有</w:t>
      </w:r>
      <w:r>
        <w:rPr>
          <w:w w:val="101"/>
        </w:rPr>
        <w:t>方</w:t>
      </w:r>
      <w:r>
        <w:rPr>
          <w:spacing w:val="-5"/>
          <w:w w:val="101"/>
        </w:rPr>
        <w:t>的</w:t>
      </w:r>
      <w:r>
        <w:rPr>
          <w:w w:val="101"/>
        </w:rPr>
        <w:t>各</w:t>
      </w:r>
      <w:r>
        <w:rPr>
          <w:spacing w:val="-5"/>
          <w:w w:val="101"/>
        </w:rPr>
        <w:t>种</w:t>
      </w:r>
      <w:r>
        <w:rPr>
          <w:w w:val="101"/>
        </w:rPr>
        <w:t>分</w:t>
      </w:r>
      <w:r>
        <w:rPr>
          <w:spacing w:val="-5"/>
          <w:w w:val="101"/>
        </w:rPr>
        <w:t>配</w:t>
      </w:r>
      <w:r>
        <w:rPr>
          <w:w w:val="101"/>
        </w:rPr>
        <w:t>（</w:t>
      </w:r>
      <w:r>
        <w:rPr>
          <w:spacing w:val="-5"/>
          <w:w w:val="101"/>
        </w:rPr>
        <w:t>不</w:t>
      </w:r>
      <w:r>
        <w:rPr>
          <w:w w:val="101"/>
        </w:rPr>
        <w:t>包</w:t>
      </w:r>
      <w:r>
        <w:rPr>
          <w:spacing w:val="-5"/>
          <w:w w:val="101"/>
        </w:rPr>
        <w:t>括</w:t>
      </w:r>
      <w:r>
        <w:rPr>
          <w:w w:val="101"/>
        </w:rPr>
        <w:t>股</w:t>
      </w:r>
      <w:r>
        <w:rPr>
          <w:spacing w:val="-5"/>
          <w:w w:val="101"/>
        </w:rPr>
        <w:t>票</w:t>
      </w:r>
      <w:r>
        <w:rPr>
          <w:w w:val="101"/>
        </w:rPr>
        <w:t>股利</w:t>
      </w:r>
      <w:r>
        <w:rPr>
          <w:spacing w:val="-96"/>
          <w:w w:val="101"/>
        </w:rPr>
        <w:t>）</w:t>
      </w:r>
      <w:r>
        <w:rPr>
          <w:w w:val="101"/>
        </w:rPr>
        <w:t>，</w:t>
      </w:r>
      <w:r>
        <w:rPr>
          <w:spacing w:val="-5"/>
          <w:w w:val="101"/>
        </w:rPr>
        <w:t>减</w:t>
      </w:r>
      <w:r>
        <w:rPr>
          <w:w w:val="101"/>
        </w:rPr>
        <w:t>少</w:t>
      </w:r>
      <w:r>
        <w:rPr>
          <w:spacing w:val="-5"/>
          <w:w w:val="101"/>
        </w:rPr>
        <w:t>股</w:t>
      </w:r>
      <w:r>
        <w:rPr>
          <w:w w:val="101"/>
        </w:rPr>
        <w:t>东</w:t>
      </w:r>
      <w:r>
        <w:rPr>
          <w:spacing w:val="-5"/>
          <w:w w:val="101"/>
        </w:rPr>
        <w:t>权</w:t>
      </w:r>
      <w:r>
        <w:rPr>
          <w:w w:val="101"/>
        </w:rPr>
        <w:t>益</w:t>
      </w:r>
      <w:r>
        <w:rPr>
          <w:spacing w:val="-5"/>
          <w:w w:val="101"/>
        </w:rPr>
        <w:t>。</w:t>
      </w:r>
      <w:r>
        <w:rPr>
          <w:w w:val="101"/>
        </w:rPr>
        <w:t>本</w:t>
      </w:r>
      <w:r>
        <w:rPr>
          <w:spacing w:val="-5"/>
          <w:w w:val="101"/>
        </w:rPr>
        <w:t>公</w:t>
      </w:r>
      <w:r>
        <w:rPr>
          <w:w w:val="101"/>
        </w:rPr>
        <w:t>司</w:t>
      </w:r>
      <w:r>
        <w:rPr>
          <w:spacing w:val="-5"/>
          <w:w w:val="101"/>
        </w:rPr>
        <w:t>不</w:t>
      </w:r>
      <w:r>
        <w:rPr>
          <w:w w:val="101"/>
        </w:rPr>
        <w:t>确</w:t>
      </w:r>
      <w:r>
        <w:rPr>
          <w:spacing w:val="-5"/>
          <w:w w:val="101"/>
        </w:rPr>
        <w:t>认</w:t>
      </w:r>
      <w:r>
        <w:rPr>
          <w:w w:val="101"/>
        </w:rPr>
        <w:t>权</w:t>
      </w:r>
      <w:r>
        <w:rPr>
          <w:spacing w:val="-5"/>
          <w:w w:val="101"/>
        </w:rPr>
        <w:t>益</w:t>
      </w:r>
      <w:r>
        <w:rPr>
          <w:w w:val="101"/>
        </w:rPr>
        <w:t>工</w:t>
      </w:r>
      <w:r>
        <w:rPr>
          <w:spacing w:val="-5"/>
          <w:w w:val="101"/>
        </w:rPr>
        <w:t>具</w:t>
      </w:r>
      <w:r>
        <w:rPr>
          <w:w w:val="101"/>
        </w:rPr>
        <w:t>的</w:t>
      </w:r>
      <w:r>
        <w:rPr>
          <w:spacing w:val="-5"/>
          <w:w w:val="101"/>
        </w:rPr>
        <w:t>公</w:t>
      </w:r>
      <w:r>
        <w:rPr>
          <w:w w:val="101"/>
        </w:rPr>
        <w:t>允</w:t>
      </w:r>
      <w:r>
        <w:rPr>
          <w:spacing w:val="-5"/>
          <w:w w:val="101"/>
        </w:rPr>
        <w:t>价</w:t>
      </w:r>
      <w:r>
        <w:rPr>
          <w:w w:val="101"/>
        </w:rPr>
        <w:t>值</w:t>
      </w:r>
      <w:r>
        <w:rPr>
          <w:spacing w:val="-5"/>
          <w:w w:val="101"/>
        </w:rPr>
        <w:t>变</w:t>
      </w:r>
      <w:r>
        <w:rPr>
          <w:w w:val="101"/>
        </w:rPr>
        <w:t>动</w:t>
      </w:r>
      <w:r>
        <w:rPr>
          <w:spacing w:val="-5"/>
          <w:w w:val="101"/>
        </w:rPr>
        <w:t>额</w:t>
      </w:r>
      <w:r>
        <w:rPr>
          <w:w w:val="101"/>
        </w:rPr>
        <w:t>。</w:t>
      </w:r>
      <w:r>
        <w:rPr/>
      </w:r>
    </w:p>
    <w:p>
      <w:pPr>
        <w:spacing w:after="0" w:line="362" w:lineRule="auto"/>
        <w:jc w:val="left"/>
        <w:sectPr>
          <w:footerReference w:type="default" r:id="rId18"/>
          <w:pgSz w:w="11910" w:h="16840"/>
          <w:pgMar w:footer="979" w:header="871"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11、应收票据" w:id="181"/>
      <w:bookmarkEnd w:id="181"/>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2、应收账款" w:id="182"/>
      <w:bookmarkEnd w:id="182"/>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left="633"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2019</w:t>
      </w:r>
      <w:r>
        <w:rPr/>
        <w:t>年度适用的会计政策见附注三、</w:t>
      </w:r>
      <w:r>
        <w:rPr>
          <w:rFonts w:ascii="Times New Roman" w:hAnsi="Times New Roman" w:cs="Times New Roman" w:eastAsia="Times New Roman" w:hint="default"/>
        </w:rPr>
        <w:t>10</w:t>
      </w:r>
      <w:r>
        <w:rPr>
          <w:rFonts w:ascii="Times New Roman" w:hAnsi="Times New Roman" w:cs="Times New Roman" w:eastAsia="Times New Roman" w:hint="default"/>
          <w:b w:val="0"/>
          <w:bCs w:val="0"/>
        </w:rPr>
      </w:r>
    </w:p>
    <w:p>
      <w:pPr>
        <w:spacing w:line="300" w:lineRule="auto" w:before="63"/>
        <w:ind w:left="63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年度适用的会计政策</w:t>
      </w:r>
      <w:r>
        <w:rPr>
          <w:rFonts w:ascii="宋体" w:hAnsi="宋体" w:cs="宋体" w:eastAsia="宋体" w:hint="default"/>
          <w:b/>
          <w:bCs/>
          <w:spacing w:val="-86"/>
          <w:sz w:val="18"/>
          <w:szCs w:val="18"/>
        </w:rPr>
        <w:t> </w:t>
      </w:r>
      <w:r>
        <w:rPr>
          <w:rFonts w:ascii="宋体" w:hAnsi="宋体" w:cs="宋体" w:eastAsia="宋体" w:hint="default"/>
          <w:b/>
          <w:bCs/>
          <w:spacing w:val="-86"/>
          <w:sz w:val="18"/>
          <w:szCs w:val="18"/>
        </w:rPr>
      </w:r>
      <w:r>
        <w:rPr>
          <w:rFonts w:ascii="宋体" w:hAnsi="宋体" w:cs="宋体" w:eastAsia="宋体" w:hint="default"/>
          <w:spacing w:val="-3"/>
          <w:sz w:val="18"/>
          <w:szCs w:val="18"/>
        </w:rPr>
        <w:t>应收款项包括应收账款、其他应收款等。本公司对外销售商品或提供劳务形成的应收账款，按从购货方应收的合同或</w:t>
      </w:r>
    </w:p>
    <w:p>
      <w:pPr>
        <w:pStyle w:val="BodyText"/>
        <w:spacing w:line="240" w:lineRule="auto" w:before="32"/>
        <w:ind w:right="0"/>
        <w:jc w:val="left"/>
      </w:pPr>
      <w:r>
        <w:rPr>
          <w:spacing w:val="-3"/>
        </w:rPr>
        <w:t>协议价款的公允价值作为初始确认金额。</w:t>
      </w:r>
    </w:p>
    <w:p>
      <w:pPr>
        <w:pStyle w:val="BodyText"/>
        <w:spacing w:line="240" w:lineRule="auto" w:before="76"/>
        <w:ind w:left="369" w:right="0"/>
        <w:jc w:val="left"/>
      </w:pPr>
      <w:r>
        <w:rPr>
          <w:rFonts w:ascii="Times New Roman" w:hAnsi="Times New Roman" w:cs="Times New Roman" w:eastAsia="Times New Roman" w:hint="default"/>
          <w:spacing w:val="-3"/>
        </w:rPr>
        <w:t>1</w:t>
      </w:r>
      <w:r>
        <w:rPr>
          <w:spacing w:val="-3"/>
        </w:rPr>
        <w:t>、单项金额重大并单项计提坏账准备的应收款项：</w:t>
      </w:r>
    </w:p>
    <w:p>
      <w:pPr>
        <w:spacing w:line="240" w:lineRule="auto" w:before="13"/>
        <w:rPr>
          <w:rFonts w:ascii="宋体" w:hAnsi="宋体" w:cs="宋体" w:eastAsia="宋体" w:hint="default"/>
          <w:sz w:val="3"/>
          <w:szCs w:val="3"/>
        </w:rPr>
      </w:pPr>
    </w:p>
    <w:tbl>
      <w:tblPr>
        <w:tblW w:w="0" w:type="auto"/>
        <w:jc w:val="left"/>
        <w:tblInd w:w="501" w:type="dxa"/>
        <w:tblLayout w:type="fixed"/>
        <w:tblCellMar>
          <w:top w:w="0" w:type="dxa"/>
          <w:left w:w="0" w:type="dxa"/>
          <w:bottom w:w="0" w:type="dxa"/>
          <w:right w:w="0" w:type="dxa"/>
        </w:tblCellMar>
        <w:tblLook w:val="01E0"/>
      </w:tblPr>
      <w:tblGrid>
        <w:gridCol w:w="4377"/>
        <w:gridCol w:w="4552"/>
      </w:tblGrid>
      <w:tr>
        <w:trPr>
          <w:trHeight w:val="658" w:hRule="exact"/>
        </w:trPr>
        <w:tc>
          <w:tcPr>
            <w:tcW w:w="4377"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pacing w:val="-3"/>
                <w:sz w:val="18"/>
                <w:szCs w:val="18"/>
              </w:rPr>
              <w:t>单项金额重大的判断依据或金额标准</w:t>
            </w:r>
          </w:p>
        </w:tc>
        <w:tc>
          <w:tcPr>
            <w:tcW w:w="4552" w:type="dxa"/>
            <w:tcBorders>
              <w:top w:val="single" w:sz="6" w:space="0" w:color="000000"/>
              <w:left w:val="single" w:sz="6" w:space="0" w:color="000000"/>
              <w:bottom w:val="single" w:sz="6" w:space="0" w:color="000000"/>
              <w:right w:val="single" w:sz="6" w:space="0" w:color="000000"/>
            </w:tcBorders>
          </w:tcPr>
          <w:p>
            <w:pPr>
              <w:pStyle w:val="TableParagraph"/>
              <w:spacing w:line="300" w:lineRule="auto" w:before="20"/>
              <w:ind w:left="9" w:right="-5"/>
              <w:jc w:val="left"/>
              <w:rPr>
                <w:rFonts w:ascii="宋体" w:hAnsi="宋体" w:cs="宋体" w:eastAsia="宋体" w:hint="default"/>
                <w:sz w:val="18"/>
                <w:szCs w:val="18"/>
              </w:rPr>
            </w:pPr>
            <w:r>
              <w:rPr>
                <w:rFonts w:ascii="宋体" w:hAnsi="宋体" w:cs="宋体" w:eastAsia="宋体" w:hint="default"/>
                <w:spacing w:val="2"/>
                <w:sz w:val="18"/>
                <w:szCs w:val="18"/>
              </w:rPr>
              <w:t>将占期末应收款项余额</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以上且金额在</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万以上的款</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pacing w:val="-3"/>
                <w:sz w:val="18"/>
                <w:szCs w:val="18"/>
              </w:rPr>
              <w:t>项确认为单项金额重大应收款项</w:t>
            </w:r>
          </w:p>
        </w:tc>
      </w:tr>
      <w:tr>
        <w:trPr>
          <w:trHeight w:val="975" w:hRule="exact"/>
        </w:trPr>
        <w:tc>
          <w:tcPr>
            <w:tcW w:w="4377"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25"/>
              <w:ind w:left="7" w:right="0"/>
              <w:jc w:val="left"/>
              <w:rPr>
                <w:rFonts w:ascii="宋体" w:hAnsi="宋体" w:cs="宋体" w:eastAsia="宋体" w:hint="default"/>
                <w:sz w:val="18"/>
                <w:szCs w:val="18"/>
              </w:rPr>
            </w:pPr>
            <w:r>
              <w:rPr>
                <w:rFonts w:ascii="宋体" w:hAnsi="宋体" w:cs="宋体" w:eastAsia="宋体" w:hint="default"/>
                <w:spacing w:val="-3"/>
                <w:sz w:val="18"/>
                <w:szCs w:val="18"/>
              </w:rPr>
              <w:t>单项金额重大并单项计提坏账准备的计提方法</w:t>
            </w:r>
          </w:p>
        </w:tc>
        <w:tc>
          <w:tcPr>
            <w:tcW w:w="45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5"/>
              <w:ind w:left="9" w:right="-4"/>
              <w:jc w:val="both"/>
              <w:rPr>
                <w:rFonts w:ascii="宋体" w:hAnsi="宋体" w:cs="宋体" w:eastAsia="宋体" w:hint="default"/>
                <w:sz w:val="18"/>
                <w:szCs w:val="18"/>
              </w:rPr>
            </w:pPr>
            <w:r>
              <w:rPr>
                <w:rFonts w:ascii="宋体" w:hAnsi="宋体" w:cs="宋体" w:eastAsia="宋体" w:hint="default"/>
                <w:spacing w:val="-2"/>
                <w:sz w:val="18"/>
                <w:szCs w:val="18"/>
              </w:rPr>
              <w:t>当存在客观证据表明本公司将无法按应收款项的原有条款</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2"/>
                <w:sz w:val="18"/>
                <w:szCs w:val="18"/>
              </w:rPr>
              <w:t>收回所有款项时，根据其预计未来现金流量现值低于其账</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pacing w:val="-3"/>
                <w:sz w:val="18"/>
                <w:szCs w:val="18"/>
              </w:rPr>
              <w:t>面价值的差额，单独进行减值测试，计提坏账准备。</w:t>
            </w:r>
          </w:p>
        </w:tc>
      </w:tr>
    </w:tbl>
    <w:p>
      <w:pPr>
        <w:pStyle w:val="BodyText"/>
        <w:spacing w:line="300" w:lineRule="auto" w:before="10"/>
        <w:ind w:left="993" w:right="0" w:hanging="625"/>
        <w:jc w:val="left"/>
      </w:pPr>
      <w:r>
        <w:rPr>
          <w:rFonts w:ascii="Times New Roman" w:hAnsi="Times New Roman" w:cs="Times New Roman" w:eastAsia="Times New Roman" w:hint="default"/>
          <w:spacing w:val="-3"/>
        </w:rPr>
        <w:t>2</w:t>
      </w:r>
      <w:r>
        <w:rPr>
          <w:spacing w:val="-3"/>
        </w:rPr>
        <w:t>、按信用风险组合计提坏账准备的应收款项</w:t>
      </w:r>
      <w:r>
        <w:rPr>
          <w:spacing w:val="-29"/>
        </w:rPr>
        <w:t> </w:t>
      </w:r>
      <w:r>
        <w:rPr>
          <w:spacing w:val="-29"/>
        </w:rPr>
      </w:r>
      <w:r>
        <w:rPr>
          <w:spacing w:val="-3"/>
        </w:rPr>
        <w:t>本公司对单项金额不重大以及金额重大但单项测试未发生减值的应收款项，按信用风险特征的相似性和相关性对</w:t>
      </w:r>
    </w:p>
    <w:p>
      <w:pPr>
        <w:pStyle w:val="BodyText"/>
        <w:spacing w:line="319" w:lineRule="auto" w:before="31"/>
        <w:ind w:left="513" w:right="0"/>
        <w:jc w:val="left"/>
      </w:pPr>
      <w:r>
        <w:rPr>
          <w:spacing w:val="-4"/>
        </w:rPr>
        <w:t>金融资产进行分组。这些信用风险通常反映债务人按照该等资产的合同条款偿还所有到期金额的能力，并且与被检查资</w:t>
      </w:r>
      <w:r>
        <w:rPr>
          <w:spacing w:val="35"/>
        </w:rPr>
        <w:t> </w:t>
      </w:r>
      <w:r>
        <w:rPr>
          <w:spacing w:val="35"/>
        </w:rPr>
      </w:r>
      <w:r>
        <w:rPr>
          <w:spacing w:val="-3"/>
        </w:rPr>
        <w:t>产的未来现金流量测算相关。</w:t>
      </w:r>
    </w:p>
    <w:p>
      <w:pPr>
        <w:pStyle w:val="BodyText"/>
        <w:spacing w:line="240" w:lineRule="auto" w:before="17"/>
        <w:ind w:left="993" w:right="0"/>
        <w:jc w:val="left"/>
      </w:pPr>
      <w:r>
        <w:rPr>
          <w:rFonts w:ascii="Times New Roman" w:hAnsi="Times New Roman" w:cs="Times New Roman" w:eastAsia="Times New Roman" w:hint="default"/>
          <w:b/>
          <w:bCs/>
        </w:rPr>
        <w:t>A</w:t>
      </w:r>
      <w:r>
        <w:rPr/>
        <w:t>．不同组合的确定依据：</w:t>
      </w:r>
    </w:p>
    <w:p>
      <w:pPr>
        <w:spacing w:line="240" w:lineRule="auto" w:before="13"/>
        <w:rPr>
          <w:rFonts w:ascii="宋体" w:hAnsi="宋体" w:cs="宋体" w:eastAsia="宋体" w:hint="default"/>
          <w:sz w:val="3"/>
          <w:szCs w:val="3"/>
        </w:rPr>
      </w:pPr>
    </w:p>
    <w:tbl>
      <w:tblPr>
        <w:tblW w:w="0" w:type="auto"/>
        <w:jc w:val="left"/>
        <w:tblInd w:w="590" w:type="dxa"/>
        <w:tblLayout w:type="fixed"/>
        <w:tblCellMar>
          <w:top w:w="0" w:type="dxa"/>
          <w:left w:w="0" w:type="dxa"/>
          <w:bottom w:w="0" w:type="dxa"/>
          <w:right w:w="0" w:type="dxa"/>
        </w:tblCellMar>
        <w:tblLook w:val="01E0"/>
      </w:tblPr>
      <w:tblGrid>
        <w:gridCol w:w="3045"/>
        <w:gridCol w:w="5704"/>
      </w:tblGrid>
      <w:tr>
        <w:trPr>
          <w:trHeight w:val="348" w:hRule="exact"/>
        </w:trPr>
        <w:tc>
          <w:tcPr>
            <w:tcW w:w="3045" w:type="dxa"/>
            <w:tcBorders>
              <w:top w:val="single" w:sz="6" w:space="0" w:color="000000"/>
              <w:left w:val="single" w:sz="6" w:space="0" w:color="000000"/>
              <w:bottom w:val="single" w:sz="8" w:space="0" w:color="000000"/>
              <w:right w:val="single" w:sz="6" w:space="0" w:color="000000"/>
            </w:tcBorders>
            <w:shd w:val="clear" w:color="auto" w:fill="DDDDD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704" w:type="dxa"/>
            <w:tcBorders>
              <w:top w:val="single" w:sz="6" w:space="0" w:color="000000"/>
              <w:left w:val="single" w:sz="6" w:space="0" w:color="000000"/>
              <w:bottom w:val="single" w:sz="8" w:space="0" w:color="000000"/>
              <w:right w:val="single" w:sz="6" w:space="0" w:color="000000"/>
            </w:tcBorders>
            <w:shd w:val="clear" w:color="auto" w:fill="DDDDDD"/>
          </w:tcPr>
          <w:p>
            <w:pPr>
              <w:pStyle w:val="TableParagraph"/>
              <w:spacing w:line="240" w:lineRule="auto" w:before="20"/>
              <w:ind w:right="2207"/>
              <w:jc w:val="right"/>
              <w:rPr>
                <w:rFonts w:ascii="宋体" w:hAnsi="宋体" w:cs="宋体" w:eastAsia="宋体" w:hint="default"/>
                <w:sz w:val="18"/>
                <w:szCs w:val="18"/>
              </w:rPr>
            </w:pPr>
            <w:r>
              <w:rPr>
                <w:rFonts w:ascii="宋体" w:hAnsi="宋体" w:cs="宋体" w:eastAsia="宋体" w:hint="default"/>
                <w:b/>
                <w:bCs/>
                <w:spacing w:val="-2"/>
                <w:sz w:val="18"/>
                <w:szCs w:val="18"/>
              </w:rPr>
              <w:t>确定组合的依据</w:t>
            </w:r>
            <w:r>
              <w:rPr>
                <w:rFonts w:ascii="宋体" w:hAnsi="宋体" w:cs="宋体" w:eastAsia="宋体" w:hint="default"/>
                <w:spacing w:val="-2"/>
                <w:sz w:val="18"/>
                <w:szCs w:val="18"/>
              </w:rPr>
            </w:r>
          </w:p>
        </w:tc>
      </w:tr>
      <w:tr>
        <w:trPr>
          <w:trHeight w:val="346" w:hRule="exact"/>
        </w:trPr>
        <w:tc>
          <w:tcPr>
            <w:tcW w:w="30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15"/>
              <w:ind w:right="2260"/>
              <w:jc w:val="right"/>
              <w:rPr>
                <w:rFonts w:ascii="宋体" w:hAnsi="宋体" w:cs="宋体" w:eastAsia="宋体" w:hint="default"/>
                <w:sz w:val="18"/>
                <w:szCs w:val="18"/>
              </w:rPr>
            </w:pPr>
            <w:r>
              <w:rPr>
                <w:rFonts w:ascii="宋体" w:hAnsi="宋体" w:cs="宋体" w:eastAsia="宋体" w:hint="default"/>
                <w:spacing w:val="-3"/>
                <w:sz w:val="18"/>
                <w:szCs w:val="18"/>
              </w:rPr>
              <w:t>以应收款项的账龄为信用风险特征划分组合</w:t>
            </w:r>
          </w:p>
        </w:tc>
      </w:tr>
      <w:tr>
        <w:trPr>
          <w:trHeight w:val="350" w:hRule="exact"/>
        </w:trPr>
        <w:tc>
          <w:tcPr>
            <w:tcW w:w="3045"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与交易对象关系组合</w:t>
            </w:r>
          </w:p>
        </w:tc>
        <w:tc>
          <w:tcPr>
            <w:tcW w:w="5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0"/>
              <w:ind w:right="2260"/>
              <w:jc w:val="right"/>
              <w:rPr>
                <w:rFonts w:ascii="宋体" w:hAnsi="宋体" w:cs="宋体" w:eastAsia="宋体" w:hint="default"/>
                <w:sz w:val="18"/>
                <w:szCs w:val="18"/>
              </w:rPr>
            </w:pPr>
            <w:r>
              <w:rPr>
                <w:rFonts w:ascii="宋体" w:hAnsi="宋体" w:cs="宋体" w:eastAsia="宋体" w:hint="default"/>
                <w:spacing w:val="-3"/>
                <w:sz w:val="18"/>
                <w:szCs w:val="18"/>
              </w:rPr>
              <w:t>以与交易对象关系为信用风险特征划分组合</w:t>
            </w:r>
          </w:p>
        </w:tc>
      </w:tr>
    </w:tbl>
    <w:p>
      <w:pPr>
        <w:pStyle w:val="BodyText"/>
        <w:spacing w:line="240" w:lineRule="auto" w:before="11"/>
        <w:ind w:left="633" w:right="0"/>
        <w:jc w:val="left"/>
      </w:pPr>
      <w:r>
        <w:rPr>
          <w:rFonts w:ascii="Times New Roman" w:hAnsi="Times New Roman" w:cs="Times New Roman" w:eastAsia="Times New Roman" w:hint="default"/>
          <w:b/>
          <w:bCs/>
          <w:spacing w:val="-3"/>
        </w:rPr>
        <w:t>B</w:t>
      </w:r>
      <w:r>
        <w:rPr>
          <w:spacing w:val="-3"/>
        </w:rPr>
        <w:t>．不同组合计提坏账准备的计提方法：</w:t>
      </w:r>
    </w:p>
    <w:p>
      <w:pPr>
        <w:spacing w:line="240" w:lineRule="auto" w:before="13"/>
        <w:rPr>
          <w:rFonts w:ascii="宋体" w:hAnsi="宋体" w:cs="宋体" w:eastAsia="宋体" w:hint="default"/>
          <w:sz w:val="3"/>
          <w:szCs w:val="3"/>
        </w:rPr>
      </w:pPr>
    </w:p>
    <w:tbl>
      <w:tblPr>
        <w:tblW w:w="0" w:type="auto"/>
        <w:jc w:val="left"/>
        <w:tblInd w:w="666" w:type="dxa"/>
        <w:tblLayout w:type="fixed"/>
        <w:tblCellMar>
          <w:top w:w="0" w:type="dxa"/>
          <w:left w:w="0" w:type="dxa"/>
          <w:bottom w:w="0" w:type="dxa"/>
          <w:right w:w="0" w:type="dxa"/>
        </w:tblCellMar>
        <w:tblLook w:val="01E0"/>
      </w:tblPr>
      <w:tblGrid>
        <w:gridCol w:w="2968"/>
        <w:gridCol w:w="5627"/>
      </w:tblGrid>
      <w:tr>
        <w:trPr>
          <w:trHeight w:val="346" w:hRule="exact"/>
        </w:trPr>
        <w:tc>
          <w:tcPr>
            <w:tcW w:w="2968"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5627"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20"/>
              <w:ind w:left="14" w:right="0"/>
              <w:jc w:val="center"/>
              <w:rPr>
                <w:rFonts w:ascii="宋体" w:hAnsi="宋体" w:cs="宋体" w:eastAsia="宋体" w:hint="default"/>
                <w:sz w:val="18"/>
                <w:szCs w:val="18"/>
              </w:rPr>
            </w:pPr>
            <w:r>
              <w:rPr>
                <w:rFonts w:ascii="宋体" w:hAnsi="宋体" w:cs="宋体" w:eastAsia="宋体" w:hint="default"/>
                <w:b/>
                <w:bCs/>
                <w:sz w:val="18"/>
                <w:szCs w:val="18"/>
              </w:rPr>
              <w:t>计提方法</w:t>
            </w:r>
            <w:r>
              <w:rPr>
                <w:rFonts w:ascii="宋体" w:hAnsi="宋体" w:cs="宋体" w:eastAsia="宋体" w:hint="default"/>
                <w:sz w:val="18"/>
                <w:szCs w:val="18"/>
              </w:rPr>
            </w:r>
          </w:p>
        </w:tc>
      </w:tr>
      <w:tr>
        <w:trPr>
          <w:trHeight w:val="346" w:hRule="exact"/>
        </w:trPr>
        <w:tc>
          <w:tcPr>
            <w:tcW w:w="2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5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left"/>
              <w:rPr>
                <w:rFonts w:ascii="宋体" w:hAnsi="宋体" w:cs="宋体" w:eastAsia="宋体" w:hint="default"/>
                <w:sz w:val="18"/>
                <w:szCs w:val="18"/>
              </w:rPr>
            </w:pPr>
            <w:r>
              <w:rPr>
                <w:rFonts w:ascii="宋体" w:hAnsi="宋体" w:cs="宋体" w:eastAsia="宋体" w:hint="default"/>
                <w:spacing w:val="-3"/>
                <w:sz w:val="18"/>
                <w:szCs w:val="18"/>
              </w:rPr>
              <w:t>按账龄分析法计提坏账准备</w:t>
            </w:r>
          </w:p>
        </w:tc>
      </w:tr>
      <w:tr>
        <w:trPr>
          <w:trHeight w:val="350" w:hRule="exact"/>
        </w:trPr>
        <w:tc>
          <w:tcPr>
            <w:tcW w:w="29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与交易对象关系组合</w:t>
            </w:r>
          </w:p>
        </w:tc>
        <w:tc>
          <w:tcPr>
            <w:tcW w:w="56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9" w:right="0"/>
              <w:jc w:val="left"/>
              <w:rPr>
                <w:rFonts w:ascii="宋体" w:hAnsi="宋体" w:cs="宋体" w:eastAsia="宋体" w:hint="default"/>
                <w:sz w:val="18"/>
                <w:szCs w:val="18"/>
              </w:rPr>
            </w:pPr>
            <w:r>
              <w:rPr>
                <w:rFonts w:ascii="宋体" w:hAnsi="宋体" w:cs="宋体" w:eastAsia="宋体" w:hint="default"/>
                <w:spacing w:val="-3"/>
                <w:sz w:val="18"/>
                <w:szCs w:val="18"/>
              </w:rPr>
              <w:t>不计提坏账准备</w:t>
            </w:r>
          </w:p>
        </w:tc>
      </w:tr>
    </w:tbl>
    <w:p>
      <w:pPr>
        <w:pStyle w:val="BodyText"/>
        <w:spacing w:line="240" w:lineRule="auto" w:before="10"/>
        <w:ind w:left="633" w:right="0"/>
        <w:jc w:val="left"/>
      </w:pPr>
      <w:r>
        <w:rPr>
          <w:rFonts w:ascii="Times New Roman" w:hAnsi="Times New Roman" w:cs="Times New Roman" w:eastAsia="Times New Roman" w:hint="default"/>
        </w:rPr>
        <w:t>a.  </w:t>
      </w:r>
      <w:r>
        <w:rPr>
          <w:rFonts w:ascii="Times New Roman" w:hAnsi="Times New Roman" w:cs="Times New Roman" w:eastAsia="Times New Roman" w:hint="default"/>
          <w:spacing w:val="10"/>
        </w:rPr>
        <w:t> </w:t>
      </w:r>
      <w:r>
        <w:rPr>
          <w:spacing w:val="-3"/>
        </w:rPr>
        <w:t>组合中，采用账龄分析法计提坏账准备的组合计提方法</w:t>
      </w:r>
    </w:p>
    <w:p>
      <w:pPr>
        <w:spacing w:line="240" w:lineRule="auto" w:before="4"/>
        <w:rPr>
          <w:rFonts w:ascii="宋体" w:hAnsi="宋体" w:cs="宋体" w:eastAsia="宋体" w:hint="default"/>
          <w:sz w:val="5"/>
          <w:szCs w:val="5"/>
        </w:rPr>
      </w:pPr>
    </w:p>
    <w:tbl>
      <w:tblPr>
        <w:tblW w:w="0" w:type="auto"/>
        <w:jc w:val="left"/>
        <w:tblInd w:w="638" w:type="dxa"/>
        <w:tblLayout w:type="fixed"/>
        <w:tblCellMar>
          <w:top w:w="0" w:type="dxa"/>
          <w:left w:w="0" w:type="dxa"/>
          <w:bottom w:w="0" w:type="dxa"/>
          <w:right w:w="0" w:type="dxa"/>
        </w:tblCellMar>
        <w:tblLook w:val="01E0"/>
      </w:tblPr>
      <w:tblGrid>
        <w:gridCol w:w="3040"/>
        <w:gridCol w:w="2775"/>
        <w:gridCol w:w="2838"/>
      </w:tblGrid>
      <w:tr>
        <w:trPr>
          <w:trHeight w:val="329" w:hRule="exact"/>
        </w:trPr>
        <w:tc>
          <w:tcPr>
            <w:tcW w:w="3040"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4"/>
              <w:ind w:left="9" w:right="0"/>
              <w:jc w:val="center"/>
              <w:rPr>
                <w:rFonts w:ascii="宋体" w:hAnsi="宋体" w:cs="宋体" w:eastAsia="宋体" w:hint="default"/>
                <w:sz w:val="18"/>
                <w:szCs w:val="18"/>
              </w:rPr>
            </w:pPr>
            <w:r>
              <w:rPr>
                <w:rFonts w:ascii="宋体" w:hAnsi="宋体" w:cs="宋体" w:eastAsia="宋体" w:hint="default"/>
                <w:b/>
                <w:bCs/>
                <w:sz w:val="18"/>
                <w:szCs w:val="18"/>
              </w:rPr>
              <w:t>账龄</w:t>
            </w:r>
            <w:r>
              <w:rPr>
                <w:rFonts w:ascii="宋体" w:hAnsi="宋体" w:cs="宋体" w:eastAsia="宋体" w:hint="default"/>
                <w:sz w:val="18"/>
                <w:szCs w:val="18"/>
              </w:rPr>
            </w:r>
          </w:p>
        </w:tc>
        <w:tc>
          <w:tcPr>
            <w:tcW w:w="2775"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4"/>
              <w:ind w:left="393" w:right="0"/>
              <w:jc w:val="left"/>
              <w:rPr>
                <w:rFonts w:ascii="宋体" w:hAnsi="宋体" w:cs="宋体" w:eastAsia="宋体" w:hint="default"/>
                <w:sz w:val="18"/>
                <w:szCs w:val="18"/>
              </w:rPr>
            </w:pPr>
            <w:r>
              <w:rPr>
                <w:rFonts w:ascii="宋体" w:hAnsi="宋体" w:cs="宋体" w:eastAsia="宋体" w:hint="default"/>
                <w:b/>
                <w:bCs/>
                <w:sz w:val="18"/>
                <w:szCs w:val="18"/>
              </w:rPr>
              <w:t>应收账款计提比例（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c>
          <w:tcPr>
            <w:tcW w:w="2838"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4"/>
              <w:ind w:left="326" w:right="0"/>
              <w:jc w:val="left"/>
              <w:rPr>
                <w:rFonts w:ascii="宋体" w:hAnsi="宋体" w:cs="宋体" w:eastAsia="宋体" w:hint="default"/>
                <w:sz w:val="18"/>
                <w:szCs w:val="18"/>
              </w:rPr>
            </w:pPr>
            <w:r>
              <w:rPr>
                <w:rFonts w:ascii="宋体" w:hAnsi="宋体" w:cs="宋体" w:eastAsia="宋体" w:hint="default"/>
                <w:b/>
                <w:bCs/>
                <w:sz w:val="18"/>
                <w:szCs w:val="18"/>
              </w:rPr>
              <w:t>其他应收款计提比例（</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w:t>
            </w:r>
            <w:r>
              <w:rPr>
                <w:rFonts w:ascii="宋体" w:hAnsi="宋体" w:cs="宋体" w:eastAsia="宋体" w:hint="default"/>
                <w:sz w:val="18"/>
                <w:szCs w:val="18"/>
              </w:rPr>
            </w:r>
          </w:p>
        </w:tc>
      </w:tr>
      <w:tr>
        <w:trPr>
          <w:trHeight w:val="346" w:hRule="exact"/>
        </w:trPr>
        <w:tc>
          <w:tcPr>
            <w:tcW w:w="3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年以内（含</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年，下同）</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z w:val="18"/>
              </w:rPr>
              <w:t>5.00</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5.00</w:t>
            </w:r>
          </w:p>
        </w:tc>
      </w:tr>
      <w:tr>
        <w:trPr>
          <w:trHeight w:val="350" w:hRule="exact"/>
        </w:trPr>
        <w:tc>
          <w:tcPr>
            <w:tcW w:w="3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
              <w:jc w:val="right"/>
              <w:rPr>
                <w:rFonts w:ascii="Times New Roman" w:hAnsi="Times New Roman" w:cs="Times New Roman" w:eastAsia="Times New Roman" w:hint="default"/>
                <w:sz w:val="18"/>
                <w:szCs w:val="18"/>
              </w:rPr>
            </w:pPr>
            <w:r>
              <w:rPr>
                <w:rFonts w:ascii="Times New Roman"/>
                <w:spacing w:val="-1"/>
                <w:sz w:val="18"/>
              </w:rPr>
              <w:t>10.00</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0"/>
              <w:jc w:val="right"/>
              <w:rPr>
                <w:rFonts w:ascii="Times New Roman" w:hAnsi="Times New Roman" w:cs="Times New Roman" w:eastAsia="Times New Roman" w:hint="default"/>
                <w:sz w:val="18"/>
                <w:szCs w:val="18"/>
              </w:rPr>
            </w:pPr>
            <w:r>
              <w:rPr>
                <w:rFonts w:ascii="Times New Roman"/>
                <w:spacing w:val="-1"/>
                <w:sz w:val="18"/>
              </w:rPr>
              <w:t>10.00</w:t>
            </w:r>
          </w:p>
        </w:tc>
      </w:tr>
      <w:tr>
        <w:trPr>
          <w:trHeight w:val="346" w:hRule="exact"/>
        </w:trPr>
        <w:tc>
          <w:tcPr>
            <w:tcW w:w="3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20.00</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20.00</w:t>
            </w:r>
          </w:p>
        </w:tc>
      </w:tr>
      <w:tr>
        <w:trPr>
          <w:trHeight w:val="346" w:hRule="exact"/>
        </w:trPr>
        <w:tc>
          <w:tcPr>
            <w:tcW w:w="3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50.00</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51" w:hRule="exact"/>
        </w:trPr>
        <w:tc>
          <w:tcPr>
            <w:tcW w:w="3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宋体" w:hAnsi="宋体" w:cs="宋体" w:eastAsia="宋体" w:hint="default"/>
                <w:sz w:val="18"/>
                <w:szCs w:val="18"/>
              </w:rPr>
              <w:t>年</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80.00</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80.00</w:t>
            </w:r>
          </w:p>
        </w:tc>
      </w:tr>
      <w:tr>
        <w:trPr>
          <w:trHeight w:val="346" w:hRule="exact"/>
        </w:trPr>
        <w:tc>
          <w:tcPr>
            <w:tcW w:w="3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2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100.00</w:t>
            </w:r>
          </w:p>
        </w:tc>
        <w:tc>
          <w:tcPr>
            <w:tcW w:w="28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10"/>
        <w:ind w:left="369" w:right="0"/>
        <w:jc w:val="left"/>
      </w:pPr>
      <w:r>
        <w:rPr>
          <w:rFonts w:ascii="Times New Roman" w:hAnsi="Times New Roman" w:cs="Times New Roman" w:eastAsia="Times New Roman" w:hint="default"/>
          <w:spacing w:val="-3"/>
        </w:rPr>
        <w:t>3</w:t>
      </w:r>
      <w:r>
        <w:rPr>
          <w:spacing w:val="-3"/>
        </w:rPr>
        <w:t>、单项金额虽不重大但单项计提坏账准备的应收款项</w:t>
      </w:r>
    </w:p>
    <w:p>
      <w:pPr>
        <w:spacing w:line="240" w:lineRule="auto" w:before="13"/>
        <w:rPr>
          <w:rFonts w:ascii="宋体" w:hAnsi="宋体" w:cs="宋体" w:eastAsia="宋体" w:hint="default"/>
          <w:sz w:val="3"/>
          <w:szCs w:val="3"/>
        </w:rPr>
      </w:pPr>
    </w:p>
    <w:tbl>
      <w:tblPr>
        <w:tblW w:w="0" w:type="auto"/>
        <w:jc w:val="left"/>
        <w:tblInd w:w="614" w:type="dxa"/>
        <w:tblLayout w:type="fixed"/>
        <w:tblCellMar>
          <w:top w:w="0" w:type="dxa"/>
          <w:left w:w="0" w:type="dxa"/>
          <w:bottom w:w="0" w:type="dxa"/>
          <w:right w:w="0" w:type="dxa"/>
        </w:tblCellMar>
        <w:tblLook w:val="01E0"/>
      </w:tblPr>
      <w:tblGrid>
        <w:gridCol w:w="2617"/>
        <w:gridCol w:w="6084"/>
      </w:tblGrid>
      <w:tr>
        <w:trPr>
          <w:trHeight w:val="1282" w:hRule="exact"/>
        </w:trPr>
        <w:tc>
          <w:tcPr>
            <w:tcW w:w="2617"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单项计提坏账准备的理由</w:t>
            </w:r>
          </w:p>
        </w:tc>
        <w:tc>
          <w:tcPr>
            <w:tcW w:w="608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20"/>
              <w:ind w:left="4" w:right="1"/>
              <w:jc w:val="left"/>
              <w:rPr>
                <w:rFonts w:ascii="宋体" w:hAnsi="宋体" w:cs="宋体" w:eastAsia="宋体" w:hint="default"/>
                <w:sz w:val="18"/>
                <w:szCs w:val="18"/>
              </w:rPr>
            </w:pPr>
            <w:r>
              <w:rPr>
                <w:rFonts w:ascii="宋体" w:hAnsi="宋体" w:cs="宋体" w:eastAsia="宋体" w:hint="default"/>
                <w:spacing w:val="-5"/>
                <w:sz w:val="18"/>
                <w:szCs w:val="18"/>
              </w:rPr>
              <w:t>单项金额虽不重大但单项计提坏账准备的应收款项的判断依据：单项金额不重</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pacing w:val="-3"/>
                <w:sz w:val="18"/>
                <w:szCs w:val="18"/>
              </w:rPr>
              <w:t>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但有客观证据表明可能发生减值，如债务人出现撤销、破产或死亡，以其</w:t>
            </w:r>
            <w:r>
              <w:rPr>
                <w:rFonts w:ascii="宋体" w:hAnsi="宋体" w:cs="宋体" w:eastAsia="宋体" w:hint="default"/>
                <w:spacing w:val="13"/>
                <w:sz w:val="18"/>
                <w:szCs w:val="18"/>
              </w:rPr>
              <w:t> </w:t>
            </w:r>
            <w:r>
              <w:rPr>
                <w:rFonts w:ascii="宋体" w:hAnsi="宋体" w:cs="宋体" w:eastAsia="宋体" w:hint="default"/>
                <w:spacing w:val="13"/>
                <w:sz w:val="18"/>
                <w:szCs w:val="18"/>
              </w:rPr>
            </w:r>
            <w:r>
              <w:rPr>
                <w:rFonts w:ascii="宋体" w:hAnsi="宋体" w:cs="宋体" w:eastAsia="宋体" w:hint="default"/>
                <w:spacing w:val="-5"/>
                <w:sz w:val="18"/>
                <w:szCs w:val="18"/>
              </w:rPr>
              <w:t>破产财产或遗产清偿后仍不能收回，现金流量严重不足等情况的需要计提特别</w:t>
            </w:r>
            <w:r>
              <w:rPr>
                <w:rFonts w:ascii="宋体" w:hAnsi="宋体" w:cs="宋体" w:eastAsia="宋体" w:hint="default"/>
                <w:spacing w:val="18"/>
                <w:sz w:val="18"/>
                <w:szCs w:val="18"/>
              </w:rPr>
              <w:t> </w:t>
            </w:r>
            <w:r>
              <w:rPr>
                <w:rFonts w:ascii="宋体" w:hAnsi="宋体" w:cs="宋体" w:eastAsia="宋体" w:hint="default"/>
                <w:spacing w:val="18"/>
                <w:sz w:val="18"/>
                <w:szCs w:val="18"/>
              </w:rPr>
            </w:r>
            <w:r>
              <w:rPr>
                <w:rFonts w:ascii="宋体" w:hAnsi="宋体" w:cs="宋体" w:eastAsia="宋体" w:hint="default"/>
                <w:sz w:val="18"/>
                <w:szCs w:val="18"/>
              </w:rPr>
              <w:t>坏账的款项</w:t>
            </w:r>
          </w:p>
        </w:tc>
      </w:tr>
      <w:tr>
        <w:trPr>
          <w:trHeight w:val="350" w:hRule="exact"/>
        </w:trPr>
        <w:tc>
          <w:tcPr>
            <w:tcW w:w="2617"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坏账准备的计提方法</w:t>
            </w:r>
          </w:p>
        </w:tc>
        <w:tc>
          <w:tcPr>
            <w:tcW w:w="6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根据其未来现金流量现值低于其账面价值的差额，计提坏账准备</w:t>
            </w:r>
          </w:p>
        </w:tc>
      </w:tr>
    </w:tbl>
    <w:p>
      <w:pPr>
        <w:spacing w:after="0" w:line="240" w:lineRule="auto"/>
        <w:jc w:val="left"/>
        <w:rPr>
          <w:rFonts w:ascii="宋体" w:hAnsi="宋体" w:cs="宋体" w:eastAsia="宋体" w:hint="default"/>
          <w:sz w:val="18"/>
          <w:szCs w:val="18"/>
        </w:rPr>
        <w:sectPr>
          <w:footerReference w:type="default" r:id="rId19"/>
          <w:pgSz w:w="11910" w:h="16840"/>
          <w:pgMar w:footer="979" w:header="871" w:top="1100" w:bottom="1160" w:left="980" w:right="0"/>
          <w:pgNumType w:start="101"/>
        </w:sectPr>
      </w:pPr>
    </w:p>
    <w:p>
      <w:pPr>
        <w:spacing w:line="240" w:lineRule="auto" w:before="11"/>
        <w:rPr>
          <w:rFonts w:ascii="宋体" w:hAnsi="宋体" w:cs="宋体" w:eastAsia="宋体" w:hint="default"/>
          <w:sz w:val="21"/>
          <w:szCs w:val="21"/>
        </w:rPr>
      </w:pPr>
    </w:p>
    <w:p>
      <w:pPr>
        <w:pStyle w:val="BodyText"/>
        <w:spacing w:line="240" w:lineRule="auto" w:before="46"/>
        <w:ind w:left="369" w:right="0"/>
        <w:jc w:val="left"/>
      </w:pPr>
      <w:r>
        <w:rPr>
          <w:rFonts w:ascii="Times New Roman" w:hAnsi="Times New Roman" w:cs="Times New Roman" w:eastAsia="Times New Roman" w:hint="default"/>
        </w:rPr>
        <w:t>4</w:t>
      </w:r>
      <w:r>
        <w:rPr/>
        <w:t>、坏账准备的转回</w:t>
      </w:r>
    </w:p>
    <w:p>
      <w:pPr>
        <w:pStyle w:val="BodyText"/>
        <w:spacing w:line="300" w:lineRule="auto" w:before="106"/>
        <w:ind w:right="1032" w:firstLine="427"/>
        <w:jc w:val="both"/>
      </w:pPr>
      <w:r>
        <w:rPr>
          <w:rFonts w:ascii="Times New Roman" w:hAnsi="Times New Roman" w:cs="Times New Roman" w:eastAsia="Times New Roman" w:hint="default"/>
          <w:spacing w:val="-6"/>
        </w:rPr>
        <w:t>1</w:t>
      </w:r>
      <w:r>
        <w:rPr>
          <w:spacing w:val="-6"/>
        </w:rPr>
        <w:t>）如有客观证据表明该应收款项价值已恢复，且客观上与确认该损失后发生的事项有关，原确认的减值损失予以转回，</w:t>
      </w:r>
      <w:r>
        <w:rPr>
          <w:w w:val="101"/>
        </w:rPr>
        <w:t> </w:t>
      </w:r>
      <w:r>
        <w:rPr>
          <w:spacing w:val="-3"/>
        </w:rPr>
        <w:t>计入当期损益。但是，该转回后的账面价值不超过假定不计提减值准备情况下该应收款项在转回日的摊余成本。</w:t>
      </w:r>
    </w:p>
    <w:p>
      <w:pPr>
        <w:pStyle w:val="BodyText"/>
        <w:spacing w:line="304" w:lineRule="auto" w:before="70"/>
        <w:ind w:right="1124" w:firstLine="427"/>
        <w:jc w:val="both"/>
      </w:pPr>
      <w:r>
        <w:rPr>
          <w:rFonts w:ascii="Times New Roman" w:hAnsi="Times New Roman" w:cs="Times New Roman" w:eastAsia="Times New Roman" w:hint="default"/>
          <w:spacing w:val="-4"/>
        </w:rPr>
        <w:t>2</w:t>
      </w:r>
      <w:r>
        <w:rPr>
          <w:spacing w:val="-4"/>
        </w:rPr>
        <w:t>）本公司向金融机构以不附追索权方式转让应收款项的，按交易款项扣除已转销其他应收款的账面价值和相关税费后</w:t>
      </w:r>
      <w:r>
        <w:rPr>
          <w:w w:val="101"/>
        </w:rPr>
        <w:t> </w:t>
      </w:r>
      <w:r>
        <w:rPr/>
        <w:t>的差额计入当期损益。</w:t>
      </w:r>
    </w:p>
    <w:p>
      <w:pPr>
        <w:pStyle w:val="BodyText"/>
        <w:spacing w:line="240" w:lineRule="auto" w:before="66"/>
        <w:ind w:left="580" w:right="0"/>
        <w:jc w:val="left"/>
      </w:pPr>
      <w:r>
        <w:rPr>
          <w:rFonts w:ascii="Times New Roman" w:hAnsi="Times New Roman" w:cs="Times New Roman" w:eastAsia="Times New Roman" w:hint="default"/>
          <w:spacing w:val="-6"/>
        </w:rPr>
        <w:t>3</w:t>
      </w:r>
      <w:r>
        <w:rPr>
          <w:spacing w:val="-6"/>
        </w:rPr>
        <w:t>）对应收票据、预付款项、应收利息等其他应收款项，根据其未来现金流量现值低于其账面价值的差额计提坏账准备。</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13、应收款项融资" w:id="183"/>
      <w:bookmarkEnd w:id="183"/>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详见：</w:t>
      </w:r>
      <w:r>
        <w:rPr>
          <w:rFonts w:ascii="宋体" w:hAnsi="宋体" w:cs="宋体" w:eastAsia="宋体" w:hint="default"/>
          <w:spacing w:val="-3"/>
        </w:rPr>
        <w:t>10</w:t>
      </w:r>
      <w:r>
        <w:rPr>
          <w:spacing w:val="-3"/>
        </w:rPr>
        <w:t>、金融工具</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4、其他应收款" w:id="184"/>
      <w:bookmarkEnd w:id="184"/>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详见：</w:t>
      </w:r>
      <w:r>
        <w:rPr>
          <w:rFonts w:ascii="宋体" w:hAnsi="宋体" w:cs="宋体" w:eastAsia="宋体" w:hint="default"/>
          <w:spacing w:val="-3"/>
        </w:rPr>
        <w:t>12</w:t>
      </w:r>
      <w:r>
        <w:rPr>
          <w:spacing w:val="-3"/>
        </w:rPr>
        <w:t>、应收帐款</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5、存货" w:id="185"/>
      <w:bookmarkEnd w:id="185"/>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80" w:right="1140"/>
        <w:jc w:val="left"/>
      </w:pPr>
      <w:r>
        <w:rPr/>
        <w:t>（</w:t>
      </w:r>
      <w:r>
        <w:rPr>
          <w:rFonts w:ascii="Times New Roman" w:hAnsi="Times New Roman" w:cs="Times New Roman" w:eastAsia="Times New Roman" w:hint="default"/>
        </w:rPr>
        <w:t>1</w:t>
      </w:r>
      <w:r>
        <w:rPr/>
        <w:t>）存货的分类</w:t>
      </w:r>
      <w:r>
        <w:rPr>
          <w:spacing w:val="-87"/>
        </w:rPr>
        <w:t> </w:t>
      </w:r>
      <w:r>
        <w:rPr>
          <w:spacing w:val="-87"/>
        </w:rPr>
      </w:r>
      <w:r>
        <w:rPr>
          <w:spacing w:val="-3"/>
        </w:rPr>
        <w:t>本公司存货分为在途物资、原材料、低值易耗品、周转材料、库存商品、发出商品、委托加工物资等。</w:t>
      </w:r>
    </w:p>
    <w:p>
      <w:pPr>
        <w:pStyle w:val="BodyText"/>
        <w:spacing w:line="300" w:lineRule="auto" w:before="32"/>
        <w:ind w:left="580" w:right="0"/>
        <w:jc w:val="left"/>
      </w:pPr>
      <w:r>
        <w:rPr/>
        <w:t>（</w:t>
      </w:r>
      <w:r>
        <w:rPr>
          <w:rFonts w:ascii="Times New Roman" w:hAnsi="Times New Roman" w:cs="Times New Roman" w:eastAsia="Times New Roman" w:hint="default"/>
        </w:rPr>
        <w:t>2</w:t>
      </w:r>
      <w:r>
        <w:rPr/>
        <w:t>）存货取得和发出的计价方法</w:t>
      </w:r>
      <w:r>
        <w:rPr>
          <w:spacing w:val="-86"/>
        </w:rPr>
        <w:t> </w:t>
      </w:r>
      <w:r>
        <w:rPr>
          <w:spacing w:val="-86"/>
        </w:rPr>
      </w:r>
      <w:r>
        <w:rPr>
          <w:spacing w:val="-2"/>
        </w:rPr>
        <w:t>存货实行永续盘存制，存货在取得时按实际成本计价；领用或发出原材料、在产品采用加权平均法，产成品和发出商</w:t>
      </w:r>
    </w:p>
    <w:p>
      <w:pPr>
        <w:pStyle w:val="BodyText"/>
        <w:spacing w:line="240" w:lineRule="auto" w:before="31"/>
        <w:ind w:right="0"/>
        <w:jc w:val="left"/>
      </w:pPr>
      <w:r>
        <w:rPr>
          <w:spacing w:val="-3"/>
        </w:rPr>
        <w:t>品按个别计价法确定其实际成本。低值易耗品采用一次摊销法进行摊销，包装物采用一次摊销法摊销。</w:t>
      </w:r>
    </w:p>
    <w:p>
      <w:pPr>
        <w:pStyle w:val="BodyText"/>
        <w:spacing w:line="300" w:lineRule="auto" w:before="76"/>
        <w:ind w:left="580" w:right="0"/>
        <w:jc w:val="left"/>
      </w:pPr>
      <w:r>
        <w:rPr/>
        <w:t>（</w:t>
      </w:r>
      <w:r>
        <w:rPr>
          <w:rFonts w:ascii="Times New Roman" w:hAnsi="Times New Roman" w:cs="Times New Roman" w:eastAsia="Times New Roman" w:hint="default"/>
        </w:rPr>
        <w:t>3</w:t>
      </w:r>
      <w:r>
        <w:rPr/>
        <w:t>）存货跌价准备计提方法</w:t>
      </w:r>
      <w:r>
        <w:rPr>
          <w:spacing w:val="-85"/>
        </w:rPr>
        <w:t> </w:t>
      </w:r>
      <w:r>
        <w:rPr>
          <w:spacing w:val="-85"/>
        </w:rPr>
      </w:r>
      <w:r>
        <w:rPr>
          <w:spacing w:val="-2"/>
        </w:rPr>
        <w:t>本公司期末存货成本高于其可变现净值的，计提存货跌价准备。本公司通常按照类别存货项目计提存货跌价准备，期</w:t>
      </w:r>
    </w:p>
    <w:p>
      <w:pPr>
        <w:pStyle w:val="BodyText"/>
        <w:spacing w:line="240" w:lineRule="auto" w:before="31"/>
        <w:ind w:right="0"/>
        <w:jc w:val="left"/>
      </w:pPr>
      <w:r>
        <w:rPr>
          <w:spacing w:val="-3"/>
        </w:rPr>
        <w:t>末，以前减记存货价值的影响因素已经消失的，存货跌价准备在原已计提的金额内转回。</w:t>
      </w:r>
    </w:p>
    <w:p>
      <w:pPr>
        <w:pStyle w:val="BodyText"/>
        <w:spacing w:line="300" w:lineRule="auto" w:before="77"/>
        <w:ind w:left="580" w:right="0"/>
        <w:jc w:val="left"/>
      </w:pPr>
      <w:r>
        <w:rPr/>
        <w:t>（</w:t>
      </w:r>
      <w:r>
        <w:rPr>
          <w:rFonts w:ascii="Times New Roman" w:hAnsi="Times New Roman" w:cs="Times New Roman" w:eastAsia="Times New Roman" w:hint="default"/>
        </w:rPr>
        <w:t>4</w:t>
      </w:r>
      <w:r>
        <w:rPr/>
        <w:t>）存货可变现净值的确认方法</w:t>
      </w:r>
      <w:r>
        <w:rPr>
          <w:spacing w:val="-86"/>
        </w:rPr>
        <w:t> </w:t>
      </w:r>
      <w:r>
        <w:rPr>
          <w:spacing w:val="-86"/>
        </w:rPr>
      </w:r>
      <w:r>
        <w:rPr>
          <w:spacing w:val="-3"/>
        </w:rPr>
        <w:t>存货可变现净值是按存货的估计售价减去至完工时估计将要发生的成本、估计的销售费用以及相关税费后的金额。</w:t>
      </w:r>
    </w:p>
    <w:p>
      <w:pPr>
        <w:spacing w:line="240" w:lineRule="auto" w:before="7"/>
        <w:rPr>
          <w:rFonts w:ascii="宋体" w:hAnsi="宋体" w:cs="宋体" w:eastAsia="宋体" w:hint="default"/>
          <w:sz w:val="23"/>
          <w:szCs w:val="23"/>
        </w:rPr>
      </w:pPr>
    </w:p>
    <w:p>
      <w:pPr>
        <w:pStyle w:val="Heading3"/>
        <w:spacing w:line="240" w:lineRule="auto"/>
        <w:ind w:right="0"/>
        <w:jc w:val="left"/>
        <w:rPr>
          <w:b w:val="0"/>
          <w:bCs w:val="0"/>
        </w:rPr>
      </w:pPr>
      <w:bookmarkStart w:name="16、合同资产" w:id="186"/>
      <w:bookmarkEnd w:id="186"/>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7、合同成本" w:id="187"/>
      <w:bookmarkEnd w:id="187"/>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不适用</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18、持有待售资产" w:id="188"/>
      <w:bookmarkEnd w:id="188"/>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9"/>
        <w:rPr>
          <w:rFonts w:ascii="宋体" w:hAnsi="宋体" w:cs="宋体" w:eastAsia="宋体" w:hint="default"/>
          <w:b/>
          <w:bCs/>
          <w:sz w:val="26"/>
          <w:szCs w:val="26"/>
        </w:rPr>
      </w:pPr>
    </w:p>
    <w:p>
      <w:pPr>
        <w:pStyle w:val="BodyText"/>
        <w:spacing w:line="307" w:lineRule="auto"/>
        <w:ind w:right="1124" w:firstLine="360"/>
        <w:jc w:val="both"/>
      </w:pPr>
      <w:r>
        <w:rPr>
          <w:spacing w:val="-4"/>
        </w:rPr>
        <w:t>本公司将通过出售（包括具有商业实质的非货币性资产交换，下同）而非持续使用一项非流动资产或处置组收回其账面</w:t>
      </w:r>
      <w:r>
        <w:rPr>
          <w:w w:val="101"/>
        </w:rPr>
        <w:t> </w:t>
      </w:r>
      <w:r>
        <w:rPr>
          <w:spacing w:val="-2"/>
        </w:rPr>
        <w:t>价值，并同时满足以下两个条件的，划分为持有待售类别：</w:t>
      </w:r>
      <w:r>
        <w:rPr>
          <w:rFonts w:ascii="Times New Roman" w:hAnsi="Times New Roman" w:cs="Times New Roman" w:eastAsia="Times New Roman" w:hint="default"/>
          <w:spacing w:val="-2"/>
        </w:rPr>
        <w:t>(1)</w:t>
      </w:r>
      <w:r>
        <w:rPr>
          <w:spacing w:val="-2"/>
        </w:rPr>
        <w:t>某项非流动资产或处置组根据类似交易中出售此类资产或处</w:t>
      </w:r>
      <w:r>
        <w:rPr>
          <w:spacing w:val="85"/>
        </w:rPr>
        <w:t> </w:t>
      </w:r>
      <w:r>
        <w:rPr>
          <w:spacing w:val="85"/>
        </w:rPr>
      </w:r>
      <w:r>
        <w:rPr>
          <w:spacing w:val="-2"/>
        </w:rPr>
        <w:t>置组的惯例，在当前状况下即可立即出售；</w:t>
      </w:r>
      <w:r>
        <w:rPr>
          <w:rFonts w:ascii="Times New Roman" w:hAnsi="Times New Roman" w:cs="Times New Roman" w:eastAsia="Times New Roman" w:hint="default"/>
          <w:spacing w:val="-2"/>
        </w:rPr>
        <w:t>(2)</w:t>
      </w:r>
      <w:r>
        <w:rPr>
          <w:spacing w:val="-2"/>
        </w:rPr>
        <w:t>本公司已经就出售计划作出决议且获得确定的购买承诺，预计出售将在一年</w:t>
      </w:r>
      <w:r>
        <w:rPr>
          <w:spacing w:val="86"/>
        </w:rPr>
        <w:t> </w:t>
      </w:r>
      <w:r>
        <w:rPr>
          <w:spacing w:val="86"/>
        </w:rPr>
      </w:r>
      <w:r>
        <w:rPr>
          <w:spacing w:val="-3"/>
        </w:rPr>
        <w:t>内完成。（有关规定要求相关权力机构或者监管部门批准后方可出售的，已经获得批准。）</w:t>
      </w:r>
    </w:p>
    <w:p>
      <w:pPr>
        <w:pStyle w:val="BodyText"/>
        <w:spacing w:line="300" w:lineRule="auto" w:before="26"/>
        <w:ind w:right="1122" w:firstLine="360"/>
        <w:jc w:val="both"/>
      </w:pPr>
      <w:r>
        <w:rPr>
          <w:spacing w:val="-4"/>
        </w:rPr>
        <w:t>本公司将专为转售而取得的非流动资产或处置组，在取得日满足</w:t>
      </w:r>
      <w:r>
        <w:rPr>
          <w:rFonts w:ascii="Times New Roman" w:hAnsi="Times New Roman" w:cs="Times New Roman" w:eastAsia="Times New Roman" w:hint="default"/>
          <w:spacing w:val="-4"/>
        </w:rPr>
        <w:t>“</w:t>
      </w:r>
      <w:r>
        <w:rPr>
          <w:spacing w:val="-4"/>
        </w:rPr>
        <w:t>预计出售将在一年内完成</w:t>
      </w:r>
      <w:r>
        <w:rPr>
          <w:rFonts w:ascii="Times New Roman" w:hAnsi="Times New Roman" w:cs="Times New Roman" w:eastAsia="Times New Roman" w:hint="default"/>
          <w:spacing w:val="-4"/>
        </w:rPr>
        <w:t>”</w:t>
      </w:r>
      <w:r>
        <w:rPr>
          <w:spacing w:val="-4"/>
        </w:rPr>
        <w:t>的规定条件，且短期（通常</w:t>
      </w:r>
      <w:r>
        <w:rPr>
          <w:w w:val="101"/>
        </w:rPr>
        <w:t> </w:t>
      </w:r>
      <w:r>
        <w:rPr>
          <w:spacing w:val="-3"/>
        </w:rPr>
        <w:t>为</w:t>
      </w:r>
      <w:r>
        <w:rPr>
          <w:rFonts w:ascii="Times New Roman" w:hAnsi="Times New Roman" w:cs="Times New Roman" w:eastAsia="Times New Roman" w:hint="default"/>
          <w:spacing w:val="-3"/>
        </w:rPr>
        <w:t>3</w:t>
      </w:r>
      <w:r>
        <w:rPr>
          <w:spacing w:val="-3"/>
        </w:rPr>
        <w:t>个月）内很可能满足持有待售类别的其他划分条件的，在取得日划分为持有待售类别。</w:t>
      </w:r>
    </w:p>
    <w:p>
      <w:pPr>
        <w:spacing w:after="0" w:line="300"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4" w:lineRule="auto" w:before="46"/>
        <w:ind w:right="0" w:firstLine="360"/>
        <w:jc w:val="left"/>
      </w:pPr>
      <w:r>
        <w:rPr>
          <w:spacing w:val="-5"/>
          <w:w w:val="101"/>
        </w:rPr>
        <w:t>本公司初始计量或在资产负债表日重新计量划分为持有待售的非流动资产和处置组时，其账面价值高于公允价值减去出</w:t>
      </w:r>
      <w:r>
        <w:rPr>
          <w:w w:val="101"/>
        </w:rPr>
        <w:t> </w:t>
      </w:r>
      <w:r>
        <w:rPr>
          <w:spacing w:val="-3"/>
        </w:rPr>
        <w:t>售费用后的净额的，将账面价值减记至公允价值减去出售费用后的净额，减记的金额确认为资产减值损失，计入当期损益，</w:t>
      </w:r>
      <w:r>
        <w:rPr>
          <w:spacing w:val="67"/>
        </w:rPr>
        <w:t> </w:t>
      </w:r>
      <w:r>
        <w:rPr>
          <w:spacing w:val="67"/>
        </w:rPr>
      </w:r>
      <w:r>
        <w:rPr>
          <w:spacing w:val="-4"/>
        </w:rPr>
        <w:t>同时计提持有待售资产减值准备。对于持有待售的处置组确认的资产减值损失金额，先抵减处置组中商誉的账面价值，再根</w:t>
      </w:r>
      <w:r>
        <w:rPr>
          <w:spacing w:val="43"/>
        </w:rPr>
        <w:t> </w:t>
      </w:r>
      <w:r>
        <w:rPr>
          <w:spacing w:val="43"/>
        </w:rPr>
      </w:r>
      <w:r>
        <w:rPr>
          <w:spacing w:val="-4"/>
        </w:rPr>
        <w:t>据处置组中适用《企业会计准则第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持有待售的非流动资产、处置组和终止经营》计量规定的各项非流动资产账面价</w:t>
      </w:r>
      <w:r>
        <w:rPr>
          <w:spacing w:val="47"/>
        </w:rPr>
        <w:t> </w:t>
      </w:r>
      <w:r>
        <w:rPr>
          <w:spacing w:val="47"/>
        </w:rPr>
      </w:r>
      <w:r>
        <w:rPr>
          <w:spacing w:val="-3"/>
        </w:rPr>
        <w:t>值所占比重，按比例抵减其账面价值。</w:t>
      </w:r>
    </w:p>
    <w:p>
      <w:pPr>
        <w:pStyle w:val="BodyText"/>
        <w:spacing w:line="314" w:lineRule="auto" w:before="20"/>
        <w:ind w:right="1122" w:firstLine="360"/>
        <w:jc w:val="both"/>
      </w:pPr>
      <w:r>
        <w:rPr>
          <w:spacing w:val="-5"/>
        </w:rPr>
        <w:t>后续资产负债表日持有待售的非流动资产公允价值减去出售费用后的净额增加的，以前减记的金额予以恢复，并在划分</w:t>
      </w:r>
      <w:r>
        <w:rPr>
          <w:w w:val="101"/>
        </w:rPr>
        <w:t> </w:t>
      </w:r>
      <w:r>
        <w:rPr>
          <w:spacing w:val="-4"/>
        </w:rPr>
        <w:t>为持有待售类别后确认的资产减值损失金额内转回，转回金额计入当期损益。划分为持有待售类别前确认的资产减值损失不</w:t>
      </w:r>
      <w:r>
        <w:rPr>
          <w:spacing w:val="44"/>
        </w:rPr>
        <w:t> </w:t>
      </w:r>
      <w:r>
        <w:rPr>
          <w:spacing w:val="44"/>
        </w:rPr>
      </w:r>
      <w:r>
        <w:rPr>
          <w:spacing w:val="-4"/>
        </w:rPr>
        <w:t>转回。持有待售的处置组以前减记的金额应当予以恢复，并在划分为持有待售类别后适用《企业会计准则第</w:t>
      </w:r>
      <w:r>
        <w:rPr>
          <w:rFonts w:ascii="Times New Roman" w:hAnsi="Times New Roman" w:cs="Times New Roman" w:eastAsia="Times New Roman" w:hint="default"/>
          <w:spacing w:val="-4"/>
        </w:rPr>
        <w:t>42</w:t>
      </w:r>
      <w:r>
        <w:rPr>
          <w:spacing w:val="-4"/>
        </w:rPr>
        <w:t>号</w:t>
      </w:r>
      <w:r>
        <w:rPr>
          <w:rFonts w:ascii="Times New Roman" w:hAnsi="Times New Roman" w:cs="Times New Roman" w:eastAsia="Times New Roman" w:hint="default"/>
          <w:spacing w:val="-4"/>
        </w:rPr>
        <w:t>——</w:t>
      </w:r>
      <w:r>
        <w:rPr>
          <w:spacing w:val="-4"/>
        </w:rPr>
        <w:t>持有待</w:t>
      </w:r>
      <w:r>
        <w:rPr>
          <w:spacing w:val="48"/>
        </w:rPr>
        <w:t> </w:t>
      </w:r>
      <w:r>
        <w:rPr>
          <w:spacing w:val="48"/>
        </w:rPr>
      </w:r>
      <w:r>
        <w:rPr>
          <w:spacing w:val="-4"/>
        </w:rPr>
        <w:t>售的非流动资产、处置组和终止经营》计量规定的非流动资产确认的资产减值损失金额内转回，转回金额计入当期损益。已</w:t>
      </w:r>
      <w:r>
        <w:rPr>
          <w:spacing w:val="40"/>
        </w:rPr>
        <w:t> </w:t>
      </w:r>
      <w:r>
        <w:rPr>
          <w:spacing w:val="40"/>
        </w:rPr>
      </w:r>
      <w:r>
        <w:rPr>
          <w:spacing w:val="-3"/>
        </w:rPr>
        <w:t>抵减的商誉账面价值，以及适用本准则计量规定的非流动资产在划分为持有待售类别前确认的资产减值损失不得转回。</w:t>
      </w:r>
    </w:p>
    <w:p>
      <w:pPr>
        <w:pStyle w:val="BodyText"/>
        <w:spacing w:line="316" w:lineRule="auto" w:before="20"/>
        <w:ind w:right="1128" w:firstLine="360"/>
        <w:jc w:val="both"/>
      </w:pPr>
      <w:r>
        <w:rPr>
          <w:spacing w:val="-5"/>
          <w:w w:val="101"/>
        </w:rPr>
        <w:t>持有待售的非流动资产或处置组中的非流动资产不计提折旧或摊销，持有待售的处置组中负债的利息和其他费用继续予</w:t>
      </w:r>
      <w:r>
        <w:rPr>
          <w:w w:val="101"/>
        </w:rPr>
        <w:t> </w:t>
      </w:r>
      <w:r>
        <w:rPr/>
        <w:t>以确认。</w:t>
      </w:r>
    </w:p>
    <w:p>
      <w:pPr>
        <w:pStyle w:val="BodyText"/>
        <w:spacing w:line="309" w:lineRule="auto" w:before="19"/>
        <w:ind w:right="1127" w:firstLine="360"/>
        <w:jc w:val="both"/>
      </w:pPr>
      <w:r>
        <w:rPr>
          <w:spacing w:val="-4"/>
          <w:w w:val="101"/>
        </w:rPr>
        <w:t>非流动资产或处置组因不再满足持有待售类别的划分条件时，本公司不再将其继续划分为持有待售类别或非流动资产从</w:t>
      </w:r>
      <w:r>
        <w:rPr>
          <w:w w:val="101"/>
        </w:rPr>
        <w:t> </w:t>
      </w:r>
      <w:r>
        <w:rPr>
          <w:spacing w:val="-3"/>
        </w:rPr>
        <w:t>持有待售的处置组中移除，并按照以下两者孰低计量：（</w:t>
      </w:r>
      <w:r>
        <w:rPr>
          <w:rFonts w:ascii="Times New Roman" w:hAnsi="Times New Roman" w:cs="Times New Roman" w:eastAsia="Times New Roman" w:hint="default"/>
          <w:spacing w:val="-3"/>
        </w:rPr>
        <w:t>1</w:t>
      </w:r>
      <w:r>
        <w:rPr>
          <w:spacing w:val="-3"/>
        </w:rPr>
        <w:t>）划分为持有待售类别前的账面价值，按照假定不划分为持有待</w:t>
      </w:r>
      <w:r>
        <w:rPr>
          <w:spacing w:val="75"/>
        </w:rPr>
        <w:t> </w:t>
      </w:r>
      <w:r>
        <w:rPr>
          <w:spacing w:val="75"/>
        </w:rPr>
      </w:r>
      <w:r>
        <w:rPr>
          <w:spacing w:val="-3"/>
        </w:rPr>
        <w:t>售类别情况下本应确认的折旧、摊销或减值等进行调整后的金额；（</w:t>
      </w:r>
      <w:r>
        <w:rPr>
          <w:rFonts w:ascii="Times New Roman" w:hAnsi="Times New Roman" w:cs="Times New Roman" w:eastAsia="Times New Roman" w:hint="default"/>
          <w:spacing w:val="-3"/>
        </w:rPr>
        <w:t>2</w:t>
      </w:r>
      <w:r>
        <w:rPr>
          <w:spacing w:val="-3"/>
        </w:rPr>
        <w:t>）可收回金额。</w:t>
      </w:r>
    </w:p>
    <w:p>
      <w:pPr>
        <w:pStyle w:val="BodyText"/>
        <w:spacing w:line="240" w:lineRule="auto" w:before="5"/>
        <w:ind w:left="513" w:right="0"/>
        <w:jc w:val="left"/>
      </w:pPr>
      <w:r>
        <w:rPr>
          <w:spacing w:val="-3"/>
        </w:rPr>
        <w:t>终止确认持有待售的非流动资产或处置组时，本公司将尚未确认的利得或损失计入当期损益。</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bookmarkStart w:name="19、债权投资" w:id="189"/>
      <w:bookmarkEnd w:id="189"/>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不适用</w:t>
      </w:r>
    </w:p>
    <w:p>
      <w:pPr>
        <w:spacing w:line="240" w:lineRule="auto" w:before="9"/>
        <w:rPr>
          <w:rFonts w:ascii="宋体" w:hAnsi="宋体" w:cs="宋体" w:eastAsia="宋体" w:hint="default"/>
          <w:sz w:val="26"/>
          <w:szCs w:val="26"/>
        </w:rPr>
      </w:pPr>
    </w:p>
    <w:p>
      <w:pPr>
        <w:pStyle w:val="Heading3"/>
        <w:spacing w:line="240" w:lineRule="auto"/>
        <w:ind w:right="0"/>
        <w:jc w:val="both"/>
        <w:rPr>
          <w:b w:val="0"/>
          <w:bCs w:val="0"/>
        </w:rPr>
      </w:pPr>
      <w:bookmarkStart w:name="20、其他债权投资" w:id="190"/>
      <w:bookmarkEnd w:id="190"/>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t>不适用</w:t>
      </w:r>
    </w:p>
    <w:p>
      <w:pPr>
        <w:spacing w:line="240" w:lineRule="auto" w:before="4"/>
        <w:rPr>
          <w:rFonts w:ascii="宋体" w:hAnsi="宋体" w:cs="宋体" w:eastAsia="宋体" w:hint="default"/>
          <w:sz w:val="26"/>
          <w:szCs w:val="26"/>
        </w:rPr>
      </w:pPr>
    </w:p>
    <w:p>
      <w:pPr>
        <w:pStyle w:val="Heading3"/>
        <w:spacing w:line="240" w:lineRule="auto"/>
        <w:ind w:right="0"/>
        <w:jc w:val="both"/>
        <w:rPr>
          <w:b w:val="0"/>
          <w:bCs w:val="0"/>
        </w:rPr>
      </w:pPr>
      <w:bookmarkStart w:name="21、长期应收款" w:id="191"/>
      <w:bookmarkEnd w:id="191"/>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t>不适用</w:t>
      </w:r>
    </w:p>
    <w:p>
      <w:pPr>
        <w:spacing w:line="240" w:lineRule="auto" w:before="4"/>
        <w:rPr>
          <w:rFonts w:ascii="宋体" w:hAnsi="宋体" w:cs="宋体" w:eastAsia="宋体" w:hint="default"/>
          <w:sz w:val="26"/>
          <w:szCs w:val="26"/>
        </w:rPr>
      </w:pPr>
    </w:p>
    <w:p>
      <w:pPr>
        <w:pStyle w:val="Heading3"/>
        <w:spacing w:line="240" w:lineRule="auto"/>
        <w:ind w:right="0"/>
        <w:jc w:val="both"/>
        <w:rPr>
          <w:b w:val="0"/>
          <w:bCs w:val="0"/>
        </w:rPr>
      </w:pPr>
      <w:bookmarkStart w:name="22、长期股权投资" w:id="192"/>
      <w:bookmarkEnd w:id="192"/>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10"/>
        <w:rPr>
          <w:rFonts w:ascii="宋体" w:hAnsi="宋体" w:cs="宋体" w:eastAsia="宋体" w:hint="default"/>
          <w:b/>
          <w:bCs/>
          <w:sz w:val="26"/>
          <w:szCs w:val="26"/>
        </w:rPr>
      </w:pPr>
    </w:p>
    <w:p>
      <w:pPr>
        <w:pStyle w:val="BodyText"/>
        <w:spacing w:line="316" w:lineRule="auto"/>
        <w:ind w:right="1123" w:firstLine="427"/>
        <w:jc w:val="both"/>
      </w:pPr>
      <w:r>
        <w:rPr>
          <w:spacing w:val="-2"/>
        </w:rPr>
        <w:t>本部分所指的长期股权投资是指本公司对被投资单位具有控制、共同控制或重大影响的长期股权投资。本公司对被投</w:t>
      </w:r>
      <w:r>
        <w:rPr>
          <w:w w:val="101"/>
        </w:rPr>
        <w:t> </w:t>
      </w:r>
      <w:r>
        <w:rPr>
          <w:spacing w:val="-4"/>
        </w:rPr>
        <w:t>资单位不具有控制、共同控制或重大影响的长期股权投资，作为交易性金融资产或其他权益工具投资核算，其会计政策详见</w:t>
      </w:r>
      <w:r>
        <w:rPr>
          <w:spacing w:val="43"/>
        </w:rPr>
        <w:t> </w:t>
      </w:r>
      <w:r>
        <w:rPr>
          <w:spacing w:val="43"/>
        </w:rPr>
      </w:r>
      <w:r>
        <w:rPr/>
        <w:t>附注三、</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9" w:lineRule="auto"/>
        <w:ind w:right="1124" w:firstLine="427"/>
        <w:jc w:val="both"/>
      </w:pPr>
      <w:r>
        <w:rPr>
          <w:spacing w:val="-2"/>
        </w:rPr>
        <w:t>共同控制，是指本公司按照相关约定对某项安排所共有的控制，并且该安排的相关活动必须经过分享控制权的参与方</w:t>
      </w:r>
      <w:r>
        <w:rPr>
          <w:w w:val="101"/>
        </w:rPr>
        <w:t> </w:t>
      </w:r>
      <w:r>
        <w:rPr>
          <w:spacing w:val="-4"/>
        </w:rPr>
        <w:t>一致同意后才能决策。重大影响，是指本公司对被投资单位的财务和经营政策有参与决策的权力，但并不能够控制或者与其</w:t>
      </w:r>
      <w:r>
        <w:rPr>
          <w:spacing w:val="43"/>
        </w:rPr>
        <w:t> </w:t>
      </w:r>
      <w:r>
        <w:rPr>
          <w:spacing w:val="43"/>
        </w:rPr>
      </w:r>
      <w:r>
        <w:rPr>
          <w:spacing w:val="-3"/>
        </w:rPr>
        <w:t>他方一起共同控制这些政策的制定。</w:t>
      </w:r>
    </w:p>
    <w:p>
      <w:pPr>
        <w:pStyle w:val="BodyText"/>
        <w:spacing w:line="300" w:lineRule="auto" w:before="17"/>
        <w:ind w:left="580" w:right="0"/>
        <w:jc w:val="left"/>
      </w:pPr>
      <w:r>
        <w:rPr/>
        <w:t>（</w:t>
      </w:r>
      <w:r>
        <w:rPr>
          <w:rFonts w:ascii="Times New Roman" w:hAnsi="Times New Roman" w:cs="Times New Roman" w:eastAsia="Times New Roman" w:hint="default"/>
        </w:rPr>
        <w:t>1</w:t>
      </w:r>
      <w:r>
        <w:rPr/>
        <w:t>）投资成本的确定</w:t>
      </w:r>
      <w:r>
        <w:rPr>
          <w:spacing w:val="-88"/>
        </w:rPr>
        <w:t> </w:t>
      </w:r>
      <w:r>
        <w:rPr>
          <w:spacing w:val="-88"/>
        </w:rPr>
      </w:r>
      <w:r>
        <w:rPr>
          <w:spacing w:val="-2"/>
        </w:rPr>
        <w:t>对于同一控制下的企业合并取得的长期股权投资，在合并日按照被合并方所有者权益在最终控制方合并财务报表中的</w:t>
      </w:r>
    </w:p>
    <w:p>
      <w:pPr>
        <w:pStyle w:val="BodyText"/>
        <w:spacing w:line="319" w:lineRule="auto" w:before="31"/>
        <w:ind w:right="1123"/>
        <w:jc w:val="both"/>
      </w:pPr>
      <w:r>
        <w:rPr>
          <w:spacing w:val="-4"/>
        </w:rPr>
        <w:t>账面价值的份额作为长期股权投资的初始投资成本。长期股权投资初始投资成本与支付的现金、转让的非现金资产以及所承</w:t>
      </w:r>
      <w:r>
        <w:rPr>
          <w:spacing w:val="44"/>
        </w:rPr>
        <w:t> </w:t>
      </w:r>
      <w:r>
        <w:rPr>
          <w:spacing w:val="44"/>
        </w:rPr>
      </w:r>
      <w:r>
        <w:rPr>
          <w:spacing w:val="-4"/>
        </w:rPr>
        <w:t>担债务账面价值之间的差额，调整资本公积；资本公积不足冲减的，调整留存收益。以发行权益性证券作为合并对价的，在</w:t>
      </w:r>
      <w:r>
        <w:rPr>
          <w:spacing w:val="40"/>
        </w:rPr>
        <w:t> </w:t>
      </w:r>
      <w:r>
        <w:rPr>
          <w:spacing w:val="40"/>
        </w:rPr>
      </w:r>
      <w:r>
        <w:rPr>
          <w:spacing w:val="-4"/>
          <w:w w:val="101"/>
        </w:rPr>
        <w:t>合并日按照被合并方所有者权益在最终控制方合并财务报表中的账面价值的份额作为长期股权投资的初始投资成本，按照发</w:t>
      </w:r>
      <w:r>
        <w:rPr>
          <w:w w:val="101"/>
        </w:rPr>
        <w:t> </w:t>
      </w:r>
      <w:r>
        <w:rPr>
          <w:spacing w:val="-4"/>
        </w:rPr>
        <w:t>行股份的面值总额作为股本，长期股权投资初始投资成本与所发行股份面值总额之间的差额，调整资本公积；资本公积不足</w:t>
      </w:r>
      <w:r>
        <w:rPr>
          <w:spacing w:val="43"/>
        </w:rPr>
        <w:t> </w:t>
      </w:r>
      <w:r>
        <w:rPr>
          <w:spacing w:val="43"/>
        </w:rPr>
      </w:r>
      <w:r>
        <w:rPr>
          <w:spacing w:val="-4"/>
        </w:rPr>
        <w:t>冲减的，调整留存收益。通过多次交易分步取得同一控制下被合并方的股权，最终形成同一控制下企业合并的，应分别是否</w:t>
      </w:r>
      <w:r>
        <w:rPr>
          <w:spacing w:val="40"/>
        </w:rPr>
        <w:t> </w:t>
      </w:r>
      <w:r>
        <w:rPr>
          <w:spacing w:val="40"/>
        </w:rPr>
      </w:r>
      <w:r>
        <w:rPr>
          <w:spacing w:val="-2"/>
        </w:rPr>
        <w:t>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进行处理：属于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的，将各项交易作为一项取得控制权的交易进行会计处理。不属于</w:t>
      </w:r>
      <w:r>
        <w:rPr>
          <w:rFonts w:ascii="Times New Roman" w:hAnsi="Times New Roman" w:cs="Times New Roman" w:eastAsia="Times New Roman" w:hint="default"/>
          <w:spacing w:val="-2"/>
        </w:rPr>
        <w:t>“</w:t>
      </w:r>
      <w:r>
        <w:rPr>
          <w:spacing w:val="-2"/>
        </w:rPr>
        <w:t>一揽子</w:t>
      </w:r>
    </w:p>
    <w:p>
      <w:pPr>
        <w:spacing w:after="0" w:line="319"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2" w:lineRule="auto" w:before="46"/>
        <w:ind w:right="1123"/>
        <w:jc w:val="both"/>
      </w:pPr>
      <w:r>
        <w:rPr>
          <w:spacing w:val="-3"/>
        </w:rPr>
        <w:t>交易</w:t>
      </w:r>
      <w:r>
        <w:rPr>
          <w:rFonts w:ascii="Times New Roman" w:hAnsi="Times New Roman" w:cs="Times New Roman" w:eastAsia="Times New Roman" w:hint="default"/>
          <w:spacing w:val="-3"/>
        </w:rPr>
        <w:t>”</w:t>
      </w:r>
      <w:r>
        <w:rPr>
          <w:spacing w:val="-3"/>
        </w:rPr>
        <w:t>的，在合并日按照应享有被合并方所有者权益在最终控制方合并财务报表中的账面价值的份额作为长期股权投资的初</w:t>
      </w:r>
      <w:r>
        <w:rPr>
          <w:spacing w:val="-2"/>
        </w:rPr>
        <w:t> </w:t>
      </w:r>
      <w:r>
        <w:rPr>
          <w:spacing w:val="-2"/>
        </w:rPr>
      </w:r>
      <w:r>
        <w:rPr>
          <w:spacing w:val="-4"/>
          <w:w w:val="101"/>
        </w:rPr>
        <w:t>始投资成本，长期股权投资初始投资成本与达到合并前的长期股权投资账面价值加上合并日进一步取得股份新支付对价的账</w:t>
      </w:r>
      <w:r>
        <w:rPr>
          <w:w w:val="101"/>
        </w:rPr>
        <w:t> </w:t>
      </w:r>
      <w:r>
        <w:rPr>
          <w:spacing w:val="-4"/>
        </w:rPr>
        <w:t>面价值之和的差额，调整资本公积；资本公积不足冲减的，调整留存收益。合并日之前持有的股权投资因采用权益法核算或</w:t>
      </w:r>
      <w:r>
        <w:rPr>
          <w:spacing w:val="40"/>
        </w:rPr>
        <w:t> </w:t>
      </w:r>
      <w:r>
        <w:rPr>
          <w:spacing w:val="40"/>
        </w:rPr>
      </w:r>
      <w:r>
        <w:rPr>
          <w:spacing w:val="-3"/>
        </w:rPr>
        <w:t>为可供出售金融资产而确认的其他综合收益，暂不进行会计处理。</w:t>
      </w:r>
    </w:p>
    <w:p>
      <w:pPr>
        <w:pStyle w:val="BodyText"/>
        <w:spacing w:line="312" w:lineRule="auto" w:before="22"/>
        <w:ind w:right="1122" w:firstLine="427"/>
        <w:jc w:val="both"/>
      </w:pPr>
      <w:r>
        <w:rPr>
          <w:spacing w:val="-2"/>
        </w:rPr>
        <w:t>对于非同一控制下的企业合并取得的长期股权投资，在购买日按照合并成本作为长期股权投资的初始投资成本，合并</w:t>
      </w:r>
      <w:r>
        <w:rPr>
          <w:w w:val="101"/>
        </w:rPr>
        <w:t> </w:t>
      </w:r>
      <w:r>
        <w:rPr>
          <w:spacing w:val="-4"/>
        </w:rPr>
        <w:t>成本包括包括购买方付出的资产、发生或承担的负债、发行的权益性证券的公允价值之和。通过多次交易分步取得被购买方</w:t>
      </w:r>
      <w:r>
        <w:rPr>
          <w:spacing w:val="43"/>
        </w:rPr>
        <w:t> </w:t>
      </w:r>
      <w:r>
        <w:rPr>
          <w:spacing w:val="43"/>
        </w:rPr>
      </w:r>
      <w:r>
        <w:rPr>
          <w:spacing w:val="-4"/>
        </w:rPr>
        <w:t>的股权，最终形成非同一控制下的企业合并的，应分别是否属于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进行处理：属于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的，将各项交易</w:t>
      </w:r>
      <w:r>
        <w:rPr>
          <w:spacing w:val="4"/>
        </w:rPr>
        <w:t> </w:t>
      </w:r>
      <w:r>
        <w:rPr>
          <w:spacing w:val="4"/>
        </w:rPr>
      </w:r>
      <w:r>
        <w:rPr>
          <w:spacing w:val="-4"/>
        </w:rPr>
        <w:t>作为一项取得控制权的交易进行会计处理。不属于</w:t>
      </w:r>
      <w:r>
        <w:rPr>
          <w:rFonts w:ascii="Times New Roman" w:hAnsi="Times New Roman" w:cs="Times New Roman" w:eastAsia="Times New Roman" w:hint="default"/>
          <w:spacing w:val="-4"/>
        </w:rPr>
        <w:t>“</w:t>
      </w:r>
      <w:r>
        <w:rPr>
          <w:spacing w:val="-4"/>
        </w:rPr>
        <w:t>一揽子交易</w:t>
      </w:r>
      <w:r>
        <w:rPr>
          <w:rFonts w:ascii="Times New Roman" w:hAnsi="Times New Roman" w:cs="Times New Roman" w:eastAsia="Times New Roman" w:hint="default"/>
          <w:spacing w:val="-4"/>
        </w:rPr>
        <w:t>”</w:t>
      </w:r>
      <w:r>
        <w:rPr>
          <w:spacing w:val="-4"/>
        </w:rPr>
        <w:t>的，按照原持有被购买方的股权投资账面价值加上新增投资</w:t>
      </w:r>
      <w:r>
        <w:rPr>
          <w:spacing w:val="66"/>
        </w:rPr>
        <w:t> </w:t>
      </w:r>
      <w:r>
        <w:rPr>
          <w:spacing w:val="66"/>
        </w:rPr>
      </w:r>
      <w:r>
        <w:rPr>
          <w:spacing w:val="-4"/>
        </w:rPr>
        <w:t>成本之和，作为改按成本法核算的长期股权投资的初始投资成本。原持有的股权采用权益法核算的，相关其他综合收益暂不</w:t>
      </w:r>
      <w:r>
        <w:rPr>
          <w:spacing w:val="45"/>
        </w:rPr>
        <w:t> </w:t>
      </w:r>
      <w:r>
        <w:rPr>
          <w:spacing w:val="45"/>
        </w:rPr>
      </w:r>
      <w:r>
        <w:rPr>
          <w:spacing w:val="-4"/>
        </w:rPr>
        <w:t>进行会计处理。原持有股权投资为可供出售金融资产的，其公允价值与账面价值之间的差额，以及原计入其他综合收益的累</w:t>
      </w:r>
      <w:r>
        <w:rPr>
          <w:spacing w:val="43"/>
        </w:rPr>
        <w:t> </w:t>
      </w:r>
      <w:r>
        <w:rPr>
          <w:spacing w:val="43"/>
        </w:rPr>
      </w:r>
      <w:r>
        <w:rPr>
          <w:spacing w:val="-3"/>
        </w:rPr>
        <w:t>计公允价值变动转入当期损益。</w:t>
      </w:r>
    </w:p>
    <w:p>
      <w:pPr>
        <w:pStyle w:val="BodyText"/>
        <w:spacing w:line="316" w:lineRule="auto" w:before="22"/>
        <w:ind w:right="1124" w:firstLine="427"/>
        <w:jc w:val="both"/>
      </w:pPr>
      <w:r>
        <w:rPr>
          <w:spacing w:val="-2"/>
        </w:rPr>
        <w:t>合并方或购买方为企业合并发生的审计、法律服务、评估咨询等中介费用以及其他相关管理费用，于发生时计入当期</w:t>
      </w:r>
      <w:r>
        <w:rPr>
          <w:w w:val="101"/>
        </w:rPr>
        <w:t> </w:t>
      </w:r>
      <w:r>
        <w:rPr/>
        <w:t>损益。</w:t>
      </w:r>
    </w:p>
    <w:p>
      <w:pPr>
        <w:pStyle w:val="BodyText"/>
        <w:spacing w:line="314" w:lineRule="auto" w:before="19"/>
        <w:ind w:right="1122" w:firstLine="427"/>
        <w:jc w:val="both"/>
      </w:pPr>
      <w:r>
        <w:rPr>
          <w:spacing w:val="-2"/>
        </w:rPr>
        <w:t>除企业合并形成的长期股权投资外的其他股权投资，按成本进行初始计量，该成本视长期股权投资取得方式的不同，</w:t>
      </w:r>
      <w:r>
        <w:rPr>
          <w:w w:val="101"/>
        </w:rPr>
        <w:t> </w:t>
      </w:r>
      <w:r>
        <w:rPr>
          <w:spacing w:val="-4"/>
        </w:rPr>
        <w:t>分别按照本公司实际支付的现金购买价款、本公司发行的权益性证券的公允价值、投资合同或协议约定的价值、非货币性资</w:t>
      </w:r>
      <w:r>
        <w:rPr>
          <w:spacing w:val="43"/>
        </w:rPr>
        <w:t> </w:t>
      </w:r>
      <w:r>
        <w:rPr>
          <w:spacing w:val="43"/>
        </w:rPr>
      </w:r>
      <w:r>
        <w:rPr>
          <w:spacing w:val="-4"/>
        </w:rPr>
        <w:t>产交换交易中换出资产的公允价值或原账面价值、该项长期股权投资自身的公允价值等方式确定。与取得长期股权投资直接</w:t>
      </w:r>
      <w:r>
        <w:rPr>
          <w:spacing w:val="43"/>
        </w:rPr>
        <w:t> </w:t>
      </w:r>
      <w:r>
        <w:rPr>
          <w:spacing w:val="43"/>
        </w:rPr>
      </w:r>
      <w:r>
        <w:rPr>
          <w:spacing w:val="-5"/>
        </w:rPr>
        <w:t>相关的费用、税金及其他必要支出也计入投资成本。对于因追加投资能够对被投资单位实施重大影响或实施共同控制但不构</w:t>
      </w:r>
      <w:r>
        <w:rPr>
          <w:spacing w:val="6"/>
        </w:rPr>
        <w:t> </w:t>
      </w:r>
      <w:r>
        <w:rPr>
          <w:spacing w:val="6"/>
        </w:rPr>
      </w:r>
      <w:r>
        <w:rPr>
          <w:spacing w:val="-4"/>
        </w:rPr>
        <w:t>成控制的，长期股权投资成本为按照《企业会计准则第</w:t>
      </w:r>
      <w:r>
        <w:rPr>
          <w:rFonts w:ascii="Times New Roman" w:hAnsi="Times New Roman" w:cs="Times New Roman" w:eastAsia="Times New Roman" w:hint="default"/>
          <w:spacing w:val="-4"/>
        </w:rPr>
        <w:t>22</w:t>
      </w:r>
      <w:r>
        <w:rPr>
          <w:spacing w:val="-4"/>
        </w:rPr>
        <w:t>号</w:t>
      </w:r>
      <w:r>
        <w:rPr>
          <w:rFonts w:ascii="Times New Roman" w:hAnsi="Times New Roman" w:cs="Times New Roman" w:eastAsia="Times New Roman" w:hint="default"/>
          <w:spacing w:val="-4"/>
        </w:rPr>
        <w:t>——</w:t>
      </w:r>
      <w:r>
        <w:rPr>
          <w:spacing w:val="-4"/>
        </w:rPr>
        <w:t>金融工具确认和计量》确定的原持有股权投资的公允价值加</w:t>
      </w:r>
      <w:r>
        <w:rPr>
          <w:spacing w:val="47"/>
        </w:rPr>
        <w:t> </w:t>
      </w:r>
      <w:r>
        <w:rPr>
          <w:spacing w:val="47"/>
        </w:rPr>
      </w:r>
      <w:r>
        <w:rPr/>
        <w:t>上新增投资成本之和。</w:t>
      </w:r>
    </w:p>
    <w:p>
      <w:pPr>
        <w:pStyle w:val="BodyText"/>
        <w:spacing w:line="300" w:lineRule="auto" w:before="21"/>
        <w:ind w:left="580" w:right="0"/>
        <w:jc w:val="left"/>
      </w:pPr>
      <w:r>
        <w:rPr>
          <w:spacing w:val="-3"/>
        </w:rPr>
        <w:t>（</w:t>
      </w:r>
      <w:r>
        <w:rPr>
          <w:rFonts w:ascii="Times New Roman" w:hAnsi="Times New Roman" w:cs="Times New Roman" w:eastAsia="Times New Roman" w:hint="default"/>
          <w:spacing w:val="-3"/>
        </w:rPr>
        <w:t>2</w:t>
      </w:r>
      <w:r>
        <w:rPr>
          <w:spacing w:val="-3"/>
        </w:rPr>
        <w:t>）后续计量及损益确认方法</w:t>
      </w:r>
      <w:r>
        <w:rPr>
          <w:spacing w:val="-46"/>
        </w:rPr>
        <w:t> </w:t>
      </w:r>
      <w:r>
        <w:rPr>
          <w:spacing w:val="-46"/>
        </w:rPr>
      </w:r>
      <w:r>
        <w:rPr>
          <w:spacing w:val="-2"/>
        </w:rPr>
        <w:t>对被投资单位具有共同控制（构成共同经营者除外）或重大影响的长期股权投资，采用权益法核算。此外，公司财务</w:t>
      </w:r>
    </w:p>
    <w:p>
      <w:pPr>
        <w:pStyle w:val="BodyText"/>
        <w:spacing w:line="240" w:lineRule="auto" w:before="31"/>
        <w:ind w:right="0"/>
        <w:jc w:val="both"/>
      </w:pPr>
      <w:r>
        <w:rPr>
          <w:spacing w:val="-3"/>
        </w:rPr>
        <w:t>报表采用成本法核算能够对被投资单位实施控制的长期股权投资。</w:t>
      </w:r>
    </w:p>
    <w:p>
      <w:pPr>
        <w:pStyle w:val="BodyText"/>
        <w:spacing w:line="316" w:lineRule="auto" w:before="76"/>
        <w:ind w:left="580" w:right="0"/>
        <w:jc w:val="left"/>
      </w:pPr>
      <w:r>
        <w:rPr>
          <w:spacing w:val="-3"/>
        </w:rPr>
        <w:t>①成本法核算的长期股权投资</w:t>
      </w:r>
      <w:r>
        <w:rPr>
          <w:spacing w:val="-50"/>
        </w:rPr>
        <w:t> </w:t>
      </w:r>
      <w:r>
        <w:rPr>
          <w:spacing w:val="-50"/>
        </w:rPr>
      </w:r>
      <w:r>
        <w:rPr>
          <w:spacing w:val="-2"/>
        </w:rPr>
        <w:t>采用成本法核算时，长期股权投资按初始投资成本计价，追加或收回投资调整长期股权投资的成本。除取得投资时实</w:t>
      </w:r>
    </w:p>
    <w:p>
      <w:pPr>
        <w:pStyle w:val="BodyText"/>
        <w:spacing w:line="319" w:lineRule="auto" w:before="19"/>
        <w:ind w:right="1128"/>
        <w:jc w:val="both"/>
      </w:pPr>
      <w:r>
        <w:rPr>
          <w:spacing w:val="-4"/>
          <w:w w:val="101"/>
        </w:rPr>
        <w:t>际支付的价款或者对价中包含的已宣告但尚未发放的现金股利或者利润外，当期投资收益按照享有被投资单位宣告发放的现</w:t>
      </w:r>
      <w:r>
        <w:rPr>
          <w:w w:val="101"/>
        </w:rPr>
        <w:t> </w:t>
      </w:r>
      <w:r>
        <w:rPr>
          <w:spacing w:val="-3"/>
        </w:rPr>
        <w:t>金股利或利润确认。</w:t>
      </w:r>
    </w:p>
    <w:p>
      <w:pPr>
        <w:pStyle w:val="BodyText"/>
        <w:spacing w:line="316" w:lineRule="auto" w:before="17"/>
        <w:ind w:left="580" w:right="0"/>
        <w:jc w:val="left"/>
      </w:pPr>
      <w:r>
        <w:rPr>
          <w:spacing w:val="-3"/>
        </w:rPr>
        <w:t>②权益法核算的长期股权投资</w:t>
      </w:r>
      <w:r>
        <w:rPr>
          <w:spacing w:val="-50"/>
        </w:rPr>
        <w:t> </w:t>
      </w:r>
      <w:r>
        <w:rPr>
          <w:spacing w:val="-50"/>
        </w:rPr>
      </w:r>
      <w:r>
        <w:rPr>
          <w:spacing w:val="-2"/>
        </w:rPr>
        <w:t>采用权益法核算时，长期股权投资的初始投资成本大于投资时应享有被投资单位可辨认净资产公允价值份额的，不调</w:t>
      </w:r>
    </w:p>
    <w:p>
      <w:pPr>
        <w:pStyle w:val="BodyText"/>
        <w:spacing w:line="316" w:lineRule="auto" w:before="19"/>
        <w:ind w:right="1124"/>
        <w:jc w:val="both"/>
      </w:pPr>
      <w:r>
        <w:rPr>
          <w:spacing w:val="-4"/>
        </w:rPr>
        <w:t>整长期股权投资的初始投资成本；初始投资成本小于投资时应享有被投资单位可辨认净资产公允价值份额的，其差额计入当</w:t>
      </w:r>
      <w:r>
        <w:rPr>
          <w:spacing w:val="44"/>
        </w:rPr>
        <w:t> </w:t>
      </w:r>
      <w:r>
        <w:rPr>
          <w:spacing w:val="44"/>
        </w:rPr>
      </w:r>
      <w:r>
        <w:rPr>
          <w:spacing w:val="-3"/>
        </w:rPr>
        <w:t>期损益，同时调整长期股权投资的成本。</w:t>
      </w:r>
    </w:p>
    <w:p>
      <w:pPr>
        <w:pStyle w:val="BodyText"/>
        <w:spacing w:line="316" w:lineRule="auto" w:before="19"/>
        <w:ind w:right="0" w:firstLine="427"/>
        <w:jc w:val="left"/>
      </w:pPr>
      <w:r>
        <w:rPr>
          <w:spacing w:val="-2"/>
        </w:rPr>
        <w:t>采用权益法核算时，按照应享有或应分担的被投资单位实现的净损益和其他综合收益的份额，分别确认投资收益和其</w:t>
      </w:r>
      <w:r>
        <w:rPr>
          <w:w w:val="101"/>
        </w:rPr>
        <w:t> </w:t>
      </w:r>
      <w:r>
        <w:rPr>
          <w:spacing w:val="-4"/>
        </w:rPr>
        <w:t>他综合收益，同时调整长期股权投资的账面价值；按照被投资单位宣告分派的利润或现金股利计算应享有的部分，相应减少</w:t>
      </w:r>
      <w:r>
        <w:rPr>
          <w:spacing w:val="43"/>
        </w:rPr>
        <w:t> </w:t>
      </w:r>
      <w:r>
        <w:rPr>
          <w:spacing w:val="43"/>
        </w:rPr>
      </w:r>
      <w:r>
        <w:rPr>
          <w:spacing w:val="-4"/>
        </w:rPr>
        <w:t>长期股权投资的账面价值；对于被投资单位除净损益、其他综合收益和利润分配以外所有者权益的其他变动，调整长期股权</w:t>
      </w:r>
      <w:r>
        <w:rPr>
          <w:spacing w:val="43"/>
        </w:rPr>
        <w:t> </w:t>
      </w:r>
      <w:r>
        <w:rPr>
          <w:spacing w:val="43"/>
        </w:rPr>
      </w:r>
      <w:r>
        <w:rPr>
          <w:spacing w:val="-4"/>
        </w:rPr>
        <w:t>投资的账面价值并计入资本公积。在确认应享有被投资单位净损益的份额时，以取得投资时被投资单位各项可辨认资产等的</w:t>
      </w:r>
      <w:r>
        <w:rPr>
          <w:spacing w:val="44"/>
        </w:rPr>
        <w:t> </w:t>
      </w:r>
      <w:r>
        <w:rPr>
          <w:spacing w:val="44"/>
        </w:rPr>
      </w:r>
      <w:r>
        <w:rPr>
          <w:spacing w:val="-4"/>
        </w:rPr>
        <w:t>公允价值为基础，对被投资单位的净利润进行调整后确认。被投资单位采用的会计政策及会计期间与本公司不一致的，按照</w:t>
      </w:r>
      <w:r>
        <w:rPr>
          <w:spacing w:val="44"/>
        </w:rPr>
        <w:t> </w:t>
      </w:r>
      <w:r>
        <w:rPr>
          <w:spacing w:val="44"/>
        </w:rPr>
      </w:r>
      <w:r>
        <w:rPr>
          <w:spacing w:val="-5"/>
        </w:rPr>
        <w:t>本公司的会计政策及会计期间对被投资单位的财务报表进行调整，并据以确认投资收益和其他综合收益。对于本公司与联营</w:t>
      </w:r>
      <w:r>
        <w:rPr>
          <w:spacing w:val="6"/>
        </w:rPr>
        <w:t> </w:t>
      </w:r>
      <w:r>
        <w:rPr>
          <w:spacing w:val="6"/>
        </w:rPr>
      </w:r>
      <w:r>
        <w:rPr>
          <w:spacing w:val="-4"/>
        </w:rPr>
        <w:t>企业及合营企业之间发生的交易，投出或出售的资产不构成业务的，未实现内部交易损益按照享有的比例计算归属于本公司</w:t>
      </w:r>
      <w:r>
        <w:rPr>
          <w:spacing w:val="44"/>
        </w:rPr>
        <w:t> </w:t>
      </w:r>
      <w:r>
        <w:rPr>
          <w:spacing w:val="44"/>
        </w:rPr>
      </w:r>
      <w:r>
        <w:rPr>
          <w:spacing w:val="-4"/>
        </w:rPr>
        <w:t>的部分予以抵销，在此基础上确认投资损益。但本公司与被投资单位发生的未实现内部交易损失，属于所转让资产减值损失</w:t>
      </w:r>
      <w:r>
        <w:rPr>
          <w:spacing w:val="43"/>
        </w:rPr>
        <w:t> </w:t>
      </w:r>
      <w:r>
        <w:rPr>
          <w:spacing w:val="43"/>
        </w:rPr>
      </w:r>
      <w:r>
        <w:rPr>
          <w:spacing w:val="-3"/>
        </w:rPr>
        <w:t>的，不予以抵销。本公司向合营企业或联营企业投出的资产构成业务的，投资方因此取得长期股权投资但未取得控制权的，</w:t>
      </w:r>
      <w:r>
        <w:rPr>
          <w:spacing w:val="66"/>
        </w:rPr>
        <w:t> </w:t>
      </w:r>
      <w:r>
        <w:rPr>
          <w:spacing w:val="66"/>
        </w:rPr>
      </w:r>
      <w:r>
        <w:rPr>
          <w:spacing w:val="-4"/>
        </w:rPr>
        <w:t>以投出业务的公允价值作为新增长期股权投资的初始投资成本，初始投资成本与投出业务的账面价值之差，全额计入当期损</w:t>
      </w:r>
      <w:r>
        <w:rPr>
          <w:spacing w:val="39"/>
        </w:rPr>
        <w:t> </w:t>
      </w:r>
      <w:r>
        <w:rPr>
          <w:spacing w:val="39"/>
        </w:rPr>
      </w:r>
      <w:r>
        <w:rPr>
          <w:spacing w:val="-4"/>
        </w:rPr>
        <w:t>益。本公司向合营企业或联营企业出售的资产构成业务的，取得的对价与业务的账面价值之差，全额计入当期损益。本公司</w:t>
      </w:r>
      <w:r>
        <w:rPr>
          <w:spacing w:val="40"/>
        </w:rPr>
        <w:t> </w:t>
      </w:r>
      <w:r>
        <w:rPr>
          <w:spacing w:val="40"/>
        </w:rPr>
      </w:r>
      <w:r>
        <w:rPr>
          <w:spacing w:val="-4"/>
        </w:rPr>
        <w:t>自联营企业及合营企业购入的资产构成业务的，按《企业会计准则第</w:t>
      </w:r>
      <w:r>
        <w:rPr>
          <w:rFonts w:ascii="Times New Roman" w:hAnsi="Times New Roman" w:cs="Times New Roman" w:eastAsia="Times New Roman" w:hint="default"/>
          <w:spacing w:val="-4"/>
        </w:rPr>
        <w:t>20</w:t>
      </w:r>
      <w:r>
        <w:rPr>
          <w:spacing w:val="-4"/>
        </w:rPr>
        <w:t>号</w:t>
      </w:r>
      <w:r>
        <w:rPr>
          <w:rFonts w:ascii="Times New Roman" w:hAnsi="Times New Roman" w:cs="Times New Roman" w:eastAsia="Times New Roman" w:hint="default"/>
          <w:spacing w:val="-4"/>
        </w:rPr>
        <w:t>——</w:t>
      </w:r>
      <w:r>
        <w:rPr>
          <w:spacing w:val="-4"/>
        </w:rPr>
        <w:t>企业合并》的规定进行会计处理，全额确认与</w:t>
      </w:r>
      <w:r>
        <w:rPr>
          <w:spacing w:val="45"/>
        </w:rPr>
        <w:t> </w:t>
      </w:r>
      <w:r>
        <w:rPr>
          <w:spacing w:val="45"/>
        </w:rPr>
      </w:r>
      <w:r>
        <w:rPr>
          <w:spacing w:val="-3"/>
        </w:rPr>
        <w:t>交易相关的利得或损失。</w:t>
      </w:r>
    </w:p>
    <w:p>
      <w:pPr>
        <w:pStyle w:val="BodyText"/>
        <w:spacing w:line="240" w:lineRule="auto" w:before="18"/>
        <w:ind w:left="580" w:right="0"/>
        <w:jc w:val="left"/>
      </w:pPr>
      <w:r>
        <w:rPr/>
        <w:t>在确认应分担被投资单位发生的净亏损时，以长期股权投资的账面价值和其他实质上构成对被投资单位净投资的长期</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right="0"/>
        <w:jc w:val="left"/>
      </w:pPr>
      <w:r>
        <w:rPr>
          <w:spacing w:val="-4"/>
        </w:rPr>
        <w:t>权益减记至零为限。此外，如本公司对被投资单位负有承担额外损失的义务，则按预计承担的义务确认预计负债，计入当期</w:t>
      </w:r>
      <w:r>
        <w:rPr>
          <w:spacing w:val="40"/>
        </w:rPr>
        <w:t> </w:t>
      </w:r>
      <w:r>
        <w:rPr>
          <w:spacing w:val="40"/>
        </w:rPr>
      </w:r>
      <w:r>
        <w:rPr>
          <w:spacing w:val="-3"/>
        </w:rPr>
        <w:t>投资损失。被投资单位以后期间实现净利润的，本公司在收益分享额弥补未确认的亏损分担额后，恢复确认收益分享额。</w:t>
      </w:r>
    </w:p>
    <w:p>
      <w:pPr>
        <w:pStyle w:val="BodyText"/>
        <w:spacing w:line="319" w:lineRule="auto" w:before="19"/>
        <w:ind w:right="1124" w:firstLine="427"/>
        <w:jc w:val="both"/>
      </w:pPr>
      <w:r>
        <w:rPr>
          <w:spacing w:val="-2"/>
        </w:rPr>
        <w:t>对于本公司首次执行新会计准则之前已经持有的对联营企业和合营企业的长期股权投资，如存在与该投资相关的股权</w:t>
      </w:r>
      <w:r>
        <w:rPr>
          <w:w w:val="101"/>
        </w:rPr>
        <w:t> </w:t>
      </w:r>
      <w:r>
        <w:rPr>
          <w:spacing w:val="-3"/>
        </w:rPr>
        <w:t>投资借方差额，按原剩余期限直线摊销的金额计入当期损益。</w:t>
      </w:r>
    </w:p>
    <w:p>
      <w:pPr>
        <w:pStyle w:val="BodyText"/>
        <w:spacing w:line="316" w:lineRule="auto" w:before="17"/>
        <w:ind w:left="580" w:right="1037"/>
        <w:jc w:val="left"/>
      </w:pPr>
      <w:r>
        <w:rPr>
          <w:spacing w:val="-3"/>
        </w:rPr>
        <w:t>③收购少数股权</w:t>
      </w:r>
      <w:r>
        <w:rPr>
          <w:spacing w:val="-68"/>
        </w:rPr>
        <w:t> </w:t>
      </w:r>
      <w:r>
        <w:rPr>
          <w:spacing w:val="-68"/>
        </w:rPr>
      </w:r>
      <w:r>
        <w:rPr>
          <w:spacing w:val="-2"/>
        </w:rPr>
        <w:t>在编制合并财务报表时，因购买少数股权新增的长期股权投资与按照新增持股比例计算应享有子公司自购买日（或合</w:t>
      </w:r>
    </w:p>
    <w:p>
      <w:pPr>
        <w:pStyle w:val="BodyText"/>
        <w:spacing w:line="240" w:lineRule="auto" w:before="19"/>
        <w:ind w:right="0"/>
        <w:jc w:val="left"/>
      </w:pPr>
      <w:r>
        <w:rPr>
          <w:spacing w:val="-3"/>
        </w:rPr>
        <w:t>并日）开始持续计算的净资产份额之间的差额，调整资本公积，资本公积不足冲减的，调整留存收益。</w:t>
      </w:r>
    </w:p>
    <w:p>
      <w:pPr>
        <w:pStyle w:val="BodyText"/>
        <w:spacing w:line="316" w:lineRule="auto" w:before="76"/>
        <w:ind w:left="580" w:right="0"/>
        <w:jc w:val="left"/>
      </w:pPr>
      <w:r>
        <w:rPr>
          <w:spacing w:val="-3"/>
        </w:rPr>
        <w:t>④处置长期股权投资</w:t>
      </w:r>
      <w:r>
        <w:rPr>
          <w:spacing w:val="-62"/>
        </w:rPr>
        <w:t> </w:t>
      </w:r>
      <w:r>
        <w:rPr>
          <w:spacing w:val="-62"/>
        </w:rPr>
      </w:r>
      <w:r>
        <w:rPr>
          <w:spacing w:val="-2"/>
        </w:rPr>
        <w:t>在合并财务报表中，母公司在不丧失控制权的情况下部分处置对子公司的长期股权投资，处置价款与处置长期股权投</w:t>
      </w:r>
    </w:p>
    <w:p>
      <w:pPr>
        <w:pStyle w:val="BodyText"/>
        <w:spacing w:line="316" w:lineRule="auto" w:before="19"/>
        <w:ind w:right="0"/>
        <w:jc w:val="left"/>
      </w:pPr>
      <w:r>
        <w:rPr>
          <w:spacing w:val="-4"/>
        </w:rPr>
        <w:t>资相对应享有子公司净资产的差额计入股东权益；母公司部分处置对子公司的长期股权投资导致丧失对子公司控制权的，按</w:t>
      </w:r>
      <w:r>
        <w:rPr>
          <w:spacing w:val="42"/>
        </w:rPr>
        <w:t> </w:t>
      </w:r>
      <w:r>
        <w:rPr>
          <w:spacing w:val="42"/>
        </w:rPr>
      </w:r>
      <w:r>
        <w:rPr>
          <w:spacing w:val="-3"/>
        </w:rPr>
        <w:t>本附注三、</w:t>
      </w:r>
      <w:r>
        <w:rPr>
          <w:rFonts w:ascii="Times New Roman" w:hAnsi="Times New Roman" w:cs="Times New Roman" w:eastAsia="Times New Roman" w:hint="default"/>
          <w:spacing w:val="-3"/>
        </w:rPr>
        <w:t>6</w:t>
      </w:r>
      <w:r>
        <w:rPr>
          <w:spacing w:val="-3"/>
        </w:rPr>
        <w:t>、（</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w:t>
      </w:r>
      <w:r>
        <w:rPr>
          <w:spacing w:val="-3"/>
        </w:rPr>
        <w:t>合并财务报表编制的方法</w:t>
      </w:r>
      <w:r>
        <w:rPr>
          <w:rFonts w:ascii="Times New Roman" w:hAnsi="Times New Roman" w:cs="Times New Roman" w:eastAsia="Times New Roman" w:hint="default"/>
          <w:spacing w:val="-3"/>
        </w:rPr>
        <w:t>”</w:t>
      </w:r>
      <w:r>
        <w:rPr>
          <w:spacing w:val="-3"/>
        </w:rPr>
        <w:t>中所述的相关会计政策处理。</w:t>
      </w:r>
    </w:p>
    <w:p>
      <w:pPr>
        <w:pStyle w:val="BodyText"/>
        <w:spacing w:line="316" w:lineRule="auto"/>
        <w:ind w:left="580" w:right="0"/>
        <w:jc w:val="left"/>
      </w:pPr>
      <w:r>
        <w:rPr>
          <w:spacing w:val="-3"/>
        </w:rPr>
        <w:t>其他情形下的长期股权投资处置，对于处置的股权，其账面价值与实际取得价款的差额，计入当期损益。</w:t>
      </w:r>
      <w:r>
        <w:rPr>
          <w:spacing w:val="43"/>
        </w:rPr>
        <w:t> </w:t>
      </w:r>
      <w:r>
        <w:rPr>
          <w:spacing w:val="43"/>
        </w:rPr>
      </w:r>
      <w:r>
        <w:rPr>
          <w:spacing w:val="-2"/>
        </w:rPr>
        <w:t>采用权益法核算的长期股权投资，处置后的剩余股权仍采用权益法核算的，在处置时将原计入股东权益的其他综合收</w:t>
      </w:r>
    </w:p>
    <w:p>
      <w:pPr>
        <w:pStyle w:val="BodyText"/>
        <w:spacing w:line="319" w:lineRule="auto" w:before="19"/>
        <w:ind w:right="0"/>
        <w:jc w:val="left"/>
      </w:pPr>
      <w:r>
        <w:rPr>
          <w:spacing w:val="-4"/>
        </w:rPr>
        <w:t>益部分按相应的比例采用与被投资单位直接处置相关资产或负债相同的基础进行会计处理。因被投资方除净损益、其他综合</w:t>
      </w:r>
      <w:r>
        <w:rPr>
          <w:spacing w:val="39"/>
        </w:rPr>
        <w:t> </w:t>
      </w:r>
      <w:r>
        <w:rPr>
          <w:spacing w:val="39"/>
        </w:rPr>
      </w:r>
      <w:r>
        <w:rPr>
          <w:spacing w:val="-3"/>
        </w:rPr>
        <w:t>收益和利润分配以外的其他所有者权益变动而确认的所有者权益，按比例结转入当期损益。</w:t>
      </w:r>
    </w:p>
    <w:p>
      <w:pPr>
        <w:pStyle w:val="BodyText"/>
        <w:spacing w:line="316" w:lineRule="auto" w:before="17"/>
        <w:ind w:right="1124" w:firstLine="427"/>
        <w:jc w:val="both"/>
      </w:pPr>
      <w:r>
        <w:rPr>
          <w:spacing w:val="-2"/>
        </w:rPr>
        <w:t>采用成本法核算的长期股权投资，处置后剩余股权仍采用成本法核算的，其在取得对被投资单位的控制之前因采用权</w:t>
      </w:r>
      <w:r>
        <w:rPr>
          <w:w w:val="101"/>
        </w:rPr>
        <w:t> </w:t>
      </w:r>
      <w:r>
        <w:rPr>
          <w:spacing w:val="-4"/>
          <w:w w:val="101"/>
        </w:rPr>
        <w:t>益法核算或金融工具确认和计量准则核算而确认的其他综合收益，采用与被投资单位直接处置相关资产或负债相同的基础进</w:t>
      </w:r>
      <w:r>
        <w:rPr>
          <w:w w:val="101"/>
        </w:rPr>
        <w:t> </w:t>
      </w:r>
      <w:r>
        <w:rPr>
          <w:spacing w:val="-4"/>
        </w:rPr>
        <w:t>行会计处理，并按比例结转当期损益；因采用权益法核算而确认的被投资单位净资产中除净损益、其他综合收益和利润分配</w:t>
      </w:r>
      <w:r>
        <w:rPr>
          <w:spacing w:val="43"/>
        </w:rPr>
        <w:t> </w:t>
      </w:r>
      <w:r>
        <w:rPr>
          <w:spacing w:val="43"/>
        </w:rPr>
      </w:r>
      <w:r>
        <w:rPr>
          <w:spacing w:val="-3"/>
        </w:rPr>
        <w:t>以外的其他所有者权益变动按比例结转当期损益。</w:t>
      </w:r>
    </w:p>
    <w:p>
      <w:pPr>
        <w:pStyle w:val="BodyText"/>
        <w:spacing w:line="316" w:lineRule="auto" w:before="19"/>
        <w:ind w:right="1124" w:firstLine="427"/>
        <w:jc w:val="both"/>
      </w:pPr>
      <w:r>
        <w:rPr>
          <w:spacing w:val="-2"/>
        </w:rPr>
        <w:t>本公司因处置部分股权投资丧失了对被投资单位的控制的，在编制个别财务报表时，处置后的剩余股权能够对被投资</w:t>
      </w:r>
      <w:r>
        <w:rPr>
          <w:w w:val="101"/>
        </w:rPr>
        <w:t> </w:t>
      </w:r>
      <w:r>
        <w:rPr>
          <w:spacing w:val="-4"/>
        </w:rPr>
        <w:t>单位实施共同控制或施加重大影响的，改按权益法核算，并对该剩余股权视同自取得时即采用权益法核算进行调整；处置后</w:t>
      </w:r>
      <w:r>
        <w:rPr>
          <w:spacing w:val="43"/>
        </w:rPr>
        <w:t> </w:t>
      </w:r>
      <w:r>
        <w:rPr>
          <w:spacing w:val="43"/>
        </w:rPr>
      </w:r>
      <w:r>
        <w:rPr>
          <w:spacing w:val="-4"/>
        </w:rPr>
        <w:t>的剩余股权不能对被投资单位实施共同控制或施加重大影响的，改按金融工具确认和计量准则的有关规定进行会计处理，其</w:t>
      </w:r>
      <w:r>
        <w:rPr>
          <w:spacing w:val="38"/>
        </w:rPr>
        <w:t> </w:t>
      </w:r>
      <w:r>
        <w:rPr>
          <w:spacing w:val="38"/>
        </w:rPr>
      </w:r>
      <w:r>
        <w:rPr>
          <w:spacing w:val="-5"/>
        </w:rPr>
        <w:t>在丧失控制之日的公允价值与账面价值之间的差额计入当期损益。对于本公司取得对被投资单位的控制之前，因采用权益法</w:t>
      </w:r>
      <w:r>
        <w:rPr>
          <w:spacing w:val="6"/>
        </w:rPr>
        <w:t> </w:t>
      </w:r>
      <w:r>
        <w:rPr>
          <w:spacing w:val="6"/>
        </w:rPr>
      </w:r>
      <w:r>
        <w:rPr>
          <w:spacing w:val="-4"/>
          <w:w w:val="101"/>
        </w:rPr>
        <w:t>核算或金融工具确认和计量准则核算而确认的其他综合收益，在丧失对被投资单位控制时采用与被投资单位直接处置相关资</w:t>
      </w:r>
      <w:r>
        <w:rPr>
          <w:w w:val="101"/>
        </w:rPr>
        <w:t> </w:t>
      </w:r>
      <w:r>
        <w:rPr>
          <w:spacing w:val="-4"/>
        </w:rPr>
        <w:t>产或负债相同的基础进行会计处理，因采用权益法核算而确认的被投资单位净资产中除净损益、其他综合收益和利润分配以</w:t>
      </w:r>
      <w:r>
        <w:rPr>
          <w:spacing w:val="43"/>
        </w:rPr>
        <w:t> </w:t>
      </w:r>
      <w:r>
        <w:rPr>
          <w:spacing w:val="43"/>
        </w:rPr>
      </w:r>
      <w:r>
        <w:rPr>
          <w:spacing w:val="-4"/>
        </w:rPr>
        <w:t>外的其他所有者权益变动在丧失对被投资单位控制时结转入当期损益。其中，处置后的剩余股权采用权益法核算的，其他综</w:t>
      </w:r>
      <w:r>
        <w:rPr>
          <w:spacing w:val="38"/>
        </w:rPr>
        <w:t> </w:t>
      </w:r>
      <w:r>
        <w:rPr>
          <w:spacing w:val="38"/>
        </w:rPr>
      </w:r>
      <w:r>
        <w:rPr>
          <w:spacing w:val="-4"/>
        </w:rPr>
        <w:t>合收益和其他所有者权益按比例结转；处置后的剩余股权改按金融工具确认和计量准则进行会计处理的，其他综合收益和其</w:t>
      </w:r>
      <w:r>
        <w:rPr>
          <w:spacing w:val="44"/>
        </w:rPr>
        <w:t> </w:t>
      </w:r>
      <w:r>
        <w:rPr>
          <w:spacing w:val="44"/>
        </w:rPr>
      </w:r>
      <w:r>
        <w:rPr>
          <w:spacing w:val="-3"/>
        </w:rPr>
        <w:t>他所有者权益全部结转。</w:t>
      </w:r>
    </w:p>
    <w:p>
      <w:pPr>
        <w:pStyle w:val="BodyText"/>
        <w:spacing w:line="319" w:lineRule="auto" w:before="19"/>
        <w:ind w:right="1123" w:firstLine="427"/>
        <w:jc w:val="both"/>
      </w:pPr>
      <w:r>
        <w:rPr>
          <w:spacing w:val="-2"/>
        </w:rPr>
        <w:t>本公司因处置部分股权投资丧失了对被投资单位的共同控制或重大影响的，处置后的剩余股权改按金融工具确认和计</w:t>
      </w:r>
      <w:r>
        <w:rPr>
          <w:w w:val="101"/>
        </w:rPr>
        <w:t> </w:t>
      </w:r>
      <w:r>
        <w:rPr>
          <w:spacing w:val="-4"/>
        </w:rPr>
        <w:t>量准则核算，其在丧失共同控制或重大影响之日的公允价值与账面价值之间的差额计入当期损益。原股权投资因采用权益法</w:t>
      </w:r>
      <w:r>
        <w:rPr>
          <w:spacing w:val="43"/>
        </w:rPr>
        <w:t> </w:t>
      </w:r>
      <w:r>
        <w:rPr>
          <w:spacing w:val="43"/>
        </w:rPr>
      </w:r>
      <w:r>
        <w:rPr>
          <w:spacing w:val="-1"/>
        </w:rPr>
        <w:t>核算而确认的其他综合收益，在终止采用权益法核算时采用与被投资单位直接处置相关资产或负债相同的基础进行会计处</w:t>
      </w:r>
      <w:r>
        <w:rPr>
          <w:spacing w:val="65"/>
        </w:rPr>
        <w:t> </w:t>
      </w:r>
      <w:r>
        <w:rPr>
          <w:spacing w:val="65"/>
        </w:rPr>
      </w:r>
      <w:r>
        <w:rPr>
          <w:spacing w:val="-4"/>
        </w:rPr>
        <w:t>理，因被投资方除净损益、其他综合收益和利润分配以外的其他所有者权益变动而确认的所有者权益，在终止采用权益法时</w:t>
      </w:r>
      <w:r>
        <w:rPr>
          <w:spacing w:val="43"/>
        </w:rPr>
        <w:t> </w:t>
      </w:r>
      <w:r>
        <w:rPr>
          <w:spacing w:val="43"/>
        </w:rPr>
      </w:r>
      <w:r>
        <w:rPr>
          <w:spacing w:val="-3"/>
        </w:rPr>
        <w:t>全部转入当期投资收益。</w:t>
      </w:r>
    </w:p>
    <w:p>
      <w:pPr>
        <w:pStyle w:val="BodyText"/>
        <w:spacing w:line="316" w:lineRule="auto" w:before="17"/>
        <w:ind w:right="1124" w:firstLine="427"/>
        <w:jc w:val="both"/>
      </w:pPr>
      <w:r>
        <w:rPr>
          <w:spacing w:val="-2"/>
        </w:rPr>
        <w:t>本公司通过多次交易分步处置对子公司股权投资直至丧失控制权，如果上述交易属于一揽子交易的，将各项交易作为</w:t>
      </w:r>
      <w:r>
        <w:rPr>
          <w:w w:val="101"/>
        </w:rPr>
        <w:t> </w:t>
      </w:r>
      <w:r>
        <w:rPr>
          <w:spacing w:val="-4"/>
          <w:w w:val="101"/>
        </w:rPr>
        <w:t>一项处置子公司股权投资并丧失控制权的交易进行会计处理，在丧失控制权之前每一次处置价款与所处置的股权对应的长期</w:t>
      </w:r>
      <w:r>
        <w:rPr>
          <w:w w:val="101"/>
        </w:rPr>
        <w:t> </w:t>
      </w:r>
      <w:r>
        <w:rPr>
          <w:spacing w:val="-3"/>
        </w:rPr>
        <w:t>股权投资账面价值之间的差额，先确认为其他综合收益，到丧失控制权时再一并转入丧失控制权的当期损益。</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bookmarkStart w:name="23、投资性房地产" w:id="193"/>
      <w:bookmarkEnd w:id="193"/>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8652"/>
        <w:jc w:val="left"/>
      </w:pPr>
      <w:r>
        <w:rPr>
          <w:spacing w:val="-2"/>
        </w:rPr>
        <w:t>投资性房地产计量模式</w:t>
      </w:r>
      <w:r>
        <w:rPr>
          <w:spacing w:val="-66"/>
        </w:rPr>
        <w:t> </w:t>
      </w:r>
      <w:r>
        <w:rPr>
          <w:spacing w:val="-66"/>
        </w:rPr>
      </w:r>
      <w:r>
        <w:rPr/>
        <w:t>成本法计量</w:t>
      </w:r>
      <w:r>
        <w:rPr>
          <w:w w:val="101"/>
        </w:rPr>
        <w:t> </w:t>
      </w:r>
      <w:r>
        <w:rPr>
          <w:spacing w:val="-3"/>
        </w:rPr>
        <w:t>折旧或摊销方法</w:t>
      </w:r>
    </w:p>
    <w:p>
      <w:pPr>
        <w:pStyle w:val="BodyText"/>
        <w:spacing w:line="316" w:lineRule="auto" w:before="20"/>
        <w:ind w:right="1124" w:firstLine="427"/>
        <w:jc w:val="both"/>
      </w:pPr>
      <w:r>
        <w:rPr>
          <w:spacing w:val="-2"/>
        </w:rPr>
        <w:t>投资性房地产是指为赚取租金或资本增值，或两者兼有而持有的房地产。本公司投资性房地产包括已出租的土地使用</w:t>
      </w:r>
      <w:r>
        <w:rPr>
          <w:w w:val="101"/>
        </w:rPr>
        <w:t> </w:t>
      </w:r>
      <w:r>
        <w:rPr>
          <w:spacing w:val="-3"/>
        </w:rPr>
        <w:t>权、持有并准备增值后转让的土地使用权、已出租的建筑物。</w:t>
      </w:r>
    </w:p>
    <w:p>
      <w:pPr>
        <w:spacing w:after="0" w:line="316"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16" w:lineRule="auto" w:before="46"/>
        <w:ind w:right="1122" w:firstLine="427"/>
        <w:jc w:val="both"/>
      </w:pPr>
      <w:r>
        <w:rPr>
          <w:spacing w:val="-2"/>
        </w:rPr>
        <w:t>本公司投资性房地产按照取得时的成本进行初始计量，与投资性房地产有关的后续支出，如果与该资产有关的经济利</w:t>
      </w:r>
      <w:r>
        <w:rPr>
          <w:w w:val="101"/>
        </w:rPr>
        <w:t> </w:t>
      </w:r>
      <w:r>
        <w:rPr>
          <w:spacing w:val="-4"/>
        </w:rPr>
        <w:t>益很可能流入且其成本能可靠地计量，则计入投资性房地产成本，其他后续支出，在发生时计入当期损益。并按照固定资产</w:t>
      </w:r>
      <w:r>
        <w:rPr>
          <w:spacing w:val="41"/>
        </w:rPr>
        <w:t> </w:t>
      </w:r>
      <w:r>
        <w:rPr>
          <w:spacing w:val="41"/>
        </w:rPr>
      </w:r>
      <w:r>
        <w:rPr>
          <w:spacing w:val="-3"/>
        </w:rPr>
        <w:t>或无形资产的有关规定，按期计提折旧或摊销。</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bookmarkStart w:name="24、固定资产" w:id="194"/>
      <w:bookmarkEnd w:id="194"/>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确认条件" w:id="195"/>
      <w:bookmarkEnd w:id="195"/>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1124" w:firstLine="427"/>
        <w:jc w:val="both"/>
      </w:pPr>
      <w:r>
        <w:rPr>
          <w:spacing w:val="-3"/>
        </w:rPr>
        <w:t>本公司固定资产是指为生产商品、提供劳务、出租或经营管理而持有的，使用寿命超过一个会计年度的有形资产。与</w:t>
      </w:r>
      <w:r>
        <w:rPr>
          <w:w w:val="101"/>
        </w:rPr>
        <w:t> </w:t>
      </w:r>
      <w:r>
        <w:rPr>
          <w:spacing w:val="-4"/>
        </w:rPr>
        <w:t>该固定资产有关的经济利益很可能流入企业，并且该固定资产的成本能够可靠地计量时，固定资产才能予以确认。本公司固</w:t>
      </w:r>
      <w:r>
        <w:rPr>
          <w:spacing w:val="43"/>
        </w:rPr>
        <w:t> </w:t>
      </w:r>
      <w:r>
        <w:rPr>
          <w:spacing w:val="43"/>
        </w:rPr>
      </w:r>
      <w:r>
        <w:rPr>
          <w:spacing w:val="-3"/>
        </w:rPr>
        <w:t>定资产按照取得时的实际成本进行初始计量。</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2）折旧方法" w:id="196"/>
      <w:bookmarkEnd w:id="196"/>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1"/>
        <w:gridCol w:w="1916"/>
        <w:gridCol w:w="1916"/>
      </w:tblGrid>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9.50-19.00</w:t>
            </w: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8</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11.88</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9.50-31.67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3-10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9.50-31.67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办公设备及其他</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19.00-31.67</w:t>
            </w:r>
          </w:p>
        </w:tc>
      </w:tr>
    </w:tbl>
    <w:p>
      <w:pPr>
        <w:pStyle w:val="BodyText"/>
        <w:spacing w:line="316" w:lineRule="auto" w:before="53"/>
        <w:ind w:right="1124" w:firstLine="427"/>
        <w:jc w:val="both"/>
      </w:pPr>
      <w:r>
        <w:rPr>
          <w:spacing w:val="-2"/>
        </w:rPr>
        <w:t>本公司采用年限平均法计提折旧。固定资产自达到预定可使用状态时开始计提折旧，终止确认时或划分为持有待售非</w:t>
      </w:r>
      <w:r>
        <w:rPr>
          <w:w w:val="101"/>
        </w:rPr>
        <w:t> </w:t>
      </w:r>
      <w:r>
        <w:rPr>
          <w:spacing w:val="-3"/>
        </w:rPr>
        <w:t>流动资产时停止计提折旧。在不考虑减值准备的情况下，按固定资产类别、预计使用寿命和预计残值。</w:t>
      </w:r>
    </w:p>
    <w:p>
      <w:pPr>
        <w:pStyle w:val="BodyText"/>
        <w:spacing w:line="240" w:lineRule="auto" w:before="57"/>
        <w:ind w:left="580" w:right="0"/>
        <w:jc w:val="left"/>
      </w:pPr>
      <w:r>
        <w:rPr>
          <w:spacing w:val="-3"/>
        </w:rPr>
        <w:t>其中，已计提减值准备的固定资产，还应扣除已计提的固定资产减值准备累计金额计算确定折旧率。</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融资租入固定资产的认定依据、计价和折旧方法" w:id="197"/>
      <w:bookmarkEnd w:id="197"/>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032" w:firstLine="427"/>
        <w:jc w:val="both"/>
      </w:pPr>
      <w:r>
        <w:rPr>
          <w:spacing w:val="-4"/>
        </w:rPr>
        <w:t>融资租入的固定资产，能够合理确定租赁期届满时将会取得租赁资产所有权的，在租赁资产尚可使用年限内计提折旧；</w:t>
      </w:r>
      <w:r>
        <w:rPr>
          <w:w w:val="101"/>
        </w:rPr>
        <w:t> </w:t>
      </w:r>
      <w:r>
        <w:rPr>
          <w:spacing w:val="-3"/>
        </w:rPr>
        <w:t>无法合理确定租赁期届满时能够取得租赁资产所有权的，在租赁期与租赁资产尚可使用年限两者中较短的期间内计提折旧。</w:t>
      </w:r>
      <w:r>
        <w:rPr>
          <w:spacing w:val="67"/>
        </w:rPr>
        <w:t> </w:t>
      </w:r>
      <w:r>
        <w:rPr>
          <w:spacing w:val="67"/>
        </w:rPr>
      </w:r>
      <w:r>
        <w:rPr>
          <w:spacing w:val="-3"/>
        </w:rPr>
        <w:t>每年年度终了，本公司对固定资产的使用寿命、预计净残值和折旧方法进行复核。使用寿命预计数与原先估计数有差异的，</w:t>
      </w:r>
      <w:r>
        <w:rPr>
          <w:spacing w:val="66"/>
        </w:rPr>
        <w:t> </w:t>
      </w:r>
      <w:r>
        <w:rPr>
          <w:spacing w:val="66"/>
        </w:rPr>
      </w:r>
      <w:r>
        <w:rPr>
          <w:spacing w:val="-3"/>
        </w:rPr>
        <w:t>调整固定资产使用寿命；预计净残值预计数与原先估计数有差异的，调整预计净残值。</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25、在建工程" w:id="198"/>
      <w:bookmarkEnd w:id="198"/>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1123" w:firstLine="427"/>
        <w:jc w:val="both"/>
      </w:pPr>
      <w:r>
        <w:rPr>
          <w:spacing w:val="-2"/>
        </w:rPr>
        <w:t>本公司在建工程成本按实际工程支出确定﹐包括在建期间发生的各项必要工程支出、工程达到预定可使用状态前的应</w:t>
      </w:r>
      <w:r>
        <w:rPr>
          <w:w w:val="101"/>
        </w:rPr>
        <w:t> </w:t>
      </w:r>
      <w:r>
        <w:rPr>
          <w:spacing w:val="-3"/>
        </w:rPr>
        <w:t>予资本化的借款费用以及其他相关费用等。</w:t>
      </w:r>
    </w:p>
    <w:p>
      <w:pPr>
        <w:pStyle w:val="BodyText"/>
        <w:spacing w:line="240" w:lineRule="auto" w:before="53"/>
        <w:ind w:left="580" w:right="0"/>
        <w:jc w:val="left"/>
      </w:pPr>
      <w:r>
        <w:rPr>
          <w:spacing w:val="-3"/>
        </w:rPr>
        <w:t>在建工程在达到预定可使用状态时转入固定资产。</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6、借款费用" w:id="199"/>
      <w:bookmarkEnd w:id="199"/>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4" w:firstLine="427"/>
        <w:jc w:val="both"/>
      </w:pPr>
      <w:r>
        <w:rPr>
          <w:spacing w:val="-2"/>
        </w:rPr>
        <w:t>借款费用包括借款利息、折价或溢价的摊销、辅助费用以及因外币借款而发生的汇兑差额等。可直接归属于符合资本</w:t>
      </w:r>
      <w:r>
        <w:rPr>
          <w:w w:val="101"/>
        </w:rPr>
        <w:t> </w:t>
      </w:r>
      <w:r>
        <w:rPr>
          <w:spacing w:val="-4"/>
        </w:rPr>
        <w:t>化条件的资产的购建或者生产的借款费用，在资产支出已经发生、借款费用已经发生、为使资产达到预定可使用或可销售状</w:t>
      </w:r>
    </w:p>
    <w:p>
      <w:pPr>
        <w:spacing w:after="0" w:line="316"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21" w:lineRule="auto" w:before="46"/>
        <w:ind w:right="0"/>
        <w:jc w:val="left"/>
      </w:pPr>
      <w:r>
        <w:rPr>
          <w:spacing w:val="-4"/>
        </w:rPr>
        <w:t>态所必要的购建或生产活动已经开始时，开始资本化；构建或者生产的符合资本化条件的资产达到预定可使用状态或者可销</w:t>
      </w:r>
      <w:r>
        <w:rPr>
          <w:spacing w:val="38"/>
        </w:rPr>
        <w:t> </w:t>
      </w:r>
      <w:r>
        <w:rPr>
          <w:spacing w:val="38"/>
        </w:rPr>
      </w:r>
      <w:r>
        <w:rPr>
          <w:spacing w:val="-3"/>
        </w:rPr>
        <w:t>售状态时，停止资本化。其余借款费用在发生当期确认为费用。</w:t>
      </w:r>
    </w:p>
    <w:p>
      <w:pPr>
        <w:pStyle w:val="BodyText"/>
        <w:spacing w:line="321" w:lineRule="auto" w:before="49"/>
        <w:ind w:right="1124" w:firstLine="427"/>
        <w:jc w:val="both"/>
      </w:pPr>
      <w:r>
        <w:rPr>
          <w:spacing w:val="-2"/>
        </w:rPr>
        <w:t>专门借款当期实际发生的利息费用，减去尚未动用的借款资金存入银行取得的利息收入或进行暂时性投资取得的投资</w:t>
      </w:r>
      <w:r>
        <w:rPr>
          <w:w w:val="101"/>
        </w:rPr>
        <w:t> </w:t>
      </w:r>
      <w:r>
        <w:rPr>
          <w:spacing w:val="-4"/>
          <w:w w:val="101"/>
        </w:rPr>
        <w:t>收益后的金额予以资本化；一般借款根据累计资产支出超过专门借款部分的资产支出加权平均数乘以所占用一般借款的资本</w:t>
      </w:r>
      <w:r>
        <w:rPr>
          <w:w w:val="101"/>
        </w:rPr>
        <w:t> </w:t>
      </w:r>
      <w:r>
        <w:rPr>
          <w:spacing w:val="-3"/>
        </w:rPr>
        <w:t>化率，确定资本化金额。资本化率根据一般借款的加权平均利率计算确定。</w:t>
      </w:r>
    </w:p>
    <w:p>
      <w:pPr>
        <w:pStyle w:val="BodyText"/>
        <w:spacing w:line="352" w:lineRule="auto" w:before="58"/>
        <w:ind w:left="580" w:right="0"/>
        <w:jc w:val="left"/>
      </w:pPr>
      <w:r>
        <w:rPr>
          <w:spacing w:val="-3"/>
        </w:rPr>
        <w:t>资本化期间内，外币专门借款的汇兑差额全部予以资本化；外币一般借款的汇兑差额计入当期损益。</w:t>
      </w:r>
      <w:r>
        <w:rPr>
          <w:spacing w:val="37"/>
        </w:rPr>
        <w:t> </w:t>
      </w:r>
      <w:r>
        <w:rPr>
          <w:spacing w:val="37"/>
        </w:rPr>
      </w:r>
      <w:r>
        <w:rPr>
          <w:spacing w:val="-2"/>
        </w:rPr>
        <w:t>符合资本化条件的资产指需要经过相当长时间的购建或者生产活动才能达到预定可使用或可销售状态的固定资产、投</w:t>
      </w:r>
      <w:r>
        <w:rPr/>
      </w:r>
    </w:p>
    <w:p>
      <w:pPr>
        <w:pStyle w:val="BodyText"/>
        <w:spacing w:line="352" w:lineRule="auto"/>
        <w:ind w:left="580" w:right="0" w:hanging="428"/>
        <w:jc w:val="left"/>
      </w:pPr>
      <w:r>
        <w:rPr>
          <w:spacing w:val="-3"/>
        </w:rPr>
        <w:t>资性房地产和存货等资产。</w:t>
      </w:r>
      <w:r>
        <w:rPr>
          <w:spacing w:val="-51"/>
        </w:rPr>
        <w:t> </w:t>
      </w:r>
      <w:r>
        <w:rPr>
          <w:spacing w:val="-51"/>
        </w:rPr>
      </w:r>
      <w:r>
        <w:rPr>
          <w:spacing w:val="-4"/>
        </w:rPr>
        <w:t>如果符合资本化条件的资产在购建或生产过程中发生非正常中断、并且中断时间连续超过</w:t>
      </w:r>
      <w:r>
        <w:rPr>
          <w:rFonts w:ascii="Times New Roman" w:hAnsi="Times New Roman" w:cs="Times New Roman" w:eastAsia="Times New Roman" w:hint="default"/>
          <w:spacing w:val="-4"/>
        </w:rPr>
        <w:t>3</w:t>
      </w:r>
      <w:r>
        <w:rPr>
          <w:spacing w:val="-4"/>
        </w:rPr>
        <w:t>个月的，暂停借款费用的资</w:t>
      </w:r>
    </w:p>
    <w:p>
      <w:pPr>
        <w:pStyle w:val="BodyText"/>
        <w:spacing w:line="209" w:lineRule="exact"/>
        <w:ind w:right="0"/>
        <w:jc w:val="left"/>
      </w:pPr>
      <w:r>
        <w:rPr>
          <w:spacing w:val="-3"/>
        </w:rPr>
        <w:t>本化，直至资产的购建或生产活动重新开始。</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7、生物资产" w:id="200"/>
      <w:bookmarkEnd w:id="200"/>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8、油气资产" w:id="201"/>
      <w:bookmarkEnd w:id="201"/>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9、使用权资产" w:id="202"/>
      <w:bookmarkEnd w:id="202"/>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0、无形资产" w:id="203"/>
      <w:bookmarkEnd w:id="203"/>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计价方法、使用寿命、减值测试" w:id="204"/>
      <w:bookmarkEnd w:id="20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4" w:firstLine="427"/>
        <w:jc w:val="both"/>
      </w:pPr>
      <w:r>
        <w:rPr>
          <w:spacing w:val="-2"/>
        </w:rPr>
        <w:t>本公司无形资产按照成本进行初始计量，并于取得无形资产时分析判断其使用寿命。使用寿命为有限的，自无形资产</w:t>
      </w:r>
      <w:r>
        <w:rPr>
          <w:w w:val="101"/>
        </w:rPr>
        <w:t> </w:t>
      </w:r>
      <w:r>
        <w:rPr>
          <w:spacing w:val="-4"/>
        </w:rPr>
        <w:t>可供使用时起，采用能反映与该资产有关的经济利益的预期实现方式的摊销方法，在预计使用年限内摊销；无法可靠确定预</w:t>
      </w:r>
      <w:r>
        <w:rPr>
          <w:spacing w:val="43"/>
        </w:rPr>
        <w:t> </w:t>
      </w:r>
      <w:r>
        <w:rPr>
          <w:spacing w:val="43"/>
        </w:rPr>
      </w:r>
      <w:r>
        <w:rPr>
          <w:spacing w:val="-3"/>
        </w:rPr>
        <w:t>期实现方式的，采用直线法摊销；使用寿命不确定的无形资产，不作摊销，采用直线法摊销。具体年限如下：</w:t>
      </w:r>
    </w:p>
    <w:p>
      <w:pPr>
        <w:spacing w:line="240" w:lineRule="auto" w:before="5"/>
        <w:rPr>
          <w:rFonts w:ascii="宋体" w:hAnsi="宋体" w:cs="宋体" w:eastAsia="宋体" w:hint="default"/>
          <w:sz w:val="4"/>
          <w:szCs w:val="4"/>
        </w:rPr>
      </w:pPr>
    </w:p>
    <w:tbl>
      <w:tblPr>
        <w:tblW w:w="0" w:type="auto"/>
        <w:jc w:val="left"/>
        <w:tblInd w:w="143" w:type="dxa"/>
        <w:tblLayout w:type="fixed"/>
        <w:tblCellMar>
          <w:top w:w="0" w:type="dxa"/>
          <w:left w:w="0" w:type="dxa"/>
          <w:bottom w:w="0" w:type="dxa"/>
          <w:right w:w="0" w:type="dxa"/>
        </w:tblCellMar>
        <w:tblLook w:val="01E0"/>
      </w:tblPr>
      <w:tblGrid>
        <w:gridCol w:w="5133"/>
        <w:gridCol w:w="4509"/>
      </w:tblGrid>
      <w:tr>
        <w:trPr>
          <w:trHeight w:val="399" w:hRule="exact"/>
        </w:trPr>
        <w:tc>
          <w:tcPr>
            <w:tcW w:w="5133"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8"/>
                <w:sz w:val="18"/>
                <w:szCs w:val="18"/>
              </w:rPr>
              <w:t> </w:t>
            </w:r>
            <w:r>
              <w:rPr>
                <w:rFonts w:ascii="宋体" w:hAnsi="宋体" w:cs="宋体" w:eastAsia="宋体" w:hint="default"/>
                <w:sz w:val="18"/>
                <w:szCs w:val="18"/>
              </w:rPr>
              <w:t>目</w:t>
            </w:r>
          </w:p>
        </w:tc>
        <w:tc>
          <w:tcPr>
            <w:tcW w:w="4509" w:type="dxa"/>
            <w:tcBorders>
              <w:top w:val="single" w:sz="6" w:space="0" w:color="000000"/>
              <w:left w:val="single" w:sz="6" w:space="0" w:color="000000"/>
              <w:bottom w:val="single" w:sz="6" w:space="0" w:color="000000"/>
              <w:right w:val="single" w:sz="6" w:space="0" w:color="000000"/>
            </w:tcBorders>
            <w:shd w:val="clear" w:color="auto" w:fill="DDDDDD"/>
          </w:tcPr>
          <w:p>
            <w:pPr>
              <w:pStyle w:val="TableParagraph"/>
              <w:spacing w:line="240" w:lineRule="auto" w:before="52"/>
              <w:ind w:left="4" w:right="0"/>
              <w:jc w:val="left"/>
              <w:rPr>
                <w:rFonts w:ascii="宋体" w:hAnsi="宋体" w:cs="宋体" w:eastAsia="宋体" w:hint="default"/>
                <w:sz w:val="18"/>
                <w:szCs w:val="18"/>
              </w:rPr>
            </w:pPr>
            <w:r>
              <w:rPr>
                <w:rFonts w:ascii="宋体" w:hAnsi="宋体" w:cs="宋体" w:eastAsia="宋体" w:hint="default"/>
                <w:spacing w:val="-3"/>
                <w:sz w:val="18"/>
                <w:szCs w:val="18"/>
              </w:rPr>
              <w:t>摊销年限（年）</w:t>
            </w:r>
          </w:p>
        </w:tc>
      </w:tr>
      <w:tr>
        <w:trPr>
          <w:trHeight w:val="439" w:hRule="exact"/>
        </w:trPr>
        <w:tc>
          <w:tcPr>
            <w:tcW w:w="5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0"/>
              <w:ind w:left="4" w:right="0"/>
              <w:jc w:val="left"/>
              <w:rPr>
                <w:rFonts w:ascii="宋体" w:hAnsi="宋体" w:cs="宋体" w:eastAsia="宋体" w:hint="default"/>
                <w:sz w:val="18"/>
                <w:szCs w:val="18"/>
              </w:rPr>
            </w:pPr>
            <w:r>
              <w:rPr>
                <w:rFonts w:ascii="宋体" w:hAnsi="宋体" w:cs="宋体" w:eastAsia="宋体" w:hint="default"/>
                <w:sz w:val="18"/>
                <w:szCs w:val="18"/>
              </w:rPr>
              <w:t>土地使用权证规定年限</w:t>
            </w:r>
          </w:p>
        </w:tc>
      </w:tr>
      <w:tr>
        <w:trPr>
          <w:trHeight w:val="427" w:hRule="exact"/>
        </w:trPr>
        <w:tc>
          <w:tcPr>
            <w:tcW w:w="5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Times New Roman" w:hAnsi="Times New Roman" w:cs="Times New Roman" w:eastAsia="Times New Roman" w:hint="default"/>
                <w:sz w:val="18"/>
                <w:szCs w:val="18"/>
              </w:rPr>
            </w:pPr>
            <w:r>
              <w:rPr>
                <w:rFonts w:ascii="Times New Roman"/>
                <w:sz w:val="18"/>
              </w:rPr>
              <w:t>10</w:t>
            </w:r>
          </w:p>
        </w:tc>
      </w:tr>
      <w:tr>
        <w:trPr>
          <w:trHeight w:val="427" w:hRule="exact"/>
        </w:trPr>
        <w:tc>
          <w:tcPr>
            <w:tcW w:w="5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Times New Roman" w:hAnsi="Times New Roman" w:cs="Times New Roman" w:eastAsia="Times New Roman" w:hint="default"/>
                <w:sz w:val="18"/>
                <w:szCs w:val="18"/>
              </w:rPr>
            </w:pPr>
            <w:r>
              <w:rPr>
                <w:rFonts w:ascii="Times New Roman"/>
                <w:sz w:val="18"/>
              </w:rPr>
              <w:t>10</w:t>
            </w:r>
          </w:p>
        </w:tc>
      </w:tr>
      <w:tr>
        <w:trPr>
          <w:trHeight w:val="428" w:hRule="exact"/>
        </w:trPr>
        <w:tc>
          <w:tcPr>
            <w:tcW w:w="5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45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left="4" w:right="0"/>
              <w:jc w:val="left"/>
              <w:rPr>
                <w:rFonts w:ascii="Times New Roman" w:hAnsi="Times New Roman" w:cs="Times New Roman" w:eastAsia="Times New Roman" w:hint="default"/>
                <w:sz w:val="18"/>
                <w:szCs w:val="18"/>
              </w:rPr>
            </w:pPr>
            <w:r>
              <w:rPr>
                <w:rFonts w:ascii="Times New Roman"/>
                <w:sz w:val="18"/>
              </w:rPr>
              <w:t>10</w:t>
            </w:r>
          </w:p>
        </w:tc>
      </w:tr>
    </w:tbl>
    <w:p>
      <w:pPr>
        <w:pStyle w:val="BodyText"/>
        <w:spacing w:line="321" w:lineRule="auto" w:before="53"/>
        <w:ind w:right="0" w:firstLine="427"/>
        <w:jc w:val="left"/>
      </w:pPr>
      <w:r>
        <w:rPr>
          <w:spacing w:val="-2"/>
        </w:rPr>
        <w:t>本公司于每年年度终了，对使用寿命有限的无形资产的使用寿命及摊销方法进行复核，与以前估计不同的，调整原先</w:t>
      </w:r>
      <w:r>
        <w:rPr>
          <w:w w:val="101"/>
        </w:rPr>
        <w:t> </w:t>
      </w:r>
      <w:r>
        <w:rPr>
          <w:spacing w:val="-3"/>
        </w:rPr>
        <w:t>估计数，并按会计估计变更处理。</w:t>
      </w:r>
    </w:p>
    <w:p>
      <w:pPr>
        <w:pStyle w:val="BodyText"/>
        <w:spacing w:line="357" w:lineRule="auto" w:before="53"/>
        <w:ind w:left="580" w:right="0"/>
        <w:jc w:val="left"/>
      </w:pPr>
      <w:r>
        <w:rPr>
          <w:spacing w:val="-3"/>
        </w:rPr>
        <w:t>本公司期末预计某项无形资产已经不能给企业带来未来经济利益的，将该项无形资产的账面价值全部转入当期损益。</w:t>
      </w:r>
      <w:r>
        <w:rPr>
          <w:spacing w:val="60"/>
        </w:rPr>
        <w:t> </w:t>
      </w:r>
      <w:r>
        <w:rPr>
          <w:spacing w:val="60"/>
        </w:rPr>
      </w:r>
      <w:r>
        <w:rPr>
          <w:spacing w:val="-3"/>
        </w:rPr>
        <w:t>截至资产负债表日</w:t>
      </w:r>
      <w:r>
        <w:rPr>
          <w:rFonts w:ascii="Times New Roman" w:hAnsi="Times New Roman" w:cs="Times New Roman" w:eastAsia="Times New Roman" w:hint="default"/>
          <w:spacing w:val="-3"/>
        </w:rPr>
        <w:t>,</w:t>
      </w:r>
      <w:r>
        <w:rPr>
          <w:spacing w:val="-3"/>
        </w:rPr>
        <w:t>本公司没有使用寿命不确定的无形资产。</w:t>
      </w:r>
    </w:p>
    <w:p>
      <w:pPr>
        <w:spacing w:after="0" w:line="357"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both"/>
        <w:rPr>
          <w:b w:val="0"/>
          <w:bCs w:val="0"/>
        </w:rPr>
      </w:pPr>
      <w:bookmarkStart w:name="（2）内部研究开发支出会计政策" w:id="205"/>
      <w:bookmarkEnd w:id="20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1"/>
        <w:rPr>
          <w:rFonts w:ascii="宋体" w:hAnsi="宋体" w:cs="宋体" w:eastAsia="宋体" w:hint="default"/>
          <w:b/>
          <w:bCs/>
          <w:sz w:val="27"/>
          <w:szCs w:val="27"/>
        </w:rPr>
      </w:pPr>
    </w:p>
    <w:p>
      <w:pPr>
        <w:pStyle w:val="BodyText"/>
        <w:spacing w:line="355" w:lineRule="auto"/>
        <w:ind w:left="580" w:right="1140"/>
        <w:jc w:val="left"/>
      </w:pPr>
      <w:r>
        <w:rPr>
          <w:spacing w:val="-3"/>
        </w:rPr>
        <w:t>本公司将内部研究开发项目的支出，区分为研究阶段支出和开发阶段支出。</w:t>
      </w:r>
      <w:r>
        <w:rPr>
          <w:spacing w:val="8"/>
        </w:rPr>
        <w:t> </w:t>
      </w:r>
      <w:r>
        <w:rPr>
          <w:spacing w:val="8"/>
        </w:rPr>
      </w:r>
      <w:r>
        <w:rPr>
          <w:spacing w:val="-3"/>
        </w:rPr>
        <w:t>研究阶段的支出，于发生时计入当期损益。</w:t>
      </w:r>
      <w:r>
        <w:rPr>
          <w:spacing w:val="-33"/>
        </w:rPr>
        <w:t> </w:t>
      </w:r>
      <w:r>
        <w:rPr>
          <w:spacing w:val="-33"/>
        </w:rPr>
      </w:r>
      <w:r>
        <w:rPr>
          <w:spacing w:val="-2"/>
        </w:rPr>
        <w:t>开发阶段的支出，同时满足下列条件的，才能予以资本化，即：完成该无形资产以使其能够使用或出售在技术上具有</w:t>
      </w:r>
    </w:p>
    <w:p>
      <w:pPr>
        <w:pStyle w:val="BodyText"/>
        <w:spacing w:line="319" w:lineRule="auto"/>
        <w:ind w:right="1122"/>
        <w:jc w:val="both"/>
      </w:pPr>
      <w:r>
        <w:rPr>
          <w:spacing w:val="-4"/>
        </w:rPr>
        <w:t>可行性；具有完成该无形资产并使用或出售的意图；无形资产产生经济利益的方式，包括能够证明运用该无形资产生产的产</w:t>
      </w:r>
      <w:r>
        <w:rPr>
          <w:spacing w:val="43"/>
        </w:rPr>
        <w:t> </w:t>
      </w:r>
      <w:r>
        <w:rPr>
          <w:spacing w:val="43"/>
        </w:rPr>
      </w:r>
      <w:r>
        <w:rPr>
          <w:spacing w:val="-4"/>
        </w:rPr>
        <w:t>品存在市场或无形资产自身存在市场，无形资产将在内部使用的，能够证明其有用性；有足够的技术、财务资源和其他资源</w:t>
      </w:r>
      <w:r>
        <w:rPr>
          <w:spacing w:val="40"/>
        </w:rPr>
        <w:t> </w:t>
      </w:r>
      <w:r>
        <w:rPr>
          <w:spacing w:val="40"/>
        </w:rPr>
      </w:r>
      <w:r>
        <w:rPr>
          <w:spacing w:val="-4"/>
        </w:rPr>
        <w:t>支持，以完成该无形资产的开发，并有能力使用或出售该无形资产；归属于该无形资产开发阶段的支出能够可靠地计量。不</w:t>
      </w:r>
      <w:r>
        <w:rPr>
          <w:spacing w:val="41"/>
        </w:rPr>
        <w:t> </w:t>
      </w:r>
      <w:r>
        <w:rPr>
          <w:spacing w:val="41"/>
        </w:rPr>
      </w:r>
      <w:r>
        <w:rPr>
          <w:spacing w:val="-3"/>
        </w:rPr>
        <w:t>满足上述条件的开发支出计入当期损益。</w:t>
      </w:r>
    </w:p>
    <w:p>
      <w:pPr>
        <w:pStyle w:val="BodyText"/>
        <w:spacing w:line="357" w:lineRule="auto" w:before="60"/>
        <w:ind w:left="580" w:right="1037"/>
        <w:jc w:val="left"/>
      </w:pPr>
      <w:r>
        <w:rPr>
          <w:spacing w:val="-3"/>
        </w:rPr>
        <w:t>本公司划分内部研究开发项目研究阶段支出和开发阶段支出的具体标准：</w:t>
      </w:r>
      <w:r>
        <w:rPr>
          <w:spacing w:val="2"/>
        </w:rPr>
        <w:t> </w:t>
      </w:r>
      <w:r>
        <w:rPr>
          <w:spacing w:val="2"/>
        </w:rPr>
      </w:r>
      <w:r>
        <w:rPr>
          <w:spacing w:val="-3"/>
        </w:rPr>
        <w:t>研发阶段：为获取新的技术和知识等进行的有计划的调研以及通过技术可行性及经济可行性研究，立项前的阶段。</w:t>
      </w:r>
      <w:r>
        <w:rPr>
          <w:spacing w:val="54"/>
        </w:rPr>
        <w:t> </w:t>
      </w:r>
      <w:r>
        <w:rPr>
          <w:spacing w:val="54"/>
        </w:rPr>
      </w:r>
      <w:r>
        <w:rPr>
          <w:spacing w:val="-3"/>
        </w:rPr>
        <w:t>开发阶段：以样机的设计为起点包括建造装配、试验测试及达到预定可使用状态前发生的支出。</w:t>
      </w:r>
      <w:r>
        <w:rPr>
          <w:spacing w:val="31"/>
        </w:rPr>
        <w:t> </w:t>
      </w:r>
      <w:r>
        <w:rPr>
          <w:spacing w:val="31"/>
        </w:rPr>
      </w:r>
      <w:r>
        <w:rPr>
          <w:spacing w:val="-3"/>
        </w:rPr>
        <w:t>开发阶段具体资本化时间为：</w:t>
      </w:r>
      <w:r>
        <w:rPr>
          <w:spacing w:val="-50"/>
        </w:rPr>
        <w:t> </w:t>
      </w:r>
      <w:r>
        <w:rPr>
          <w:spacing w:val="-50"/>
        </w:rPr>
      </w:r>
      <w:r>
        <w:rPr>
          <w:spacing w:val="-2"/>
        </w:rPr>
        <w:t>完成前期的计划调研及可行性研究后，管理层内部通过《产品立项建议书（技术任务书》并已经开始了实质性的开发</w:t>
      </w:r>
    </w:p>
    <w:p>
      <w:pPr>
        <w:pStyle w:val="BodyText"/>
        <w:spacing w:line="229" w:lineRule="exact"/>
        <w:ind w:right="0"/>
        <w:jc w:val="both"/>
      </w:pPr>
      <w:r>
        <w:rPr/>
        <w:t>设计投入。</w:t>
      </w:r>
    </w:p>
    <w:p>
      <w:pPr>
        <w:pStyle w:val="BodyText"/>
        <w:spacing w:line="240" w:lineRule="auto" w:before="115"/>
        <w:ind w:left="580" w:right="0"/>
        <w:jc w:val="left"/>
      </w:pPr>
      <w:r>
        <w:rPr>
          <w:spacing w:val="-3"/>
        </w:rPr>
        <w:t>开发支出确认为无形资产的条件（同时满足）：</w:t>
      </w:r>
    </w:p>
    <w:p>
      <w:pPr>
        <w:pStyle w:val="BodyText"/>
        <w:spacing w:line="240" w:lineRule="auto" w:before="119"/>
        <w:ind w:left="580" w:right="0"/>
        <w:jc w:val="left"/>
      </w:pPr>
      <w:r>
        <w:rPr>
          <w:spacing w:val="-3"/>
        </w:rPr>
        <w:t>（</w:t>
      </w:r>
      <w:r>
        <w:rPr>
          <w:rFonts w:ascii="Times New Roman" w:hAnsi="Times New Roman" w:cs="Times New Roman" w:eastAsia="Times New Roman" w:hint="default"/>
          <w:spacing w:val="-3"/>
        </w:rPr>
        <w:t>1</w:t>
      </w:r>
      <w:r>
        <w:rPr>
          <w:spacing w:val="-3"/>
        </w:rPr>
        <w:t>）研发项目至少取得一项相关证书或很可能取得相关证书：</w:t>
      </w:r>
    </w:p>
    <w:p>
      <w:pPr>
        <w:pStyle w:val="BodyText"/>
        <w:spacing w:line="240" w:lineRule="auto" w:before="101"/>
        <w:ind w:left="580" w:right="0"/>
        <w:jc w:val="left"/>
      </w:pPr>
      <w:r>
        <w:rPr>
          <w:spacing w:val="-3"/>
        </w:rPr>
        <w:t>①软件著作权证书；</w:t>
      </w:r>
    </w:p>
    <w:p>
      <w:pPr>
        <w:pStyle w:val="BodyText"/>
        <w:spacing w:line="240" w:lineRule="auto" w:before="115"/>
        <w:ind w:left="580" w:right="0"/>
        <w:jc w:val="left"/>
      </w:pPr>
      <w:r>
        <w:rPr/>
        <w:t>②专利证书。</w:t>
      </w:r>
    </w:p>
    <w:p>
      <w:pPr>
        <w:pStyle w:val="BodyText"/>
        <w:spacing w:line="240" w:lineRule="auto" w:before="119"/>
        <w:ind w:left="580" w:right="0"/>
        <w:jc w:val="left"/>
      </w:pPr>
      <w:r>
        <w:rPr>
          <w:spacing w:val="-3"/>
        </w:rPr>
        <w:t>（</w:t>
      </w:r>
      <w:r>
        <w:rPr>
          <w:rFonts w:ascii="Times New Roman" w:hAnsi="Times New Roman" w:cs="Times New Roman" w:eastAsia="Times New Roman" w:hint="default"/>
          <w:spacing w:val="-3"/>
        </w:rPr>
        <w:t>2</w:t>
      </w:r>
      <w:r>
        <w:rPr>
          <w:spacing w:val="-3"/>
        </w:rPr>
        <w:t>）完成研发项目样机的设计与制造，符合批量性生产条件；</w:t>
      </w:r>
    </w:p>
    <w:p>
      <w:pPr>
        <w:pStyle w:val="BodyText"/>
        <w:spacing w:line="240" w:lineRule="auto" w:before="101"/>
        <w:ind w:left="580" w:right="0"/>
        <w:jc w:val="left"/>
      </w:pPr>
      <w:r>
        <w:rPr>
          <w:spacing w:val="-3"/>
        </w:rPr>
        <w:t>（</w:t>
      </w:r>
      <w:r>
        <w:rPr>
          <w:rFonts w:ascii="Times New Roman" w:hAnsi="Times New Roman" w:cs="Times New Roman" w:eastAsia="Times New Roman" w:hint="default"/>
          <w:spacing w:val="-3"/>
        </w:rPr>
        <w:t>3</w:t>
      </w:r>
      <w:r>
        <w:rPr>
          <w:spacing w:val="-3"/>
        </w:rPr>
        <w:t>）研发项目可转化为具有商业用途的产品，并可以最终对外销售；或签订了正式的销售意向合同；</w:t>
      </w:r>
    </w:p>
    <w:p>
      <w:pPr>
        <w:pStyle w:val="BodyText"/>
        <w:spacing w:line="304" w:lineRule="auto" w:before="96"/>
        <w:ind w:right="0" w:firstLine="427"/>
        <w:jc w:val="left"/>
      </w:pPr>
      <w:r>
        <w:rPr>
          <w:spacing w:val="-4"/>
        </w:rPr>
        <w:t>（</w:t>
      </w:r>
      <w:r>
        <w:rPr>
          <w:rFonts w:ascii="Times New Roman" w:hAnsi="Times New Roman" w:cs="Times New Roman" w:eastAsia="Times New Roman" w:hint="default"/>
          <w:spacing w:val="-4"/>
        </w:rPr>
        <w:t>4</w:t>
      </w:r>
      <w:r>
        <w:rPr>
          <w:spacing w:val="-4"/>
        </w:rPr>
        <w:t>）研发的新产品已经符合行业标准，并取得相关测试合格证书，符合对外销售的条件，或者研发的产品在技术上已</w:t>
      </w:r>
      <w:r>
        <w:rPr>
          <w:w w:val="101"/>
        </w:rPr>
        <w:t> </w:t>
      </w:r>
      <w:r>
        <w:rPr>
          <w:spacing w:val="-3"/>
        </w:rPr>
        <w:t>经满足客户的技术标准。</w:t>
      </w:r>
    </w:p>
    <w:p>
      <w:pPr>
        <w:pStyle w:val="BodyText"/>
        <w:spacing w:line="321" w:lineRule="auto" w:before="66"/>
        <w:ind w:right="0" w:firstLine="427"/>
        <w:jc w:val="left"/>
      </w:pPr>
      <w:r>
        <w:rPr>
          <w:spacing w:val="-2"/>
        </w:rPr>
        <w:t>不满足上述条件的开发阶段的支出，于发生时计入当期损益。前期已计入损益的开发支出不在以后期间确认为资产。</w:t>
      </w:r>
      <w:r>
        <w:rPr>
          <w:w w:val="101"/>
        </w:rPr>
        <w:t> </w:t>
      </w:r>
      <w:r>
        <w:rPr>
          <w:spacing w:val="-3"/>
        </w:rPr>
        <w:t>已资本化的开发阶段的支出在资产负债表上列示为开发支出，自该项目达到预定可使用状态之日起转为无形资产。</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bookmarkStart w:name="31、长期资产减值" w:id="206"/>
      <w:bookmarkEnd w:id="206"/>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10"/>
        <w:rPr>
          <w:rFonts w:ascii="宋体" w:hAnsi="宋体" w:cs="宋体" w:eastAsia="宋体" w:hint="default"/>
          <w:b/>
          <w:bCs/>
          <w:sz w:val="26"/>
          <w:szCs w:val="26"/>
        </w:rPr>
      </w:pPr>
    </w:p>
    <w:p>
      <w:pPr>
        <w:pStyle w:val="BodyText"/>
        <w:spacing w:line="319" w:lineRule="auto"/>
        <w:ind w:right="0" w:firstLine="427"/>
        <w:jc w:val="left"/>
      </w:pPr>
      <w:r>
        <w:rPr>
          <w:spacing w:val="-2"/>
        </w:rPr>
        <w:t>对于固定资产、在建工程、使用寿命有限的无形资产、以成本模式计量的投资性房地产及对子公司、合营企业、联营</w:t>
      </w:r>
      <w:r>
        <w:rPr>
          <w:w w:val="101"/>
        </w:rPr>
        <w:t> </w:t>
      </w:r>
      <w:r>
        <w:rPr>
          <w:spacing w:val="-4"/>
        </w:rPr>
        <w:t>企业的长期股权投资等非流动非金融资产，本公司于资产负债表日判断是否存在减值迹象。如存在减值迹象的，则估计其可</w:t>
      </w:r>
      <w:r>
        <w:rPr>
          <w:spacing w:val="43"/>
        </w:rPr>
        <w:t> </w:t>
      </w:r>
      <w:r>
        <w:rPr>
          <w:spacing w:val="43"/>
        </w:rPr>
      </w:r>
      <w:r>
        <w:rPr>
          <w:spacing w:val="-3"/>
        </w:rPr>
        <w:t>收回金额，进行减值测试。商誉、使用寿命不确定的无形资产和尚未达到可使用状态的无形资产，无论是否存在减值迹象，</w:t>
      </w:r>
      <w:r>
        <w:rPr>
          <w:spacing w:val="66"/>
        </w:rPr>
        <w:t> </w:t>
      </w:r>
      <w:r>
        <w:rPr>
          <w:spacing w:val="66"/>
        </w:rPr>
      </w:r>
      <w:r>
        <w:rPr/>
        <w:t>每年均进行减值测试。</w:t>
      </w:r>
    </w:p>
    <w:p>
      <w:pPr>
        <w:pStyle w:val="BodyText"/>
        <w:spacing w:line="319" w:lineRule="auto" w:before="50"/>
        <w:ind w:right="1122" w:firstLine="427"/>
        <w:jc w:val="both"/>
      </w:pPr>
      <w:r>
        <w:rPr>
          <w:spacing w:val="-2"/>
        </w:rPr>
        <w:t>减值测试结果表明资产的可收回金额低于其账面价值的，按其差额计提减值准备并计入减值损失。可收回金额为资产</w:t>
      </w:r>
      <w:r>
        <w:rPr>
          <w:w w:val="101"/>
        </w:rPr>
        <w:t> </w:t>
      </w:r>
      <w:r>
        <w:rPr>
          <w:spacing w:val="-4"/>
          <w:w w:val="101"/>
        </w:rPr>
        <w:t>的公允价值减去处置费用后的净额与资产预计未来现金流量的现值两者之间的较高者。资产的公允价值根据公平交易中销售</w:t>
      </w:r>
      <w:r>
        <w:rPr>
          <w:w w:val="101"/>
        </w:rPr>
        <w:t> </w:t>
      </w:r>
      <w:r>
        <w:rPr>
          <w:spacing w:val="-4"/>
        </w:rPr>
        <w:t>协议价格确定；不存在销售协议但存在资产活跃市场的，公允价值按照该资产的买方出价确定；不存在销售协议和资产活跃</w:t>
      </w:r>
      <w:r>
        <w:rPr>
          <w:spacing w:val="43"/>
        </w:rPr>
        <w:t> </w:t>
      </w:r>
      <w:r>
        <w:rPr>
          <w:spacing w:val="43"/>
        </w:rPr>
      </w:r>
      <w:r>
        <w:rPr>
          <w:spacing w:val="-4"/>
        </w:rPr>
        <w:t>市场的，则以可获取的最佳信息为基础估计资产的公允价值。处置费用包括与资产处置有关的法律费用、相关税费、搬运费</w:t>
      </w:r>
      <w:r>
        <w:rPr>
          <w:spacing w:val="40"/>
        </w:rPr>
        <w:t> </w:t>
      </w:r>
      <w:r>
        <w:rPr>
          <w:spacing w:val="40"/>
        </w:rPr>
      </w:r>
      <w:r>
        <w:rPr>
          <w:spacing w:val="-4"/>
        </w:rPr>
        <w:t>以及为使资产达到可销售状态所发生的直接费用。资产预计未来现金流量的现值，按照资产在持续使用过程中和最终处置时</w:t>
      </w:r>
      <w:r>
        <w:rPr>
          <w:spacing w:val="43"/>
        </w:rPr>
        <w:t> </w:t>
      </w:r>
      <w:r>
        <w:rPr>
          <w:spacing w:val="43"/>
        </w:rPr>
      </w:r>
      <w:r>
        <w:rPr>
          <w:spacing w:val="-4"/>
        </w:rPr>
        <w:t>所产生的预计未来现金流量，选择恰当的折现率对其进行折现后的金额加以确定。资产减值准备按单项资产为基础计算并确</w:t>
      </w:r>
      <w:r>
        <w:rPr>
          <w:spacing w:val="45"/>
        </w:rPr>
        <w:t> </w:t>
      </w:r>
      <w:r>
        <w:rPr>
          <w:spacing w:val="45"/>
        </w:rPr>
      </w:r>
      <w:r>
        <w:rPr>
          <w:spacing w:val="-4"/>
        </w:rPr>
        <w:t>认，如果难以对单项资产的可收回金额进行估计的，以该资产所属的资产组确定资产组的可收回金额。资产组是能够独立产</w:t>
      </w:r>
      <w:r>
        <w:rPr>
          <w:spacing w:val="43"/>
        </w:rPr>
        <w:t> </w:t>
      </w:r>
      <w:r>
        <w:rPr>
          <w:spacing w:val="43"/>
        </w:rPr>
      </w:r>
      <w:r>
        <w:rPr>
          <w:spacing w:val="-3"/>
        </w:rPr>
        <w:t>生现金流入的最小资产组合。</w:t>
      </w:r>
    </w:p>
    <w:p>
      <w:pPr>
        <w:pStyle w:val="BodyText"/>
        <w:spacing w:line="316" w:lineRule="auto" w:before="55"/>
        <w:ind w:right="0" w:firstLine="427"/>
        <w:jc w:val="left"/>
      </w:pPr>
      <w:r>
        <w:rPr>
          <w:spacing w:val="-2"/>
        </w:rPr>
        <w:t>在财务报表中单独列示的商誉，在进行减值测试时，将商誉的账面价值分摊至预期从企业合并的协同效应中受益的资</w:t>
      </w:r>
      <w:r>
        <w:rPr>
          <w:w w:val="101"/>
        </w:rPr>
        <w:t> </w:t>
      </w:r>
      <w:r>
        <w:rPr>
          <w:spacing w:val="-4"/>
        </w:rPr>
        <w:t>产组或资产组组合。测试结果表明包含分摊的商誉的资产组或资产组组合的可收回金额低于其账面价值的，确认相应的减值</w:t>
      </w:r>
    </w:p>
    <w:p>
      <w:pPr>
        <w:spacing w:after="0" w:line="316"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21" w:lineRule="auto" w:before="46"/>
        <w:ind w:right="0"/>
        <w:jc w:val="left"/>
      </w:pPr>
      <w:r>
        <w:rPr>
          <w:spacing w:val="-4"/>
        </w:rPr>
        <w:t>损失。减值损失金额先抵减分摊至该资产组或资产组组合的商誉的账面价值，再根据资产组或资产组组合中除商誉以外的其</w:t>
      </w:r>
      <w:r>
        <w:rPr>
          <w:spacing w:val="44"/>
        </w:rPr>
        <w:t> </w:t>
      </w:r>
      <w:r>
        <w:rPr>
          <w:spacing w:val="44"/>
        </w:rPr>
      </w:r>
      <w:r>
        <w:rPr>
          <w:spacing w:val="-3"/>
        </w:rPr>
        <w:t>他各项资产的账面价值所占比重，按比例抵减其他各项资产的账面价值。</w:t>
      </w:r>
    </w:p>
    <w:p>
      <w:pPr>
        <w:pStyle w:val="BodyText"/>
        <w:spacing w:line="240" w:lineRule="auto" w:before="53"/>
        <w:ind w:left="580" w:right="0"/>
        <w:jc w:val="left"/>
      </w:pPr>
      <w:r>
        <w:rPr>
          <w:spacing w:val="-3"/>
        </w:rPr>
        <w:t>上述资产减值损失一经确认，以后期间不予转回价值得以恢复的部分。</w:t>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32、长期待摊费用" w:id="207"/>
      <w:bookmarkEnd w:id="207"/>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1124" w:firstLine="427"/>
        <w:jc w:val="both"/>
      </w:pPr>
      <w:r>
        <w:rPr>
          <w:spacing w:val="-2"/>
        </w:rPr>
        <w:t>本公司发生的长期待摊费用按实际成本计价，并按预计受益期限平均摊销。对不能使以后会计期间受益的长期待摊费</w:t>
      </w:r>
      <w:r>
        <w:rPr>
          <w:w w:val="101"/>
        </w:rPr>
        <w:t> </w:t>
      </w:r>
      <w:r>
        <w:rPr>
          <w:spacing w:val="-3"/>
        </w:rPr>
        <w:t>用项目，其摊余价值全部计入当期损益。</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33、合同负债" w:id="208"/>
      <w:bookmarkEnd w:id="208"/>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4、职工薪酬" w:id="209"/>
      <w:bookmarkEnd w:id="209"/>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薪酬的会计处理方法" w:id="210"/>
      <w:bookmarkEnd w:id="210"/>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4" w:firstLine="427"/>
        <w:jc w:val="both"/>
      </w:pPr>
      <w:r>
        <w:rPr>
          <w:spacing w:val="-2"/>
        </w:rPr>
        <w:t>短期薪酬主要包括工资、奖金、津贴和补贴、职工福利费、医疗保险费、生育保险费、工伤保险费、住房公积金、工</w:t>
      </w:r>
      <w:r>
        <w:rPr>
          <w:w w:val="101"/>
        </w:rPr>
        <w:t> </w:t>
      </w:r>
      <w:r>
        <w:rPr>
          <w:spacing w:val="-4"/>
        </w:rPr>
        <w:t>会经费和职工教育经费、非货币性福利等。本公司在职工为本公司提供服务的会计期间将实际发生的短期职工薪酬确认为负</w:t>
      </w:r>
      <w:r>
        <w:rPr>
          <w:spacing w:val="39"/>
        </w:rPr>
        <w:t> </w:t>
      </w:r>
      <w:r>
        <w:rPr>
          <w:spacing w:val="39"/>
        </w:rPr>
      </w:r>
      <w:r>
        <w:rPr>
          <w:spacing w:val="-3"/>
        </w:rPr>
        <w:t>债，并计入当期损益或相关资产成本。其中非货币性福利按公允价值计量。</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2）离职后福利的会计处理方法" w:id="211"/>
      <w:bookmarkEnd w:id="211"/>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1032" w:firstLine="427"/>
        <w:jc w:val="both"/>
      </w:pPr>
      <w:r>
        <w:rPr>
          <w:spacing w:val="-4"/>
        </w:rPr>
        <w:t>离职后福利主要包括设定提存计划及设定受益计划。其中设定提存计划主要包括基本养老保险、失业保险以及年金等，</w:t>
      </w:r>
      <w:r>
        <w:rPr>
          <w:w w:val="101"/>
        </w:rPr>
        <w:t> </w:t>
      </w:r>
      <w:r>
        <w:rPr>
          <w:spacing w:val="-3"/>
        </w:rPr>
        <w:t>相应的应缴存金额于发生时计入相关资产成本或当期损益。</w:t>
      </w:r>
    </w:p>
    <w:p>
      <w:pPr>
        <w:pStyle w:val="BodyText"/>
        <w:spacing w:line="319" w:lineRule="auto" w:before="54"/>
        <w:ind w:right="1124" w:firstLine="427"/>
        <w:jc w:val="both"/>
      </w:pPr>
      <w:r>
        <w:rPr>
          <w:spacing w:val="-2"/>
        </w:rPr>
        <w:t>在职工劳动合同到期之前解除与职工的劳动关系，或为鼓励职工自愿接受裁减而提出给予补偿的建议，在本公司不能</w:t>
      </w:r>
      <w:r>
        <w:rPr>
          <w:w w:val="101"/>
        </w:rPr>
        <w:t> </w:t>
      </w:r>
      <w:r>
        <w:rPr>
          <w:spacing w:val="-4"/>
          <w:w w:val="101"/>
        </w:rPr>
        <w:t>单方面撤回因解除劳动关系计划或裁减建议所提供的辞退福利时，和本公司确认与涉及支付辞退福利的重组相关的成本两者</w:t>
      </w:r>
      <w:r>
        <w:rPr>
          <w:w w:val="101"/>
        </w:rPr>
        <w:t> </w:t>
      </w:r>
      <w:r>
        <w:rPr>
          <w:spacing w:val="-4"/>
        </w:rPr>
        <w:t>孰早日，确认辞退福利产生的职工薪酬负债，并计入当期损益。但辞退福利预期在年度报告期结束后十二个月不能完全支付</w:t>
      </w:r>
      <w:r>
        <w:rPr>
          <w:spacing w:val="43"/>
        </w:rPr>
        <w:t> </w:t>
      </w:r>
      <w:r>
        <w:rPr>
          <w:spacing w:val="43"/>
        </w:rPr>
      </w:r>
      <w:r>
        <w:rPr>
          <w:spacing w:val="-3"/>
        </w:rPr>
        <w:t>的，按照其他长期职工薪酬处理。</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3）辞退福利的会计处理方法" w:id="212"/>
      <w:bookmarkEnd w:id="212"/>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1124" w:firstLine="427"/>
        <w:jc w:val="both"/>
      </w:pPr>
      <w:r>
        <w:rPr>
          <w:spacing w:val="-2"/>
        </w:rPr>
        <w:t>职工内部退休计划采用上述辞退福利相同的原则处理。本公司将自职工停止提供服务日至正常退休日的期间拟支付的</w:t>
      </w:r>
      <w:r>
        <w:rPr>
          <w:w w:val="101"/>
        </w:rPr>
        <w:t> </w:t>
      </w:r>
      <w:r>
        <w:rPr>
          <w:spacing w:val="-3"/>
        </w:rPr>
        <w:t>内退人员工资和缴纳的社会保险费等，在符合预计负债确认条件时，计入当期损益（辞退福利）。</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4）其他长期职工福利的会计处理方法" w:id="213"/>
      <w:bookmarkEnd w:id="213"/>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1124" w:firstLine="427"/>
        <w:jc w:val="both"/>
      </w:pPr>
      <w:r>
        <w:rPr>
          <w:spacing w:val="-2"/>
        </w:rPr>
        <w:t>本公司向职工提供的其他长期职工福利，符合设定提存计划的，按照设定提存计划进行会计处理，除此之外按照设定</w:t>
      </w:r>
      <w:r>
        <w:rPr>
          <w:w w:val="101"/>
        </w:rPr>
        <w:t> </w:t>
      </w:r>
      <w:r>
        <w:rPr>
          <w:spacing w:val="-3"/>
        </w:rPr>
        <w:t>收益计划进行会计处理。</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35、租赁负债" w:id="214"/>
      <w:bookmarkEnd w:id="214"/>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不适用</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36、预计负债" w:id="215"/>
      <w:bookmarkEnd w:id="215"/>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1"/>
        <w:rPr>
          <w:rFonts w:ascii="宋体" w:hAnsi="宋体" w:cs="宋体" w:eastAsia="宋体" w:hint="default"/>
          <w:b/>
          <w:bCs/>
          <w:sz w:val="27"/>
          <w:szCs w:val="27"/>
        </w:rPr>
      </w:pPr>
    </w:p>
    <w:p>
      <w:pPr>
        <w:pStyle w:val="BodyText"/>
        <w:spacing w:line="345" w:lineRule="auto"/>
        <w:ind w:left="580" w:right="4202"/>
        <w:jc w:val="left"/>
      </w:pPr>
      <w:r>
        <w:rPr>
          <w:spacing w:val="-3"/>
        </w:rPr>
        <w:t>如果与或有事项相关的义务同时符合以下条件，本公司将其确认为预计负债：</w:t>
      </w:r>
      <w:r>
        <w:rPr>
          <w:spacing w:val="8"/>
        </w:rPr>
        <w:t> </w:t>
      </w:r>
      <w:r>
        <w:rPr>
          <w:spacing w:val="8"/>
        </w:rPr>
      </w:r>
      <w:r>
        <w:rPr>
          <w:rFonts w:ascii="Times New Roman" w:hAnsi="Times New Roman" w:cs="Times New Roman" w:eastAsia="Times New Roman" w:hint="default"/>
          <w:spacing w:val="-3"/>
        </w:rPr>
        <w:t>A</w:t>
      </w:r>
      <w:r>
        <w:rPr>
          <w:spacing w:val="-3"/>
        </w:rPr>
        <w:t>、该义务是本公司承担的现时义务；</w:t>
      </w:r>
      <w:r>
        <w:rPr>
          <w:spacing w:val="-36"/>
        </w:rPr>
        <w:t> </w:t>
      </w:r>
      <w:r>
        <w:rPr>
          <w:spacing w:val="-36"/>
        </w:rPr>
      </w:r>
      <w:r>
        <w:rPr>
          <w:rFonts w:ascii="Times New Roman" w:hAnsi="Times New Roman" w:cs="Times New Roman" w:eastAsia="Times New Roman" w:hint="default"/>
          <w:spacing w:val="-3"/>
        </w:rPr>
        <w:t>B</w:t>
      </w:r>
      <w:r>
        <w:rPr>
          <w:spacing w:val="-3"/>
        </w:rPr>
        <w:t>、该义务的履行很可能导致经济利益流出本公司；</w:t>
      </w:r>
      <w:r>
        <w:rPr>
          <w:spacing w:val="-19"/>
        </w:rPr>
        <w:t> </w:t>
      </w:r>
      <w:r>
        <w:rPr>
          <w:spacing w:val="-19"/>
        </w:rPr>
      </w:r>
      <w:r>
        <w:rPr>
          <w:rFonts w:ascii="Times New Roman" w:hAnsi="Times New Roman" w:cs="Times New Roman" w:eastAsia="Times New Roman" w:hint="default"/>
          <w:spacing w:val="-3"/>
        </w:rPr>
        <w:t>C</w:t>
      </w:r>
      <w:r>
        <w:rPr>
          <w:spacing w:val="-3"/>
        </w:rPr>
        <w:t>、该义务的金额能够可靠地计量。</w:t>
      </w:r>
    </w:p>
    <w:p>
      <w:pPr>
        <w:pStyle w:val="BodyText"/>
        <w:spacing w:line="321" w:lineRule="auto" w:before="8"/>
        <w:ind w:right="1124" w:firstLine="427"/>
        <w:jc w:val="both"/>
      </w:pPr>
      <w:r>
        <w:rPr>
          <w:spacing w:val="-2"/>
        </w:rPr>
        <w:t>如果清偿已确认预计负债所需支出全部或部分预期由第三方或其他方补偿，则补偿金额只能在基本确定能收到时，作</w:t>
      </w:r>
      <w:r>
        <w:rPr>
          <w:w w:val="101"/>
        </w:rPr>
        <w:t> </w:t>
      </w:r>
      <w:r>
        <w:rPr>
          <w:spacing w:val="-3"/>
        </w:rPr>
        <w:t>为资产单独确认。确认的补偿金额不超过所确认负债的账面价值。</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37、股份支付" w:id="216"/>
      <w:bookmarkEnd w:id="216"/>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left="580" w:right="4202"/>
        <w:jc w:val="left"/>
      </w:pPr>
      <w:r>
        <w:rPr/>
        <w:t>（</w:t>
      </w:r>
      <w:r>
        <w:rPr>
          <w:rFonts w:ascii="Times New Roman" w:hAnsi="Times New Roman" w:cs="Times New Roman" w:eastAsia="Times New Roman" w:hint="default"/>
        </w:rPr>
        <w:t>1</w:t>
      </w:r>
      <w:r>
        <w:rPr/>
        <w:t>）股份支付的种类</w:t>
      </w:r>
      <w:r>
        <w:rPr>
          <w:spacing w:val="-88"/>
        </w:rPr>
        <w:t> </w:t>
      </w:r>
      <w:r>
        <w:rPr>
          <w:spacing w:val="-88"/>
        </w:rPr>
      </w:r>
      <w:r>
        <w:rPr>
          <w:spacing w:val="-3"/>
        </w:rPr>
        <w:t>本公司股份支付分为以权益结算的股份支付和以现金结算的股份支付。</w:t>
      </w:r>
    </w:p>
    <w:p>
      <w:pPr>
        <w:pStyle w:val="BodyText"/>
        <w:spacing w:line="333" w:lineRule="auto" w:before="38"/>
        <w:ind w:left="580" w:right="0"/>
        <w:jc w:val="left"/>
      </w:pPr>
      <w:r>
        <w:rPr>
          <w:spacing w:val="-3"/>
        </w:rPr>
        <w:t>（</w:t>
      </w:r>
      <w:r>
        <w:rPr>
          <w:rFonts w:ascii="Times New Roman" w:hAnsi="Times New Roman" w:cs="Times New Roman" w:eastAsia="Times New Roman" w:hint="default"/>
          <w:spacing w:val="-3"/>
        </w:rPr>
        <w:t>2</w:t>
      </w:r>
      <w:r>
        <w:rPr>
          <w:spacing w:val="-3"/>
        </w:rPr>
        <w:t>）权益工具公允价值的确定方法</w:t>
      </w:r>
      <w:r>
        <w:rPr>
          <w:spacing w:val="-40"/>
        </w:rPr>
        <w:t> </w:t>
      </w:r>
      <w:r>
        <w:rPr>
          <w:spacing w:val="-40"/>
        </w:rPr>
      </w:r>
      <w:r>
        <w:rPr>
          <w:spacing w:val="-2"/>
        </w:rPr>
        <w:t>本公司对于授予的存在活跃市场的期权等权益工具，按照活跃市场中的报价确定其公允价值。对于授予的不存在活跃</w:t>
      </w:r>
    </w:p>
    <w:p>
      <w:pPr>
        <w:pStyle w:val="BodyText"/>
        <w:spacing w:line="240" w:lineRule="auto" w:before="11"/>
        <w:ind w:right="0"/>
        <w:jc w:val="left"/>
      </w:pPr>
      <w:r>
        <w:rPr>
          <w:spacing w:val="-3"/>
        </w:rPr>
        <w:t>市场的期权等权益工具，采用期权定价模型等确定其公允价值。</w:t>
      </w:r>
    </w:p>
    <w:p>
      <w:pPr>
        <w:pStyle w:val="BodyText"/>
        <w:spacing w:line="333" w:lineRule="auto" w:before="119"/>
        <w:ind w:left="580" w:right="0"/>
        <w:jc w:val="left"/>
      </w:pPr>
      <w:r>
        <w:rPr>
          <w:spacing w:val="-3"/>
        </w:rPr>
        <w:t>（</w:t>
      </w:r>
      <w:r>
        <w:rPr>
          <w:rFonts w:ascii="Times New Roman" w:hAnsi="Times New Roman" w:cs="Times New Roman" w:eastAsia="Times New Roman" w:hint="default"/>
          <w:spacing w:val="-3"/>
        </w:rPr>
        <w:t>3</w:t>
      </w:r>
      <w:r>
        <w:rPr>
          <w:spacing w:val="-3"/>
        </w:rPr>
        <w:t>）确认可行权权益工具最佳估计的依据</w:t>
      </w:r>
      <w:r>
        <w:rPr>
          <w:spacing w:val="-29"/>
        </w:rPr>
        <w:t> </w:t>
      </w:r>
      <w:r>
        <w:rPr>
          <w:spacing w:val="-29"/>
        </w:rPr>
      </w:r>
      <w:r>
        <w:rPr>
          <w:spacing w:val="-2"/>
        </w:rPr>
        <w:t>等待期内每个资产负债表日，本公司根据最新取得的可行权职工人数变动等后续信息作出最佳估计，修正预计可行权</w:t>
      </w:r>
    </w:p>
    <w:p>
      <w:pPr>
        <w:pStyle w:val="BodyText"/>
        <w:spacing w:line="240" w:lineRule="auto" w:before="11"/>
        <w:ind w:right="0"/>
        <w:jc w:val="left"/>
      </w:pPr>
      <w:r>
        <w:rPr>
          <w:spacing w:val="-3"/>
        </w:rPr>
        <w:t>的权益工具数量。在可行权日，最终预计可行权权益工具的数量应当与实际可行权数量一致。</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8、优先股、永续债等其他金融工具" w:id="217"/>
      <w:bookmarkEnd w:id="217"/>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1"/>
        <w:rPr>
          <w:rFonts w:ascii="宋体" w:hAnsi="宋体" w:cs="宋体" w:eastAsia="宋体" w:hint="default"/>
          <w:b/>
          <w:bCs/>
          <w:sz w:val="27"/>
          <w:szCs w:val="27"/>
        </w:rPr>
      </w:pPr>
    </w:p>
    <w:p>
      <w:pPr>
        <w:pStyle w:val="BodyText"/>
        <w:spacing w:line="343" w:lineRule="auto"/>
        <w:ind w:left="580" w:right="2648"/>
        <w:jc w:val="left"/>
      </w:pPr>
      <w:r>
        <w:rPr>
          <w:spacing w:val="-3"/>
        </w:rPr>
        <w:t>（</w:t>
      </w:r>
      <w:r>
        <w:rPr>
          <w:rFonts w:ascii="Times New Roman" w:hAnsi="Times New Roman" w:cs="Times New Roman" w:eastAsia="Times New Roman" w:hint="default"/>
          <w:spacing w:val="-3"/>
        </w:rPr>
        <w:t>1</w:t>
      </w:r>
      <w:r>
        <w:rPr>
          <w:spacing w:val="-3"/>
        </w:rPr>
        <w:t>）永续债和优先股等的区分</w:t>
      </w:r>
      <w:r>
        <w:rPr>
          <w:spacing w:val="-46"/>
        </w:rPr>
        <w:t> </w:t>
      </w:r>
      <w:r>
        <w:rPr>
          <w:spacing w:val="-46"/>
        </w:rPr>
      </w:r>
      <w:r>
        <w:rPr>
          <w:spacing w:val="-3"/>
        </w:rPr>
        <w:t>本公司发行的永续债和优先股等金融工具，同时符合以下条件的，作为权益工具：</w:t>
      </w:r>
    </w:p>
    <w:p>
      <w:pPr>
        <w:pStyle w:val="BodyText"/>
        <w:spacing w:line="321" w:lineRule="auto" w:before="33"/>
        <w:ind w:right="1124" w:firstLine="427"/>
        <w:jc w:val="both"/>
      </w:pPr>
      <w:r>
        <w:rPr>
          <w:spacing w:val="-2"/>
        </w:rPr>
        <w:t>①该金融工具不包括交付现金或其他金融资产给其他方，或在潜在不利条件下与其他方交换金融资产或金融负债的合</w:t>
      </w:r>
      <w:r>
        <w:rPr>
          <w:w w:val="101"/>
        </w:rPr>
        <w:t> </w:t>
      </w:r>
      <w:r>
        <w:rPr/>
        <w:t>同义务；</w:t>
      </w:r>
    </w:p>
    <w:p>
      <w:pPr>
        <w:pStyle w:val="BodyText"/>
        <w:spacing w:line="319" w:lineRule="auto" w:before="49"/>
        <w:ind w:right="1124" w:firstLine="427"/>
        <w:jc w:val="both"/>
      </w:pPr>
      <w:r>
        <w:rPr>
          <w:spacing w:val="-2"/>
        </w:rPr>
        <w:t>②如将来须用或可用企业自身权益工具结算该金融工具的，如该金融工具为非衍生工具，则不包括交付可变数量的自</w:t>
      </w:r>
      <w:r>
        <w:rPr>
          <w:w w:val="101"/>
        </w:rPr>
        <w:t> </w:t>
      </w:r>
      <w:r>
        <w:rPr>
          <w:spacing w:val="-4"/>
        </w:rPr>
        <w:t>身权益工具进行结算的合同义务；如为衍生工具，则本公司只能通过以固定数量的自身权益工具交换固定金额的现金或其他</w:t>
      </w:r>
      <w:r>
        <w:rPr>
          <w:spacing w:val="39"/>
        </w:rPr>
        <w:t> </w:t>
      </w:r>
      <w:r>
        <w:rPr>
          <w:spacing w:val="39"/>
        </w:rPr>
      </w:r>
      <w:r>
        <w:rPr>
          <w:spacing w:val="-3"/>
        </w:rPr>
        <w:t>金融资产结算该金融工具。</w:t>
      </w:r>
    </w:p>
    <w:p>
      <w:pPr>
        <w:pStyle w:val="BodyText"/>
        <w:spacing w:line="352" w:lineRule="auto" w:before="61"/>
        <w:ind w:left="580" w:right="0"/>
        <w:jc w:val="left"/>
      </w:pPr>
      <w:r>
        <w:rPr>
          <w:spacing w:val="-3"/>
        </w:rPr>
        <w:t>除按上述条件可归类为权益工具的金融工具以外，本公司发行的其他金融工具应归类为金融负债。</w:t>
      </w:r>
      <w:r>
        <w:rPr>
          <w:spacing w:val="37"/>
        </w:rPr>
        <w:t> </w:t>
      </w:r>
      <w:r>
        <w:rPr>
          <w:spacing w:val="37"/>
        </w:rPr>
      </w:r>
      <w:r>
        <w:rPr>
          <w:spacing w:val="-2"/>
        </w:rPr>
        <w:t>本公司发行的金融工具为复合金融工具的，按照负债成分的公允价值确认为一项负债，按实际收到的金额扣除负债成</w:t>
      </w:r>
    </w:p>
    <w:p>
      <w:pPr>
        <w:pStyle w:val="BodyText"/>
        <w:spacing w:line="304" w:lineRule="auto"/>
        <w:ind w:right="0"/>
        <w:jc w:val="left"/>
      </w:pPr>
      <w:r>
        <w:rPr>
          <w:spacing w:val="-4"/>
        </w:rPr>
        <w:t>分的公允价值后的金额，确认为</w:t>
      </w:r>
      <w:r>
        <w:rPr>
          <w:rFonts w:ascii="Times New Roman" w:hAnsi="Times New Roman" w:cs="Times New Roman" w:eastAsia="Times New Roman" w:hint="default"/>
          <w:spacing w:val="-4"/>
        </w:rPr>
        <w:t>“</w:t>
      </w:r>
      <w:r>
        <w:rPr>
          <w:spacing w:val="-4"/>
        </w:rPr>
        <w:t>其他权益工具</w:t>
      </w:r>
      <w:r>
        <w:rPr>
          <w:rFonts w:ascii="Times New Roman" w:hAnsi="Times New Roman" w:cs="Times New Roman" w:eastAsia="Times New Roman" w:hint="default"/>
          <w:spacing w:val="-4"/>
        </w:rPr>
        <w:t>”</w:t>
      </w:r>
      <w:r>
        <w:rPr>
          <w:spacing w:val="-4"/>
        </w:rPr>
        <w:t>。发行复合金融工具发生的交易费用，在负债成分和权益成分之间按照各自</w:t>
      </w:r>
      <w:r>
        <w:rPr>
          <w:spacing w:val="64"/>
        </w:rPr>
        <w:t> </w:t>
      </w:r>
      <w:r>
        <w:rPr>
          <w:spacing w:val="64"/>
        </w:rPr>
      </w:r>
      <w:r>
        <w:rPr>
          <w:spacing w:val="-3"/>
        </w:rPr>
        <w:t>占总发行价款的比例进行分摊。</w:t>
      </w:r>
    </w:p>
    <w:p>
      <w:pPr>
        <w:pStyle w:val="BodyText"/>
        <w:spacing w:line="338" w:lineRule="auto" w:before="66"/>
        <w:ind w:left="580" w:right="0"/>
        <w:jc w:val="left"/>
      </w:pPr>
      <w:r>
        <w:rPr>
          <w:spacing w:val="-3"/>
        </w:rPr>
        <w:t>（</w:t>
      </w:r>
      <w:r>
        <w:rPr>
          <w:rFonts w:ascii="Times New Roman" w:hAnsi="Times New Roman" w:cs="Times New Roman" w:eastAsia="Times New Roman" w:hint="default"/>
          <w:spacing w:val="-3"/>
        </w:rPr>
        <w:t>2</w:t>
      </w:r>
      <w:r>
        <w:rPr>
          <w:spacing w:val="-3"/>
        </w:rPr>
        <w:t>）永续债和优先股等的会计处理方法</w:t>
      </w:r>
      <w:r>
        <w:rPr>
          <w:spacing w:val="-34"/>
        </w:rPr>
        <w:t> </w:t>
      </w:r>
      <w:r>
        <w:rPr>
          <w:spacing w:val="-34"/>
        </w:rPr>
      </w:r>
      <w:r>
        <w:rPr>
          <w:spacing w:val="-2"/>
        </w:rPr>
        <w:t>归类为金融负债的永续债和优先股等金融工具，其相关利息、股利（或股息）、利得或损失，以及赎回或再融资产生</w:t>
      </w:r>
    </w:p>
    <w:p>
      <w:pPr>
        <w:pStyle w:val="BodyText"/>
        <w:spacing w:line="333" w:lineRule="auto" w:before="7"/>
        <w:ind w:left="580" w:right="0" w:hanging="428"/>
        <w:jc w:val="left"/>
      </w:pPr>
      <w:r>
        <w:rPr>
          <w:spacing w:val="-3"/>
        </w:rPr>
        <w:t>的利得或损失等，除符合资本化条件的借款费用（参见本附注四</w:t>
      </w:r>
      <w:r>
        <w:rPr>
          <w:rFonts w:ascii="Times New Roman" w:hAnsi="Times New Roman" w:cs="Times New Roman" w:eastAsia="Times New Roman" w:hint="default"/>
          <w:spacing w:val="-3"/>
        </w:rPr>
        <w:t>“</w:t>
      </w:r>
      <w:r>
        <w:rPr>
          <w:spacing w:val="-3"/>
        </w:rPr>
        <w:t>借款费用</w:t>
      </w:r>
      <w:r>
        <w:rPr>
          <w:rFonts w:ascii="Times New Roman" w:hAnsi="Times New Roman" w:cs="Times New Roman" w:eastAsia="Times New Roman" w:hint="default"/>
          <w:spacing w:val="-3"/>
        </w:rPr>
        <w:t>”</w:t>
      </w:r>
      <w:r>
        <w:rPr>
          <w:spacing w:val="-3"/>
        </w:rPr>
        <w:t>）以外，均计入当期损益。</w:t>
      </w:r>
      <w:r>
        <w:rPr>
          <w:spacing w:val="46"/>
        </w:rPr>
        <w:t> </w:t>
      </w:r>
      <w:r>
        <w:rPr>
          <w:spacing w:val="46"/>
        </w:rPr>
      </w:r>
      <w:r>
        <w:rPr>
          <w:spacing w:val="-2"/>
        </w:rPr>
        <w:t>归类为权益工具的永续债和优先股等金融工具，其发行（含再融资）、回购、出售或注销时，本公司作为权益的变动</w:t>
      </w:r>
    </w:p>
    <w:p>
      <w:pPr>
        <w:pStyle w:val="BodyText"/>
        <w:spacing w:line="357" w:lineRule="auto" w:before="11"/>
        <w:ind w:left="580" w:right="2648" w:hanging="428"/>
        <w:jc w:val="left"/>
      </w:pPr>
      <w:r>
        <w:rPr>
          <w:spacing w:val="-3"/>
        </w:rPr>
        <w:t>处理，相关交易费用亦从权益中扣减。本公司对权益工具持有方的分配作为利润分配处理。</w:t>
      </w:r>
      <w:r>
        <w:rPr>
          <w:spacing w:val="25"/>
        </w:rPr>
        <w:t> </w:t>
      </w:r>
      <w:r>
        <w:rPr>
          <w:spacing w:val="25"/>
        </w:rPr>
      </w:r>
      <w:r>
        <w:rPr>
          <w:spacing w:val="-3"/>
        </w:rPr>
        <w:t>本公司不确认权益工具的公允价值变动。</w:t>
      </w:r>
    </w:p>
    <w:p>
      <w:pPr>
        <w:spacing w:after="0" w:line="357"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39、收入" w:id="218"/>
      <w:bookmarkEnd w:id="218"/>
      <w:r>
        <w:rPr>
          <w:b w:val="0"/>
          <w:bCs w:val="0"/>
        </w:rPr>
      </w:r>
      <w:r>
        <w:rPr>
          <w:rFonts w:ascii="Times New Roman" w:hAnsi="Times New Roman" w:cs="Times New Roman" w:eastAsia="Times New Roman" w:hint="default"/>
        </w:rPr>
        <w:t>39</w:t>
      </w:r>
      <w:r>
        <w:rPr/>
        <w:t>、收入</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338" w:lineRule="auto" w:before="115"/>
        <w:ind w:right="7684"/>
        <w:jc w:val="left"/>
      </w:pP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是</w:t>
      </w:r>
      <w:r>
        <w:rPr>
          <w:spacing w:val="-4"/>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否</w:t>
      </w:r>
      <w:r>
        <w:rPr>
          <w:spacing w:val="-84"/>
        </w:rPr>
        <w:t> </w:t>
      </w:r>
      <w:r>
        <w:rPr>
          <w:spacing w:val="-3"/>
        </w:rPr>
        <w:t>收入确认和计量所采用的会计政策</w:t>
      </w:r>
    </w:p>
    <w:p>
      <w:pPr>
        <w:pStyle w:val="BodyText"/>
        <w:spacing w:line="333" w:lineRule="auto" w:before="46"/>
        <w:ind w:left="580" w:right="1037"/>
        <w:jc w:val="left"/>
      </w:pPr>
      <w:r>
        <w:rPr/>
        <w:t>（</w:t>
      </w:r>
      <w:r>
        <w:rPr>
          <w:rFonts w:ascii="Times New Roman" w:hAnsi="Times New Roman" w:cs="Times New Roman" w:eastAsia="Times New Roman" w:hint="default"/>
        </w:rPr>
        <w:t>1</w:t>
      </w:r>
      <w:r>
        <w:rPr/>
        <w:t>）销售商品</w:t>
      </w:r>
      <w:r>
        <w:rPr>
          <w:spacing w:val="-85"/>
        </w:rPr>
        <w:t> </w:t>
      </w:r>
      <w:r>
        <w:rPr>
          <w:spacing w:val="-85"/>
        </w:rPr>
      </w:r>
      <w:r>
        <w:rPr>
          <w:spacing w:val="-2"/>
        </w:rPr>
        <w:t>本公司主要销售产品为环网柜、柱上开关（户外开关）、箱式变电站、电缆附件、变压器、其他开关类等。在销售合</w:t>
      </w:r>
    </w:p>
    <w:p>
      <w:pPr>
        <w:pStyle w:val="BodyText"/>
        <w:spacing w:line="321" w:lineRule="auto" w:before="6"/>
        <w:ind w:right="0"/>
        <w:jc w:val="left"/>
      </w:pPr>
      <w:r>
        <w:rPr>
          <w:spacing w:val="-4"/>
        </w:rPr>
        <w:t>同（订单）已经签订，相关产品已经发出交付客户，已将商品所有权上的主要风险和报酬转移给买方，既没有保留通常与所</w:t>
      </w:r>
      <w:r>
        <w:rPr>
          <w:spacing w:val="40"/>
        </w:rPr>
        <w:t> </w:t>
      </w:r>
      <w:r>
        <w:rPr>
          <w:spacing w:val="40"/>
        </w:rPr>
      </w:r>
      <w:r>
        <w:rPr>
          <w:spacing w:val="-6"/>
        </w:rPr>
        <w:t>有权相联系的继续管理权，也没有对已售商品实施有效控制，收入的金额能够可靠地计量，相关的经济利益很可能流入企业，</w:t>
      </w:r>
      <w:r>
        <w:rPr>
          <w:spacing w:val="64"/>
        </w:rPr>
        <w:t> </w:t>
      </w:r>
      <w:r>
        <w:rPr>
          <w:spacing w:val="64"/>
        </w:rPr>
      </w:r>
      <w:r>
        <w:rPr>
          <w:spacing w:val="-3"/>
        </w:rPr>
        <w:t>相关的已发生或将发生的成本能够可靠地计量时，确认商品销售收入的实现。</w:t>
      </w:r>
    </w:p>
    <w:p>
      <w:pPr>
        <w:pStyle w:val="BodyText"/>
        <w:spacing w:line="319" w:lineRule="auto" w:before="49"/>
        <w:ind w:right="1124" w:firstLine="427"/>
        <w:jc w:val="both"/>
      </w:pPr>
      <w:r>
        <w:rPr>
          <w:spacing w:val="-2"/>
        </w:rPr>
        <w:t>在具体业务中，本公司一般按合同约定的期限内，将产品运至买方指定地点，并安装测试、正常运行后确认收入，但</w:t>
      </w:r>
      <w:r>
        <w:rPr>
          <w:w w:val="101"/>
        </w:rPr>
        <w:t> </w:t>
      </w:r>
      <w:r>
        <w:rPr>
          <w:spacing w:val="-4"/>
        </w:rPr>
        <w:t>如果在合同中明确规定为到货后开箱验收合格后，可支付除质保金以外的全部货款，即以开箱验收合格后确认收入；其他小</w:t>
      </w:r>
      <w:r>
        <w:rPr>
          <w:spacing w:val="43"/>
        </w:rPr>
        <w:t> </w:t>
      </w:r>
      <w:r>
        <w:rPr>
          <w:spacing w:val="43"/>
        </w:rPr>
      </w:r>
      <w:r>
        <w:rPr>
          <w:spacing w:val="-3"/>
        </w:rPr>
        <w:t>型配件类产品（如指示器和电缆附件）单独销售时一般以客户收到产品并验收合格后即确认收入。</w:t>
      </w:r>
    </w:p>
    <w:p>
      <w:pPr>
        <w:pStyle w:val="BodyText"/>
        <w:spacing w:line="319" w:lineRule="auto" w:before="56"/>
        <w:ind w:right="1122" w:firstLine="427"/>
        <w:jc w:val="both"/>
      </w:pPr>
      <w:r>
        <w:rPr>
          <w:spacing w:val="-2"/>
        </w:rPr>
        <w:t>本公司之子公司湖南雅城主要销售产品为四氧化三钴、氢氧化亚钴、磷酸铁等。在具体业务中，国内销售业务一般按</w:t>
      </w:r>
      <w:r>
        <w:rPr>
          <w:w w:val="101"/>
        </w:rPr>
        <w:t> </w:t>
      </w:r>
      <w:r>
        <w:rPr>
          <w:spacing w:val="-4"/>
        </w:rPr>
        <w:t>合同约定的期限内，将产品运至买方指定地点，并验收合格后即确认收入；出口业务一般按与对方签的合同约定离岸价格结</w:t>
      </w:r>
      <w:r>
        <w:rPr>
          <w:spacing w:val="43"/>
        </w:rPr>
        <w:t> </w:t>
      </w:r>
      <w:r>
        <w:rPr>
          <w:spacing w:val="43"/>
        </w:rPr>
      </w:r>
      <w:r>
        <w:rPr>
          <w:spacing w:val="-3"/>
        </w:rPr>
        <w:t>算，货物由公司运送到指定港口，上船后即确认收入。</w:t>
      </w:r>
    </w:p>
    <w:p>
      <w:pPr>
        <w:pStyle w:val="BodyText"/>
        <w:spacing w:line="338" w:lineRule="auto" w:before="55"/>
        <w:ind w:left="580" w:right="2648"/>
        <w:jc w:val="left"/>
      </w:pPr>
      <w:r>
        <w:rPr/>
        <w:t>（</w:t>
      </w:r>
      <w:r>
        <w:rPr>
          <w:rFonts w:ascii="Times New Roman" w:hAnsi="Times New Roman" w:cs="Times New Roman" w:eastAsia="Times New Roman" w:hint="default"/>
        </w:rPr>
        <w:t>2</w:t>
      </w:r>
      <w:r>
        <w:rPr/>
        <w:t>）提供劳务</w:t>
      </w:r>
      <w:r>
        <w:rPr>
          <w:spacing w:val="-85"/>
        </w:rPr>
        <w:t> </w:t>
      </w:r>
      <w:r>
        <w:rPr>
          <w:spacing w:val="-85"/>
        </w:rPr>
      </w:r>
      <w:r>
        <w:rPr>
          <w:spacing w:val="-3"/>
        </w:rPr>
        <w:t>对在提供劳务交易的结果能够可靠估计的情况下，本公司在期末按完工百分比法确认收入。</w:t>
      </w:r>
    </w:p>
    <w:p>
      <w:pPr>
        <w:pStyle w:val="BodyText"/>
        <w:spacing w:line="321" w:lineRule="auto" w:before="41"/>
        <w:ind w:right="1124" w:firstLine="427"/>
        <w:jc w:val="both"/>
      </w:pPr>
      <w:r>
        <w:rPr>
          <w:spacing w:val="-2"/>
        </w:rPr>
        <w:t>如果提供劳务交易的结果不能够可靠估计，则按已经发生并预计能够得到补偿的劳务成本金额确认提供的劳务收入，</w:t>
      </w:r>
      <w:r>
        <w:rPr>
          <w:w w:val="101"/>
        </w:rPr>
        <w:t> </w:t>
      </w:r>
      <w:r>
        <w:rPr>
          <w:spacing w:val="-3"/>
        </w:rPr>
        <w:t>并将已发生的劳务成本作为当期费用。已经发生的劳务成本如预计不能得到补偿的，则不确认收入。</w:t>
      </w:r>
    </w:p>
    <w:p>
      <w:pPr>
        <w:pStyle w:val="BodyText"/>
        <w:spacing w:line="319" w:lineRule="auto" w:before="49"/>
        <w:ind w:right="1123" w:firstLine="427"/>
        <w:jc w:val="both"/>
      </w:pPr>
      <w:r>
        <w:rPr>
          <w:spacing w:val="-2"/>
        </w:rPr>
        <w:t>本公司与其他企业签订的合同或协议包括销售商品和提供劳务时，如销售商品部分和提供劳务部分能够区分并单独计</w:t>
      </w:r>
      <w:r>
        <w:rPr>
          <w:w w:val="101"/>
        </w:rPr>
        <w:t> </w:t>
      </w:r>
      <w:r>
        <w:rPr>
          <w:spacing w:val="-4"/>
        </w:rPr>
        <w:t>量的，将销售商品部分和提供劳务部分分别处理；如销售商品部分和提供劳务部分不能够区分，或虽能区分但不能够单独计</w:t>
      </w:r>
      <w:r>
        <w:rPr>
          <w:spacing w:val="43"/>
        </w:rPr>
        <w:t> </w:t>
      </w:r>
      <w:r>
        <w:rPr>
          <w:spacing w:val="43"/>
        </w:rPr>
      </w:r>
      <w:r>
        <w:rPr>
          <w:spacing w:val="-3"/>
        </w:rPr>
        <w:t>量的，将该合同全部作为销售商品处理。</w:t>
      </w:r>
    </w:p>
    <w:p>
      <w:pPr>
        <w:pStyle w:val="BodyText"/>
        <w:spacing w:line="343" w:lineRule="auto" w:before="56"/>
        <w:ind w:left="580" w:right="2648"/>
        <w:jc w:val="left"/>
      </w:pPr>
      <w:r>
        <w:rPr/>
        <w:t>（</w:t>
      </w:r>
      <w:r>
        <w:rPr>
          <w:rFonts w:ascii="Times New Roman" w:hAnsi="Times New Roman" w:cs="Times New Roman" w:eastAsia="Times New Roman" w:hint="default"/>
        </w:rPr>
        <w:t>3</w:t>
      </w:r>
      <w:r>
        <w:rPr/>
        <w:t>）让渡资产使用权</w:t>
      </w:r>
      <w:r>
        <w:rPr>
          <w:spacing w:val="-88"/>
        </w:rPr>
        <w:t> </w:t>
      </w:r>
      <w:r>
        <w:rPr>
          <w:spacing w:val="-88"/>
        </w:rPr>
      </w:r>
      <w:r>
        <w:rPr>
          <w:spacing w:val="-3"/>
        </w:rPr>
        <w:t>与资产使用权让渡相关的经济利益能够流入及收入的金额能够可靠地计量时，本公司确认收入。</w:t>
      </w:r>
    </w:p>
    <w:p>
      <w:pPr>
        <w:pStyle w:val="BodyText"/>
        <w:spacing w:line="333" w:lineRule="auto" w:before="37"/>
        <w:ind w:left="580" w:right="1037"/>
        <w:jc w:val="left"/>
      </w:pPr>
      <w:r>
        <w:rPr/>
        <w:t>（</w:t>
      </w:r>
      <w:r>
        <w:rPr>
          <w:rFonts w:ascii="Times New Roman" w:hAnsi="Times New Roman" w:cs="Times New Roman" w:eastAsia="Times New Roman" w:hint="default"/>
        </w:rPr>
        <w:t>4</w:t>
      </w:r>
      <w:r>
        <w:rPr/>
        <w:t>）建造合同</w:t>
      </w:r>
      <w:r>
        <w:rPr>
          <w:spacing w:val="-85"/>
        </w:rPr>
        <w:t> </w:t>
      </w:r>
      <w:r>
        <w:rPr>
          <w:spacing w:val="-85"/>
        </w:rPr>
      </w:r>
      <w:r>
        <w:rPr>
          <w:spacing w:val="-2"/>
        </w:rPr>
        <w:t>在资产负债表日，建造合同的结果能够可靠估计的，根据完工百分比法确认合同收入和费用。完工百分比法，是指根</w:t>
      </w:r>
    </w:p>
    <w:p>
      <w:pPr>
        <w:pStyle w:val="BodyText"/>
        <w:spacing w:line="324" w:lineRule="auto" w:before="6"/>
        <w:ind w:right="1117"/>
        <w:jc w:val="left"/>
      </w:pPr>
      <w:r>
        <w:rPr>
          <w:spacing w:val="-4"/>
          <w:w w:val="101"/>
        </w:rPr>
        <w:t>据合同完工进度确认收入与费用的方法。采用累计实际发生的合同成本占合同预计总成本的比例确定合同完工进度根据累计</w:t>
      </w:r>
      <w:r>
        <w:rPr>
          <w:w w:val="101"/>
        </w:rPr>
        <w:t> </w:t>
      </w:r>
      <w:r>
        <w:rPr>
          <w:spacing w:val="-3"/>
        </w:rPr>
        <w:t>实际发生的合同成本占合同预计总成本的比例确定。</w:t>
      </w:r>
    </w:p>
    <w:p>
      <w:pPr>
        <w:pStyle w:val="BodyText"/>
        <w:spacing w:line="240" w:lineRule="auto" w:before="56"/>
        <w:ind w:left="580" w:right="0"/>
        <w:jc w:val="left"/>
      </w:pPr>
      <w:r>
        <w:rPr>
          <w:spacing w:val="-3"/>
        </w:rPr>
        <w:t>固定造价合同的结果能够可靠估计确定依据为：</w:t>
      </w:r>
    </w:p>
    <w:p>
      <w:pPr>
        <w:pStyle w:val="BodyText"/>
        <w:spacing w:line="240" w:lineRule="auto" w:before="115"/>
        <w:ind w:left="580" w:right="0"/>
        <w:jc w:val="left"/>
      </w:pPr>
      <w:r>
        <w:rPr>
          <w:spacing w:val="-3"/>
        </w:rPr>
        <w:t>①合同总收入能够可靠地计量；</w:t>
      </w:r>
    </w:p>
    <w:p>
      <w:pPr>
        <w:pStyle w:val="BodyText"/>
        <w:spacing w:line="240" w:lineRule="auto" w:before="115"/>
        <w:ind w:left="580" w:right="0"/>
        <w:jc w:val="left"/>
      </w:pPr>
      <w:r>
        <w:rPr>
          <w:spacing w:val="-3"/>
        </w:rPr>
        <w:t>②与合同相关的经济利益很可能流入本公司；</w:t>
      </w:r>
    </w:p>
    <w:p>
      <w:pPr>
        <w:pStyle w:val="BodyText"/>
        <w:spacing w:line="240" w:lineRule="auto" w:before="119"/>
        <w:ind w:left="580" w:right="0"/>
        <w:jc w:val="left"/>
      </w:pPr>
      <w:r>
        <w:rPr>
          <w:spacing w:val="-3"/>
        </w:rPr>
        <w:t>③实际发生的合同成本能够清楚地区分和可靠地计量；</w:t>
      </w:r>
    </w:p>
    <w:p>
      <w:pPr>
        <w:pStyle w:val="BodyText"/>
        <w:spacing w:line="357" w:lineRule="auto" w:before="115"/>
        <w:ind w:left="580" w:right="4202"/>
        <w:jc w:val="left"/>
      </w:pPr>
      <w:r>
        <w:rPr>
          <w:spacing w:val="-3"/>
        </w:rPr>
        <w:t>④合同完工进度和为完成合同尚需发生的成本能够可靠地确定。</w:t>
      </w:r>
      <w:r>
        <w:rPr>
          <w:spacing w:val="-9"/>
        </w:rPr>
        <w:t> </w:t>
      </w:r>
      <w:r>
        <w:rPr>
          <w:spacing w:val="-9"/>
        </w:rPr>
      </w:r>
      <w:r>
        <w:rPr>
          <w:spacing w:val="-3"/>
        </w:rPr>
        <w:t>成本加成合同的结果能够可靠估计，确定依据为：</w:t>
      </w:r>
      <w:r>
        <w:rPr>
          <w:spacing w:val="-22"/>
        </w:rPr>
        <w:t> </w:t>
      </w:r>
      <w:r>
        <w:rPr>
          <w:spacing w:val="-22"/>
        </w:rPr>
      </w:r>
      <w:r>
        <w:rPr>
          <w:spacing w:val="-3"/>
        </w:rPr>
        <w:t>与合同相关的经济利益很可能流入本公司；</w:t>
      </w:r>
      <w:r>
        <w:rPr>
          <w:spacing w:val="-33"/>
        </w:rPr>
        <w:t> </w:t>
      </w:r>
      <w:r>
        <w:rPr>
          <w:spacing w:val="-33"/>
        </w:rPr>
      </w:r>
      <w:r>
        <w:rPr>
          <w:spacing w:val="-3"/>
        </w:rPr>
        <w:t>实际发生的合同成本能够清楚地区分和可靠地计量。</w:t>
      </w:r>
      <w:r>
        <w:rPr>
          <w:spacing w:val="-21"/>
        </w:rPr>
        <w:t> </w:t>
      </w:r>
      <w:r>
        <w:rPr>
          <w:spacing w:val="-21"/>
        </w:rPr>
      </w:r>
      <w:r>
        <w:rPr>
          <w:spacing w:val="-3"/>
        </w:rPr>
        <w:t>建造合同的结果不能可靠估计的，分别情况进行处理：</w:t>
      </w:r>
    </w:p>
    <w:p>
      <w:pPr>
        <w:pStyle w:val="BodyText"/>
        <w:spacing w:line="240" w:lineRule="auto" w:before="32"/>
        <w:ind w:left="580" w:right="0"/>
        <w:jc w:val="left"/>
      </w:pPr>
      <w:r>
        <w:rPr>
          <w:spacing w:val="-4"/>
        </w:rPr>
        <w:t>①合同成本能够收回的，合同收入根据能够收回的实际合同成本予以确认，合同成本在其发生的当期确认为合同费用；</w:t>
      </w:r>
    </w:p>
    <w:p>
      <w:pPr>
        <w:pStyle w:val="BodyText"/>
        <w:spacing w:line="357" w:lineRule="auto" w:before="115"/>
        <w:ind w:left="580" w:right="0"/>
        <w:jc w:val="left"/>
      </w:pPr>
      <w:r>
        <w:rPr>
          <w:spacing w:val="-3"/>
        </w:rPr>
        <w:t>②合同成本不可能收回的，在发生时立即确认为合同费用，不确认合同收入。</w:t>
      </w:r>
      <w:r>
        <w:rPr>
          <w:spacing w:val="8"/>
        </w:rPr>
        <w:t> </w:t>
      </w:r>
      <w:r>
        <w:rPr>
          <w:spacing w:val="8"/>
        </w:rPr>
      </w:r>
      <w:r>
        <w:rPr>
          <w:spacing w:val="-3"/>
        </w:rPr>
        <w:t>同类业务采用不同经营模式导致收入确认会计政策存在差异的情况。</w:t>
      </w:r>
    </w:p>
    <w:p>
      <w:pPr>
        <w:spacing w:after="0" w:line="357"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357" w:lineRule="auto" w:before="46"/>
        <w:ind w:right="5118"/>
        <w:jc w:val="left"/>
      </w:pPr>
      <w:r>
        <w:rPr>
          <w:spacing w:val="-3"/>
        </w:rPr>
        <w:t>同类业务采用不同经营模式导致收入确认会计政策存在差异的情况</w:t>
      </w:r>
      <w:r>
        <w:rPr>
          <w:spacing w:val="-4"/>
        </w:rPr>
        <w:t> </w:t>
      </w:r>
      <w:r>
        <w:rPr>
          <w:spacing w:val="-4"/>
        </w:rPr>
      </w:r>
      <w:r>
        <w:rPr/>
        <w:t>不适用</w:t>
      </w:r>
    </w:p>
    <w:p>
      <w:pPr>
        <w:spacing w:line="240" w:lineRule="auto" w:before="12"/>
        <w:rPr>
          <w:rFonts w:ascii="宋体" w:hAnsi="宋体" w:cs="宋体" w:eastAsia="宋体" w:hint="default"/>
          <w:sz w:val="19"/>
          <w:szCs w:val="19"/>
        </w:rPr>
      </w:pPr>
    </w:p>
    <w:p>
      <w:pPr>
        <w:pStyle w:val="Heading3"/>
        <w:spacing w:line="240" w:lineRule="auto"/>
        <w:ind w:right="0"/>
        <w:jc w:val="left"/>
        <w:rPr>
          <w:b w:val="0"/>
          <w:bCs w:val="0"/>
        </w:rPr>
      </w:pPr>
      <w:bookmarkStart w:name="40、政府补助" w:id="219"/>
      <w:bookmarkEnd w:id="219"/>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3" w:firstLine="427"/>
        <w:jc w:val="both"/>
      </w:pPr>
      <w:r>
        <w:rPr>
          <w:spacing w:val="-2"/>
        </w:rPr>
        <w:t>政府补助是指本公司从政府无偿取得货币性资产或非货币性资产，不包括政府以投资者身份并享有相应所有者权益而</w:t>
      </w:r>
      <w:r>
        <w:rPr>
          <w:w w:val="101"/>
        </w:rPr>
        <w:t> </w:t>
      </w:r>
      <w:r>
        <w:rPr>
          <w:spacing w:val="-4"/>
        </w:rPr>
        <w:t>投入的资本。政府补助分为与资产相关的政府补助和与收益相关的政府补助。政府补助为货币性资产的，按照收到或应收的</w:t>
      </w:r>
      <w:r>
        <w:rPr>
          <w:spacing w:val="43"/>
        </w:rPr>
        <w:t> </w:t>
      </w:r>
      <w:r>
        <w:rPr>
          <w:spacing w:val="43"/>
        </w:rPr>
      </w:r>
      <w:r>
        <w:rPr>
          <w:spacing w:val="-4"/>
        </w:rPr>
        <w:t>金额计量。政府补助为非货币性资产的，应当按照公允价值计量；公允价值不能可靠取得的，按照名义金额计量。按照名义</w:t>
      </w:r>
      <w:r>
        <w:rPr>
          <w:spacing w:val="40"/>
        </w:rPr>
        <w:t> </w:t>
      </w:r>
      <w:r>
        <w:rPr>
          <w:spacing w:val="40"/>
        </w:rPr>
      </w:r>
      <w:r>
        <w:rPr>
          <w:spacing w:val="-3"/>
        </w:rPr>
        <w:t>金额计量的政府补助，直接计入当期损益。</w:t>
      </w:r>
    </w:p>
    <w:p>
      <w:pPr>
        <w:pStyle w:val="BodyText"/>
        <w:spacing w:line="319" w:lineRule="auto" w:before="51"/>
        <w:ind w:right="0" w:firstLine="427"/>
        <w:jc w:val="left"/>
      </w:pPr>
      <w:r>
        <w:rPr>
          <w:spacing w:val="-2"/>
        </w:rPr>
        <w:t>与资产相关的政府补助，确认为递延收益，在相关资产使用寿命内按照合理、系统的方法分期计入损益，相关资产在</w:t>
      </w:r>
      <w:r>
        <w:rPr>
          <w:w w:val="101"/>
        </w:rPr>
        <w:t> </w:t>
      </w:r>
      <w:r>
        <w:rPr>
          <w:spacing w:val="-4"/>
        </w:rPr>
        <w:t>使用寿命结束前被出售、转让、报废或发生毁损的，将尚未分配的相关递延收益余额转入资产处置当期的损益，已确认的政</w:t>
      </w:r>
      <w:r>
        <w:rPr>
          <w:spacing w:val="40"/>
        </w:rPr>
        <w:t> </w:t>
      </w:r>
      <w:r>
        <w:rPr>
          <w:spacing w:val="40"/>
        </w:rPr>
      </w:r>
      <w:r>
        <w:rPr>
          <w:spacing w:val="-4"/>
        </w:rPr>
        <w:t>府补助需要退回的，冲减相关递延收益账面余额，超出部分计入当期损益或冲减相关资产的账面价值，已确认的政府补助需</w:t>
      </w:r>
      <w:r>
        <w:rPr>
          <w:spacing w:val="43"/>
        </w:rPr>
        <w:t> </w:t>
      </w:r>
      <w:r>
        <w:rPr>
          <w:spacing w:val="43"/>
        </w:rPr>
      </w:r>
      <w:r>
        <w:rPr/>
        <w:t>要退回的，调整资产账面价值。</w:t>
      </w:r>
      <w:r>
        <w:rPr>
          <w:spacing w:val="-29"/>
        </w:rPr>
        <w:t> </w:t>
      </w:r>
      <w:r>
        <w:rPr/>
        <w:t>与收益相关的政府补助，用于补偿企业以后期间的相关成本费用或损失的，确认为递延收</w:t>
      </w:r>
      <w:r>
        <w:rPr>
          <w:spacing w:val="-52"/>
        </w:rPr>
        <w:t> </w:t>
      </w:r>
      <w:r>
        <w:rPr>
          <w:spacing w:val="-52"/>
        </w:rPr>
      </w:r>
      <w:r>
        <w:rPr>
          <w:spacing w:val="-3"/>
        </w:rPr>
        <w:t>益，并在确认相关成本费用或损失的期间，计入当期损益或冲减相关成本；用于补偿企业已发生的相关成本费用或损失的，</w:t>
      </w:r>
      <w:r>
        <w:rPr>
          <w:spacing w:val="66"/>
        </w:rPr>
        <w:t> </w:t>
      </w:r>
      <w:r>
        <w:rPr>
          <w:spacing w:val="66"/>
        </w:rPr>
      </w:r>
      <w:r>
        <w:rPr>
          <w:spacing w:val="-3"/>
        </w:rPr>
        <w:t>直接计入当期损益或冲减相关成本。</w:t>
      </w:r>
    </w:p>
    <w:p>
      <w:pPr>
        <w:pStyle w:val="BodyText"/>
        <w:spacing w:line="321" w:lineRule="auto" w:before="50"/>
        <w:ind w:right="1124" w:firstLine="427"/>
        <w:jc w:val="both"/>
      </w:pPr>
      <w:r>
        <w:rPr>
          <w:spacing w:val="-2"/>
        </w:rPr>
        <w:t>对于同时包含与资产相关部分和与收益相关部分的政府补助，区分不同部分分别进行会计处理；难以区分的，整体归</w:t>
      </w:r>
      <w:r>
        <w:rPr>
          <w:w w:val="101"/>
        </w:rPr>
        <w:t> </w:t>
      </w:r>
      <w:r>
        <w:rPr>
          <w:spacing w:val="-3"/>
        </w:rPr>
        <w:t>类为与收益相关的政府补助。</w:t>
      </w:r>
    </w:p>
    <w:p>
      <w:pPr>
        <w:pStyle w:val="BodyText"/>
        <w:spacing w:line="321" w:lineRule="auto" w:before="53"/>
        <w:ind w:right="1124" w:firstLine="427"/>
        <w:jc w:val="both"/>
      </w:pPr>
      <w:r>
        <w:rPr>
          <w:spacing w:val="-2"/>
        </w:rPr>
        <w:t>与公司日常活动相关的政府补助，按照经济业务实质，计入其他收益或冲减相关成本费用。与公司日常活动无关的政</w:t>
      </w:r>
      <w:r>
        <w:rPr>
          <w:w w:val="101"/>
        </w:rPr>
        <w:t> </w:t>
      </w:r>
      <w:r>
        <w:rPr>
          <w:spacing w:val="-3"/>
        </w:rPr>
        <w:t>府补助，计入营业外收支。</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41、递延所得税资产/递延所得税负债" w:id="220"/>
      <w:bookmarkEnd w:id="220"/>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6"/>
          <w:szCs w:val="26"/>
        </w:rPr>
      </w:pPr>
    </w:p>
    <w:p>
      <w:pPr>
        <w:pStyle w:val="BodyText"/>
        <w:spacing w:line="321" w:lineRule="auto"/>
        <w:ind w:right="1124" w:firstLine="427"/>
        <w:jc w:val="both"/>
      </w:pPr>
      <w:r>
        <w:rPr>
          <w:spacing w:val="-2"/>
        </w:rPr>
        <w:t>某些资产、负债项目的账面价值与其计税基础之间的差额，以及未作为资产和负债确认但按照税法规定可以确定其计</w:t>
      </w:r>
      <w:r>
        <w:rPr>
          <w:w w:val="101"/>
        </w:rPr>
        <w:t> </w:t>
      </w:r>
      <w:r>
        <w:rPr>
          <w:spacing w:val="-4"/>
          <w:w w:val="101"/>
        </w:rPr>
        <w:t>税基础的项目的账面价值与计税基础之间的差额产生的暂时性差异，采用资产负债表债务法确认递延所得税资产及递延所得</w:t>
      </w:r>
      <w:r>
        <w:rPr>
          <w:w w:val="101"/>
        </w:rPr>
        <w:t> </w:t>
      </w:r>
      <w:r>
        <w:rPr/>
        <w:t>税负债。</w:t>
      </w:r>
    </w:p>
    <w:p>
      <w:pPr>
        <w:pStyle w:val="BodyText"/>
        <w:spacing w:line="319" w:lineRule="auto" w:before="49"/>
        <w:ind w:right="1122" w:firstLine="427"/>
        <w:jc w:val="both"/>
      </w:pPr>
      <w:r>
        <w:rPr>
          <w:spacing w:val="-2"/>
        </w:rPr>
        <w:t>与商誉的初始确认有关，以及与既不是企业合并、发生时也不影响会计利润和应纳税所得额（或可抵扣亏损）的交易</w:t>
      </w:r>
      <w:r>
        <w:rPr>
          <w:w w:val="101"/>
        </w:rPr>
        <w:t> </w:t>
      </w:r>
      <w:r>
        <w:rPr>
          <w:spacing w:val="-4"/>
        </w:rPr>
        <w:t>中产生的资产或负债的初始确认有关的应纳税暂时性差异，不予确认有关的递延所得税负债。此外，对与子公司、联营企业</w:t>
      </w:r>
      <w:r>
        <w:rPr>
          <w:spacing w:val="40"/>
        </w:rPr>
        <w:t> </w:t>
      </w:r>
      <w:r>
        <w:rPr>
          <w:spacing w:val="40"/>
        </w:rPr>
      </w:r>
      <w:r>
        <w:rPr>
          <w:spacing w:val="-4"/>
        </w:rPr>
        <w:t>及合营企业投资相关的应纳税暂时性差异，如果本公司能够控制暂时性差异转回的时间，而且该暂时性差异在可预见的未来</w:t>
      </w:r>
      <w:r>
        <w:rPr>
          <w:spacing w:val="45"/>
        </w:rPr>
        <w:t> </w:t>
      </w:r>
      <w:r>
        <w:rPr>
          <w:spacing w:val="45"/>
        </w:rPr>
      </w:r>
      <w:r>
        <w:rPr>
          <w:spacing w:val="-4"/>
        </w:rPr>
        <w:t>很可能不会转回，也不予确认有关的递延所得税负债。除上述例外情况，本公司确认其他所有应纳税暂时性差异产生的递延</w:t>
      </w:r>
      <w:r>
        <w:rPr>
          <w:spacing w:val="43"/>
        </w:rPr>
        <w:t> </w:t>
      </w:r>
      <w:r>
        <w:rPr>
          <w:spacing w:val="43"/>
        </w:rPr>
      </w:r>
      <w:r>
        <w:rPr/>
        <w:t>所得税负债。</w:t>
      </w:r>
    </w:p>
    <w:p>
      <w:pPr>
        <w:pStyle w:val="BodyText"/>
        <w:spacing w:line="319" w:lineRule="auto" w:before="56"/>
        <w:ind w:right="1122" w:firstLine="427"/>
        <w:jc w:val="both"/>
      </w:pPr>
      <w:r>
        <w:rPr>
          <w:spacing w:val="-2"/>
        </w:rPr>
        <w:t>与既不是企业合并、发生时也不影响会计利润和应纳税所得额（或可抵扣亏损）的交易中产生的资产或负债的初始确</w:t>
      </w:r>
      <w:r>
        <w:rPr>
          <w:w w:val="101"/>
        </w:rPr>
        <w:t> </w:t>
      </w:r>
      <w:r>
        <w:rPr>
          <w:spacing w:val="-4"/>
        </w:rPr>
        <w:t>认有关的可抵扣暂时性差异，不予确认有关的递延所得税资产。此外，对与子公司、联营企业及合营企业投资相关的可抵扣</w:t>
      </w:r>
      <w:r>
        <w:rPr>
          <w:spacing w:val="40"/>
        </w:rPr>
        <w:t> </w:t>
      </w:r>
      <w:r>
        <w:rPr>
          <w:spacing w:val="40"/>
        </w:rPr>
      </w:r>
      <w:r>
        <w:rPr>
          <w:spacing w:val="-4"/>
        </w:rPr>
        <w:t>暂时性差异，如果暂时性差异在可预见的未来不是很可能转回，或者未来不是很可能获得用来抵扣可抵扣暂时性差异的应纳</w:t>
      </w:r>
      <w:r>
        <w:rPr>
          <w:spacing w:val="42"/>
        </w:rPr>
        <w:t> </w:t>
      </w:r>
      <w:r>
        <w:rPr>
          <w:spacing w:val="42"/>
        </w:rPr>
      </w:r>
      <w:r>
        <w:rPr>
          <w:spacing w:val="-4"/>
        </w:rPr>
        <w:t>税所得额，不予确认有关的递延所得税资产。除上述例外情况，本公司以很可能取得用来抵扣可抵扣暂时性差异的应纳税所</w:t>
      </w:r>
      <w:r>
        <w:rPr>
          <w:spacing w:val="44"/>
        </w:rPr>
        <w:t> </w:t>
      </w:r>
      <w:r>
        <w:rPr>
          <w:spacing w:val="44"/>
        </w:rPr>
      </w:r>
      <w:r>
        <w:rPr>
          <w:spacing w:val="-3"/>
        </w:rPr>
        <w:t>得额为限，确认其他可抵扣暂时性差异产生的递延所得税资产。</w:t>
      </w:r>
    </w:p>
    <w:p>
      <w:pPr>
        <w:pStyle w:val="BodyText"/>
        <w:spacing w:line="321" w:lineRule="auto" w:before="51"/>
        <w:ind w:right="1124" w:firstLine="427"/>
        <w:jc w:val="both"/>
      </w:pPr>
      <w:r>
        <w:rPr>
          <w:spacing w:val="-2"/>
        </w:rPr>
        <w:t>对于能够结转以后年度的可抵扣亏损和税款抵减，以很可能获得用来抵扣可抵扣亏损和税款抵减的未来应纳税所得额</w:t>
      </w:r>
      <w:r>
        <w:rPr>
          <w:w w:val="101"/>
        </w:rPr>
        <w:t> </w:t>
      </w:r>
      <w:r>
        <w:rPr>
          <w:spacing w:val="-3"/>
        </w:rPr>
        <w:t>为限，确认相应的递延所得税资产。</w:t>
      </w:r>
    </w:p>
    <w:p>
      <w:pPr>
        <w:pStyle w:val="BodyText"/>
        <w:spacing w:line="321" w:lineRule="auto" w:before="49"/>
        <w:ind w:right="1124" w:firstLine="427"/>
        <w:jc w:val="both"/>
      </w:pPr>
      <w:r>
        <w:rPr>
          <w:spacing w:val="-2"/>
        </w:rPr>
        <w:t>资产负债表日，对于递延所得税资产和递延所得税负债，根据税法规定，按照预期收回相关资产或清偿相关负债期间</w:t>
      </w:r>
      <w:r>
        <w:rPr>
          <w:w w:val="101"/>
        </w:rPr>
        <w:t> </w:t>
      </w:r>
      <w:r>
        <w:rPr/>
        <w:t>的适用税率计量。</w:t>
      </w:r>
    </w:p>
    <w:p>
      <w:pPr>
        <w:pStyle w:val="BodyText"/>
        <w:spacing w:line="324" w:lineRule="auto" w:before="53"/>
        <w:ind w:right="1124" w:firstLine="427"/>
        <w:jc w:val="both"/>
      </w:pPr>
      <w:r>
        <w:rPr>
          <w:spacing w:val="-2"/>
        </w:rPr>
        <w:t>于资产负债表日，对递延所得税资产的账面价值进行复核，如果未来很可能无法获得足够的应纳税所得额用以抵扣递</w:t>
      </w:r>
      <w:r>
        <w:rPr>
          <w:w w:val="101"/>
        </w:rPr>
        <w:t> </w:t>
      </w:r>
      <w:r>
        <w:rPr>
          <w:spacing w:val="-3"/>
        </w:rPr>
        <w:t>延所得税资产的利益，则减记递延所得税资产的账面价值。在很可能获得足够的应纳税所得额时，减记的金额予以转回。</w:t>
      </w:r>
    </w:p>
    <w:p>
      <w:pPr>
        <w:spacing w:after="0" w:line="324" w:lineRule="auto"/>
        <w:jc w:val="both"/>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42、租赁" w:id="221"/>
      <w:bookmarkEnd w:id="221"/>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经营租赁的会计处理方法" w:id="222"/>
      <w:bookmarkEnd w:id="22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580" w:right="0"/>
        <w:jc w:val="left"/>
      </w:pPr>
      <w:r>
        <w:rPr>
          <w:spacing w:val="-3"/>
        </w:rPr>
        <w:t>经营租赁的租金在租赁期内的各个期间按直线法计入相关资产成本或当期损益。</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融资租赁的会计处理方法" w:id="223"/>
      <w:bookmarkEnd w:id="22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9"/>
        <w:rPr>
          <w:rFonts w:ascii="宋体" w:hAnsi="宋体" w:cs="宋体" w:eastAsia="宋体" w:hint="default"/>
          <w:b/>
          <w:bCs/>
          <w:sz w:val="26"/>
          <w:szCs w:val="26"/>
        </w:rPr>
      </w:pPr>
    </w:p>
    <w:p>
      <w:pPr>
        <w:pStyle w:val="BodyText"/>
        <w:spacing w:line="324" w:lineRule="auto"/>
        <w:ind w:right="1124" w:firstLine="427"/>
        <w:jc w:val="both"/>
      </w:pPr>
      <w:r>
        <w:rPr>
          <w:spacing w:val="-2"/>
        </w:rPr>
        <w:t>本公司将实质上转移了与资产所有权有关的全部风险和报酬的租赁确认为融资租赁，除融资租赁之外的其他租赁确认</w:t>
      </w:r>
      <w:r>
        <w:rPr>
          <w:w w:val="101"/>
        </w:rPr>
        <w:t> </w:t>
      </w:r>
      <w:r>
        <w:rPr/>
        <w:t>为经营租赁。</w:t>
      </w:r>
    </w:p>
    <w:p>
      <w:pPr>
        <w:pStyle w:val="BodyText"/>
        <w:spacing w:line="321" w:lineRule="auto" w:before="47"/>
        <w:ind w:right="1124" w:firstLine="427"/>
        <w:jc w:val="both"/>
      </w:pPr>
      <w:r>
        <w:rPr>
          <w:spacing w:val="-2"/>
        </w:rPr>
        <w:t>在租赁期开始日，本公司将租赁开始日租赁资产公允价值与最低租赁付款额现值中较低者作为租入资产的入账价值，</w:t>
      </w:r>
      <w:r>
        <w:rPr>
          <w:w w:val="101"/>
        </w:rPr>
        <w:t> </w:t>
      </w:r>
      <w:r>
        <w:rPr>
          <w:spacing w:val="-3"/>
        </w:rPr>
        <w:t>将最低租赁付款额作为长期应付款的入账价值，其差额作为未确认融资费用。</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bookmarkStart w:name="43、其他重要的会计政策和会计估计" w:id="224"/>
      <w:bookmarkEnd w:id="224"/>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1"/>
        <w:rPr>
          <w:rFonts w:ascii="宋体" w:hAnsi="宋体" w:cs="宋体" w:eastAsia="宋体" w:hint="default"/>
          <w:b/>
          <w:bCs/>
          <w:sz w:val="27"/>
          <w:szCs w:val="27"/>
        </w:rPr>
      </w:pPr>
    </w:p>
    <w:p>
      <w:pPr>
        <w:pStyle w:val="BodyText"/>
        <w:spacing w:line="338" w:lineRule="auto"/>
        <w:ind w:left="580" w:right="1037"/>
        <w:jc w:val="left"/>
      </w:pPr>
      <w:r>
        <w:rPr/>
        <w:t>（</w:t>
      </w:r>
      <w:r>
        <w:rPr>
          <w:rFonts w:ascii="Times New Roman" w:hAnsi="Times New Roman" w:cs="Times New Roman" w:eastAsia="Times New Roman" w:hint="default"/>
        </w:rPr>
        <w:t>1</w:t>
      </w:r>
      <w:r>
        <w:rPr/>
        <w:t>）终止经营</w:t>
      </w:r>
      <w:r>
        <w:rPr>
          <w:spacing w:val="-85"/>
        </w:rPr>
        <w:t> </w:t>
      </w:r>
      <w:r>
        <w:rPr>
          <w:spacing w:val="-85"/>
        </w:rPr>
      </w:r>
      <w:r>
        <w:rPr>
          <w:spacing w:val="-2"/>
        </w:rPr>
        <w:t>终止经营，是指满足下列条件之一的已被本公司处置或划归为持有待售的、在经营和编制财务报表时能够单独区分的</w:t>
      </w:r>
    </w:p>
    <w:p>
      <w:pPr>
        <w:pStyle w:val="BodyText"/>
        <w:spacing w:line="321" w:lineRule="auto" w:before="2"/>
        <w:ind w:right="0"/>
        <w:jc w:val="left"/>
      </w:pPr>
      <w:r>
        <w:rPr>
          <w:spacing w:val="-4"/>
        </w:rPr>
        <w:t>组成部分：①该组成部分代表一项独立的主要业务或一个主要经营地区；②该组成部分是拟对一项独立的主要业务或一个主</w:t>
      </w:r>
      <w:r>
        <w:rPr>
          <w:spacing w:val="44"/>
        </w:rPr>
        <w:t> </w:t>
      </w:r>
      <w:r>
        <w:rPr>
          <w:spacing w:val="44"/>
        </w:rPr>
      </w:r>
      <w:r>
        <w:rPr>
          <w:spacing w:val="-3"/>
        </w:rPr>
        <w:t>要经营地区进行处置计划的一部分；③该组成部分是仅仅为了再出售而取得的子公司。</w:t>
      </w:r>
    </w:p>
    <w:p>
      <w:pPr>
        <w:pStyle w:val="BodyText"/>
        <w:spacing w:line="240" w:lineRule="auto" w:before="54"/>
        <w:ind w:left="580" w:right="0"/>
        <w:jc w:val="left"/>
      </w:pPr>
      <w:r>
        <w:rPr>
          <w:spacing w:val="-3"/>
        </w:rPr>
        <w:t>终止经营的会计处理方法参见本附注三、</w:t>
      </w:r>
      <w:r>
        <w:rPr>
          <w:rFonts w:ascii="Times New Roman" w:hAnsi="Times New Roman" w:cs="Times New Roman" w:eastAsia="Times New Roman" w:hint="default"/>
          <w:spacing w:val="-3"/>
        </w:rPr>
        <w:t>13“</w:t>
      </w:r>
      <w:r>
        <w:rPr>
          <w:spacing w:val="-3"/>
        </w:rPr>
        <w:t>划分为持有待售资产</w:t>
      </w:r>
      <w:r>
        <w:rPr>
          <w:rFonts w:ascii="Times New Roman" w:hAnsi="Times New Roman" w:cs="Times New Roman" w:eastAsia="Times New Roman" w:hint="default"/>
          <w:spacing w:val="-3"/>
        </w:rPr>
        <w:t>”</w:t>
      </w:r>
      <w:r>
        <w:rPr>
          <w:spacing w:val="-3"/>
        </w:rPr>
        <w:t>相关描述。</w:t>
      </w:r>
    </w:p>
    <w:p>
      <w:pPr>
        <w:pStyle w:val="BodyText"/>
        <w:spacing w:line="343" w:lineRule="auto" w:before="101"/>
        <w:ind w:left="580" w:right="2648"/>
        <w:jc w:val="left"/>
      </w:pPr>
      <w:r>
        <w:rPr/>
        <w:t>（</w:t>
      </w:r>
      <w:r>
        <w:rPr>
          <w:rFonts w:ascii="Times New Roman" w:hAnsi="Times New Roman" w:cs="Times New Roman" w:eastAsia="Times New Roman" w:hint="default"/>
        </w:rPr>
        <w:t>2</w:t>
      </w:r>
      <w:r>
        <w:rPr/>
        <w:t>）回购股份</w:t>
      </w:r>
      <w:r>
        <w:rPr>
          <w:spacing w:val="-85"/>
        </w:rPr>
        <w:t> </w:t>
      </w:r>
      <w:r>
        <w:rPr>
          <w:spacing w:val="-85"/>
        </w:rPr>
      </w:r>
      <w:r>
        <w:rPr>
          <w:spacing w:val="-3"/>
        </w:rPr>
        <w:t>为减少注册资本或奖励本公司职工等原因而收购本公司股份时，按实际支付的金额记入库存股。</w:t>
      </w:r>
    </w:p>
    <w:p>
      <w:pPr>
        <w:pStyle w:val="BodyText"/>
        <w:spacing w:line="321" w:lineRule="auto" w:before="32"/>
        <w:ind w:right="1124" w:firstLine="427"/>
        <w:jc w:val="both"/>
      </w:pPr>
      <w:r>
        <w:rPr>
          <w:spacing w:val="-2"/>
        </w:rPr>
        <w:t>根据以权益结算的股份支付协议将收购的股份奖励给本公司职工时，按奖励库存股账面余额与职工所支付现金及授予</w:t>
      </w:r>
      <w:r>
        <w:rPr>
          <w:w w:val="101"/>
        </w:rPr>
        <w:t> </w:t>
      </w:r>
      <w:r>
        <w:rPr>
          <w:spacing w:val="-3"/>
        </w:rPr>
        <w:t>权益工具时确认的资本公积之间的差额，计入资本公积（股本溢价）。</w:t>
      </w:r>
    </w:p>
    <w:p>
      <w:pPr>
        <w:pStyle w:val="BodyText"/>
        <w:spacing w:line="321" w:lineRule="auto" w:before="49"/>
        <w:ind w:right="1124" w:firstLine="427"/>
        <w:jc w:val="both"/>
      </w:pPr>
      <w:r>
        <w:rPr>
          <w:spacing w:val="-2"/>
        </w:rPr>
        <w:t>注销库存股时，按所注销库存股面值总额注销股本，按所注销库存股的账面余额，冲减库存股，按其差额冲减资本公</w:t>
      </w:r>
      <w:r>
        <w:rPr>
          <w:w w:val="101"/>
        </w:rPr>
        <w:t> </w:t>
      </w:r>
      <w:r>
        <w:rPr>
          <w:spacing w:val="-3"/>
        </w:rPr>
        <w:t>积（股本溢价），股本溢价不足冲减的，调整留存收益。</w:t>
      </w:r>
    </w:p>
    <w:p>
      <w:pPr>
        <w:spacing w:line="240" w:lineRule="auto" w:before="13"/>
        <w:rPr>
          <w:rFonts w:ascii="宋体" w:hAnsi="宋体" w:cs="宋体" w:eastAsia="宋体" w:hint="default"/>
          <w:sz w:val="21"/>
          <w:szCs w:val="21"/>
        </w:rPr>
      </w:pPr>
    </w:p>
    <w:p>
      <w:pPr>
        <w:pStyle w:val="Heading3"/>
        <w:spacing w:line="240" w:lineRule="auto"/>
        <w:ind w:right="0"/>
        <w:jc w:val="left"/>
        <w:rPr>
          <w:b w:val="0"/>
          <w:bCs w:val="0"/>
        </w:rPr>
      </w:pPr>
      <w:bookmarkStart w:name="44、重要会计政策和会计估计变更" w:id="225"/>
      <w:bookmarkEnd w:id="225"/>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26"/>
      <w:bookmarkEnd w:id="22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580" w:right="0"/>
        <w:jc w:val="left"/>
      </w:pPr>
      <w:r>
        <w:rPr>
          <w:spacing w:val="-3"/>
        </w:rPr>
        <w:t>①执行修订后的非货币资产交换准则</w:t>
      </w:r>
    </w:p>
    <w:p>
      <w:pPr>
        <w:pStyle w:val="BodyText"/>
        <w:spacing w:line="302" w:lineRule="auto" w:before="110"/>
        <w:ind w:right="1122" w:firstLine="427"/>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日，财政部发布了《关于印发修订</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7</w:t>
      </w:r>
      <w:r>
        <w:rPr>
          <w:spacing w:val="-2"/>
        </w:rPr>
        <w:t>号</w:t>
      </w:r>
      <w:r>
        <w:rPr>
          <w:rFonts w:ascii="Times New Roman" w:hAnsi="Times New Roman" w:cs="Times New Roman" w:eastAsia="Times New Roman" w:hint="default"/>
          <w:spacing w:val="-2"/>
        </w:rPr>
        <w:t>——</w:t>
      </w:r>
      <w:r>
        <w:rPr>
          <w:spacing w:val="-2"/>
        </w:rPr>
        <w:t>非货币性资产交换</w:t>
      </w:r>
      <w:r>
        <w:rPr>
          <w:rFonts w:ascii="Times New Roman" w:hAnsi="Times New Roman" w:cs="Times New Roman" w:eastAsia="Times New Roman" w:hint="default"/>
          <w:spacing w:val="-2"/>
        </w:rPr>
        <w:t>&gt;</w:t>
      </w:r>
      <w:r>
        <w:rPr>
          <w:spacing w:val="-2"/>
        </w:rPr>
        <w:t>的通知》（财会【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8</w:t>
      </w:r>
      <w:r>
        <w:rPr>
          <w:rFonts w:ascii="Times New Roman" w:hAnsi="Times New Roman" w:cs="Times New Roman" w:eastAsia="Times New Roman" w:hint="default"/>
          <w:w w:val="101"/>
        </w:rPr>
        <w:t> </w:t>
      </w:r>
      <w:r>
        <w:rPr>
          <w:spacing w:val="-4"/>
        </w:rPr>
        <w:t>号），对非货币性资产交换的确认、计量和披露作出修订。对于</w:t>
      </w:r>
      <w:r>
        <w:rPr>
          <w:rFonts w:ascii="Times New Roman" w:hAnsi="Times New Roman" w:cs="Times New Roman" w:eastAsia="Times New Roman" w:hint="default"/>
          <w:spacing w:val="-4"/>
        </w:rPr>
        <w:t>2019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 </w:t>
      </w:r>
      <w:r>
        <w:rPr>
          <w:spacing w:val="-3"/>
        </w:rPr>
        <w:t>日至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10</w:t>
      </w:r>
      <w:r>
        <w:rPr>
          <w:spacing w:val="-3"/>
        </w:rPr>
        <w:t>日之间发生的非货币性资产</w:t>
      </w:r>
      <w:r>
        <w:rPr>
          <w:spacing w:val="-60"/>
        </w:rPr>
        <w:t> </w:t>
      </w:r>
      <w:r>
        <w:rPr>
          <w:spacing w:val="-60"/>
        </w:rPr>
      </w:r>
      <w:r>
        <w:rPr>
          <w:spacing w:val="-3"/>
        </w:rPr>
        <w:t>交换，应根据修订后的准则进行调整。对</w:t>
      </w:r>
      <w:r>
        <w:rPr>
          <w:rFonts w:ascii="Times New Roman" w:hAnsi="Times New Roman" w:cs="Times New Roman" w:eastAsia="Times New Roman" w:hint="default"/>
          <w:spacing w:val="-3"/>
        </w:rPr>
        <w:t>2019   </w:t>
      </w:r>
      <w:r>
        <w:rPr/>
        <w:t>年</w:t>
      </w:r>
      <w:r>
        <w:rPr>
          <w:rFonts w:ascii="Times New Roman" w:hAnsi="Times New Roman" w:cs="Times New Roman" w:eastAsia="Times New Roman" w:hint="default"/>
        </w:rPr>
        <w:t>1   </w:t>
      </w:r>
      <w:r>
        <w:rPr>
          <w:spacing w:val="-3"/>
        </w:rPr>
        <w:t>月</w:t>
      </w:r>
      <w:r>
        <w:rPr>
          <w:rFonts w:ascii="Times New Roman" w:hAnsi="Times New Roman" w:cs="Times New Roman" w:eastAsia="Times New Roman" w:hint="default"/>
          <w:spacing w:val="-3"/>
        </w:rPr>
        <w:t>1 </w:t>
      </w:r>
      <w:r>
        <w:rPr>
          <w:rFonts w:ascii="Times New Roman" w:hAnsi="Times New Roman" w:cs="Times New Roman" w:eastAsia="Times New Roman" w:hint="default"/>
          <w:spacing w:val="9"/>
        </w:rPr>
        <w:t> </w:t>
      </w:r>
      <w:r>
        <w:rPr>
          <w:spacing w:val="-3"/>
        </w:rPr>
        <w:t>日之前发生的非货币性资产交换，不需要追溯调整。</w:t>
      </w:r>
    </w:p>
    <w:p>
      <w:pPr>
        <w:pStyle w:val="BodyText"/>
        <w:spacing w:line="240" w:lineRule="auto" w:before="49"/>
        <w:ind w:left="580" w:right="0"/>
        <w:jc w:val="left"/>
      </w:pPr>
      <w:r>
        <w:rPr>
          <w:spacing w:val="-3"/>
        </w:rPr>
        <w:t>②执行修订后的债务重组准则</w:t>
      </w:r>
    </w:p>
    <w:p>
      <w:pPr>
        <w:pStyle w:val="BodyText"/>
        <w:spacing w:line="302" w:lineRule="auto" w:before="115"/>
        <w:ind w:right="1122" w:firstLine="427"/>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16</w:t>
      </w:r>
      <w:r>
        <w:rPr>
          <w:spacing w:val="-2"/>
        </w:rPr>
        <w:t>日，财政部发布了《关于印发修订</w:t>
      </w:r>
      <w:r>
        <w:rPr>
          <w:rFonts w:ascii="Times New Roman" w:hAnsi="Times New Roman" w:cs="Times New Roman" w:eastAsia="Times New Roman" w:hint="default"/>
          <w:spacing w:val="-2"/>
        </w:rPr>
        <w:t>&lt;</w:t>
      </w:r>
      <w:r>
        <w:rPr>
          <w:spacing w:val="-2"/>
        </w:rPr>
        <w:t>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w:t>
      </w:r>
      <w:r>
        <w:rPr>
          <w:rFonts w:ascii="Times New Roman" w:hAnsi="Times New Roman" w:cs="Times New Roman" w:eastAsia="Times New Roman" w:hint="default"/>
          <w:spacing w:val="-2"/>
        </w:rPr>
        <w:t>&gt;</w:t>
      </w:r>
      <w:r>
        <w:rPr>
          <w:spacing w:val="-2"/>
        </w:rPr>
        <w:t>的通知》（财会【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9</w:t>
      </w:r>
      <w:r>
        <w:rPr>
          <w:spacing w:val="-2"/>
        </w:rPr>
        <w:t>号），</w:t>
      </w:r>
      <w:r>
        <w:rPr>
          <w:w w:val="101"/>
        </w:rPr>
        <w:t> </w:t>
      </w:r>
      <w:r>
        <w:rPr>
          <w:spacing w:val="-3"/>
        </w:rPr>
        <w:t>对债务重组的确认、计量和披露作出修订。对于</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30"/>
        </w:rPr>
        <w:t> </w:t>
      </w:r>
      <w:r>
        <w:rPr/>
        <w:t>年</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21"/>
        </w:rPr>
        <w:t> </w:t>
      </w:r>
      <w:r>
        <w:rPr>
          <w:spacing w:val="-3"/>
        </w:rPr>
        <w:t>日至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6</w:t>
      </w:r>
      <w:r>
        <w:rPr>
          <w:spacing w:val="-3"/>
        </w:rPr>
        <w:t>月</w:t>
      </w:r>
      <w:r>
        <w:rPr>
          <w:rFonts w:ascii="Times New Roman" w:hAnsi="Times New Roman" w:cs="Times New Roman" w:eastAsia="Times New Roman" w:hint="default"/>
          <w:spacing w:val="-3"/>
        </w:rPr>
        <w:t>17</w:t>
      </w:r>
      <w:r>
        <w:rPr>
          <w:spacing w:val="-3"/>
        </w:rPr>
        <w:t>日之间发生的债务重组，应根据修订后的准</w:t>
      </w:r>
      <w:r>
        <w:rPr>
          <w:spacing w:val="-79"/>
        </w:rPr>
        <w:t> </w:t>
      </w:r>
      <w:r>
        <w:rPr>
          <w:spacing w:val="-79"/>
        </w:rPr>
      </w:r>
      <w:r>
        <w:rPr/>
        <w:t>则进行调整。对</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1 </w:t>
      </w:r>
      <w:r>
        <w:rPr>
          <w:rFonts w:ascii="Times New Roman" w:hAnsi="Times New Roman" w:cs="Times New Roman" w:eastAsia="Times New Roman" w:hint="default"/>
          <w:spacing w:val="1"/>
        </w:rPr>
        <w:t> </w:t>
      </w:r>
      <w:r>
        <w:rPr>
          <w:spacing w:val="-3"/>
        </w:rPr>
        <w:t>日之前发生的债务重组，不需要追溯调整。</w:t>
      </w:r>
    </w:p>
    <w:p>
      <w:pPr>
        <w:pStyle w:val="BodyText"/>
        <w:spacing w:line="240" w:lineRule="auto" w:before="50"/>
        <w:ind w:left="580" w:right="0"/>
        <w:jc w:val="left"/>
      </w:pPr>
      <w:r>
        <w:rPr>
          <w:spacing w:val="-3"/>
        </w:rPr>
        <w:t>③采用新的财务报表格式</w:t>
      </w:r>
    </w:p>
    <w:p>
      <w:pPr>
        <w:pStyle w:val="BodyText"/>
        <w:spacing w:line="300" w:lineRule="auto" w:before="110"/>
        <w:ind w:right="1122" w:firstLine="427"/>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日，财政部发布了《关于修订印发</w:t>
      </w:r>
      <w:r>
        <w:rPr>
          <w:rFonts w:ascii="Times New Roman" w:hAnsi="Times New Roman" w:cs="Times New Roman" w:eastAsia="Times New Roman" w:hint="default"/>
          <w:spacing w:val="-2"/>
        </w:rPr>
        <w:t>2019</w:t>
      </w:r>
      <w:r>
        <w:rPr>
          <w:spacing w:val="-2"/>
        </w:rPr>
        <w:t>年度一般企业财务报表格式的通知》（财会〔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号）。本公</w:t>
      </w:r>
      <w:r>
        <w:rPr>
          <w:w w:val="101"/>
        </w:rPr>
        <w:t> </w:t>
      </w:r>
      <w:r>
        <w:rPr>
          <w:spacing w:val="-4"/>
        </w:rPr>
        <w:t>司</w:t>
      </w:r>
      <w:r>
        <w:rPr>
          <w:rFonts w:ascii="Times New Roman" w:hAnsi="Times New Roman" w:cs="Times New Roman" w:eastAsia="Times New Roman" w:hint="default"/>
          <w:spacing w:val="-4"/>
        </w:rPr>
        <w:t>2019</w:t>
      </w:r>
      <w:r>
        <w:rPr>
          <w:spacing w:val="-4"/>
        </w:rPr>
        <w:t>年属于执行新金融工具准则，但未执行新收入准则和新租赁准则情形，资产负债表、利润表、现金流量表及股东权益</w:t>
      </w:r>
    </w:p>
    <w:p>
      <w:pPr>
        <w:spacing w:after="0" w:line="300" w:lineRule="auto"/>
        <w:jc w:val="both"/>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302" w:lineRule="auto" w:before="46"/>
        <w:ind w:right="1122"/>
        <w:jc w:val="both"/>
      </w:pPr>
      <w:r>
        <w:rPr>
          <w:spacing w:val="-3"/>
        </w:rPr>
        <w:t>变动表列报项目的变化，主要是执新金融工具准则导致的变化，在以下执行新金融工具准则中反映。财会〔</w:t>
      </w:r>
      <w:r>
        <w:rPr>
          <w:rFonts w:ascii="Times New Roman" w:hAnsi="Times New Roman" w:cs="Times New Roman" w:eastAsia="Times New Roman" w:hint="default"/>
          <w:spacing w:val="-3"/>
        </w:rPr>
        <w:t>2019</w:t>
      </w:r>
      <w:r>
        <w:rPr>
          <w:spacing w:val="-3"/>
        </w:rPr>
        <w:t>〕</w:t>
      </w:r>
      <w:r>
        <w:rPr>
          <w:rFonts w:ascii="Times New Roman" w:hAnsi="Times New Roman" w:cs="Times New Roman" w:eastAsia="Times New Roman" w:hint="default"/>
          <w:spacing w:val="-3"/>
        </w:rPr>
        <w:t>6</w:t>
      </w:r>
      <w:r>
        <w:rPr>
          <w:spacing w:val="-3"/>
        </w:rPr>
        <w:t>号中还</w:t>
      </w:r>
      <w:r>
        <w:rPr>
          <w:spacing w:val="83"/>
        </w:rPr>
        <w:t> </w:t>
      </w:r>
      <w:r>
        <w:rPr>
          <w:spacing w:val="83"/>
        </w:rPr>
      </w:r>
      <w:r>
        <w:rPr>
          <w:spacing w:val="-2"/>
        </w:rPr>
        <w:t>将</w:t>
      </w:r>
      <w:r>
        <w:rPr>
          <w:rFonts w:ascii="Times New Roman" w:hAnsi="Times New Roman" w:cs="Times New Roman" w:eastAsia="Times New Roman" w:hint="default"/>
          <w:spacing w:val="-2"/>
        </w:rPr>
        <w:t>“</w:t>
      </w:r>
      <w:r>
        <w:rPr>
          <w:spacing w:val="-2"/>
        </w:rPr>
        <w:t>应收票据及应收账款</w:t>
      </w:r>
      <w:r>
        <w:rPr>
          <w:rFonts w:ascii="Times New Roman" w:hAnsi="Times New Roman" w:cs="Times New Roman" w:eastAsia="Times New Roman" w:hint="default"/>
          <w:spacing w:val="-2"/>
        </w:rPr>
        <w:t>”</w:t>
      </w:r>
      <w:r>
        <w:rPr>
          <w:spacing w:val="-2"/>
        </w:rPr>
        <w:t>拆分为</w:t>
      </w:r>
      <w:r>
        <w:rPr>
          <w:rFonts w:ascii="Times New Roman" w:hAnsi="Times New Roman" w:cs="Times New Roman" w:eastAsia="Times New Roman" w:hint="default"/>
          <w:spacing w:val="-2"/>
        </w:rPr>
        <w:t>“</w:t>
      </w:r>
      <w:r>
        <w:rPr>
          <w:spacing w:val="-2"/>
        </w:rPr>
        <w:t>应收票据</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应收账款</w:t>
      </w:r>
      <w:r>
        <w:rPr>
          <w:rFonts w:ascii="Times New Roman" w:hAnsi="Times New Roman" w:cs="Times New Roman" w:eastAsia="Times New Roman" w:hint="default"/>
          <w:spacing w:val="-2"/>
        </w:rPr>
        <w:t>”</w:t>
      </w:r>
      <w:r>
        <w:rPr>
          <w:spacing w:val="-2"/>
        </w:rPr>
        <w:t>，将</w:t>
      </w:r>
      <w:r>
        <w:rPr>
          <w:rFonts w:ascii="Times New Roman" w:hAnsi="Times New Roman" w:cs="Times New Roman" w:eastAsia="Times New Roman" w:hint="default"/>
          <w:spacing w:val="-2"/>
        </w:rPr>
        <w:t>“</w:t>
      </w:r>
      <w:r>
        <w:rPr>
          <w:spacing w:val="-2"/>
        </w:rPr>
        <w:t>应付票据及应付账款</w:t>
      </w:r>
      <w:r>
        <w:rPr>
          <w:rFonts w:ascii="Times New Roman" w:hAnsi="Times New Roman" w:cs="Times New Roman" w:eastAsia="Times New Roman" w:hint="default"/>
          <w:spacing w:val="-2"/>
        </w:rPr>
        <w:t>”</w:t>
      </w:r>
      <w:r>
        <w:rPr>
          <w:spacing w:val="-2"/>
        </w:rPr>
        <w:t>拆分为</w:t>
      </w:r>
      <w:r>
        <w:rPr>
          <w:rFonts w:ascii="Times New Roman" w:hAnsi="Times New Roman" w:cs="Times New Roman" w:eastAsia="Times New Roman" w:hint="default"/>
          <w:spacing w:val="-2"/>
        </w:rPr>
        <w:t>“</w:t>
      </w:r>
      <w:r>
        <w:rPr>
          <w:spacing w:val="-2"/>
        </w:rPr>
        <w:t>应付票据</w:t>
      </w:r>
      <w:r>
        <w:rPr>
          <w:rFonts w:ascii="Times New Roman" w:hAnsi="Times New Roman" w:cs="Times New Roman" w:eastAsia="Times New Roman" w:hint="default"/>
          <w:spacing w:val="-2"/>
        </w:rPr>
        <w:t>”</w:t>
      </w:r>
      <w:r>
        <w:rPr>
          <w:spacing w:val="-2"/>
        </w:rPr>
        <w:t>及</w:t>
      </w:r>
      <w:r>
        <w:rPr>
          <w:rFonts w:ascii="Times New Roman" w:hAnsi="Times New Roman" w:cs="Times New Roman" w:eastAsia="Times New Roman" w:hint="default"/>
          <w:spacing w:val="-2"/>
        </w:rPr>
        <w:t>“</w:t>
      </w:r>
      <w:r>
        <w:rPr>
          <w:spacing w:val="-2"/>
        </w:rPr>
        <w:t>应付账款</w:t>
      </w:r>
      <w:r>
        <w:rPr>
          <w:rFonts w:ascii="Times New Roman" w:hAnsi="Times New Roman" w:cs="Times New Roman" w:eastAsia="Times New Roman" w:hint="default"/>
          <w:spacing w:val="-2"/>
        </w:rPr>
        <w:t>”</w:t>
      </w:r>
      <w:r>
        <w:rPr>
          <w:spacing w:val="-2"/>
        </w:rPr>
        <w:t>，分别</w:t>
      </w:r>
      <w:r>
        <w:rPr>
          <w:spacing w:val="62"/>
        </w:rPr>
        <w:t> </w:t>
      </w:r>
      <w:r>
        <w:rPr>
          <w:spacing w:val="62"/>
        </w:rPr>
      </w:r>
      <w:r>
        <w:rPr/>
        <w:t>列示。</w:t>
      </w:r>
    </w:p>
    <w:p>
      <w:pPr>
        <w:pStyle w:val="BodyText"/>
        <w:spacing w:line="357" w:lineRule="auto" w:before="68"/>
        <w:ind w:left="580" w:right="0"/>
        <w:jc w:val="left"/>
      </w:pPr>
      <w:r>
        <w:rPr/>
        <w:t>④执行新金融工具准则</w:t>
      </w:r>
      <w:r>
        <w:rPr>
          <w:spacing w:val="-86"/>
        </w:rPr>
        <w:t> </w:t>
      </w:r>
      <w:r>
        <w:rPr>
          <w:spacing w:val="-86"/>
        </w:rPr>
      </w: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日起执行财政部于</w:t>
      </w:r>
      <w:r>
        <w:rPr>
          <w:rFonts w:ascii="Times New Roman" w:hAnsi="Times New Roman" w:cs="Times New Roman" w:eastAsia="Times New Roman" w:hint="default"/>
          <w:spacing w:val="-2"/>
        </w:rPr>
        <w:t>2017</w:t>
      </w:r>
      <w:r>
        <w:rPr>
          <w:spacing w:val="-2"/>
        </w:rPr>
        <w:t>年修订的《企业会计准则第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金融工具确认和计量》、《企业会计准</w:t>
      </w:r>
    </w:p>
    <w:p>
      <w:pPr>
        <w:pStyle w:val="BodyText"/>
        <w:spacing w:line="214" w:lineRule="exact"/>
        <w:ind w:right="0"/>
        <w:jc w:val="both"/>
      </w:pPr>
      <w:r>
        <w:rPr>
          <w:spacing w:val="-3"/>
        </w:rPr>
        <w:t>则第</w:t>
      </w:r>
      <w:r>
        <w:rPr>
          <w:rFonts w:ascii="Times New Roman" w:hAnsi="Times New Roman" w:cs="Times New Roman" w:eastAsia="Times New Roman" w:hint="default"/>
          <w:spacing w:val="-3"/>
        </w:rPr>
        <w:t>23</w:t>
      </w:r>
      <w:r>
        <w:rPr>
          <w:spacing w:val="-3"/>
        </w:rPr>
        <w:t>号</w:t>
      </w:r>
      <w:r>
        <w:rPr>
          <w:rFonts w:ascii="Times New Roman" w:hAnsi="Times New Roman" w:cs="Times New Roman" w:eastAsia="Times New Roman" w:hint="default"/>
          <w:spacing w:val="-3"/>
        </w:rPr>
        <w:t>—</w:t>
      </w:r>
      <w:r>
        <w:rPr>
          <w:spacing w:val="-3"/>
        </w:rPr>
        <w:t>金融资产转移》、《企业会计准则第</w:t>
      </w:r>
      <w:r>
        <w:rPr>
          <w:rFonts w:ascii="Times New Roman" w:hAnsi="Times New Roman" w:cs="Times New Roman" w:eastAsia="Times New Roman" w:hint="default"/>
          <w:spacing w:val="-3"/>
        </w:rPr>
        <w:t>24</w:t>
      </w:r>
      <w:r>
        <w:rPr>
          <w:spacing w:val="-3"/>
        </w:rPr>
        <w:t>号</w:t>
      </w:r>
      <w:r>
        <w:rPr>
          <w:rFonts w:ascii="Times New Roman" w:hAnsi="Times New Roman" w:cs="Times New Roman" w:eastAsia="Times New Roman" w:hint="default"/>
          <w:spacing w:val="-3"/>
        </w:rPr>
        <w:t>—</w:t>
      </w:r>
      <w:r>
        <w:rPr>
          <w:spacing w:val="-3"/>
        </w:rPr>
        <w:t>套期会计》和《企业会计准则第</w:t>
      </w:r>
      <w:r>
        <w:rPr>
          <w:rFonts w:ascii="Times New Roman" w:hAnsi="Times New Roman" w:cs="Times New Roman" w:eastAsia="Times New Roman" w:hint="default"/>
          <w:spacing w:val="-3"/>
        </w:rPr>
        <w:t>37</w:t>
      </w:r>
      <w:r>
        <w:rPr>
          <w:spacing w:val="-3"/>
        </w:rPr>
        <w:t>号</w:t>
      </w:r>
      <w:r>
        <w:rPr>
          <w:rFonts w:ascii="Times New Roman" w:hAnsi="Times New Roman" w:cs="Times New Roman" w:eastAsia="Times New Roman" w:hint="default"/>
          <w:spacing w:val="-3"/>
        </w:rPr>
        <w:t>—</w:t>
      </w:r>
      <w:r>
        <w:rPr>
          <w:spacing w:val="-3"/>
        </w:rPr>
        <w:t>金融工具列报》</w:t>
      </w:r>
      <w:r>
        <w:rPr>
          <w:rFonts w:ascii="Times New Roman" w:hAnsi="Times New Roman" w:cs="Times New Roman" w:eastAsia="Times New Roman" w:hint="default"/>
          <w:spacing w:val="-3"/>
        </w:rPr>
        <w:t>(</w:t>
      </w:r>
      <w:r>
        <w:rPr>
          <w:spacing w:val="-3"/>
        </w:rPr>
        <w:t>以下简称</w:t>
      </w:r>
      <w:r>
        <w:rPr>
          <w:rFonts w:ascii="Times New Roman" w:hAnsi="Times New Roman" w:cs="Times New Roman" w:eastAsia="Times New Roman" w:hint="default"/>
          <w:spacing w:val="-3"/>
        </w:rPr>
        <w:t>“</w:t>
      </w:r>
      <w:r>
        <w:rPr>
          <w:spacing w:val="-3"/>
        </w:rPr>
        <w:t>新</w:t>
      </w:r>
    </w:p>
    <w:p>
      <w:pPr>
        <w:pStyle w:val="BodyText"/>
        <w:spacing w:line="333" w:lineRule="auto" w:before="67"/>
        <w:ind w:left="580" w:right="0" w:hanging="428"/>
        <w:jc w:val="left"/>
      </w:pPr>
      <w:r>
        <w:rPr>
          <w:spacing w:val="-3"/>
        </w:rPr>
        <w:t>金融工具准则</w:t>
      </w:r>
      <w:r>
        <w:rPr>
          <w:rFonts w:ascii="Times New Roman" w:hAnsi="Times New Roman" w:cs="Times New Roman" w:eastAsia="Times New Roman" w:hint="default"/>
          <w:spacing w:val="-3"/>
        </w:rPr>
        <w:t>”</w:t>
      </w:r>
      <w:r>
        <w:rPr>
          <w:spacing w:val="-3"/>
        </w:rPr>
        <w:t>，修订前的金融工具准则简称</w:t>
      </w:r>
      <w:r>
        <w:rPr>
          <w:rFonts w:ascii="Times New Roman" w:hAnsi="Times New Roman" w:cs="Times New Roman" w:eastAsia="Times New Roman" w:hint="default"/>
          <w:spacing w:val="-3"/>
        </w:rPr>
        <w:t>“</w:t>
      </w:r>
      <w:r>
        <w:rPr>
          <w:spacing w:val="-3"/>
        </w:rPr>
        <w:t>原金融工具准则</w:t>
      </w:r>
      <w:r>
        <w:rPr>
          <w:rFonts w:ascii="Times New Roman" w:hAnsi="Times New Roman" w:cs="Times New Roman" w:eastAsia="Times New Roman" w:hint="default"/>
          <w:spacing w:val="-3"/>
        </w:rPr>
        <w:t>”)</w:t>
      </w:r>
      <w:r>
        <w:rPr>
          <w:spacing w:val="-3"/>
        </w:rPr>
        <w:t>。</w:t>
      </w:r>
      <w:r>
        <w:rPr>
          <w:spacing w:val="2"/>
        </w:rPr>
        <w:t> </w:t>
      </w:r>
      <w:r>
        <w:rPr>
          <w:spacing w:val="-2"/>
        </w:rPr>
        <w:t>金融资产分类与计量方面，新金融工具准则要求金融资产基于合同现金流量特征及企业管理该等资产的业务模式分类</w:t>
      </w:r>
    </w:p>
    <w:p>
      <w:pPr>
        <w:pStyle w:val="BodyText"/>
        <w:spacing w:line="319" w:lineRule="auto" w:before="6"/>
        <w:ind w:right="1124"/>
        <w:jc w:val="both"/>
      </w:pPr>
      <w:r>
        <w:rPr>
          <w:spacing w:val="-4"/>
          <w:w w:val="101"/>
        </w:rPr>
        <w:t>为以摊余成本计量的金融资产、以公允价值计量且其变动计入其他综合收益的金融资产和以公允价值计量且其变动计入当期</w:t>
      </w:r>
      <w:r>
        <w:rPr>
          <w:w w:val="101"/>
        </w:rPr>
        <w:t> </w:t>
      </w:r>
      <w:r>
        <w:rPr>
          <w:spacing w:val="-4"/>
        </w:rPr>
        <w:t>损益的金融资产三大类别。取消了贷款和应收款项、持有至到期投资和可供出售金融资产等原分类。权益工具投资一般分类</w:t>
      </w:r>
      <w:r>
        <w:rPr>
          <w:spacing w:val="43"/>
        </w:rPr>
        <w:t> </w:t>
      </w:r>
      <w:r>
        <w:rPr>
          <w:spacing w:val="43"/>
        </w:rPr>
      </w:r>
      <w:r>
        <w:rPr>
          <w:spacing w:val="-4"/>
          <w:w w:val="101"/>
        </w:rPr>
        <w:t>为以公允价值计量且其变动计入当期损益的金融资产，也允许企业将非交易性权益工具投资指定为以公允价值计量且其变动</w:t>
      </w:r>
      <w:r>
        <w:rPr>
          <w:w w:val="101"/>
        </w:rPr>
        <w:t> </w:t>
      </w:r>
      <w:r>
        <w:rPr>
          <w:spacing w:val="-5"/>
        </w:rPr>
        <w:t>计入其他综合收益的金融资产，但该指定不可撤销，且在处置时不得将原计入其他综合收益的累计公允价值变动额结转计入</w:t>
      </w:r>
      <w:r>
        <w:rPr>
          <w:spacing w:val="6"/>
        </w:rPr>
        <w:t> </w:t>
      </w:r>
      <w:r>
        <w:rPr>
          <w:spacing w:val="6"/>
        </w:rPr>
      </w:r>
      <w:r>
        <w:rPr/>
        <w:t>当期损益。</w:t>
      </w:r>
    </w:p>
    <w:p>
      <w:pPr>
        <w:pStyle w:val="BodyText"/>
        <w:spacing w:line="321" w:lineRule="auto" w:before="50"/>
        <w:ind w:right="1122" w:firstLine="427"/>
        <w:jc w:val="both"/>
      </w:pPr>
      <w:r>
        <w:rPr>
          <w:spacing w:val="-2"/>
        </w:rPr>
        <w:t>金融资产减值方面，新金融工具准则有关减值的要求适用于以摊余成本计量以及分类为以公允价值计量且其变动计入</w:t>
      </w:r>
      <w:r>
        <w:rPr>
          <w:w w:val="101"/>
        </w:rPr>
        <w:t> </w:t>
      </w:r>
      <w:r>
        <w:rPr>
          <w:spacing w:val="-4"/>
        </w:rPr>
        <w:t>其他综合收益的债务工具投资、租赁应收款以及未提用的贷款承诺和财务担保合同等。新金融工具准则要求采用预期信用损</w:t>
      </w:r>
      <w:r>
        <w:rPr>
          <w:spacing w:val="43"/>
        </w:rPr>
        <w:t> </w:t>
      </w:r>
      <w:r>
        <w:rPr>
          <w:spacing w:val="43"/>
        </w:rPr>
      </w:r>
      <w:r>
        <w:rPr>
          <w:spacing w:val="-3"/>
        </w:rPr>
        <w:t>失模型以替代原先的已发生信用损失模型。</w:t>
      </w:r>
    </w:p>
    <w:p>
      <w:pPr>
        <w:pStyle w:val="BodyText"/>
        <w:spacing w:line="312" w:lineRule="auto" w:before="53"/>
        <w:ind w:right="1124" w:firstLine="427"/>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日之前的金融工具确认和计量与新金融工具准则要求不一致的，本公司按照新金融工具准则的要求进行衔</w:t>
      </w:r>
      <w:r>
        <w:rPr>
          <w:w w:val="101"/>
        </w:rPr>
        <w:t> </w:t>
      </w:r>
      <w:r>
        <w:rPr>
          <w:spacing w:val="-4"/>
        </w:rPr>
        <w:t>接调整。涉及前期比较财务报表数据与新金融工具准则要求不一致的，本公司不进行调整。金融工具原账面价值和在新金融</w:t>
      </w:r>
      <w:r>
        <w:rPr>
          <w:spacing w:val="43"/>
        </w:rPr>
        <w:t> </w:t>
      </w:r>
      <w:r>
        <w:rPr>
          <w:spacing w:val="43"/>
        </w:rPr>
      </w:r>
      <w:r>
        <w:rPr>
          <w:spacing w:val="-3"/>
        </w:rPr>
        <w:t>工具准则施行日的新账面价值之间的差额，计入</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日的留存收益或其他综合收益。</w:t>
      </w:r>
    </w:p>
    <w:p>
      <w:pPr>
        <w:spacing w:line="240" w:lineRule="auto" w:before="9"/>
        <w:rPr>
          <w:rFonts w:ascii="宋体" w:hAnsi="宋体" w:cs="宋体" w:eastAsia="宋体" w:hint="default"/>
          <w:sz w:val="20"/>
          <w:szCs w:val="20"/>
        </w:rPr>
      </w:pPr>
    </w:p>
    <w:p>
      <w:pPr>
        <w:pStyle w:val="Heading3"/>
        <w:spacing w:line="240" w:lineRule="auto"/>
        <w:ind w:right="0"/>
        <w:jc w:val="both"/>
        <w:rPr>
          <w:b w:val="0"/>
          <w:bCs w:val="0"/>
        </w:rPr>
      </w:pPr>
      <w:bookmarkStart w:name="（2）重要会计估计变更" w:id="227"/>
      <w:bookmarkEnd w:id="22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both"/>
        <w:rPr>
          <w:b w:val="0"/>
          <w:bCs w:val="0"/>
        </w:rPr>
      </w:pPr>
      <w:bookmarkStart w:name="（3）2019年起执行新金融工具准则、新收入准则或新租赁准则调整执行当年年初财务" w:id="228"/>
      <w:bookmarkEnd w:id="228"/>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18"/>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9"/>
        <w:rPr>
          <w:rFonts w:ascii="宋体" w:hAnsi="宋体" w:cs="宋体" w:eastAsia="宋体" w:hint="default"/>
          <w:sz w:val="12"/>
          <w:szCs w:val="12"/>
        </w:rPr>
      </w:pPr>
    </w:p>
    <w:p>
      <w:pPr>
        <w:pStyle w:val="BodyText"/>
        <w:spacing w:line="240" w:lineRule="auto"/>
        <w:ind w:right="0"/>
        <w:jc w:val="left"/>
      </w:pPr>
      <w:r>
        <w:rPr>
          <w:spacing w:val="-3"/>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1537" w:space="2655"/>
            <w:col w:w="1416" w:space="3313"/>
            <w:col w:w="2009"/>
          </w:cols>
        </w:sectPr>
      </w:pP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302,221,818.23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302,221,818.23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100,328,986.72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100,328,986.72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1,222,601,969.89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1,222,601,969.89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208,217,467.30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208,217,467.30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应收分保合同准备金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22,957,944.22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22,957,944.22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754,796,963.10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754,796,963.10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87,327,904.29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87,327,904.29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2,698,453,053.75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2,698,453,053.75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发放贷款和垫款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488,863,273.83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488,863,273.83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647,397,311.81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647,397,311.81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151,863,447.60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151,863,447.60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204,033,146.41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204,033,146.41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10,388,352.84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10,388,352.84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405,390,278.37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405,390,278.37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11,545,829.25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11,545,829.25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16,896,061.53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16,896,061.53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45,586,964.26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45,586,964.26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1,981,964,665.90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1,981,964,665.90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4,680,417,719.65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4,680,417,719.65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1,063,499,715.00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1,063,499,715.00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向中央银行借款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271,824,841.66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271,824,841.66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1,128,079,925.75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1,128,079,925.75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40,182,228.17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40,182,228.17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78"/>
              <w:jc w:val="right"/>
              <w:rPr>
                <w:rFonts w:ascii="宋体" w:hAnsi="宋体" w:cs="宋体" w:eastAsia="宋体" w:hint="default"/>
                <w:sz w:val="18"/>
                <w:szCs w:val="18"/>
              </w:rPr>
            </w:pPr>
            <w:r>
              <w:rPr>
                <w:rFonts w:ascii="宋体" w:hAnsi="宋体" w:cs="宋体" w:eastAsia="宋体" w:hint="default"/>
                <w:spacing w:val="-3"/>
                <w:sz w:val="18"/>
                <w:szCs w:val="18"/>
              </w:rPr>
              <w:t>卖出回购金融资产款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78"/>
              <w:jc w:val="right"/>
              <w:rPr>
                <w:rFonts w:ascii="宋体" w:hAnsi="宋体" w:cs="宋体" w:eastAsia="宋体" w:hint="default"/>
                <w:sz w:val="18"/>
                <w:szCs w:val="18"/>
              </w:rPr>
            </w:pPr>
            <w:r>
              <w:rPr>
                <w:rFonts w:ascii="宋体" w:hAnsi="宋体" w:cs="宋体" w:eastAsia="宋体" w:hint="default"/>
                <w:spacing w:val="-3"/>
                <w:sz w:val="18"/>
                <w:szCs w:val="18"/>
              </w:rPr>
              <w:t>吸收存款及同业存放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代理买卖证券款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代理承销证券款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28,627,024.43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28,627,024.43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32,653,917.46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32,653,917.46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12,051,928.11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12,051,928.11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1,743,648.04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1,743,648.04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53,067,537.27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53,067,537.27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2,629,987,117.85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2,629,987,117.85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保险合同准备金</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40,676,232.49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40,676,232.49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3,618,950.71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3,618,950.71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59,943,701.57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59,943,701.57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5,611,741.01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5,611,741.01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109,850,625.78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109,850,625.78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2,739,837,743.63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2,739,837,743.63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582,194,642.00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582,194,642.00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819,931,906.32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819,931,906.32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-1,546,918.82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-1,546,918.82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39,531,522.48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39,531,522.48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499,879,406.02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499,879,406.02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8"/>
              <w:jc w:val="left"/>
              <w:rPr>
                <w:rFonts w:ascii="宋体" w:hAnsi="宋体" w:cs="宋体" w:eastAsia="宋体" w:hint="default"/>
                <w:sz w:val="18"/>
                <w:szCs w:val="18"/>
              </w:rPr>
            </w:pPr>
            <w:r>
              <w:rPr>
                <w:rFonts w:ascii="宋体" w:hAnsi="宋体" w:cs="宋体" w:eastAsia="宋体" w:hint="default"/>
                <w:spacing w:val="-3"/>
                <w:sz w:val="18"/>
                <w:szCs w:val="18"/>
              </w:rPr>
              <w:t>归属于母公司所有者权益</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1,939,990,558.00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589,418.02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589,418.02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1,940,579,976.02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1,940,579,976.02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4,680,417,719.65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4,680,417,719.65</w:t>
            </w:r>
          </w:p>
        </w:tc>
        <w:tc>
          <w:tcPr>
            <w:tcW w:w="245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3"/>
        <w:ind w:right="9543"/>
        <w:jc w:val="left"/>
      </w:pPr>
      <w:r>
        <w:rPr>
          <w:spacing w:val="-2"/>
        </w:rPr>
        <w:t>调整情况说明</w:t>
      </w:r>
      <w:r>
        <w:rPr>
          <w:spacing w:val="-74"/>
        </w:rPr>
        <w:t> </w:t>
      </w:r>
      <w:r>
        <w:rPr>
          <w:spacing w:val="-74"/>
        </w:rPr>
      </w:r>
      <w:r>
        <w:rPr/>
        <w:t>无</w:t>
      </w:r>
    </w:p>
    <w:p>
      <w:pPr>
        <w:spacing w:after="0" w:line="357"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2783" w:right="3752"/>
        <w:jc w:val="center"/>
      </w:pPr>
      <w:r>
        <w:rPr/>
        <w:t>母公司资产负债表</w:t>
      </w:r>
    </w:p>
    <w:p>
      <w:pPr>
        <w:pStyle w:val="BodyText"/>
        <w:spacing w:line="240" w:lineRule="auto" w:before="115"/>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274,208,837.80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274,208,837.80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12,104,220.30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9,513,947.00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1,043,329,370.88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1,043,329,370.88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2,590,273.30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3,747,507.34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3,747,507.34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367,703,970.06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367,703,970.06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其中：应收利息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5,949,901.66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5,949,901.66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57,659,234.24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57,659,234.24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1,764,703,042.28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1,764,703,042.28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持有至到期投资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1,607,149,705.61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1,607,149,705.61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36,654,552.77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36,654,552.77</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生产性生物资产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57,936,081.30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57,936,081.30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10,388,352.84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10,388,352.84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14,861,397.85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14,861,397.85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1,249,392.45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1,249,392.45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1,728,239,482.82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1,728,239,482.82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3,492,942,525.10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3,492,942,525.10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598,484,800.00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598,484,800.00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交易性金融负债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4"/>
              <w:ind w:left="11" w:right="178" w:firstLine="360"/>
              <w:jc w:val="both"/>
              <w:rPr>
                <w:rFonts w:ascii="宋体" w:hAnsi="宋体" w:cs="宋体" w:eastAsia="宋体" w:hint="default"/>
                <w:sz w:val="18"/>
                <w:szCs w:val="18"/>
              </w:rPr>
            </w:pPr>
            <w:r>
              <w:rPr>
                <w:rFonts w:ascii="宋体" w:hAnsi="宋体" w:cs="宋体" w:eastAsia="宋体" w:hint="default"/>
                <w:spacing w:val="-3"/>
                <w:sz w:val="18"/>
                <w:szCs w:val="18"/>
              </w:rPr>
              <w:t>以公允价值计量且其</w:t>
            </w:r>
            <w:r>
              <w:rPr>
                <w:rFonts w:ascii="宋体" w:hAnsi="宋体" w:cs="宋体" w:eastAsia="宋体" w:hint="default"/>
                <w:w w:val="101"/>
                <w:sz w:val="18"/>
                <w:szCs w:val="18"/>
              </w:rPr>
              <w:t> </w:t>
            </w:r>
            <w:r>
              <w:rPr>
                <w:rFonts w:ascii="宋体" w:hAnsi="宋体" w:cs="宋体" w:eastAsia="宋体" w:hint="default"/>
                <w:spacing w:val="-3"/>
                <w:sz w:val="18"/>
                <w:szCs w:val="18"/>
              </w:rPr>
              <w:t>变动计入当期损益的金融</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254,759,376.51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254,759,376.51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965,053,314.75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965,053,314.75</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11,821,523.76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11,821,523.76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6,588,859.07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6,588,859.07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8"/>
              <w:jc w:val="right"/>
              <w:rPr>
                <w:rFonts w:ascii="Times New Roman" w:hAnsi="Times New Roman" w:cs="Times New Roman" w:eastAsia="Times New Roman" w:hint="default"/>
                <w:sz w:val="18"/>
                <w:szCs w:val="18"/>
              </w:rPr>
            </w:pPr>
            <w:r>
              <w:rPr>
                <w:rFonts w:ascii="Times New Roman"/>
                <w:spacing w:val="-1"/>
                <w:sz w:val="18"/>
              </w:rPr>
              <w:t>20,394,550.60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pacing w:val="-1"/>
                <w:sz w:val="18"/>
              </w:rPr>
              <w:t>20,394,550.60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18,238,704.20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18,238,704.20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6"/>
              <w:jc w:val="right"/>
              <w:rPr>
                <w:rFonts w:ascii="宋体" w:hAnsi="宋体" w:cs="宋体" w:eastAsia="宋体" w:hint="default"/>
                <w:sz w:val="18"/>
                <w:szCs w:val="18"/>
              </w:rPr>
            </w:pPr>
            <w:r>
              <w:rPr>
                <w:rFonts w:ascii="宋体" w:hAnsi="宋体" w:cs="宋体" w:eastAsia="宋体" w:hint="default"/>
                <w:spacing w:val="-3"/>
                <w:sz w:val="18"/>
                <w:szCs w:val="18"/>
              </w:rPr>
              <w:t>其中：应付利息</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55"/>
              <w:jc w:val="right"/>
              <w:rPr>
                <w:rFonts w:ascii="宋体" w:hAnsi="宋体" w:cs="宋体" w:eastAsia="宋体" w:hint="default"/>
                <w:sz w:val="18"/>
                <w:szCs w:val="18"/>
              </w:rPr>
            </w:pPr>
            <w:r>
              <w:rPr>
                <w:rFonts w:ascii="宋体" w:hAnsi="宋体" w:cs="宋体" w:eastAsia="宋体" w:hint="default"/>
                <w:spacing w:val="-2"/>
                <w:sz w:val="18"/>
                <w:szCs w:val="18"/>
              </w:rPr>
              <w:t>应付股利</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178" w:firstLine="360"/>
              <w:jc w:val="left"/>
              <w:rPr>
                <w:rFonts w:ascii="宋体" w:hAnsi="宋体" w:cs="宋体" w:eastAsia="宋体" w:hint="default"/>
                <w:sz w:val="18"/>
                <w:szCs w:val="18"/>
              </w:rPr>
            </w:pPr>
            <w:r>
              <w:rPr>
                <w:rFonts w:ascii="宋体" w:hAnsi="宋体" w:cs="宋体" w:eastAsia="宋体" w:hint="default"/>
                <w:spacing w:val="-3"/>
                <w:sz w:val="18"/>
                <w:szCs w:val="18"/>
              </w:rPr>
              <w:t>一年内到期的非流动</w:t>
            </w:r>
            <w:r>
              <w:rPr>
                <w:rFonts w:ascii="宋体" w:hAnsi="宋体" w:cs="宋体" w:eastAsia="宋体" w:hint="default"/>
                <w:w w:val="101"/>
                <w:sz w:val="18"/>
                <w:szCs w:val="18"/>
              </w:rPr>
              <w:t> </w:t>
            </w:r>
            <w:r>
              <w:rPr>
                <w:rFonts w:ascii="宋体" w:hAnsi="宋体" w:cs="宋体" w:eastAsia="宋体" w:hint="default"/>
                <w:sz w:val="18"/>
                <w:szCs w:val="18"/>
              </w:rPr>
              <w:t>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1,875,341,128.89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1,875,341,128.89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185"/>
        <w:gridCol w:w="2466"/>
        <w:gridCol w:w="2454"/>
        <w:gridCol w:w="2453"/>
      </w:tblGrid>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351,307.79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351,307.79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其他非流动负债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351,307.79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351,307.79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1,875,692,436.68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1,875,692,436.68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582,194,642.00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582,194,642.00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其中：优先股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9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820,043,583.73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820,043,583.73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-1,504,435.41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-1,504,435.41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39,531,522.48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39,531,522.48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176,984,775.62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176,984,775.62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1,617,250,088.42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1,617,250,088.42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3,492,942,525.10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3,492,942,525.10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4）2019年起执行新金融工具准则或新租赁准则追溯调整前期比较数据说明" w:id="229"/>
      <w:bookmarkEnd w:id="229"/>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b w:val="0"/>
          <w:bCs w:val="0"/>
        </w:rPr>
      </w:r>
    </w:p>
    <w:p>
      <w:pPr>
        <w:spacing w:line="240" w:lineRule="auto" w:before="9"/>
        <w:rPr>
          <w:rFonts w:ascii="宋体" w:hAnsi="宋体" w:cs="宋体" w:eastAsia="宋体" w:hint="default"/>
          <w:b/>
          <w:bCs/>
          <w:sz w:val="26"/>
          <w:szCs w:val="26"/>
        </w:rPr>
      </w:pPr>
    </w:p>
    <w:p>
      <w:pPr>
        <w:pStyle w:val="BodyText"/>
        <w:spacing w:line="410" w:lineRule="auto"/>
        <w:ind w:left="513" w:right="2963" w:hanging="36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新金融工具准则首次执行日，分类与计量改变对上述金融资产项目账面价值的影响：</w:t>
      </w:r>
    </w:p>
    <w:p>
      <w:pPr>
        <w:spacing w:line="240" w:lineRule="auto" w:before="8"/>
        <w:rPr>
          <w:rFonts w:ascii="宋体" w:hAnsi="宋体" w:cs="宋体" w:eastAsia="宋体" w:hint="default"/>
          <w:sz w:val="12"/>
          <w:szCs w:val="12"/>
        </w:rPr>
      </w:pPr>
    </w:p>
    <w:p>
      <w:pPr>
        <w:pStyle w:val="BodyText"/>
        <w:spacing w:line="240" w:lineRule="auto"/>
        <w:ind w:left="2783" w:right="3752"/>
        <w:jc w:val="center"/>
      </w:pPr>
      <w:r>
        <w:rPr>
          <w:spacing w:val="-3"/>
        </w:rPr>
        <w:t>合并资产负债表</w:t>
      </w:r>
    </w:p>
    <w:p>
      <w:pPr>
        <w:spacing w:line="240" w:lineRule="auto" w:before="7"/>
        <w:rPr>
          <w:rFonts w:ascii="宋体" w:hAnsi="宋体" w:cs="宋体" w:eastAsia="宋体" w:hint="default"/>
          <w:sz w:val="21"/>
          <w:szCs w:val="21"/>
        </w:rPr>
      </w:pPr>
    </w:p>
    <w:tbl>
      <w:tblPr>
        <w:tblW w:w="0" w:type="auto"/>
        <w:jc w:val="left"/>
        <w:tblInd w:w="369" w:type="dxa"/>
        <w:tblLayout w:type="fixed"/>
        <w:tblCellMar>
          <w:top w:w="0" w:type="dxa"/>
          <w:left w:w="0" w:type="dxa"/>
          <w:bottom w:w="0" w:type="dxa"/>
          <w:right w:w="0" w:type="dxa"/>
        </w:tblCellMar>
        <w:tblLook w:val="01E0"/>
      </w:tblPr>
      <w:tblGrid>
        <w:gridCol w:w="1811"/>
        <w:gridCol w:w="2266"/>
        <w:gridCol w:w="1705"/>
        <w:gridCol w:w="1306"/>
        <w:gridCol w:w="2103"/>
      </w:tblGrid>
      <w:tr>
        <w:trPr>
          <w:trHeight w:val="346" w:hRule="exact"/>
        </w:trPr>
        <w:tc>
          <w:tcPr>
            <w:tcW w:w="18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67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2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5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51"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266"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4"/>
              <w:jc w:val="right"/>
              <w:rPr>
                <w:rFonts w:ascii="Times New Roman" w:hAnsi="Times New Roman" w:cs="Times New Roman" w:eastAsia="Times New Roman" w:hint="default"/>
                <w:sz w:val="18"/>
                <w:szCs w:val="18"/>
              </w:rPr>
            </w:pPr>
            <w:r>
              <w:rPr>
                <w:rFonts w:ascii="Times New Roman"/>
                <w:spacing w:val="-1"/>
                <w:sz w:val="18"/>
              </w:rPr>
              <w:t>56,018,962.67</w:t>
            </w:r>
          </w:p>
        </w:tc>
        <w:tc>
          <w:tcPr>
            <w:tcW w:w="1306"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7"/>
              <w:ind w:right="-10"/>
              <w:jc w:val="right"/>
              <w:rPr>
                <w:rFonts w:ascii="Times New Roman" w:hAnsi="Times New Roman" w:cs="Times New Roman" w:eastAsia="Times New Roman" w:hint="default"/>
                <w:sz w:val="18"/>
                <w:szCs w:val="18"/>
              </w:rPr>
            </w:pPr>
            <w:r>
              <w:rPr>
                <w:rFonts w:ascii="Times New Roman"/>
                <w:spacing w:val="-1"/>
                <w:sz w:val="18"/>
              </w:rPr>
              <w:t>56,018,962.67</w:t>
            </w:r>
          </w:p>
        </w:tc>
      </w:tr>
      <w:tr>
        <w:trPr>
          <w:trHeight w:val="346"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87,327,904.29</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-56,018,962.67</w:t>
            </w:r>
          </w:p>
        </w:tc>
        <w:tc>
          <w:tcPr>
            <w:tcW w:w="1306"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31,308,941.62</w:t>
            </w:r>
          </w:p>
        </w:tc>
      </w:tr>
      <w:tr>
        <w:trPr>
          <w:trHeight w:val="346"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100,328,986.72</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-25,651,849.28</w:t>
            </w:r>
          </w:p>
        </w:tc>
        <w:tc>
          <w:tcPr>
            <w:tcW w:w="1306"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74,677,137.44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369" w:type="dxa"/>
        <w:tblLayout w:type="fixed"/>
        <w:tblCellMar>
          <w:top w:w="0" w:type="dxa"/>
          <w:left w:w="0" w:type="dxa"/>
          <w:bottom w:w="0" w:type="dxa"/>
          <w:right w:w="0" w:type="dxa"/>
        </w:tblCellMar>
        <w:tblLook w:val="01E0"/>
      </w:tblPr>
      <w:tblGrid>
        <w:gridCol w:w="1811"/>
        <w:gridCol w:w="2266"/>
        <w:gridCol w:w="1705"/>
        <w:gridCol w:w="1306"/>
        <w:gridCol w:w="2103"/>
      </w:tblGrid>
      <w:tr>
        <w:trPr>
          <w:trHeight w:val="346"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66"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653" w:right="-4"/>
              <w:jc w:val="left"/>
              <w:rPr>
                <w:rFonts w:ascii="Times New Roman" w:hAnsi="Times New Roman" w:cs="Times New Roman" w:eastAsia="Times New Roman" w:hint="default"/>
                <w:sz w:val="18"/>
                <w:szCs w:val="18"/>
              </w:rPr>
            </w:pPr>
            <w:r>
              <w:rPr>
                <w:rFonts w:ascii="Times New Roman"/>
                <w:sz w:val="18"/>
              </w:rPr>
              <w:t>25,651,849.28</w:t>
            </w:r>
          </w:p>
        </w:tc>
        <w:tc>
          <w:tcPr>
            <w:tcW w:w="1306"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1056" w:right="-10"/>
              <w:jc w:val="left"/>
              <w:rPr>
                <w:rFonts w:ascii="Times New Roman" w:hAnsi="Times New Roman" w:cs="Times New Roman" w:eastAsia="Times New Roman" w:hint="default"/>
                <w:sz w:val="18"/>
                <w:szCs w:val="18"/>
              </w:rPr>
            </w:pPr>
            <w:r>
              <w:rPr>
                <w:rFonts w:ascii="Times New Roman"/>
                <w:sz w:val="18"/>
              </w:rPr>
              <w:t>25,651,849.28</w:t>
            </w:r>
          </w:p>
        </w:tc>
      </w:tr>
    </w:tbl>
    <w:p>
      <w:pPr>
        <w:spacing w:line="240" w:lineRule="auto" w:before="6"/>
        <w:rPr>
          <w:rFonts w:ascii="宋体" w:hAnsi="宋体" w:cs="宋体" w:eastAsia="宋体" w:hint="default"/>
          <w:sz w:val="6"/>
          <w:szCs w:val="6"/>
        </w:rPr>
      </w:pPr>
    </w:p>
    <w:p>
      <w:pPr>
        <w:pStyle w:val="BodyText"/>
        <w:spacing w:line="240" w:lineRule="auto" w:before="46"/>
        <w:ind w:left="2783" w:right="3752"/>
        <w:jc w:val="center"/>
      </w:pPr>
      <w:r>
        <w:rPr/>
        <w:t>母公司资产负债表</w:t>
      </w:r>
    </w:p>
    <w:p>
      <w:pPr>
        <w:spacing w:line="240" w:lineRule="auto" w:before="3"/>
        <w:rPr>
          <w:rFonts w:ascii="宋体" w:hAnsi="宋体" w:cs="宋体" w:eastAsia="宋体" w:hint="default"/>
          <w:sz w:val="23"/>
          <w:szCs w:val="23"/>
        </w:rPr>
      </w:pPr>
    </w:p>
    <w:tbl>
      <w:tblPr>
        <w:tblW w:w="0" w:type="auto"/>
        <w:jc w:val="left"/>
        <w:tblInd w:w="369" w:type="dxa"/>
        <w:tblLayout w:type="fixed"/>
        <w:tblCellMar>
          <w:top w:w="0" w:type="dxa"/>
          <w:left w:w="0" w:type="dxa"/>
          <w:bottom w:w="0" w:type="dxa"/>
          <w:right w:w="0" w:type="dxa"/>
        </w:tblCellMar>
        <w:tblLook w:val="01E0"/>
      </w:tblPr>
      <w:tblGrid>
        <w:gridCol w:w="1811"/>
        <w:gridCol w:w="2266"/>
        <w:gridCol w:w="1705"/>
        <w:gridCol w:w="1306"/>
        <w:gridCol w:w="2103"/>
      </w:tblGrid>
      <w:tr>
        <w:trPr>
          <w:trHeight w:val="329" w:hRule="exact"/>
        </w:trPr>
        <w:tc>
          <w:tcPr>
            <w:tcW w:w="181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26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676"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12</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31</w:t>
            </w:r>
            <w:r>
              <w:rPr>
                <w:rFonts w:ascii="宋体" w:hAnsi="宋体" w:cs="宋体" w:eastAsia="宋体" w:hint="default"/>
                <w:b/>
                <w:bCs/>
                <w:sz w:val="18"/>
                <w:szCs w:val="18"/>
              </w:rPr>
              <w:t>日</w:t>
            </w:r>
            <w:r>
              <w:rPr>
                <w:rFonts w:ascii="宋体" w:hAnsi="宋体" w:cs="宋体" w:eastAsia="宋体" w:hint="default"/>
                <w:sz w:val="18"/>
                <w:szCs w:val="18"/>
              </w:rPr>
            </w:r>
          </w:p>
        </w:tc>
        <w:tc>
          <w:tcPr>
            <w:tcW w:w="170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9" w:right="0"/>
              <w:jc w:val="center"/>
              <w:rPr>
                <w:rFonts w:ascii="宋体" w:hAnsi="宋体" w:cs="宋体" w:eastAsia="宋体" w:hint="default"/>
                <w:sz w:val="18"/>
                <w:szCs w:val="18"/>
              </w:rPr>
            </w:pPr>
            <w:r>
              <w:rPr>
                <w:rFonts w:ascii="宋体" w:hAnsi="宋体" w:cs="宋体" w:eastAsia="宋体" w:hint="default"/>
                <w:b/>
                <w:bCs/>
                <w:sz w:val="18"/>
                <w:szCs w:val="18"/>
              </w:rPr>
              <w:t>重分类</w:t>
            </w:r>
            <w:r>
              <w:rPr>
                <w:rFonts w:ascii="宋体" w:hAnsi="宋体" w:cs="宋体" w:eastAsia="宋体" w:hint="default"/>
                <w:sz w:val="18"/>
                <w:szCs w:val="18"/>
              </w:rPr>
            </w:r>
          </w:p>
        </w:tc>
        <w:tc>
          <w:tcPr>
            <w:tcW w:w="13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287" w:right="0"/>
              <w:jc w:val="left"/>
              <w:rPr>
                <w:rFonts w:ascii="宋体" w:hAnsi="宋体" w:cs="宋体" w:eastAsia="宋体" w:hint="default"/>
                <w:sz w:val="18"/>
                <w:szCs w:val="18"/>
              </w:rPr>
            </w:pPr>
            <w:r>
              <w:rPr>
                <w:rFonts w:ascii="宋体" w:hAnsi="宋体" w:cs="宋体" w:eastAsia="宋体" w:hint="default"/>
                <w:b/>
                <w:bCs/>
                <w:sz w:val="18"/>
                <w:szCs w:val="18"/>
              </w:rPr>
              <w:t>重新计量</w:t>
            </w:r>
            <w:r>
              <w:rPr>
                <w:rFonts w:ascii="宋体" w:hAnsi="宋体" w:cs="宋体" w:eastAsia="宋体" w:hint="default"/>
                <w:sz w:val="18"/>
                <w:szCs w:val="18"/>
              </w:rPr>
            </w:r>
          </w:p>
        </w:tc>
        <w:tc>
          <w:tcPr>
            <w:tcW w:w="2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
              <w:ind w:left="508"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w:t>
            </w:r>
            <w:r>
              <w:rPr>
                <w:rFonts w:ascii="宋体" w:hAnsi="宋体" w:cs="宋体" w:eastAsia="宋体" w:hint="default"/>
                <w:sz w:val="18"/>
                <w:szCs w:val="18"/>
              </w:rPr>
            </w:r>
          </w:p>
        </w:tc>
      </w:tr>
      <w:tr>
        <w:trPr>
          <w:trHeight w:val="346"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2266"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55,000,000.00</w:t>
            </w:r>
          </w:p>
        </w:tc>
        <w:tc>
          <w:tcPr>
            <w:tcW w:w="1306"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346"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57,659,234.24</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-55,000,000.00</w:t>
            </w:r>
          </w:p>
        </w:tc>
        <w:tc>
          <w:tcPr>
            <w:tcW w:w="1306"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2,659,234.24</w:t>
            </w:r>
          </w:p>
        </w:tc>
      </w:tr>
      <w:tr>
        <w:trPr>
          <w:trHeight w:val="350"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1"/>
                <w:sz w:val="18"/>
              </w:rPr>
              <w:t>12,104,220.30</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-2,590,273.30</w:t>
            </w:r>
          </w:p>
        </w:tc>
        <w:tc>
          <w:tcPr>
            <w:tcW w:w="1306"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9,513,947.00</w:t>
            </w:r>
          </w:p>
        </w:tc>
      </w:tr>
      <w:tr>
        <w:trPr>
          <w:trHeight w:val="346" w:hRule="exact"/>
        </w:trPr>
        <w:tc>
          <w:tcPr>
            <w:tcW w:w="1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66" w:type="dxa"/>
            <w:tcBorders>
              <w:top w:val="single" w:sz="6" w:space="0" w:color="000000"/>
              <w:left w:val="single" w:sz="6" w:space="0" w:color="000000"/>
              <w:bottom w:val="single" w:sz="6" w:space="0" w:color="000000"/>
              <w:right w:val="single" w:sz="6" w:space="0" w:color="000000"/>
            </w:tcBorders>
          </w:tcPr>
          <w:p>
            <w:pP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2,590,273.30</w:t>
            </w:r>
          </w:p>
        </w:tc>
        <w:tc>
          <w:tcPr>
            <w:tcW w:w="1306" w:type="dxa"/>
            <w:tcBorders>
              <w:top w:val="single" w:sz="6" w:space="0" w:color="000000"/>
              <w:left w:val="single" w:sz="6" w:space="0" w:color="000000"/>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2,590,273.30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bookmarkStart w:name="45、其他" w:id="230"/>
      <w:bookmarkEnd w:id="230"/>
      <w:r>
        <w:rPr>
          <w:b w:val="0"/>
          <w:bCs w:val="0"/>
        </w:rPr>
      </w:r>
      <w:r>
        <w:rPr>
          <w:rFonts w:ascii="Times New Roman" w:hAnsi="Times New Roman" w:cs="Times New Roman" w:eastAsia="Times New Roman" w:hint="default"/>
        </w:rPr>
        <w:t>45</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六、税项" w:id="231"/>
      <w:bookmarkEnd w:id="231"/>
      <w:r>
        <w:rPr>
          <w:b w:val="0"/>
          <w:bCs w:val="0"/>
        </w:rPr>
      </w: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主要税种及税率" w:id="232"/>
      <w:bookmarkEnd w:id="232"/>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5" w:hRule="exact"/>
        </w:trPr>
        <w:tc>
          <w:tcPr>
            <w:tcW w:w="31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3" w:type="dxa"/>
            <w:vMerge w:val="restart"/>
            <w:tcBorders>
              <w:top w:val="single" w:sz="4" w:space="0" w:color="000000"/>
              <w:left w:val="single" w:sz="10" w:space="0" w:color="D2D2D2"/>
              <w:right w:val="single" w:sz="4" w:space="0" w:color="000000"/>
            </w:tcBorders>
          </w:tcPr>
          <w:p>
            <w:pPr>
              <w:pStyle w:val="TableParagraph"/>
              <w:spacing w:line="319" w:lineRule="auto" w:before="53"/>
              <w:ind w:left="16" w:right="94"/>
              <w:jc w:val="both"/>
              <w:rPr>
                <w:rFonts w:ascii="宋体" w:hAnsi="宋体" w:cs="宋体" w:eastAsia="宋体" w:hint="default"/>
                <w:sz w:val="18"/>
                <w:szCs w:val="18"/>
              </w:rPr>
            </w:pPr>
            <w:r>
              <w:rPr>
                <w:rFonts w:ascii="宋体" w:hAnsi="宋体" w:cs="宋体" w:eastAsia="宋体" w:hint="default"/>
                <w:spacing w:val="-3"/>
                <w:sz w:val="18"/>
                <w:szCs w:val="18"/>
              </w:rPr>
              <w:t>按税法规定计算的销售货物和应税劳务</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收入为基础计算销项税额，在扣除当期</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允许抵扣的进项税额后，差额部分为应</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交增值税</w:t>
            </w:r>
          </w:p>
        </w:tc>
        <w:tc>
          <w:tcPr>
            <w:tcW w:w="319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w w:val="101"/>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w w:val="101"/>
                <w:sz w:val="18"/>
                <w:szCs w:val="18"/>
              </w:rPr>
              <w:t>日前</w:t>
            </w:r>
            <w:r>
              <w:rPr>
                <w:rFonts w:ascii="宋体" w:hAnsi="宋体" w:cs="宋体" w:eastAsia="宋体" w:hint="default"/>
                <w:spacing w:val="-52"/>
                <w:sz w:val="18"/>
                <w:szCs w:val="18"/>
              </w:rPr>
              <w:t> </w:t>
            </w:r>
            <w:r>
              <w:rPr>
                <w:rFonts w:ascii="Times New Roman" w:hAnsi="Times New Roman" w:cs="Times New Roman" w:eastAsia="Times New Roman" w:hint="default"/>
                <w:w w:val="101"/>
                <w:sz w:val="18"/>
                <w:szCs w:val="18"/>
              </w:rPr>
              <w:t>6</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72"/>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0</w:t>
            </w:r>
            <w:r>
              <w:rPr>
                <w:rFonts w:ascii="Times New Roman" w:hAnsi="Times New Roman" w:cs="Times New Roman" w:eastAsia="Times New Roman" w:hint="default"/>
                <w:spacing w:val="2"/>
                <w:w w:val="101"/>
                <w:sz w:val="18"/>
                <w:szCs w:val="18"/>
              </w:rPr>
              <w:t>%</w:t>
            </w:r>
            <w:r>
              <w:rPr>
                <w:rFonts w:ascii="宋体" w:hAnsi="宋体" w:cs="宋体" w:eastAsia="宋体" w:hint="default"/>
                <w:spacing w:val="-68"/>
                <w:w w:val="101"/>
                <w:sz w:val="18"/>
                <w:szCs w:val="18"/>
              </w:rPr>
              <w:t>、</w:t>
            </w:r>
            <w:r>
              <w:rPr>
                <w:rFonts w:ascii="Times New Roman" w:hAnsi="Times New Roman" w:cs="Times New Roman" w:eastAsia="Times New Roman" w:hint="default"/>
                <w:w w:val="101"/>
                <w:sz w:val="18"/>
                <w:szCs w:val="18"/>
              </w:rPr>
              <w:t>1</w:t>
            </w:r>
            <w:r>
              <w:rPr>
                <w:rFonts w:ascii="Times New Roman" w:hAnsi="Times New Roman" w:cs="Times New Roman" w:eastAsia="Times New Roman" w:hint="default"/>
                <w:spacing w:val="-5"/>
                <w:w w:val="101"/>
                <w:sz w:val="18"/>
                <w:szCs w:val="18"/>
              </w:rPr>
              <w:t>6</w:t>
            </w:r>
            <w:r>
              <w:rPr>
                <w:rFonts w:ascii="Times New Roman" w:hAnsi="Times New Roman" w:cs="Times New Roman" w:eastAsia="Times New Roman" w:hint="default"/>
                <w:spacing w:val="1"/>
                <w:w w:val="101"/>
                <w:sz w:val="18"/>
                <w:szCs w:val="18"/>
              </w:rPr>
              <w:t>%</w:t>
            </w:r>
            <w:r>
              <w:rPr>
                <w:rFonts w:ascii="宋体" w:hAnsi="宋体" w:cs="宋体" w:eastAsia="宋体" w:hint="default"/>
                <w:spacing w:val="-68"/>
                <w:w w:val="101"/>
                <w:sz w:val="18"/>
                <w:szCs w:val="18"/>
              </w:rPr>
              <w:t>；</w:t>
            </w:r>
            <w:r>
              <w:rPr>
                <w:rFonts w:ascii="Times New Roman" w:hAnsi="Times New Roman" w:cs="Times New Roman" w:eastAsia="Times New Roman" w:hint="default"/>
                <w:spacing w:val="-5"/>
                <w:w w:val="101"/>
                <w:sz w:val="18"/>
                <w:szCs w:val="18"/>
              </w:rPr>
              <w:t>2</w:t>
            </w:r>
            <w:r>
              <w:rPr>
                <w:rFonts w:ascii="Times New Roman" w:hAnsi="Times New Roman" w:cs="Times New Roman" w:eastAsia="Times New Roman" w:hint="default"/>
                <w:w w:val="101"/>
                <w:sz w:val="18"/>
                <w:szCs w:val="18"/>
              </w:rPr>
              <w:t>019</w:t>
            </w:r>
            <w:r>
              <w:rPr>
                <w:rFonts w:ascii="Times New Roman" w:hAnsi="Times New Roman" w:cs="Times New Roman" w:eastAsia="Times New Roman" w:hint="default"/>
                <w:sz w:val="18"/>
                <w:szCs w:val="18"/>
              </w:rPr>
            </w:r>
          </w:p>
          <w:p>
            <w:pPr>
              <w:pStyle w:val="TableParagraph"/>
              <w:spacing w:line="240" w:lineRule="auto" w:before="67"/>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394" w:hRule="exact"/>
        </w:trPr>
        <w:tc>
          <w:tcPr>
            <w:tcW w:w="31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vMerge/>
            <w:tcBorders>
              <w:left w:val="single" w:sz="10" w:space="0" w:color="D2D2D2"/>
              <w:right w:val="single" w:sz="4" w:space="0" w:color="000000"/>
            </w:tcBorders>
          </w:tcPr>
          <w:p>
            <w:pPr/>
          </w:p>
        </w:tc>
        <w:tc>
          <w:tcPr>
            <w:tcW w:w="3193" w:type="dxa"/>
            <w:vMerge/>
            <w:tcBorders>
              <w:left w:val="single" w:sz="4" w:space="0" w:color="000000"/>
              <w:right w:val="single" w:sz="4" w:space="0" w:color="000000"/>
            </w:tcBorders>
          </w:tcPr>
          <w:p>
            <w:pPr/>
          </w:p>
        </w:tc>
      </w:tr>
      <w:tr>
        <w:trPr>
          <w:trHeight w:val="470" w:hRule="exact"/>
        </w:trPr>
        <w:tc>
          <w:tcPr>
            <w:tcW w:w="3188"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3" w:type="dxa"/>
            <w:vMerge/>
            <w:tcBorders>
              <w:left w:val="single" w:sz="10" w:space="0" w:color="D2D2D2"/>
              <w:bottom w:val="single" w:sz="4" w:space="0" w:color="000000"/>
              <w:right w:val="single" w:sz="4" w:space="0" w:color="000000"/>
            </w:tcBorders>
          </w:tcPr>
          <w:p>
            <w:pPr/>
          </w:p>
        </w:tc>
        <w:tc>
          <w:tcPr>
            <w:tcW w:w="3193" w:type="dxa"/>
            <w:vMerge/>
            <w:tcBorders>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4"/>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5%</w:t>
            </w:r>
            <w:r>
              <w:rPr>
                <w:rFonts w:ascii="Times New Roman" w:hAnsi="Times New Roman" w:cs="Times New Roman" w:eastAsia="Times New Roman" w:hint="default"/>
                <w:sz w:val="18"/>
                <w:szCs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16"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地方教育费附加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3"/>
        <w:ind w:right="0"/>
        <w:jc w:val="left"/>
      </w:pPr>
      <w:r>
        <w:rPr>
          <w:spacing w:val="-3"/>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印尼合纵电气有限公司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合纵智豐科技有限公司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税收优惠" w:id="233"/>
      <w:bookmarkEnd w:id="23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spacing w:val="-3"/>
        </w:rPr>
        <w:t>（</w:t>
      </w:r>
      <w:r>
        <w:rPr>
          <w:rFonts w:ascii="Times New Roman" w:hAnsi="Times New Roman" w:cs="Times New Roman" w:eastAsia="Times New Roman" w:hint="default"/>
          <w:spacing w:val="-3"/>
        </w:rPr>
        <w:t>1</w:t>
      </w:r>
      <w:r>
        <w:rPr>
          <w:spacing w:val="-3"/>
        </w:rPr>
        <w:t>）本公司位于国家级高新技术产业开发区北京中关村科技园，为高新技术企业，</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10</w:t>
      </w:r>
      <w:r>
        <w:rPr>
          <w:spacing w:val="-3"/>
        </w:rPr>
        <w:t>月</w:t>
      </w:r>
      <w:r>
        <w:rPr>
          <w:rFonts w:ascii="Times New Roman" w:hAnsi="Times New Roman" w:cs="Times New Roman" w:eastAsia="Times New Roman" w:hint="default"/>
          <w:spacing w:val="-3"/>
        </w:rPr>
        <w:t>25</w:t>
      </w:r>
      <w:r>
        <w:rPr>
          <w:spacing w:val="-3"/>
        </w:rPr>
        <w:t>日重新取得了编号为</w:t>
      </w:r>
    </w:p>
    <w:p>
      <w:pPr>
        <w:pStyle w:val="BodyText"/>
        <w:spacing w:line="240" w:lineRule="auto" w:before="63"/>
        <w:ind w:right="0"/>
        <w:jc w:val="left"/>
      </w:pPr>
      <w:r>
        <w:rPr>
          <w:rFonts w:ascii="Times New Roman" w:hAnsi="Times New Roman" w:cs="Times New Roman" w:eastAsia="Times New Roman" w:hint="default"/>
        </w:rPr>
        <w:t>GR201711004153</w:t>
      </w:r>
      <w:r>
        <w:rPr/>
        <w:t>的《高新技术企业证书》，有效期三年。本报告期企业所得税税率为</w:t>
      </w:r>
      <w:r>
        <w:rPr>
          <w:rFonts w:ascii="Times New Roman" w:hAnsi="Times New Roman" w:cs="Times New Roman" w:eastAsia="Times New Roman" w:hint="default"/>
        </w:rPr>
        <w:t>15.00%</w:t>
      </w:r>
      <w:r>
        <w:rPr/>
        <w:t>。</w:t>
      </w:r>
    </w:p>
    <w:p>
      <w:pPr>
        <w:pStyle w:val="BodyText"/>
        <w:spacing w:line="300" w:lineRule="auto" w:before="63"/>
        <w:ind w:right="0" w:firstLine="360"/>
        <w:jc w:val="left"/>
      </w:pPr>
      <w:r>
        <w:rPr>
          <w:spacing w:val="-2"/>
        </w:rPr>
        <w:t>（</w:t>
      </w:r>
      <w:r>
        <w:rPr>
          <w:rFonts w:ascii="Times New Roman" w:hAnsi="Times New Roman" w:cs="Times New Roman" w:eastAsia="Times New Roman" w:hint="default"/>
          <w:spacing w:val="-2"/>
        </w:rPr>
        <w:t>2</w:t>
      </w:r>
      <w:r>
        <w:rPr>
          <w:spacing w:val="-2"/>
        </w:rPr>
        <w:t>）本公司之子公司北京合纵实科电力科技有限公司于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10</w:t>
      </w:r>
      <w:r>
        <w:rPr>
          <w:spacing w:val="-2"/>
        </w:rPr>
        <w:t>日，取得编号为</w:t>
      </w:r>
      <w:r>
        <w:rPr>
          <w:rFonts w:ascii="Times New Roman" w:hAnsi="Times New Roman" w:cs="Times New Roman" w:eastAsia="Times New Roman" w:hint="default"/>
          <w:spacing w:val="-2"/>
        </w:rPr>
        <w:t>GR201811002757</w:t>
      </w:r>
      <w:r>
        <w:rPr>
          <w:spacing w:val="-2"/>
        </w:rPr>
        <w:t>号的《高新技术</w:t>
      </w:r>
      <w:r>
        <w:rPr>
          <w:w w:val="101"/>
        </w:rPr>
        <w:t> </w:t>
      </w:r>
      <w:r>
        <w:rPr>
          <w:spacing w:val="-3"/>
        </w:rPr>
        <w:t>企业证书》，有效期三年。本报告期企业所得税税率为</w:t>
      </w:r>
      <w:r>
        <w:rPr>
          <w:rFonts w:ascii="Times New Roman" w:hAnsi="Times New Roman" w:cs="Times New Roman" w:eastAsia="Times New Roman" w:hint="default"/>
          <w:spacing w:val="-3"/>
        </w:rPr>
        <w:t>15.00%</w:t>
      </w:r>
      <w:r>
        <w:rPr>
          <w:spacing w:val="-3"/>
        </w:rPr>
        <w:t>。</w:t>
      </w:r>
    </w:p>
    <w:p>
      <w:pPr>
        <w:pStyle w:val="BodyText"/>
        <w:spacing w:line="300" w:lineRule="auto" w:before="13"/>
        <w:ind w:right="0" w:firstLine="360"/>
        <w:jc w:val="left"/>
      </w:pPr>
      <w:r>
        <w:rPr>
          <w:spacing w:val="-4"/>
        </w:rPr>
        <w:t>（</w:t>
      </w:r>
      <w:r>
        <w:rPr>
          <w:rFonts w:ascii="Times New Roman" w:hAnsi="Times New Roman" w:cs="Times New Roman" w:eastAsia="Times New Roman" w:hint="default"/>
          <w:spacing w:val="-4"/>
        </w:rPr>
        <w:t>3</w:t>
      </w:r>
      <w:r>
        <w:rPr>
          <w:spacing w:val="-4"/>
        </w:rPr>
        <w:t>）本公司之子公司天津合纵电力设备有限公司于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11</w:t>
      </w:r>
      <w:r>
        <w:rPr>
          <w:spacing w:val="-4"/>
        </w:rPr>
        <w:t>月</w:t>
      </w:r>
      <w:r>
        <w:rPr>
          <w:rFonts w:ascii="Times New Roman" w:hAnsi="Times New Roman" w:cs="Times New Roman" w:eastAsia="Times New Roman" w:hint="default"/>
          <w:spacing w:val="-4"/>
        </w:rPr>
        <w:t>28</w:t>
      </w:r>
      <w:r>
        <w:rPr>
          <w:spacing w:val="-4"/>
        </w:rPr>
        <w:t>日取得了编号为</w:t>
      </w:r>
      <w:r>
        <w:rPr>
          <w:rFonts w:ascii="Times New Roman" w:hAnsi="Times New Roman" w:cs="Times New Roman" w:eastAsia="Times New Roman" w:hint="default"/>
          <w:spacing w:val="-4"/>
        </w:rPr>
        <w:t>GR201912000771</w:t>
      </w:r>
      <w:r>
        <w:rPr>
          <w:spacing w:val="-4"/>
        </w:rPr>
        <w:t>号的《高新技术企业</w:t>
      </w:r>
      <w:r>
        <w:rPr>
          <w:w w:val="101"/>
        </w:rPr>
        <w:t> </w:t>
      </w:r>
      <w:r>
        <w:rPr>
          <w:spacing w:val="-3"/>
        </w:rPr>
        <w:t>证书》，有效期三年，本报告期企业所得税税率为</w:t>
      </w:r>
      <w:r>
        <w:rPr>
          <w:rFonts w:ascii="Times New Roman" w:hAnsi="Times New Roman" w:cs="Times New Roman" w:eastAsia="Times New Roman" w:hint="default"/>
          <w:spacing w:val="-3"/>
        </w:rPr>
        <w:t>15.00%</w:t>
      </w:r>
      <w:r>
        <w:rPr>
          <w:spacing w:val="-3"/>
        </w:rPr>
        <w:t>。</w:t>
      </w:r>
    </w:p>
    <w:p>
      <w:pPr>
        <w:pStyle w:val="BodyText"/>
        <w:spacing w:line="240" w:lineRule="auto" w:before="13"/>
        <w:ind w:left="513" w:right="0"/>
        <w:jc w:val="left"/>
      </w:pPr>
      <w:r>
        <w:rPr>
          <w:spacing w:val="-4"/>
        </w:rPr>
        <w:t>（</w:t>
      </w:r>
      <w:r>
        <w:rPr>
          <w:rFonts w:ascii="Times New Roman" w:hAnsi="Times New Roman" w:cs="Times New Roman" w:eastAsia="Times New Roman" w:hint="default"/>
          <w:spacing w:val="-4"/>
        </w:rPr>
        <w:t>4</w:t>
      </w:r>
      <w:r>
        <w:rPr>
          <w:spacing w:val="-4"/>
        </w:rPr>
        <w:t>）本公司之子公司湖南雅城新材料有限公司于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5</w:t>
      </w:r>
      <w:r>
        <w:rPr>
          <w:spacing w:val="-4"/>
        </w:rPr>
        <w:t>日重新取得了编号为</w:t>
      </w:r>
      <w:r>
        <w:rPr>
          <w:rFonts w:ascii="Times New Roman" w:hAnsi="Times New Roman" w:cs="Times New Roman" w:eastAsia="Times New Roman" w:hint="default"/>
          <w:spacing w:val="-4"/>
        </w:rPr>
        <w:t>GR201743000026</w:t>
      </w:r>
      <w:r>
        <w:rPr>
          <w:spacing w:val="-4"/>
        </w:rPr>
        <w:t>的《高新技术企业证</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1"/>
          <w:szCs w:val="21"/>
        </w:rPr>
      </w:pPr>
    </w:p>
    <w:p>
      <w:pPr>
        <w:pStyle w:val="BodyText"/>
        <w:spacing w:line="240" w:lineRule="auto" w:before="46"/>
        <w:ind w:right="0"/>
        <w:jc w:val="left"/>
      </w:pPr>
      <w:r>
        <w:rPr>
          <w:spacing w:val="-3"/>
        </w:rPr>
        <w:t>书》，有效期三年。本报告期企业所得税税率为</w:t>
      </w:r>
      <w:r>
        <w:rPr>
          <w:rFonts w:ascii="Times New Roman" w:hAnsi="Times New Roman" w:cs="Times New Roman" w:eastAsia="Times New Roman" w:hint="default"/>
          <w:spacing w:val="-3"/>
        </w:rPr>
        <w:t>15.00%</w:t>
      </w:r>
      <w:r>
        <w:rPr>
          <w:spacing w:val="-3"/>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bookmarkStart w:name="3、其他" w:id="234"/>
      <w:bookmarkEnd w:id="234"/>
      <w:r>
        <w:rPr>
          <w:b w:val="0"/>
          <w:bCs w:val="0"/>
        </w:rPr>
      </w: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rPr>
          <w:rFonts w:ascii="Times New Roman" w:hAnsi="Times New Roman" w:cs="Times New Roman" w:eastAsia="Times New Roman" w:hint="default"/>
        </w:rPr>
      </w:pPr>
      <w:r>
        <w:rPr>
          <w:spacing w:val="-3"/>
        </w:rPr>
        <w:t>本公司之间接控股全资子公司雅城（国际）有限公司的注册地为中国香港，企业所得税税率为</w:t>
      </w:r>
      <w:r>
        <w:rPr>
          <w:rFonts w:ascii="Times New Roman" w:hAnsi="Times New Roman" w:cs="Times New Roman" w:eastAsia="Times New Roman" w:hint="default"/>
          <w:spacing w:val="-3"/>
        </w:rPr>
        <w:t>16.50%</w:t>
      </w:r>
    </w:p>
    <w:p>
      <w:pPr>
        <w:spacing w:line="240" w:lineRule="auto" w:before="11"/>
        <w:rPr>
          <w:rFonts w:ascii="Times New Roman" w:hAnsi="Times New Roman" w:cs="Times New Roman" w:eastAsia="Times New Roman" w:hint="default"/>
          <w:sz w:val="26"/>
          <w:szCs w:val="26"/>
        </w:rPr>
      </w:pPr>
    </w:p>
    <w:p>
      <w:pPr>
        <w:pStyle w:val="Heading2"/>
        <w:spacing w:line="240" w:lineRule="auto"/>
        <w:ind w:right="0"/>
        <w:jc w:val="left"/>
        <w:rPr>
          <w:b w:val="0"/>
          <w:bCs w:val="0"/>
        </w:rPr>
      </w:pPr>
      <w:bookmarkStart w:name="七、合并财务报表项目注释" w:id="235"/>
      <w:bookmarkEnd w:id="235"/>
      <w:r>
        <w:rPr>
          <w:b w:val="0"/>
          <w:bCs w:val="0"/>
        </w:rPr>
      </w:r>
      <w:r>
        <w:rPr/>
        <w:t>七、合并财务报表项目注释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货币资金" w:id="236"/>
      <w:bookmarkEnd w:id="236"/>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12,721.24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290,327.54</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70,097,283.05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236,315,806.18</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90,994,756.39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65,615,684.51</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161,104,760.68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302,221,818.23</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pacing w:val="-3"/>
                <w:sz w:val="18"/>
                <w:szCs w:val="18"/>
              </w:rPr>
              <w:t>其中：存放在境外的款项总额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4,863,070.40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1,755,069.37</w:t>
            </w:r>
          </w:p>
        </w:tc>
      </w:tr>
      <w:tr>
        <w:trPr>
          <w:trHeight w:val="716"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80" w:firstLine="720"/>
              <w:jc w:val="left"/>
              <w:rPr>
                <w:rFonts w:ascii="宋体" w:hAnsi="宋体" w:cs="宋体" w:eastAsia="宋体" w:hint="default"/>
                <w:sz w:val="18"/>
                <w:szCs w:val="18"/>
              </w:rPr>
            </w:pPr>
            <w:r>
              <w:rPr>
                <w:rFonts w:ascii="宋体" w:hAnsi="宋体" w:cs="宋体" w:eastAsia="宋体" w:hint="default"/>
                <w:spacing w:val="-3"/>
                <w:sz w:val="18"/>
                <w:szCs w:val="18"/>
              </w:rPr>
              <w:t>因抵押、质押或冻结等对使用</w:t>
            </w:r>
            <w:r>
              <w:rPr>
                <w:rFonts w:ascii="宋体" w:hAnsi="宋体" w:cs="宋体" w:eastAsia="宋体" w:hint="default"/>
                <w:w w:val="101"/>
                <w:sz w:val="18"/>
                <w:szCs w:val="18"/>
              </w:rPr>
              <w:t> </w:t>
            </w:r>
            <w:r>
              <w:rPr>
                <w:rFonts w:ascii="宋体" w:hAnsi="宋体" w:cs="宋体" w:eastAsia="宋体" w:hint="default"/>
                <w:sz w:val="18"/>
                <w:szCs w:val="18"/>
              </w:rPr>
              <w:t>有限制的款项总额</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96,673,340.62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65,615,684.51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交易性金融资产" w:id="237"/>
      <w:bookmarkEnd w:id="237"/>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3"/>
        <w:gridCol w:w="3193"/>
      </w:tblGrid>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1"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以公允价值计量且其变动计入当期损益</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的金融资产</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21,880,877.59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结构性存款及理财产品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21,880,877.59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21,880,877.59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衍生金融资产" w:id="238"/>
      <w:bookmarkEnd w:id="23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4、应收票据" w:id="239"/>
      <w:bookmarkEnd w:id="23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40"/>
      <w:bookmarkEnd w:id="24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footerReference w:type="default" r:id="rId20"/>
          <w:pgSz w:w="11910" w:h="16840"/>
          <w:pgMar w:footer="979" w:header="871" w:top="1100" w:bottom="1160" w:left="980" w:right="0"/>
          <w:pgNumType w:start="122"/>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3" w:type="dxa"/>
            <w:tcBorders>
              <w:top w:val="single" w:sz="4" w:space="0" w:color="000000"/>
              <w:left w:val="single" w:sz="10"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25,651,849.28</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134,367,876.02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74,677,137.44</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134,367,876.02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100,328,986.72</w:t>
            </w:r>
          </w:p>
        </w:tc>
      </w:tr>
    </w:tbl>
    <w:p>
      <w:pPr>
        <w:pStyle w:val="BodyText"/>
        <w:spacing w:line="240" w:lineRule="auto" w:before="53"/>
        <w:ind w:right="0"/>
        <w:jc w:val="left"/>
      </w:pPr>
      <w:r>
        <w:rPr>
          <w:spacing w:val="-3"/>
        </w:rPr>
        <w:t>如是按照预期信用损失一般模型计提应收票据坏账准备，请参照其他应收款的披露方式披露坏账准备的相关信息：</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本期计提、收回或转回的坏账准备情况" w:id="241"/>
      <w:bookmarkEnd w:id="24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其中本期坏账准备收回或转回金额重要的：</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3）期末公司已质押的应收票据" w:id="242"/>
      <w:bookmarkEnd w:id="242"/>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pacing w:val="-3"/>
                <w:sz w:val="18"/>
                <w:szCs w:val="18"/>
              </w:rPr>
              <w:t>期末已质押金额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22,100,000.00</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22,100,000.00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期末公司已背书或贴现且在资产负债表日尚未到期的应收票据" w:id="243"/>
      <w:bookmarkEnd w:id="243"/>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878"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82" w:right="0"/>
              <w:jc w:val="left"/>
              <w:rPr>
                <w:rFonts w:ascii="宋体" w:hAnsi="宋体" w:cs="宋体" w:eastAsia="宋体" w:hint="default"/>
                <w:sz w:val="18"/>
                <w:szCs w:val="18"/>
              </w:rPr>
            </w:pPr>
            <w:r>
              <w:rPr>
                <w:rFonts w:ascii="宋体" w:hAnsi="宋体" w:cs="宋体" w:eastAsia="宋体" w:hint="default"/>
                <w:spacing w:val="-3"/>
                <w:sz w:val="18"/>
                <w:szCs w:val="18"/>
              </w:rPr>
              <w:t>期末未终止确认金额</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3,816,322.43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104,831,923.42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3,816,322.43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104,831,923.42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期末公司因出票人未履约而将其转应收账款的票据" w:id="244"/>
      <w:bookmarkEnd w:id="244"/>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6）本期实际核销的应收票据情况" w:id="245"/>
      <w:bookmarkEnd w:id="245"/>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应收账款" w:id="246"/>
      <w:bookmarkEnd w:id="24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47"/>
      <w:bookmarkEnd w:id="24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3837"/>
        <w:gridCol w:w="4096"/>
      </w:tblGrid>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613"/>
        <w:gridCol w:w="776"/>
        <w:gridCol w:w="758"/>
        <w:gridCol w:w="764"/>
        <w:gridCol w:w="764"/>
        <w:gridCol w:w="787"/>
        <w:gridCol w:w="778"/>
        <w:gridCol w:w="797"/>
        <w:gridCol w:w="797"/>
        <w:gridCol w:w="792"/>
        <w:gridCol w:w="931"/>
      </w:tblGrid>
      <w:tr>
        <w:trPr>
          <w:trHeight w:val="403" w:hRule="exact"/>
        </w:trPr>
        <w:tc>
          <w:tcPr>
            <w:tcW w:w="1613" w:type="dxa"/>
            <w:vMerge w:val="restart"/>
            <w:tcBorders>
              <w:top w:val="single" w:sz="4" w:space="0" w:color="000000"/>
              <w:left w:val="single" w:sz="4" w:space="0" w:color="000000"/>
              <w:right w:val="single" w:sz="4" w:space="0" w:color="000000"/>
            </w:tcBorders>
            <w:shd w:val="clear" w:color="auto" w:fill="D2D2D2"/>
          </w:tcPr>
          <w:p>
            <w:pPr/>
          </w:p>
        </w:tc>
        <w:tc>
          <w:tcPr>
            <w:tcW w:w="15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613" w:type="dxa"/>
            <w:vMerge/>
            <w:tcBorders>
              <w:left w:val="single" w:sz="4" w:space="0" w:color="000000"/>
              <w:right w:val="single" w:sz="4" w:space="0" w:color="000000"/>
            </w:tcBorders>
            <w:shd w:val="clear" w:color="auto" w:fill="D2D2D2"/>
          </w:tcPr>
          <w:p>
            <w:pPr/>
          </w:p>
        </w:tc>
        <w:tc>
          <w:tcPr>
            <w:tcW w:w="7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87" w:right="105"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3" w:type="dxa"/>
            <w:vMerge/>
            <w:tcBorders>
              <w:left w:val="single" w:sz="4" w:space="0" w:color="000000"/>
              <w:right w:val="single" w:sz="4" w:space="0" w:color="000000"/>
            </w:tcBorders>
            <w:shd w:val="clear" w:color="auto" w:fill="D2D2D2"/>
          </w:tcPr>
          <w:p>
            <w:pPr/>
          </w:p>
        </w:tc>
        <w:tc>
          <w:tcPr>
            <w:tcW w:w="7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0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3" w:type="dxa"/>
            <w:vMerge/>
            <w:tcBorders>
              <w:left w:val="single" w:sz="4" w:space="0" w:color="000000"/>
              <w:right w:val="single" w:sz="4" w:space="0" w:color="000000"/>
            </w:tcBorders>
            <w:shd w:val="clear" w:color="auto" w:fill="D2D2D2"/>
          </w:tcPr>
          <w:p>
            <w:pPr/>
          </w:p>
        </w:tc>
        <w:tc>
          <w:tcPr>
            <w:tcW w:w="776"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59" w:hRule="exact"/>
        </w:trPr>
        <w:tc>
          <w:tcPr>
            <w:tcW w:w="1613" w:type="dxa"/>
            <w:vMerge/>
            <w:tcBorders>
              <w:left w:val="single" w:sz="4" w:space="0" w:color="000000"/>
              <w:bottom w:val="single" w:sz="4" w:space="0" w:color="000000"/>
              <w:right w:val="single" w:sz="4" w:space="0" w:color="000000"/>
            </w:tcBorders>
            <w:shd w:val="clear" w:color="auto" w:fill="D2D2D2"/>
          </w:tcPr>
          <w:p>
            <w:pPr/>
          </w:p>
        </w:tc>
        <w:tc>
          <w:tcPr>
            <w:tcW w:w="7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2" w:right="144"/>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73,052,41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4.87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8" w:right="0"/>
              <w:jc w:val="left"/>
              <w:rPr>
                <w:rFonts w:ascii="Times New Roman" w:hAnsi="Times New Roman" w:cs="Times New Roman" w:eastAsia="Times New Roman" w:hint="default"/>
                <w:sz w:val="18"/>
                <w:szCs w:val="18"/>
              </w:rPr>
            </w:pPr>
            <w:r>
              <w:rPr>
                <w:rFonts w:ascii="Times New Roman"/>
                <w:sz w:val="18"/>
              </w:rPr>
              <w:t>18,814,57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5"/>
              <w:jc w:val="right"/>
              <w:rPr>
                <w:rFonts w:ascii="Times New Roman" w:hAnsi="Times New Roman" w:cs="Times New Roman" w:eastAsia="Times New Roman" w:hint="default"/>
                <w:sz w:val="18"/>
                <w:szCs w:val="18"/>
              </w:rPr>
            </w:pPr>
            <w:r>
              <w:rPr>
                <w:rFonts w:ascii="Times New Roman"/>
                <w:spacing w:val="-1"/>
                <w:sz w:val="18"/>
              </w:rPr>
              <w:t>54,237,843.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03</w:t>
            </w:r>
          </w:p>
        </w:tc>
      </w:tr>
      <w:tr>
        <w:trPr>
          <w:trHeight w:val="403"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12" w:right="144"/>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1,396,64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7,896.92</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3" w:right="0"/>
              <w:jc w:val="center"/>
              <w:rPr>
                <w:rFonts w:ascii="Times New Roman" w:hAnsi="Times New Roman" w:cs="Times New Roman" w:eastAsia="Times New Roman" w:hint="default"/>
                <w:sz w:val="18"/>
                <w:szCs w:val="18"/>
              </w:rPr>
            </w:pPr>
            <w:r>
              <w:rPr>
                <w:rFonts w:ascii="Times New Roman"/>
                <w:sz w:val="18"/>
              </w:rPr>
              <w:t>121,411,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956.61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8.69%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1,275,235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,940.31</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1,260,144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,940.78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91,780,81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3.92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1,168,364,1</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26.86</w:t>
            </w:r>
          </w:p>
        </w:tc>
      </w:tr>
      <w:tr>
        <w:trPr>
          <w:trHeight w:val="398" w:hRule="exact"/>
        </w:trPr>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3" w:hRule="exact"/>
        </w:trPr>
        <w:tc>
          <w:tcPr>
            <w:tcW w:w="16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76" w:type="dxa"/>
            <w:vMerge w:val="restart"/>
            <w:tcBorders>
              <w:top w:val="single" w:sz="4" w:space="0" w:color="000000"/>
              <w:left w:val="single" w:sz="10" w:space="0" w:color="D2D2D2"/>
              <w:right w:val="single" w:sz="4" w:space="0" w:color="000000"/>
            </w:tcBorders>
          </w:tcPr>
          <w:p>
            <w:pPr>
              <w:pStyle w:val="TableParagraph"/>
              <w:spacing w:line="240" w:lineRule="auto" w:before="100"/>
              <w:ind w:left="105" w:right="0"/>
              <w:jc w:val="left"/>
              <w:rPr>
                <w:rFonts w:ascii="Times New Roman" w:hAnsi="Times New Roman" w:cs="Times New Roman" w:eastAsia="Times New Roman" w:hint="default"/>
                <w:sz w:val="18"/>
                <w:szCs w:val="18"/>
              </w:rPr>
            </w:pPr>
            <w:r>
              <w:rPr>
                <w:rFonts w:ascii="Times New Roman"/>
                <w:sz w:val="18"/>
              </w:rPr>
              <w:t>1,396,64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7,896.92</w:t>
            </w:r>
          </w:p>
        </w:tc>
        <w:tc>
          <w:tcPr>
            <w:tcW w:w="75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100"/>
              <w:ind w:left="83" w:right="0"/>
              <w:jc w:val="center"/>
              <w:rPr>
                <w:rFonts w:ascii="Times New Roman" w:hAnsi="Times New Roman" w:cs="Times New Roman" w:eastAsia="Times New Roman" w:hint="default"/>
                <w:sz w:val="18"/>
                <w:szCs w:val="18"/>
              </w:rPr>
            </w:pPr>
            <w:r>
              <w:rPr>
                <w:rFonts w:ascii="Times New Roman"/>
                <w:sz w:val="18"/>
              </w:rPr>
              <w:t>121,411,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956.61</w:t>
            </w:r>
          </w:p>
        </w:tc>
        <w:tc>
          <w:tcPr>
            <w:tcW w:w="76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8.69%</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00"/>
              <w:ind w:left="23" w:right="0"/>
              <w:jc w:val="center"/>
              <w:rPr>
                <w:rFonts w:ascii="Times New Roman" w:hAnsi="Times New Roman" w:cs="Times New Roman" w:eastAsia="Times New Roman" w:hint="default"/>
                <w:sz w:val="18"/>
                <w:szCs w:val="18"/>
              </w:rPr>
            </w:pPr>
            <w:r>
              <w:rPr>
                <w:rFonts w:ascii="Times New Roman"/>
                <w:sz w:val="18"/>
              </w:rPr>
              <w:t>1,275,235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,940.31</w:t>
            </w:r>
          </w:p>
        </w:tc>
        <w:tc>
          <w:tcPr>
            <w:tcW w:w="778" w:type="dxa"/>
            <w:vMerge w:val="restart"/>
            <w:tcBorders>
              <w:top w:val="single" w:sz="4" w:space="0" w:color="000000"/>
              <w:left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8"/>
                <w:szCs w:val="18"/>
              </w:rPr>
            </w:pPr>
            <w:r>
              <w:rPr>
                <w:rFonts w:ascii="Times New Roman"/>
                <w:sz w:val="18"/>
              </w:rPr>
              <w:t>1,333,197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,355.65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00"/>
              <w:ind w:left="53" w:right="0"/>
              <w:jc w:val="left"/>
              <w:rPr>
                <w:rFonts w:ascii="Times New Roman" w:hAnsi="Times New Roman" w:cs="Times New Roman" w:eastAsia="Times New Roman" w:hint="default"/>
                <w:sz w:val="18"/>
                <w:szCs w:val="18"/>
              </w:rPr>
            </w:pPr>
            <w:r>
              <w:rPr>
                <w:rFonts w:ascii="Times New Roman"/>
                <w:sz w:val="18"/>
              </w:rPr>
              <w:t>110,595,3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85.76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8.30%</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1,222,601,9</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69.89</w:t>
            </w:r>
          </w:p>
        </w:tc>
      </w:tr>
      <w:tr>
        <w:trPr>
          <w:trHeight w:val="394" w:hRule="exact"/>
        </w:trPr>
        <w:tc>
          <w:tcPr>
            <w:tcW w:w="16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6" w:type="dxa"/>
            <w:vMerge/>
            <w:tcBorders>
              <w:left w:val="single" w:sz="10" w:space="0" w:color="D2D2D2"/>
              <w:right w:val="single" w:sz="4" w:space="0" w:color="000000"/>
            </w:tcBorders>
          </w:tcPr>
          <w:p>
            <w:pPr/>
          </w:p>
        </w:tc>
        <w:tc>
          <w:tcPr>
            <w:tcW w:w="758"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64" w:type="dxa"/>
            <w:vMerge/>
            <w:tcBorders>
              <w:left w:val="single" w:sz="4" w:space="0" w:color="000000"/>
              <w:right w:val="single" w:sz="4" w:space="0" w:color="000000"/>
            </w:tcBorders>
          </w:tcPr>
          <w:p>
            <w:pPr/>
          </w:p>
        </w:tc>
        <w:tc>
          <w:tcPr>
            <w:tcW w:w="787"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58" w:hRule="exact"/>
        </w:trPr>
        <w:tc>
          <w:tcPr>
            <w:tcW w:w="16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76" w:type="dxa"/>
            <w:vMerge/>
            <w:tcBorders>
              <w:left w:val="single" w:sz="10" w:space="0" w:color="D2D2D2"/>
              <w:bottom w:val="single" w:sz="4" w:space="0" w:color="000000"/>
              <w:right w:val="single" w:sz="4" w:space="0" w:color="000000"/>
            </w:tcBorders>
          </w:tcPr>
          <w:p>
            <w:pPr/>
          </w:p>
        </w:tc>
        <w:tc>
          <w:tcPr>
            <w:tcW w:w="758"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64"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如是按照预期信用损失一般模型计提应收账款坏账准备，请参照其他应收款的披露方式披露坏账准备的相关信息：</w:t>
      </w:r>
    </w:p>
    <w:p>
      <w:pPr>
        <w:pStyle w:val="BodyText"/>
        <w:spacing w:line="240" w:lineRule="auto" w:before="120"/>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2783" w:right="3756"/>
        <w:jc w:val="center"/>
      </w:pPr>
      <w:r>
        <w:rPr/>
        <w:t>按账龄披露</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948,966,813.86</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2"/>
                <w:sz w:val="18"/>
              </w:rPr>
              <w:t>274,611,047.56</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143,209,025.72</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29,861,009.78</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21,984,292.61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5,040,787.27</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2,835,929.90</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1,396,647,896.92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248"/>
      <w:bookmarkEnd w:id="24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2783" w:right="3751"/>
        <w:jc w:val="center"/>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应收账款坏账准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110,595,385.76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10,816,570.84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121,411,956.61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110,595,385.76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10,816,570.84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121,411,956.61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249"/>
      <w:bookmarkEnd w:id="24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4）按欠款方归集的期末余额前五名的应收账款情况" w:id="250"/>
      <w:bookmarkEnd w:id="25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3"/>
        <w:gridCol w:w="2531"/>
        <w:gridCol w:w="2526"/>
        <w:gridCol w:w="2531"/>
      </w:tblGrid>
      <w:tr>
        <w:trPr>
          <w:trHeight w:val="716"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080" w:right="79" w:hanging="989"/>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比例</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66,309,400.93</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4.75%</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3,905,244.17</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53,505,926.41</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3.83%</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2,675,296.32</w:t>
            </w:r>
          </w:p>
        </w:tc>
      </w:tr>
      <w:tr>
        <w:trPr>
          <w:trHeight w:val="404"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53,408,284.09</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3.82%</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2,670,414.20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42,742,682.76</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3.06%</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2,137,134.14</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40,655,421.87</w:t>
            </w:r>
          </w:p>
        </w:tc>
        <w:tc>
          <w:tcPr>
            <w:tcW w:w="2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2.91%</w:t>
            </w:r>
          </w:p>
        </w:tc>
        <w:tc>
          <w:tcPr>
            <w:tcW w:w="2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3,683,368.96</w:t>
            </w:r>
          </w:p>
        </w:tc>
      </w:tr>
      <w:tr>
        <w:trPr>
          <w:trHeight w:val="398"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256,621,716.06</w:t>
            </w:r>
          </w:p>
        </w:tc>
        <w:tc>
          <w:tcPr>
            <w:tcW w:w="2526" w:type="dxa"/>
            <w:tcBorders>
              <w:top w:val="single" w:sz="4" w:space="0" w:color="000000"/>
              <w:left w:val="single" w:sz="4" w:space="0" w:color="000000"/>
              <w:bottom w:val="single" w:sz="4" w:space="0" w:color="000000"/>
              <w:right w:val="single" w:sz="16" w:space="0" w:color="D2D2D2"/>
            </w:tcBorders>
          </w:tcPr>
          <w:p>
            <w:pPr>
              <w:pStyle w:val="TableParagraph"/>
              <w:spacing w:line="240" w:lineRule="auto" w:before="96"/>
              <w:ind w:right="1"/>
              <w:jc w:val="right"/>
              <w:rPr>
                <w:rFonts w:ascii="Times New Roman" w:hAnsi="Times New Roman" w:cs="Times New Roman" w:eastAsia="Times New Roman" w:hint="default"/>
                <w:sz w:val="18"/>
                <w:szCs w:val="18"/>
              </w:rPr>
            </w:pPr>
            <w:r>
              <w:rPr>
                <w:rFonts w:ascii="Times New Roman"/>
                <w:spacing w:val="-1"/>
                <w:sz w:val="18"/>
              </w:rPr>
              <w:t>18.37%</w:t>
            </w:r>
          </w:p>
        </w:tc>
        <w:tc>
          <w:tcPr>
            <w:tcW w:w="25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因金融资产转移而终止确认的应收账款" w:id="251"/>
      <w:bookmarkEnd w:id="25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转移应收账款且继续涉入形成的资产、负债金额" w:id="252"/>
      <w:bookmarkEnd w:id="25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应收款项融资" w:id="253"/>
      <w:bookmarkEnd w:id="253"/>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89"/>
              <w:jc w:val="left"/>
              <w:rPr>
                <w:rFonts w:ascii="宋体" w:hAnsi="宋体" w:cs="宋体" w:eastAsia="宋体" w:hint="default"/>
                <w:sz w:val="18"/>
                <w:szCs w:val="18"/>
              </w:rPr>
            </w:pPr>
            <w:r>
              <w:rPr>
                <w:rFonts w:ascii="宋体" w:hAnsi="宋体" w:cs="宋体" w:eastAsia="宋体" w:hint="default"/>
                <w:spacing w:val="-3"/>
                <w:sz w:val="18"/>
                <w:szCs w:val="18"/>
              </w:rPr>
              <w:t>以公允价值计量且其变动计入其他综合</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pacing w:val="-3"/>
                <w:sz w:val="18"/>
                <w:szCs w:val="18"/>
              </w:rPr>
              <w:t>收益的应收票据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27,839,926.00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27,839,926.00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4"/>
        <w:ind w:right="0"/>
        <w:jc w:val="left"/>
      </w:pPr>
      <w:r>
        <w:rPr>
          <w:spacing w:val="-3"/>
        </w:rPr>
        <w:t>应收款项融资本期增减变动及公允价值变动情况</w:t>
      </w:r>
    </w:p>
    <w:p>
      <w:pPr>
        <w:pStyle w:val="BodyText"/>
        <w:spacing w:line="338" w:lineRule="auto" w:before="119"/>
        <w:ind w:right="1037"/>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t>不适用</w:t>
      </w:r>
      <w:r>
        <w:rPr>
          <w:spacing w:val="-78"/>
        </w:rPr>
        <w:t> </w:t>
      </w:r>
      <w:r>
        <w:rPr>
          <w:spacing w:val="-78"/>
        </w:rPr>
      </w:r>
      <w:r>
        <w:rPr>
          <w:spacing w:val="-3"/>
        </w:rPr>
        <w:t>如是按照预期信用损失一般模型计提应收款项融资减值准备，请参照其他应收款的披露方式披露减值准备的相关信息：</w:t>
      </w:r>
    </w:p>
    <w:p>
      <w:pPr>
        <w:pStyle w:val="BodyText"/>
        <w:spacing w:line="240" w:lineRule="auto" w:before="41"/>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7、预付款项" w:id="254"/>
      <w:bookmarkEnd w:id="254"/>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55"/>
      <w:bookmarkEnd w:id="255"/>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1"/>
        <w:gridCol w:w="1904"/>
        <w:gridCol w:w="1916"/>
        <w:gridCol w:w="1916"/>
        <w:gridCol w:w="1904"/>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8"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0" w:type="dxa"/>
            <w:gridSpan w:val="2"/>
            <w:vMerge/>
            <w:tcBorders>
              <w:left w:val="single" w:sz="4" w:space="0" w:color="000000"/>
              <w:bottom w:val="single" w:sz="4" w:space="0" w:color="000000"/>
              <w:right w:val="single" w:sz="4" w:space="0" w:color="000000"/>
            </w:tcBorders>
            <w:shd w:val="clear" w:color="auto" w:fill="D2D2D2"/>
          </w:tcPr>
          <w:p>
            <w:pPr/>
          </w:p>
        </w:tc>
        <w:tc>
          <w:tcPr>
            <w:tcW w:w="3820"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7"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0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9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826" w:right="0"/>
              <w:jc w:val="left"/>
              <w:rPr>
                <w:rFonts w:ascii="Times New Roman" w:hAnsi="Times New Roman" w:cs="Times New Roman" w:eastAsia="Times New Roman" w:hint="default"/>
                <w:sz w:val="18"/>
                <w:szCs w:val="18"/>
              </w:rPr>
            </w:pPr>
            <w:r>
              <w:rPr>
                <w:rFonts w:ascii="Times New Roman"/>
                <w:sz w:val="18"/>
              </w:rPr>
              <w:t>33,249,390.26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207,718,630.19</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7"/>
              <w:jc w:val="right"/>
              <w:rPr>
                <w:rFonts w:ascii="Times New Roman" w:hAnsi="Times New Roman" w:cs="Times New Roman" w:eastAsia="Times New Roman" w:hint="default"/>
                <w:sz w:val="18"/>
                <w:szCs w:val="18"/>
              </w:rPr>
            </w:pPr>
            <w:r>
              <w:rPr>
                <w:rFonts w:ascii="Times New Roman"/>
                <w:spacing w:val="-1"/>
                <w:sz w:val="18"/>
              </w:rPr>
              <w:t>99.76%</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01"/>
        <w:gridCol w:w="1926"/>
        <w:gridCol w:w="1916"/>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1,188,441.32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409,627.56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0.20%</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13,163.56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89,209.55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0.04%</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89,209.55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0.26%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34,540,204.69</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208,217,467.30</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按预付对象归集的期末余额前五名的预付款情况" w:id="256"/>
      <w:bookmarkEnd w:id="256"/>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713"/>
        <w:gridCol w:w="3457"/>
        <w:gridCol w:w="3462"/>
      </w:tblGrid>
      <w:tr>
        <w:trPr>
          <w:trHeight w:val="428" w:hRule="exact"/>
        </w:trPr>
        <w:tc>
          <w:tcPr>
            <w:tcW w:w="27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8"/>
              <w:ind w:left="1003" w:right="0"/>
              <w:jc w:val="left"/>
              <w:rPr>
                <w:rFonts w:ascii="宋体" w:hAnsi="宋体" w:cs="宋体" w:eastAsia="宋体" w:hint="default"/>
                <w:sz w:val="18"/>
                <w:szCs w:val="18"/>
              </w:rPr>
            </w:pPr>
            <w:r>
              <w:rPr>
                <w:rFonts w:ascii="宋体" w:hAnsi="宋体" w:cs="宋体" w:eastAsia="宋体" w:hint="default"/>
                <w:sz w:val="18"/>
                <w:szCs w:val="18"/>
              </w:rPr>
              <w:t>预付账款期末余额</w:t>
            </w:r>
          </w:p>
        </w:tc>
        <w:tc>
          <w:tcPr>
            <w:tcW w:w="34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8"/>
              <w:ind w:left="379" w:right="0"/>
              <w:jc w:val="left"/>
              <w:rPr>
                <w:rFonts w:ascii="宋体" w:hAnsi="宋体" w:cs="宋体" w:eastAsia="宋体" w:hint="default"/>
                <w:sz w:val="18"/>
                <w:szCs w:val="18"/>
              </w:rPr>
            </w:pPr>
            <w:r>
              <w:rPr>
                <w:rFonts w:ascii="宋体" w:hAnsi="宋体" w:cs="宋体" w:eastAsia="宋体" w:hint="default"/>
                <w:spacing w:val="-3"/>
                <w:sz w:val="18"/>
                <w:szCs w:val="18"/>
              </w:rPr>
              <w:t>占预付账款期末余额合计数的比例</w:t>
            </w:r>
          </w:p>
        </w:tc>
      </w:tr>
      <w:tr>
        <w:trPr>
          <w:trHeight w:val="427" w:hRule="exact"/>
        </w:trPr>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left="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5"/>
              <w:jc w:val="right"/>
              <w:rPr>
                <w:rFonts w:ascii="Times New Roman" w:hAnsi="Times New Roman" w:cs="Times New Roman" w:eastAsia="Times New Roman" w:hint="default"/>
                <w:sz w:val="18"/>
                <w:szCs w:val="18"/>
              </w:rPr>
            </w:pPr>
            <w:r>
              <w:rPr>
                <w:rFonts w:ascii="Times New Roman"/>
                <w:spacing w:val="-2"/>
                <w:sz w:val="18"/>
              </w:rPr>
              <w:t>11,459,601.75</w:t>
            </w:r>
          </w:p>
        </w:tc>
        <w:tc>
          <w:tcPr>
            <w:tcW w:w="3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0"/>
              <w:ind w:right="-3"/>
              <w:jc w:val="right"/>
              <w:rPr>
                <w:rFonts w:ascii="Times New Roman" w:hAnsi="Times New Roman" w:cs="Times New Roman" w:eastAsia="Times New Roman" w:hint="default"/>
                <w:sz w:val="18"/>
                <w:szCs w:val="18"/>
              </w:rPr>
            </w:pPr>
            <w:r>
              <w:rPr>
                <w:rFonts w:ascii="Times New Roman"/>
                <w:spacing w:val="-1"/>
                <w:sz w:val="18"/>
              </w:rPr>
              <w:t>33.17%</w:t>
            </w:r>
          </w:p>
        </w:tc>
      </w:tr>
      <w:tr>
        <w:trPr>
          <w:trHeight w:val="427" w:hRule="exact"/>
        </w:trPr>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2"/>
                <w:sz w:val="18"/>
              </w:rPr>
              <w:t>5,626,308.99</w:t>
            </w:r>
          </w:p>
        </w:tc>
        <w:tc>
          <w:tcPr>
            <w:tcW w:w="3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16.29%</w:t>
            </w:r>
          </w:p>
        </w:tc>
      </w:tr>
      <w:tr>
        <w:trPr>
          <w:trHeight w:val="427" w:hRule="exact"/>
        </w:trPr>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2"/>
                <w:sz w:val="18"/>
              </w:rPr>
              <w:t>3,525,945.00</w:t>
            </w:r>
          </w:p>
        </w:tc>
        <w:tc>
          <w:tcPr>
            <w:tcW w:w="3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10.21%</w:t>
            </w:r>
          </w:p>
        </w:tc>
      </w:tr>
      <w:tr>
        <w:trPr>
          <w:trHeight w:val="428" w:hRule="exact"/>
        </w:trPr>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4"/>
              <w:jc w:val="right"/>
              <w:rPr>
                <w:rFonts w:ascii="Times New Roman" w:hAnsi="Times New Roman" w:cs="Times New Roman" w:eastAsia="Times New Roman" w:hint="default"/>
                <w:sz w:val="18"/>
                <w:szCs w:val="18"/>
              </w:rPr>
            </w:pPr>
            <w:r>
              <w:rPr>
                <w:rFonts w:ascii="Times New Roman"/>
                <w:spacing w:val="-2"/>
                <w:sz w:val="18"/>
              </w:rPr>
              <w:t>3,277,057.83</w:t>
            </w:r>
          </w:p>
        </w:tc>
        <w:tc>
          <w:tcPr>
            <w:tcW w:w="3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pacing w:val="-1"/>
                <w:sz w:val="18"/>
              </w:rPr>
              <w:t>9.49%</w:t>
            </w:r>
          </w:p>
        </w:tc>
      </w:tr>
      <w:tr>
        <w:trPr>
          <w:trHeight w:val="427" w:hRule="exact"/>
        </w:trPr>
        <w:tc>
          <w:tcPr>
            <w:tcW w:w="27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4"/>
              <w:jc w:val="right"/>
              <w:rPr>
                <w:rFonts w:ascii="Times New Roman" w:hAnsi="Times New Roman" w:cs="Times New Roman" w:eastAsia="Times New Roman" w:hint="default"/>
                <w:sz w:val="18"/>
                <w:szCs w:val="18"/>
              </w:rPr>
            </w:pPr>
            <w:r>
              <w:rPr>
                <w:rFonts w:ascii="Times New Roman"/>
                <w:spacing w:val="-2"/>
                <w:sz w:val="18"/>
              </w:rPr>
              <w:t>3,036,752.30</w:t>
            </w:r>
          </w:p>
        </w:tc>
        <w:tc>
          <w:tcPr>
            <w:tcW w:w="3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8.79%</w:t>
            </w:r>
          </w:p>
        </w:tc>
      </w:tr>
      <w:tr>
        <w:trPr>
          <w:trHeight w:val="427" w:hRule="exact"/>
        </w:trPr>
        <w:tc>
          <w:tcPr>
            <w:tcW w:w="27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2"/>
                <w:sz w:val="18"/>
              </w:rPr>
              <w:t>26,925,665.87</w:t>
            </w:r>
          </w:p>
        </w:tc>
        <w:tc>
          <w:tcPr>
            <w:tcW w:w="3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3"/>
              <w:jc w:val="right"/>
              <w:rPr>
                <w:rFonts w:ascii="Times New Roman" w:hAnsi="Times New Roman" w:cs="Times New Roman" w:eastAsia="Times New Roman" w:hint="default"/>
                <w:sz w:val="18"/>
                <w:szCs w:val="18"/>
              </w:rPr>
            </w:pPr>
            <w:r>
              <w:rPr>
                <w:rFonts w:ascii="Times New Roman"/>
                <w:spacing w:val="-1"/>
                <w:sz w:val="18"/>
              </w:rPr>
              <w:t>77.95%</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0"/>
        <w:jc w:val="left"/>
        <w:rPr>
          <w:b w:val="0"/>
          <w:bCs w:val="0"/>
        </w:rPr>
      </w:pPr>
      <w:bookmarkStart w:name="8、其他应收款" w:id="257"/>
      <w:bookmarkEnd w:id="257"/>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18,840,024.36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22,957,944.22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18,840,024.36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22,957,944.22</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518" w:lineRule="auto" w:before="36"/>
        <w:ind w:right="9170"/>
        <w:jc w:val="left"/>
        <w:rPr>
          <w:rFonts w:ascii="宋体" w:hAnsi="宋体" w:cs="宋体" w:eastAsia="宋体" w:hint="default"/>
          <w:b w:val="0"/>
          <w:bCs w:val="0"/>
          <w:sz w:val="18"/>
          <w:szCs w:val="18"/>
        </w:rPr>
      </w:pPr>
      <w:bookmarkStart w:name="（1）应收利息" w:id="258"/>
      <w:bookmarkEnd w:id="258"/>
      <w:r>
        <w:rPr>
          <w:b w:val="0"/>
          <w:bCs w:val="0"/>
        </w:rPr>
      </w:r>
      <w:r>
        <w:rPr/>
        <w:t>（</w:t>
      </w:r>
      <w:r>
        <w:rPr>
          <w:rFonts w:ascii="Times New Roman" w:hAnsi="Times New Roman" w:cs="Times New Roman" w:eastAsia="Times New Roman" w:hint="default"/>
        </w:rPr>
        <w:t>1</w:t>
      </w:r>
      <w:r>
        <w:rPr/>
        <w:t>）应收利息</w:t>
      </w:r>
      <w:r>
        <w:rPr>
          <w:w w:val="100"/>
        </w:rPr>
        <w:t> </w:t>
      </w:r>
      <w:bookmarkStart w:name="1）应收利息分类" w:id="259"/>
      <w:bookmarkEnd w:id="259"/>
      <w:r>
        <w:rPr>
          <w:w w:val="100"/>
        </w:rPr>
      </w:r>
      <w:r>
        <w:rPr>
          <w:rFonts w:ascii="Times New Roman" w:hAnsi="Times New Roman" w:cs="Times New Roman" w:eastAsia="Times New Roman" w:hint="default"/>
        </w:rPr>
        <w:t>1</w:t>
      </w:r>
      <w:r>
        <w:rPr/>
        <w:t>）应收利息分类</w:t>
      </w:r>
      <w:r>
        <w:rPr>
          <w:spacing w:val="-103"/>
        </w:rPr>
        <w:t> </w:t>
      </w:r>
      <w:r>
        <w:rPr>
          <w:rFonts w:ascii="宋体" w:hAnsi="宋体" w:cs="宋体" w:eastAsia="宋体" w:hint="default"/>
          <w:b w:val="0"/>
          <w:bCs w:val="0"/>
          <w:sz w:val="18"/>
          <w:szCs w:val="18"/>
        </w:rPr>
        <w:t>无</w:t>
      </w:r>
    </w:p>
    <w:p>
      <w:pPr>
        <w:pStyle w:val="Heading3"/>
        <w:spacing w:line="240" w:lineRule="auto" w:before="140"/>
        <w:ind w:right="0"/>
        <w:jc w:val="left"/>
        <w:rPr>
          <w:b w:val="0"/>
          <w:bCs w:val="0"/>
        </w:rPr>
      </w:pPr>
      <w:bookmarkStart w:name="2）重要逾期利息" w:id="260"/>
      <w:bookmarkEnd w:id="260"/>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坏账准备计提情况" w:id="261"/>
      <w:bookmarkEnd w:id="261"/>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3"/>
        <w:gridCol w:w="1800"/>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1894"/>
        <w:gridCol w:w="1662"/>
        <w:gridCol w:w="2098"/>
        <w:gridCol w:w="2103"/>
        <w:gridCol w:w="1800"/>
      </w:tblGrid>
      <w:tr>
        <w:trPr>
          <w:trHeight w:val="715"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61"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1,524,727.61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1,524,727.61</w:t>
            </w:r>
          </w:p>
        </w:tc>
      </w:tr>
      <w:tr>
        <w:trPr>
          <w:trHeight w:val="161" w:hRule="exact"/>
        </w:trPr>
        <w:tc>
          <w:tcPr>
            <w:tcW w:w="1894"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6"/>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894" w:type="dxa"/>
            <w:vMerge/>
            <w:tcBorders>
              <w:left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9"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5"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894" w:type="dxa"/>
            <w:vMerge/>
            <w:tcBorders>
              <w:left w:val="single" w:sz="4" w:space="0" w:color="000000"/>
              <w:bottom w:val="single" w:sz="4" w:space="0" w:color="000000"/>
              <w:right w:val="single" w:sz="4" w:space="0" w:color="000000"/>
            </w:tcBorders>
            <w:shd w:val="clear" w:color="auto" w:fill="D2D2D2"/>
          </w:tcPr>
          <w:p>
            <w:pPr/>
          </w:p>
        </w:tc>
        <w:tc>
          <w:tcPr>
            <w:tcW w:w="1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69,246.98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69,246.98</w:t>
            </w:r>
          </w:p>
        </w:tc>
      </w:tr>
      <w:tr>
        <w:trPr>
          <w:trHeight w:val="403"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307,458.76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307,458.76</w:t>
            </w:r>
          </w:p>
        </w:tc>
      </w:tr>
      <w:tr>
        <w:trPr>
          <w:trHeight w:val="404" w:hRule="exact"/>
        </w:trPr>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62"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1,286,515.83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1,286,515.83</w:t>
            </w:r>
          </w:p>
        </w:tc>
      </w:tr>
    </w:tbl>
    <w:p>
      <w:pPr>
        <w:pStyle w:val="BodyText"/>
        <w:spacing w:line="240" w:lineRule="auto" w:before="53"/>
        <w:ind w:right="0"/>
        <w:jc w:val="left"/>
      </w:pPr>
      <w:r>
        <w:rPr>
          <w:spacing w:val="-3"/>
        </w:rPr>
        <w:t>损失准备本期变动金额重大的账面余额变动情况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应收股利" w:id="262"/>
      <w:bookmarkEnd w:id="262"/>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其他应收款" w:id="263"/>
      <w:bookmarkEnd w:id="263"/>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264"/>
      <w:bookmarkEnd w:id="264"/>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9,882,745.39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16,120,391.49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3,995,803.63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3,607,051.21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306,170.55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342,136.66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代垫款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2,649,767.72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3,292,052.90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4,413,092.47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20,126,540.19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24,482,671.83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坏账准备计提情况" w:id="265"/>
      <w:bookmarkEnd w:id="265"/>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3"/>
        </w:rPr>
        <w:t>损失准备本期变动金额重大的账面余额变动情况</w:t>
      </w:r>
    </w:p>
    <w:p>
      <w:pPr>
        <w:pStyle w:val="BodyText"/>
        <w:spacing w:line="240" w:lineRule="auto" w:before="119"/>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8"/>
        <w:jc w:val="left"/>
      </w:pPr>
      <w:r>
        <w:rPr>
          <w:spacing w:val="-2"/>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3" w:equalWidth="0">
            <w:col w:w="3937" w:space="433"/>
            <w:col w:w="1056" w:space="3405"/>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16,974,849.29</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2,721,924.39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197,674.47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232,092.04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212,092.04</w:t>
            </w:r>
          </w:p>
        </w:tc>
      </w:tr>
      <w:tr>
        <w:trPr>
          <w:trHeight w:val="401"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389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20,126,540.19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266"/>
      <w:bookmarkEnd w:id="266"/>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20"/>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436"/>
        <w:gridCol w:w="1114"/>
        <w:gridCol w:w="1359"/>
        <w:gridCol w:w="1349"/>
        <w:gridCol w:w="1344"/>
        <w:gridCol w:w="1349"/>
        <w:gridCol w:w="1748"/>
      </w:tblGrid>
      <w:tr>
        <w:trPr>
          <w:trHeight w:val="403" w:hRule="exact"/>
        </w:trPr>
        <w:tc>
          <w:tcPr>
            <w:tcW w:w="14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1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36" w:type="dxa"/>
            <w:vMerge/>
            <w:tcBorders>
              <w:left w:val="single" w:sz="4" w:space="0" w:color="000000"/>
              <w:bottom w:val="single" w:sz="4" w:space="0" w:color="000000"/>
              <w:right w:val="single" w:sz="4" w:space="0" w:color="000000"/>
            </w:tcBorders>
            <w:shd w:val="clear" w:color="auto" w:fill="D2D2D2"/>
          </w:tcPr>
          <w:p>
            <w:pPr/>
          </w:p>
        </w:tc>
        <w:tc>
          <w:tcPr>
            <w:tcW w:w="1114" w:type="dxa"/>
            <w:vMerge/>
            <w:tcBorders>
              <w:left w:val="single" w:sz="4" w:space="0" w:color="000000"/>
              <w:bottom w:val="single" w:sz="4" w:space="0" w:color="000000"/>
              <w:right w:val="single" w:sz="4" w:space="0" w:color="000000"/>
            </w:tcBorders>
            <w:shd w:val="clear" w:color="auto" w:fill="D2D2D2"/>
          </w:tcPr>
          <w:p>
            <w:pP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48" w:type="dxa"/>
            <w:vMerge/>
            <w:tcBorders>
              <w:left w:val="single" w:sz="4" w:space="0" w:color="000000"/>
              <w:bottom w:val="single" w:sz="4" w:space="0" w:color="000000"/>
              <w:right w:val="single" w:sz="4" w:space="0" w:color="000000"/>
            </w:tcBorders>
            <w:shd w:val="clear" w:color="auto" w:fill="D2D2D2"/>
          </w:tcPr>
          <w:p>
            <w:pPr/>
          </w:p>
        </w:tc>
      </w:tr>
      <w:tr>
        <w:trPr>
          <w:trHeight w:val="711" w:hRule="exact"/>
        </w:trPr>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0"/>
              <w:jc w:val="left"/>
              <w:rPr>
                <w:rFonts w:ascii="宋体" w:hAnsi="宋体" w:cs="宋体" w:eastAsia="宋体" w:hint="default"/>
                <w:sz w:val="18"/>
                <w:szCs w:val="18"/>
              </w:rPr>
            </w:pPr>
            <w:r>
              <w:rPr>
                <w:rFonts w:ascii="宋体" w:hAnsi="宋体" w:cs="宋体" w:eastAsia="宋体" w:hint="default"/>
                <w:spacing w:val="13"/>
                <w:sz w:val="18"/>
                <w:szCs w:val="18"/>
              </w:rPr>
              <w:t>其他应收款坏账</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准备</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1,524,727.61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69,246.98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307,458.76</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1,286,515.83</w:t>
            </w:r>
          </w:p>
        </w:tc>
      </w:tr>
      <w:tr>
        <w:trPr>
          <w:trHeight w:val="403"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left="124" w:right="0"/>
              <w:jc w:val="left"/>
              <w:rPr>
                <w:rFonts w:ascii="Times New Roman" w:hAnsi="Times New Roman" w:cs="Times New Roman" w:eastAsia="Times New Roman" w:hint="default"/>
                <w:sz w:val="18"/>
                <w:szCs w:val="18"/>
              </w:rPr>
            </w:pPr>
            <w:r>
              <w:rPr>
                <w:rFonts w:ascii="Times New Roman"/>
                <w:sz w:val="18"/>
              </w:rPr>
              <w:t>1,524,727.61</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69,246.98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307,458.76</w:t>
            </w:r>
          </w:p>
        </w:tc>
        <w:tc>
          <w:tcPr>
            <w:tcW w:w="1344"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1,286,515.83</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5"/>
          <w:szCs w:val="25"/>
        </w:rPr>
      </w:pPr>
    </w:p>
    <w:p>
      <w:pPr>
        <w:pStyle w:val="Heading3"/>
        <w:spacing w:line="240" w:lineRule="auto" w:before="36"/>
        <w:ind w:right="0"/>
        <w:jc w:val="left"/>
        <w:rPr>
          <w:b w:val="0"/>
          <w:bCs w:val="0"/>
        </w:rPr>
      </w:pPr>
      <w:bookmarkStart w:name="4）本期实际核销的其他应收款情况" w:id="267"/>
      <w:bookmarkEnd w:id="267"/>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按欠款方归集的期末余额前五名的其他应收款情况" w:id="268"/>
      <w:bookmarkEnd w:id="268"/>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5"/>
        <w:gridCol w:w="1594"/>
        <w:gridCol w:w="1599"/>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72" w:right="70"/>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1,657,660.00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82,883.00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744,871.97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37,243.60</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699,175.00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69,917.50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675,862.17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33,793.11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单位五</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129,600.00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6,480.00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5"/>
              <w:jc w:val="right"/>
              <w:rPr>
                <w:rFonts w:ascii="Times New Roman" w:hAnsi="Times New Roman" w:cs="Times New Roman" w:eastAsia="Times New Roman" w:hint="default"/>
                <w:sz w:val="18"/>
                <w:szCs w:val="18"/>
              </w:rPr>
            </w:pPr>
            <w:r>
              <w:rPr>
                <w:rFonts w:ascii="Times New Roman"/>
                <w:spacing w:val="-1"/>
                <w:sz w:val="18"/>
              </w:rPr>
              <w:t>3,907,169.14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230,317.21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269"/>
      <w:bookmarkEnd w:id="269"/>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7）因金融资产转移而终止确认的其他应收款" w:id="270"/>
      <w:bookmarkEnd w:id="270"/>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8）转移其他应收款且继续涉入形成的资产、负债金额" w:id="271"/>
      <w:bookmarkEnd w:id="271"/>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9、存货" w:id="272"/>
      <w:bookmarkEnd w:id="272"/>
      <w:r>
        <w:rPr>
          <w:b w:val="0"/>
          <w:bCs w:val="0"/>
        </w:rPr>
      </w:r>
      <w:r>
        <w:rPr>
          <w:rFonts w:ascii="Times New Roman" w:hAnsi="Times New Roman" w:cs="Times New Roman" w:eastAsia="Times New Roman" w:hint="default"/>
        </w:rPr>
        <w:t>9</w:t>
      </w:r>
      <w:r>
        <w:rPr/>
        <w:t>、存货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存货分类" w:id="273"/>
      <w:bookmarkEnd w:id="273"/>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15"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存货跌价准备或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合同履约成本减</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值准备</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存货跌价准备或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合同履约成本减</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值准备</w:t>
            </w:r>
          </w:p>
        </w:tc>
        <w:tc>
          <w:tcPr>
            <w:tcW w:w="1369" w:type="dxa"/>
            <w:vMerge w:val="restart"/>
            <w:tcBorders>
              <w:top w:val="single" w:sz="4" w:space="0" w:color="000000"/>
              <w:left w:val="single" w:sz="4" w:space="0" w:color="000000"/>
              <w:right w:val="single" w:sz="4" w:space="0" w:color="000000"/>
            </w:tcBorders>
            <w:shd w:val="clear" w:color="auto" w:fill="D2D2D2"/>
          </w:tcPr>
          <w:p>
            <w:pPr/>
          </w:p>
        </w:tc>
      </w:tr>
      <w:tr>
        <w:trPr>
          <w:trHeight w:val="202" w:hRule="exact"/>
        </w:trPr>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4"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192" w:hRule="exact"/>
        </w:trPr>
        <w:tc>
          <w:tcPr>
            <w:tcW w:w="1369"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tcBorders>
              <w:left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369" w:type="dxa"/>
            <w:vMerge w:val="restart"/>
            <w:tcBorders>
              <w:top w:val="nil" w:sz="6" w:space="0" w:color="auto"/>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4" w:type="dxa"/>
            <w:vMerge/>
            <w:tcBorders>
              <w:left w:val="single" w:sz="4" w:space="0" w:color="000000"/>
              <w:bottom w:val="nil" w:sz="6" w:space="0" w:color="auto"/>
              <w:right w:val="single" w:sz="4" w:space="0" w:color="000000"/>
            </w:tcBorders>
            <w:shd w:val="clear" w:color="auto" w:fill="D2D2D2"/>
          </w:tcPr>
          <w:p>
            <w:pPr/>
          </w:p>
        </w:tc>
        <w:tc>
          <w:tcPr>
            <w:tcW w:w="1369" w:type="dxa"/>
            <w:vMerge/>
            <w:tcBorders>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64,181,687.08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64,181,687.08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124,910,636.67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124,910,636.67</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242,245,004.83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242,245,004.83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234,905,354.80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234,905,354.80</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353,555,215.85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353,555,215.85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379,199,573.93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168,988.90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379,030,585.03</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708,642.08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708,642.08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721,994.46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721,994.46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6,082,359.69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6,082,359.69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5,722,008.21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5,722,008.21</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2,421,701.56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2,421,701.56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1,756,528.86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1,756,528.86</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4,292,290.04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4,292,290.04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6,003,963.52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6,003,963.52</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37,730.91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37,730.91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1,745,891.55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1,745,891.55</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673,524,632.04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673,524,632.04</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754,965,952.00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168,988.90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754,796,963.10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存货跌价准备和合同履约成本减值准备" w:id="274"/>
      <w:bookmarkEnd w:id="274"/>
      <w:r>
        <w:rPr>
          <w:b w:val="0"/>
          <w:bCs w:val="0"/>
        </w:rPr>
      </w:r>
      <w:r>
        <w:rPr/>
        <w:t>（</w:t>
      </w:r>
      <w:r>
        <w:rPr>
          <w:rFonts w:ascii="Times New Roman" w:hAnsi="Times New Roman" w:cs="Times New Roman" w:eastAsia="Times New Roman" w:hint="default"/>
        </w:rPr>
        <w:t>2</w:t>
      </w:r>
      <w:r>
        <w:rPr/>
        <w:t>）存货跌价准备和合同履约成本减值准备</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9"/>
        <w:gridCol w:w="1368"/>
        <w:gridCol w:w="1364"/>
        <w:gridCol w:w="1369"/>
        <w:gridCol w:w="1369"/>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168,988.90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168,988.90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168,988.90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168,988.90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存货期末余额含有借款费用资本化金额的说明" w:id="275"/>
      <w:bookmarkEnd w:id="275"/>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4）合同履约成本本期摊销金额的说明" w:id="276"/>
      <w:bookmarkEnd w:id="276"/>
      <w:r>
        <w:rPr>
          <w:b w:val="0"/>
          <w:bCs w:val="0"/>
        </w:rPr>
      </w:r>
      <w:r>
        <w:rPr/>
        <w:t>（</w:t>
      </w:r>
      <w:r>
        <w:rPr>
          <w:rFonts w:ascii="Times New Roman" w:hAnsi="Times New Roman" w:cs="Times New Roman" w:eastAsia="Times New Roman" w:hint="default"/>
        </w:rPr>
        <w:t>4</w:t>
      </w:r>
      <w:r>
        <w:rPr/>
        <w:t>）合同履约成本本期摊销金额的说明</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0、合同资产" w:id="277"/>
      <w:bookmarkEnd w:id="277"/>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1、持有待售资产" w:id="278"/>
      <w:bookmarkEnd w:id="278"/>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12、一年内到期的非流动资产" w:id="279"/>
      <w:bookmarkEnd w:id="279"/>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13、其他流动资产" w:id="280"/>
      <w:bookmarkEnd w:id="280"/>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6"/>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56,018,962.67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待抵扣</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待认证的进项税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3,553,683.64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26,820,384.43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2,847,542.43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2,363,122.75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预缴企业所得税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585,622.68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1,555,299.78</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预缴职工社保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506,587.60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570,134.66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7,493,436.35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87,327,904.29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4、债权投资" w:id="281"/>
      <w:bookmarkEnd w:id="281"/>
      <w:r>
        <w:rPr>
          <w:b w:val="0"/>
          <w:bCs w:val="0"/>
        </w:rPr>
      </w:r>
      <w:r>
        <w:rPr>
          <w:rFonts w:ascii="Times New Roman" w:hAnsi="Times New Roman" w:cs="Times New Roman" w:eastAsia="Times New Roman" w:hint="default"/>
        </w:rPr>
        <w:t>14</w:t>
      </w:r>
      <w:r>
        <w:rPr/>
        <w:t>、债权投资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5、其他债权投资" w:id="282"/>
      <w:bookmarkEnd w:id="282"/>
      <w:r>
        <w:rPr>
          <w:b w:val="0"/>
          <w:bCs w:val="0"/>
        </w:rPr>
      </w:r>
      <w:r>
        <w:rPr>
          <w:rFonts w:ascii="Times New Roman" w:hAnsi="Times New Roman" w:cs="Times New Roman" w:eastAsia="Times New Roman" w:hint="default"/>
        </w:rPr>
        <w:t>15</w:t>
      </w:r>
      <w:r>
        <w:rPr/>
        <w:t>、其他债权投资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16、长期应收款" w:id="283"/>
      <w:bookmarkEnd w:id="283"/>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17、长期股权投资" w:id="284"/>
      <w:bookmarkEnd w:id="284"/>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4"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02" w:right="27" w:hanging="269"/>
              <w:jc w:val="left"/>
              <w:rPr>
                <w:rFonts w:ascii="宋体" w:hAnsi="宋体" w:cs="宋体" w:eastAsia="宋体" w:hint="default"/>
                <w:sz w:val="18"/>
                <w:szCs w:val="18"/>
              </w:rPr>
            </w:pPr>
            <w:r>
              <w:rPr>
                <w:rFonts w:ascii="宋体" w:hAnsi="宋体" w:cs="宋体" w:eastAsia="宋体" w:hint="default"/>
                <w:sz w:val="18"/>
                <w:szCs w:val="18"/>
              </w:rPr>
              <w:t>被投资单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316"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北京中</w:t>
            </w:r>
            <w:r>
              <w:rPr>
                <w:rFonts w:ascii="宋体" w:hAnsi="宋体" w:cs="宋体" w:eastAsia="宋体" w:hint="default"/>
                <w:w w:val="101"/>
                <w:sz w:val="18"/>
                <w:szCs w:val="18"/>
              </w:rPr>
              <w:t> </w:t>
            </w:r>
            <w:r>
              <w:rPr>
                <w:rFonts w:ascii="宋体" w:hAnsi="宋体" w:cs="宋体" w:eastAsia="宋体" w:hint="default"/>
                <w:sz w:val="18"/>
                <w:szCs w:val="18"/>
              </w:rPr>
              <w:t>能互联创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业投资中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24,298,30</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4.96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3,218,975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11,123.00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4,274.22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21,094,72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北京中</w:t>
            </w:r>
            <w:r>
              <w:rPr>
                <w:rFonts w:ascii="宋体" w:hAnsi="宋体" w:cs="宋体" w:eastAsia="宋体" w:hint="default"/>
                <w:w w:val="101"/>
                <w:sz w:val="18"/>
                <w:szCs w:val="18"/>
              </w:rPr>
              <w:t> </w:t>
            </w:r>
            <w:r>
              <w:rPr>
                <w:rFonts w:ascii="宋体" w:hAnsi="宋体" w:cs="宋体" w:eastAsia="宋体" w:hint="default"/>
                <w:sz w:val="18"/>
                <w:szCs w:val="18"/>
              </w:rPr>
              <w:t>能互联电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力投资中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心（有限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19,871,88</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6.57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89,824.76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1,227.36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19,962,93</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8.69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Times New Roman" w:hAnsi="Times New Roman" w:cs="Times New Roman" w:eastAsia="Times New Roman" w:hint="default"/>
                <w:sz w:val="18"/>
                <w:szCs w:val="18"/>
              </w:rPr>
            </w:pPr>
            <w:r>
              <w:rPr>
                <w:rFonts w:ascii="宋体" w:hAnsi="宋体" w:cs="宋体" w:eastAsia="宋体" w:hint="default"/>
                <w:sz w:val="18"/>
                <w:szCs w:val="18"/>
              </w:rPr>
              <w:t>贵州中</w:t>
            </w:r>
            <w:r>
              <w:rPr>
                <w:rFonts w:ascii="宋体" w:hAnsi="宋体" w:cs="宋体" w:eastAsia="宋体" w:hint="default"/>
                <w:w w:val="101"/>
                <w:sz w:val="18"/>
                <w:szCs w:val="18"/>
              </w:rPr>
              <w:t> </w:t>
            </w:r>
            <w:r>
              <w:rPr>
                <w:rFonts w:ascii="宋体" w:hAnsi="宋体" w:cs="宋体" w:eastAsia="宋体" w:hint="default"/>
                <w:sz w:val="18"/>
                <w:szCs w:val="18"/>
              </w:rPr>
              <w:t>能互联投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资合伙企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13,084,31</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-171.23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13,084,14</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5.44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宁波源</w:t>
            </w:r>
            <w:r>
              <w:rPr>
                <w:rFonts w:ascii="宋体" w:hAnsi="宋体" w:cs="宋体" w:eastAsia="宋体" w:hint="default"/>
                <w:w w:val="101"/>
                <w:sz w:val="18"/>
                <w:szCs w:val="18"/>
              </w:rPr>
              <w:t> </w:t>
            </w:r>
            <w:r>
              <w:rPr>
                <w:rFonts w:ascii="宋体" w:hAnsi="宋体" w:cs="宋体" w:eastAsia="宋体" w:hint="default"/>
                <w:sz w:val="18"/>
                <w:szCs w:val="18"/>
              </w:rPr>
              <w:t>纵股权投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资合伙企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业（有限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99,470,16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-1,143,80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2,482,773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24,807.78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100,833,9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36.19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w w:val="101"/>
                <w:sz w:val="18"/>
                <w:szCs w:val="18"/>
              </w:rPr>
              <w:t> </w:t>
            </w:r>
            <w:r>
              <w:rPr>
                <w:rFonts w:ascii="宋体" w:hAnsi="宋体" w:cs="宋体" w:eastAsia="宋体" w:hint="default"/>
                <w:sz w:val="18"/>
                <w:szCs w:val="18"/>
              </w:rPr>
              <w:t>茂联科技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332,138,6</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02.11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121,000,0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4,640,215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4,766,825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462,545,6</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42.90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488,863,2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121,000,0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3,218,975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3,597,183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7,249,598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30,309.36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617,521,3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90.36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488,863,2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121,000,0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3,218,975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3,597,183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7,249,598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30,309.36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617,521,3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90.36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18、其他权益工具投资" w:id="285"/>
      <w:bookmarkEnd w:id="285"/>
      <w:r>
        <w:rPr>
          <w:b w:val="0"/>
          <w:bCs w:val="0"/>
        </w:rPr>
      </w:r>
      <w:r>
        <w:rPr>
          <w:rFonts w:ascii="Times New Roman" w:hAnsi="Times New Roman" w:cs="Times New Roman" w:eastAsia="Times New Roman" w:hint="default"/>
        </w:rPr>
        <w:t>18</w:t>
      </w:r>
      <w:r>
        <w:rPr/>
        <w:t>、其他权益工具投资</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非上市公司股权投资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3"/>
        <w:ind w:right="0"/>
        <w:jc w:val="left"/>
      </w:pPr>
      <w:r>
        <w:rPr>
          <w:spacing w:val="-3"/>
        </w:rPr>
        <w:t>分项披露本期非交易性权益工具投资</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1340"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3"/>
                <w:sz w:val="18"/>
                <w:szCs w:val="18"/>
              </w:rPr>
              <w:t>确认的股利收入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7" w:right="41"/>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入留存收益的金</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48" w:right="46"/>
              <w:jc w:val="center"/>
              <w:rPr>
                <w:rFonts w:ascii="宋体" w:hAnsi="宋体" w:cs="宋体" w:eastAsia="宋体" w:hint="default"/>
                <w:sz w:val="18"/>
                <w:szCs w:val="18"/>
              </w:rPr>
            </w:pPr>
            <w:r>
              <w:rPr>
                <w:rFonts w:ascii="宋体" w:hAnsi="宋体" w:cs="宋体" w:eastAsia="宋体" w:hint="default"/>
                <w:spacing w:val="-3"/>
                <w:sz w:val="18"/>
                <w:szCs w:val="18"/>
              </w:rPr>
              <w:t>指定为以公允价</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值计量且其变动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3"/>
                <w:sz w:val="18"/>
                <w:szCs w:val="18"/>
              </w:rPr>
              <w:t>计入其他综合收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益的原因</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47" w:right="46"/>
              <w:jc w:val="center"/>
              <w:rPr>
                <w:rFonts w:ascii="宋体" w:hAnsi="宋体" w:cs="宋体" w:eastAsia="宋体" w:hint="default"/>
                <w:sz w:val="18"/>
                <w:szCs w:val="18"/>
              </w:rPr>
            </w:pPr>
            <w:r>
              <w:rPr>
                <w:rFonts w:ascii="宋体" w:hAnsi="宋体" w:cs="宋体" w:eastAsia="宋体" w:hint="default"/>
                <w:spacing w:val="-3"/>
                <w:sz w:val="18"/>
                <w:szCs w:val="18"/>
              </w:rPr>
              <w:t>其他综合收益转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入留存收益的原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因</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北京链本科技有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限公司</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非交易性权益工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具</w:t>
            </w:r>
          </w:p>
        </w:tc>
        <w:tc>
          <w:tcPr>
            <w:tcW w:w="136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bookmarkStart w:name="19、其他非流动金融资产" w:id="286"/>
      <w:bookmarkEnd w:id="286"/>
      <w:r>
        <w:rPr>
          <w:b w:val="0"/>
          <w:bCs w:val="0"/>
        </w:rPr>
      </w:r>
      <w:r>
        <w:rPr>
          <w:rFonts w:ascii="Times New Roman" w:hAnsi="Times New Roman" w:cs="Times New Roman" w:eastAsia="Times New Roman" w:hint="default"/>
        </w:rPr>
        <w:t>19</w:t>
      </w:r>
      <w:r>
        <w:rPr/>
        <w:t>、其他非流动金融资产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0、投资性房地产" w:id="287"/>
      <w:bookmarkEnd w:id="287"/>
      <w:r>
        <w:rPr>
          <w:b w:val="0"/>
          <w:bCs w:val="0"/>
        </w:rPr>
      </w:r>
      <w:r>
        <w:rPr>
          <w:rFonts w:ascii="Times New Roman" w:hAnsi="Times New Roman" w:cs="Times New Roman" w:eastAsia="Times New Roman" w:hint="default"/>
        </w:rPr>
        <w:t>20</w:t>
      </w:r>
      <w:r>
        <w:rPr/>
        <w:t>、投资性房地产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1、固定资产" w:id="288"/>
      <w:bookmarkEnd w:id="288"/>
      <w:r>
        <w:rPr>
          <w:b w:val="0"/>
          <w:bCs w:val="0"/>
        </w:rPr>
      </w:r>
      <w:r>
        <w:rPr>
          <w:rFonts w:ascii="Times New Roman" w:hAnsi="Times New Roman" w:cs="Times New Roman" w:eastAsia="Times New Roman" w:hint="default"/>
        </w:rPr>
        <w:t>21</w:t>
      </w:r>
      <w:r>
        <w:rPr/>
        <w:t>、固定资产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626,189,690.73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647,397,311.81</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626,189,690.73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647,397,311.81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固定资产情况" w:id="289"/>
      <w:bookmarkEnd w:id="28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pict>
          <v:group style="position:absolute;margin-left:116.690002pt;margin-top:54.711712pt;width:58.35pt;height:20.65pt;mso-position-horizontal-relative:page;mso-position-vertical-relative:paragraph;z-index:-1057360" coordorigin="2334,1094" coordsize="1167,413">
            <v:group style="position:absolute;left:2346;top:1106;width:2;height:389" coordorigin="2346,1106" coordsize="2,389">
              <v:shape style="position:absolute;left:2346;top:1106;width:2;height:389" coordorigin="2346,1106" coordsize="0,389" path="m2346,1106l2346,1495e" filled="false" stroked="true" strokeweight="1.2pt" strokecolor="#ffffff">
                <v:path arrowok="t"/>
              </v:shape>
            </v:group>
            <v:group style="position:absolute;left:2358;top:1106;width:1143;height:389" coordorigin="2358,1106" coordsize="1143,389">
              <v:shape style="position:absolute;left:2358;top:1106;width:1143;height:389" coordorigin="2358,1106" coordsize="1143,389" path="m2358,1495l3501,1495,3501,1106,2358,1106,2358,1495xe" filled="true" fillcolor="#ffffff" stroked="false">
                <v:path arrowok="t"/>
                <v:fill type="solid"/>
              </v:shape>
            </v:group>
            <w10:wrap type="none"/>
          </v:group>
        </w:pict>
      </w: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4"/>
        <w:gridCol w:w="1205"/>
        <w:gridCol w:w="1201"/>
        <w:gridCol w:w="1196"/>
        <w:gridCol w:w="1196"/>
        <w:gridCol w:w="1196"/>
        <w:gridCol w:w="1196"/>
        <w:gridCol w:w="1195"/>
      </w:tblGrid>
      <w:tr>
        <w:trPr>
          <w:trHeight w:val="163" w:hRule="exact"/>
        </w:trPr>
        <w:tc>
          <w:tcPr>
            <w:tcW w:w="11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504" w:right="46" w:hanging="452"/>
              <w:jc w:val="left"/>
              <w:rPr>
                <w:rFonts w:ascii="宋体" w:hAnsi="宋体" w:cs="宋体" w:eastAsia="宋体" w:hint="default"/>
                <w:sz w:val="18"/>
                <w:szCs w:val="18"/>
              </w:rPr>
            </w:pPr>
            <w:r>
              <w:rPr>
                <w:rFonts w:ascii="宋体" w:hAnsi="宋体" w:cs="宋体" w:eastAsia="宋体" w:hint="default"/>
                <w:spacing w:val="-2"/>
                <w:sz w:val="18"/>
                <w:szCs w:val="18"/>
              </w:rPr>
              <w:t>办公设备及其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他</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89" w:hRule="exact"/>
        </w:trPr>
        <w:tc>
          <w:tcPr>
            <w:tcW w:w="11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46"/>
              <w:jc w:val="right"/>
              <w:rPr>
                <w:rFonts w:ascii="宋体" w:hAnsi="宋体" w:cs="宋体" w:eastAsia="宋体" w:hint="default"/>
                <w:sz w:val="18"/>
                <w:szCs w:val="18"/>
              </w:rPr>
            </w:pPr>
            <w:r>
              <w:rPr>
                <w:rFonts w:ascii="宋体" w:hAnsi="宋体" w:cs="宋体" w:eastAsia="宋体" w:hint="default"/>
                <w:spacing w:val="-2"/>
                <w:sz w:val="18"/>
                <w:szCs w:val="18"/>
              </w:rPr>
              <w:t>房屋及建筑物</w:t>
            </w:r>
          </w:p>
        </w:tc>
        <w:tc>
          <w:tcPr>
            <w:tcW w:w="12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仪器仪表</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6" w:type="dxa"/>
            <w:vMerge/>
            <w:tcBorders>
              <w:left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164" w:hRule="exact"/>
        </w:trPr>
        <w:tc>
          <w:tcPr>
            <w:tcW w:w="11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7"/>
                <w:sz w:val="18"/>
                <w:szCs w:val="18"/>
              </w:rPr>
              <w:t>一、账面原值</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537,387,751.22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193,574,873.91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10,131,984.48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4,072,102.20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13,293,303.74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23,702,193.38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782,162,208.93</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222,912.63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16,539,805.32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463,718.11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809,661.60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846,640.55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336,063.38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19,218,801.59</w:t>
            </w:r>
          </w:p>
        </w:tc>
      </w:tr>
      <w:tr>
        <w:trPr>
          <w:trHeight w:val="404"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57"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8,898,523.24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402,179.65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809,661.60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614,359.40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336,063.38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11,060,787.27</w:t>
            </w:r>
          </w:p>
        </w:tc>
      </w:tr>
      <w:tr>
        <w:trPr>
          <w:trHeight w:val="715" w:hRule="exact"/>
        </w:trPr>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8" w:firstLine="345"/>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）在建</w:t>
            </w:r>
            <w:r>
              <w:rPr>
                <w:rFonts w:ascii="宋体" w:hAnsi="宋体" w:cs="宋体" w:eastAsia="宋体" w:hint="default"/>
                <w:w w:val="101"/>
                <w:sz w:val="18"/>
                <w:szCs w:val="18"/>
              </w:rPr>
              <w:t> </w:t>
            </w:r>
            <w:r>
              <w:rPr>
                <w:rFonts w:ascii="宋体" w:hAnsi="宋体" w:cs="宋体" w:eastAsia="宋体" w:hint="default"/>
                <w:sz w:val="18"/>
                <w:szCs w:val="18"/>
              </w:rPr>
              <w:t>工程转入</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222,912.63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7,641,282.08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61,538.46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232,281.15</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8,158,014.32</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186"/>
        <w:gridCol w:w="1205"/>
        <w:gridCol w:w="1201"/>
        <w:gridCol w:w="1196"/>
        <w:gridCol w:w="1196"/>
        <w:gridCol w:w="1196"/>
        <w:gridCol w:w="1196"/>
        <w:gridCol w:w="1195"/>
      </w:tblGrid>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 w:firstLine="345"/>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w w:val="101"/>
                <w:sz w:val="18"/>
                <w:szCs w:val="18"/>
              </w:rPr>
              <w:t> </w:t>
            </w:r>
            <w:r>
              <w:rPr>
                <w:rFonts w:ascii="宋体" w:hAnsi="宋体" w:cs="宋体" w:eastAsia="宋体" w:hint="default"/>
                <w:sz w:val="18"/>
                <w:szCs w:val="18"/>
              </w:rPr>
              <w:t>合并增加</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8"/>
              <w:ind w:left="24"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447,677.74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486,002.00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49,675.20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983,354.94</w:t>
            </w: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8" w:firstLine="345"/>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r>
              <w:rPr>
                <w:rFonts w:ascii="宋体" w:hAnsi="宋体" w:cs="宋体" w:eastAsia="宋体" w:hint="default"/>
                <w:w w:val="101"/>
                <w:sz w:val="18"/>
                <w:szCs w:val="18"/>
              </w:rPr>
              <w:t> </w:t>
            </w:r>
            <w:r>
              <w:rPr>
                <w:rFonts w:ascii="宋体" w:hAnsi="宋体" w:cs="宋体" w:eastAsia="宋体" w:hint="default"/>
                <w:sz w:val="18"/>
                <w:szCs w:val="18"/>
              </w:rPr>
              <w:t>或报废</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447,677.74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486,002.00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49,675.20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983,354.94</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期末余额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537,610,663.85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209,667,001.49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10,109,700.59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4,881,763.80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14,090,269.09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24,038,256.76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800,397,655.58</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65"/>
              <w:jc w:val="right"/>
              <w:rPr>
                <w:rFonts w:ascii="宋体" w:hAnsi="宋体" w:cs="宋体" w:eastAsia="宋体" w:hint="default"/>
                <w:sz w:val="18"/>
                <w:szCs w:val="18"/>
              </w:rPr>
            </w:pPr>
            <w:r>
              <w:rPr>
                <w:rFonts w:ascii="宋体" w:hAnsi="宋体" w:cs="宋体" w:eastAsia="宋体" w:hint="default"/>
                <w:spacing w:val="-2"/>
                <w:sz w:val="18"/>
                <w:szCs w:val="18"/>
              </w:rPr>
              <w:t>二、累计折旧</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期初余额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47,033,443.96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60,962,371.69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5,795,286.47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2,833,260.69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9,803,177.66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8,316,716.65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134,744,257.12</w:t>
            </w: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14,272,830.88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20,556,523.56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1,031,935.70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330,647.31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1,696,432.83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2,371,174.85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40,259,545.13</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8"/>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14,272,830.88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20,556,523.56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1,031,935.70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330,647.31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1,696,432.83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2,371,174.85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40,259,545.13</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312,275.96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461,701.90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42,499.54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816,477.40</w:t>
            </w: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8" w:firstLine="345"/>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r>
              <w:rPr>
                <w:rFonts w:ascii="宋体" w:hAnsi="宋体" w:cs="宋体" w:eastAsia="宋体" w:hint="default"/>
                <w:w w:val="101"/>
                <w:sz w:val="18"/>
                <w:szCs w:val="18"/>
              </w:rPr>
              <w:t> </w:t>
            </w:r>
            <w:r>
              <w:rPr>
                <w:rFonts w:ascii="宋体" w:hAnsi="宋体" w:cs="宋体" w:eastAsia="宋体" w:hint="default"/>
                <w:sz w:val="18"/>
                <w:szCs w:val="18"/>
              </w:rPr>
              <w:t>或报废</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312,275.96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461,701.90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42,499.54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816,477.40</w:t>
            </w:r>
          </w:p>
        </w:tc>
      </w:tr>
      <w:tr>
        <w:trPr>
          <w:trHeight w:val="398"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0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期末余额</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61,306,274.84</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81,206,619.29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6,365,520.27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3,163,908.00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11,457,110.95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10,687,891.50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174,187,324.85</w:t>
            </w: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2"/>
                <w:sz w:val="18"/>
                <w:szCs w:val="18"/>
              </w:rPr>
              <w:t>三、减值准备</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期初余额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20,640.00</w:t>
            </w:r>
          </w:p>
        </w:tc>
      </w:tr>
      <w:tr>
        <w:trPr>
          <w:trHeight w:val="710"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right="8"/>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4"/>
              <w:ind w:left="24" w:right="8" w:firstLine="345"/>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r>
              <w:rPr>
                <w:rFonts w:ascii="宋体" w:hAnsi="宋体" w:cs="宋体" w:eastAsia="宋体" w:hint="default"/>
                <w:w w:val="101"/>
                <w:sz w:val="18"/>
                <w:szCs w:val="18"/>
              </w:rPr>
              <w:t> </w:t>
            </w:r>
            <w:r>
              <w:rPr>
                <w:rFonts w:ascii="宋体" w:hAnsi="宋体" w:cs="宋体" w:eastAsia="宋体" w:hint="default"/>
                <w:sz w:val="18"/>
                <w:szCs w:val="18"/>
              </w:rPr>
              <w:t>或报废</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08"/>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期末余额</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20,640.00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20,640.00</w:t>
            </w:r>
          </w:p>
        </w:tc>
      </w:tr>
      <w:tr>
        <w:trPr>
          <w:trHeight w:val="404"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5"/>
              <w:jc w:val="right"/>
              <w:rPr>
                <w:rFonts w:ascii="宋体" w:hAnsi="宋体" w:cs="宋体" w:eastAsia="宋体" w:hint="default"/>
                <w:sz w:val="18"/>
                <w:szCs w:val="18"/>
              </w:rPr>
            </w:pPr>
            <w:r>
              <w:rPr>
                <w:rFonts w:ascii="宋体" w:hAnsi="宋体" w:cs="宋体" w:eastAsia="宋体" w:hint="default"/>
                <w:spacing w:val="-2"/>
                <w:sz w:val="18"/>
                <w:szCs w:val="18"/>
              </w:rPr>
              <w:t>四、账面价值</w:t>
            </w:r>
          </w:p>
        </w:tc>
        <w:tc>
          <w:tcPr>
            <w:tcW w:w="1205" w:type="dxa"/>
            <w:tcBorders>
              <w:top w:val="single" w:sz="4" w:space="0" w:color="000000"/>
              <w:left w:val="single" w:sz="12" w:space="0" w:color="D2D2D2"/>
              <w:bottom w:val="single" w:sz="4" w:space="0" w:color="000000"/>
              <w:right w:val="single" w:sz="4" w:space="0" w:color="000000"/>
            </w:tcBorders>
          </w:tcPr>
          <w:p>
            <w:pPr/>
          </w:p>
        </w:tc>
        <w:tc>
          <w:tcPr>
            <w:tcW w:w="1201"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476,304,389.01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128,439,742.20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3,744,180.32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1,717,855.80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2,633,158.14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13,350,365.26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626,189,690.73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1186"/>
        <w:gridCol w:w="1205"/>
        <w:gridCol w:w="1201"/>
        <w:gridCol w:w="1196"/>
        <w:gridCol w:w="1196"/>
        <w:gridCol w:w="1196"/>
        <w:gridCol w:w="1196"/>
        <w:gridCol w:w="1195"/>
      </w:tblGrid>
      <w:tr>
        <w:trPr>
          <w:trHeight w:val="715" w:hRule="exact"/>
        </w:trPr>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08" w:firstLine="18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w:t>
            </w:r>
            <w:r>
              <w:rPr>
                <w:rFonts w:ascii="宋体" w:hAnsi="宋体" w:cs="宋体" w:eastAsia="宋体" w:hint="default"/>
                <w:w w:val="101"/>
                <w:sz w:val="18"/>
                <w:szCs w:val="18"/>
              </w:rPr>
              <w:t> </w:t>
            </w:r>
            <w:r>
              <w:rPr>
                <w:rFonts w:ascii="宋体" w:hAnsi="宋体" w:cs="宋体" w:eastAsia="宋体" w:hint="default"/>
                <w:sz w:val="18"/>
                <w:szCs w:val="18"/>
              </w:rPr>
              <w:t>价值</w:t>
            </w:r>
          </w:p>
        </w:tc>
        <w:tc>
          <w:tcPr>
            <w:tcW w:w="120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490,354,307.26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132,591,862.22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4,336,698.01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1,238,841.51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3,490,126.08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15,385,476.73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pacing w:val="-2"/>
                <w:sz w:val="18"/>
              </w:rPr>
              <w:t>647,397,311.81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bookmarkStart w:name="（2）暂时闲置的固定资产情况" w:id="290"/>
      <w:bookmarkEnd w:id="29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通过融资租赁租入的固定资产情况" w:id="291"/>
      <w:bookmarkEnd w:id="29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16,004,658.11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4,165,673.22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11,838,984.89</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16,004,658.11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4,165,673.22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11,838,984.89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通过经营租赁租出的固定资产" w:id="292"/>
      <w:bookmarkEnd w:id="29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9"/>
        <w:rPr>
          <w:rFonts w:ascii="宋体" w:hAnsi="宋体" w:cs="宋体" w:eastAsia="宋体" w:hint="default"/>
          <w:sz w:val="26"/>
          <w:szCs w:val="26"/>
        </w:rPr>
      </w:pPr>
    </w:p>
    <w:p>
      <w:pPr>
        <w:pStyle w:val="Heading3"/>
        <w:spacing w:line="240" w:lineRule="auto"/>
        <w:ind w:right="0"/>
        <w:jc w:val="left"/>
        <w:rPr>
          <w:b w:val="0"/>
          <w:bCs w:val="0"/>
        </w:rPr>
      </w:pPr>
      <w:bookmarkStart w:name="（5）未办妥产权证书的固定资产情况" w:id="293"/>
      <w:bookmarkEnd w:id="29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1"/>
        <w:rPr>
          <w:rFonts w:ascii="宋体" w:hAnsi="宋体" w:cs="宋体" w:eastAsia="宋体" w:hint="default"/>
          <w:b/>
          <w:bCs/>
          <w:sz w:val="25"/>
          <w:szCs w:val="25"/>
        </w:rPr>
      </w:pPr>
    </w:p>
    <w:tbl>
      <w:tblPr>
        <w:tblW w:w="0" w:type="auto"/>
        <w:jc w:val="left"/>
        <w:tblInd w:w="570" w:type="dxa"/>
        <w:tblLayout w:type="fixed"/>
        <w:tblCellMar>
          <w:top w:w="0" w:type="dxa"/>
          <w:left w:w="0" w:type="dxa"/>
          <w:bottom w:w="0" w:type="dxa"/>
          <w:right w:w="0" w:type="dxa"/>
        </w:tblCellMar>
        <w:tblLook w:val="01E0"/>
      </w:tblPr>
      <w:tblGrid>
        <w:gridCol w:w="2886"/>
        <w:gridCol w:w="2996"/>
        <w:gridCol w:w="2910"/>
      </w:tblGrid>
      <w:tr>
        <w:trPr>
          <w:trHeight w:val="446" w:hRule="exact"/>
        </w:trPr>
        <w:tc>
          <w:tcPr>
            <w:tcW w:w="28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4"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29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6"/>
              <w:ind w:left="643" w:right="0"/>
              <w:jc w:val="left"/>
              <w:rPr>
                <w:rFonts w:ascii="宋体" w:hAnsi="宋体" w:cs="宋体" w:eastAsia="宋体" w:hint="default"/>
                <w:sz w:val="18"/>
                <w:szCs w:val="18"/>
              </w:rPr>
            </w:pPr>
            <w:r>
              <w:rPr>
                <w:rFonts w:ascii="宋体" w:hAnsi="宋体" w:cs="宋体" w:eastAsia="宋体" w:hint="default"/>
                <w:spacing w:val="-3"/>
                <w:sz w:val="18"/>
                <w:szCs w:val="18"/>
              </w:rPr>
              <w:t>未办妥产权证书原因</w:t>
            </w:r>
          </w:p>
        </w:tc>
      </w:tr>
      <w:tr>
        <w:trPr>
          <w:trHeight w:val="403" w:hRule="exact"/>
        </w:trPr>
        <w:tc>
          <w:tcPr>
            <w:tcW w:w="2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5" w:right="0"/>
              <w:jc w:val="left"/>
              <w:rPr>
                <w:rFonts w:ascii="宋体" w:hAnsi="宋体" w:cs="宋体" w:eastAsia="宋体" w:hint="default"/>
                <w:sz w:val="18"/>
                <w:szCs w:val="18"/>
              </w:rPr>
            </w:pPr>
            <w:r>
              <w:rPr>
                <w:rFonts w:ascii="宋体" w:hAnsi="宋体" w:cs="宋体" w:eastAsia="宋体" w:hint="default"/>
                <w:sz w:val="18"/>
                <w:szCs w:val="18"/>
              </w:rPr>
              <w:t>天津生产基地生产车间</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627" w:right="0"/>
              <w:jc w:val="left"/>
              <w:rPr>
                <w:rFonts w:ascii="宋体" w:hAnsi="宋体" w:cs="宋体" w:eastAsia="宋体" w:hint="default"/>
                <w:sz w:val="18"/>
                <w:szCs w:val="18"/>
              </w:rPr>
            </w:pPr>
            <w:r>
              <w:rPr>
                <w:rFonts w:ascii="宋体"/>
                <w:sz w:val="18"/>
              </w:rPr>
              <w:t>235,966,555.81</w:t>
            </w:r>
          </w:p>
        </w:tc>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358" w:right="0"/>
              <w:jc w:val="left"/>
              <w:rPr>
                <w:rFonts w:ascii="宋体" w:hAnsi="宋体" w:cs="宋体" w:eastAsia="宋体" w:hint="default"/>
                <w:sz w:val="18"/>
                <w:szCs w:val="18"/>
              </w:rPr>
            </w:pPr>
            <w:r>
              <w:rPr>
                <w:rFonts w:ascii="宋体" w:hAnsi="宋体" w:cs="宋体" w:eastAsia="宋体" w:hint="default"/>
                <w:sz w:val="18"/>
                <w:szCs w:val="18"/>
              </w:rPr>
              <w:t>产权证正在办理中</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6）固定资产清理" w:id="294"/>
      <w:bookmarkEnd w:id="294"/>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22、在建工程" w:id="295"/>
      <w:bookmarkEnd w:id="295"/>
      <w:r>
        <w:rPr>
          <w:b w:val="0"/>
          <w:bCs w:val="0"/>
        </w:rPr>
      </w:r>
      <w:r>
        <w:rPr>
          <w:rFonts w:ascii="Times New Roman" w:hAnsi="Times New Roman" w:cs="Times New Roman" w:eastAsia="Times New Roman" w:hint="default"/>
        </w:rPr>
        <w:t>22</w:t>
      </w:r>
      <w:r>
        <w:rPr/>
        <w:t>、在建工程</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3"/>
      </w:tblGrid>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293,218,557.03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151,863,447.60</w:t>
            </w:r>
          </w:p>
        </w:tc>
      </w:tr>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293,218,557.03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151,863,447.60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在建工程情况" w:id="296"/>
      <w:bookmarkEnd w:id="296"/>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电池级铁锂材料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生产基地项目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269,242,678.09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269,242,678.09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134,018,096.82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134,018,096.82</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369"/>
        <w:gridCol w:w="1368"/>
        <w:gridCol w:w="1369"/>
        <w:gridCol w:w="1368"/>
        <w:gridCol w:w="1364"/>
        <w:gridCol w:w="1369"/>
        <w:gridCol w:w="1369"/>
      </w:tblGrid>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天津基建项目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259,624.66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259,624.66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12,926,035.01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12,926,035.01</w:t>
            </w:r>
          </w:p>
        </w:tc>
      </w:tr>
      <w:tr>
        <w:trPr>
          <w:trHeight w:val="39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磷酸铁车间改造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3,222,039.61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3,222,039.61</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3,072,769.56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3,072,769.56</w:t>
            </w:r>
          </w:p>
        </w:tc>
      </w:tr>
      <w:tr>
        <w:trPr>
          <w:trHeight w:val="40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大颗粒车间改造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16,194,626.79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16,194,626.79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1,284,570.74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1,284,570.74</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阿米巴信息化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420,000.00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420,000.00</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环保设备</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车间</w:t>
            </w:r>
            <w:r>
              <w:rPr>
                <w:rFonts w:ascii="宋体" w:hAnsi="宋体" w:cs="宋体" w:eastAsia="宋体" w:hint="default"/>
                <w:sz w:val="18"/>
                <w:szCs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80,540.98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80,540.98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73,009.95</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73,009.95</w:t>
            </w:r>
          </w:p>
        </w:tc>
      </w:tr>
      <w:tr>
        <w:trPr>
          <w:trHeight w:val="102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both"/>
              <w:rPr>
                <w:rFonts w:ascii="宋体" w:hAnsi="宋体" w:cs="宋体" w:eastAsia="宋体" w:hint="default"/>
                <w:sz w:val="18"/>
                <w:szCs w:val="18"/>
              </w:rPr>
            </w:pPr>
            <w:r>
              <w:rPr>
                <w:rFonts w:ascii="宋体" w:hAnsi="宋体" w:cs="宋体" w:eastAsia="宋体" w:hint="default"/>
                <w:spacing w:val="-3"/>
                <w:sz w:val="18"/>
                <w:szCs w:val="18"/>
              </w:rPr>
              <w:t>油烟处理器光催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化处理器活性炭</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吸附设备</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68,965.52</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68,965.52</w:t>
            </w:r>
          </w:p>
        </w:tc>
      </w:tr>
      <w:tr>
        <w:trPr>
          <w:trHeight w:val="715"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污水处理系统改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造</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4,219,046.90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4,219,046.90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293,218,557.03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293,218,557.03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151,863,447.60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151,863,447.60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在建工程项目本期变动情况" w:id="297"/>
      <w:bookmarkEnd w:id="297"/>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5"/>
        <w:gridCol w:w="735"/>
        <w:gridCol w:w="739"/>
        <w:gridCol w:w="735"/>
        <w:gridCol w:w="734"/>
        <w:gridCol w:w="740"/>
        <w:gridCol w:w="735"/>
        <w:gridCol w:w="734"/>
        <w:gridCol w:w="740"/>
        <w:gridCol w:w="734"/>
        <w:gridCol w:w="735"/>
        <w:gridCol w:w="739"/>
      </w:tblGrid>
      <w:tr>
        <w:trPr>
          <w:trHeight w:val="1335"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9" w:hanging="183"/>
              <w:jc w:val="left"/>
              <w:rPr>
                <w:rFonts w:ascii="宋体" w:hAnsi="宋体" w:cs="宋体" w:eastAsia="宋体" w:hint="default"/>
                <w:sz w:val="18"/>
                <w:szCs w:val="18"/>
              </w:rPr>
            </w:pPr>
            <w:r>
              <w:rPr>
                <w:rFonts w:ascii="宋体" w:hAnsi="宋体" w:cs="宋体" w:eastAsia="宋体" w:hint="default"/>
                <w:sz w:val="18"/>
                <w:szCs w:val="18"/>
              </w:rPr>
              <w:t>项目名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期初余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95" w:right="89"/>
              <w:jc w:val="left"/>
              <w:rPr>
                <w:rFonts w:ascii="宋体" w:hAnsi="宋体" w:cs="宋体" w:eastAsia="宋体" w:hint="default"/>
                <w:sz w:val="18"/>
                <w:szCs w:val="18"/>
              </w:rPr>
            </w:pPr>
            <w:r>
              <w:rPr>
                <w:rFonts w:ascii="宋体" w:hAnsi="宋体" w:cs="宋体" w:eastAsia="宋体" w:hint="default"/>
                <w:sz w:val="18"/>
                <w:szCs w:val="18"/>
              </w:rPr>
              <w:t>本期增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加金额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5" w:right="84"/>
              <w:jc w:val="center"/>
              <w:rPr>
                <w:rFonts w:ascii="宋体" w:hAnsi="宋体" w:cs="宋体" w:eastAsia="宋体" w:hint="default"/>
                <w:sz w:val="18"/>
                <w:szCs w:val="18"/>
              </w:rPr>
            </w:pPr>
            <w:r>
              <w:rPr>
                <w:rFonts w:ascii="宋体" w:hAnsi="宋体" w:cs="宋体" w:eastAsia="宋体" w:hint="default"/>
                <w:spacing w:val="-2"/>
                <w:sz w:val="18"/>
                <w:szCs w:val="18"/>
              </w:rPr>
              <w:t>本期转</w:t>
            </w:r>
            <w:r>
              <w:rPr>
                <w:rFonts w:ascii="宋体" w:hAnsi="宋体" w:cs="宋体" w:eastAsia="宋体" w:hint="default"/>
                <w:w w:val="101"/>
                <w:sz w:val="18"/>
                <w:szCs w:val="18"/>
              </w:rPr>
              <w:t> </w:t>
            </w:r>
            <w:r>
              <w:rPr>
                <w:rFonts w:ascii="宋体" w:hAnsi="宋体" w:cs="宋体" w:eastAsia="宋体" w:hint="default"/>
                <w:spacing w:val="-2"/>
                <w:sz w:val="18"/>
                <w:szCs w:val="18"/>
              </w:rPr>
              <w:t>入固定</w:t>
            </w:r>
            <w:r>
              <w:rPr>
                <w:rFonts w:ascii="宋体" w:hAnsi="宋体" w:cs="宋体" w:eastAsia="宋体" w:hint="default"/>
                <w:w w:val="101"/>
                <w:sz w:val="18"/>
                <w:szCs w:val="18"/>
              </w:rPr>
              <w:t> </w:t>
            </w:r>
            <w:r>
              <w:rPr>
                <w:rFonts w:ascii="宋体" w:hAnsi="宋体" w:cs="宋体" w:eastAsia="宋体" w:hint="default"/>
                <w:spacing w:val="-2"/>
                <w:sz w:val="18"/>
                <w:szCs w:val="18"/>
              </w:rPr>
              <w:t>资产金</w:t>
            </w:r>
            <w:r>
              <w:rPr>
                <w:rFonts w:ascii="宋体" w:hAnsi="宋体" w:cs="宋体" w:eastAsia="宋体" w:hint="default"/>
                <w:w w:val="101"/>
                <w:sz w:val="18"/>
                <w:szCs w:val="18"/>
              </w:rPr>
              <w:t> </w:t>
            </w:r>
            <w:r>
              <w:rPr>
                <w:rFonts w:ascii="宋体" w:hAnsi="宋体" w:cs="宋体" w:eastAsia="宋体" w:hint="default"/>
                <w:sz w:val="18"/>
                <w:szCs w:val="18"/>
              </w:rPr>
              <w:t>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他减少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金额</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96" w:right="84"/>
              <w:jc w:val="both"/>
              <w:rPr>
                <w:rFonts w:ascii="宋体" w:hAnsi="宋体" w:cs="宋体" w:eastAsia="宋体" w:hint="default"/>
                <w:sz w:val="18"/>
                <w:szCs w:val="18"/>
              </w:rPr>
            </w:pPr>
            <w:r>
              <w:rPr>
                <w:rFonts w:ascii="宋体" w:hAnsi="宋体" w:cs="宋体" w:eastAsia="宋体" w:hint="default"/>
                <w:sz w:val="18"/>
                <w:szCs w:val="18"/>
              </w:rPr>
              <w:t>工程累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占预算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4" w:hanging="178"/>
              <w:jc w:val="left"/>
              <w:rPr>
                <w:rFonts w:ascii="宋体" w:hAnsi="宋体" w:cs="宋体" w:eastAsia="宋体" w:hint="default"/>
                <w:sz w:val="18"/>
                <w:szCs w:val="18"/>
              </w:rPr>
            </w:pPr>
            <w:r>
              <w:rPr>
                <w:rFonts w:ascii="宋体" w:hAnsi="宋体" w:cs="宋体" w:eastAsia="宋体" w:hint="default"/>
                <w:sz w:val="18"/>
                <w:szCs w:val="18"/>
              </w:rPr>
              <w:t>工程进</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度</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95" w:right="89"/>
              <w:jc w:val="both"/>
              <w:rPr>
                <w:rFonts w:ascii="宋体" w:hAnsi="宋体" w:cs="宋体" w:eastAsia="宋体" w:hint="default"/>
                <w:sz w:val="18"/>
                <w:szCs w:val="18"/>
              </w:rPr>
            </w:pPr>
            <w:r>
              <w:rPr>
                <w:rFonts w:ascii="宋体" w:hAnsi="宋体" w:cs="宋体" w:eastAsia="宋体" w:hint="default"/>
                <w:sz w:val="18"/>
                <w:szCs w:val="18"/>
              </w:rPr>
              <w:t>利息资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本化累</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3" w:right="1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期利息</w:t>
            </w:r>
            <w:r>
              <w:rPr>
                <w:rFonts w:ascii="宋体" w:hAnsi="宋体" w:cs="宋体" w:eastAsia="宋体" w:hint="default"/>
                <w:w w:val="101"/>
                <w:sz w:val="18"/>
                <w:szCs w:val="18"/>
              </w:rPr>
              <w:t> </w:t>
            </w:r>
            <w:r>
              <w:rPr>
                <w:rFonts w:ascii="宋体" w:hAnsi="宋体" w:cs="宋体" w:eastAsia="宋体" w:hint="default"/>
                <w:sz w:val="18"/>
                <w:szCs w:val="18"/>
              </w:rPr>
              <w:t>资本化</w:t>
            </w:r>
            <w:r>
              <w:rPr>
                <w:rFonts w:ascii="宋体" w:hAnsi="宋体" w:cs="宋体" w:eastAsia="宋体" w:hint="default"/>
                <w:w w:val="101"/>
                <w:sz w:val="18"/>
                <w:szCs w:val="18"/>
              </w:rPr>
              <w:t> </w:t>
            </w:r>
            <w:r>
              <w:rPr>
                <w:rFonts w:ascii="宋体" w:hAnsi="宋体" w:cs="宋体" w:eastAsia="宋体" w:hint="default"/>
                <w:sz w:val="18"/>
                <w:szCs w:val="18"/>
              </w:rPr>
              <w:t>金额</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95" w:right="84"/>
              <w:jc w:val="both"/>
              <w:rPr>
                <w:rFonts w:ascii="宋体" w:hAnsi="宋体" w:cs="宋体" w:eastAsia="宋体" w:hint="default"/>
                <w:sz w:val="18"/>
                <w:szCs w:val="18"/>
              </w:rPr>
            </w:pPr>
            <w:r>
              <w:rPr>
                <w:rFonts w:ascii="宋体" w:hAnsi="宋体" w:cs="宋体" w:eastAsia="宋体" w:hint="default"/>
                <w:sz w:val="18"/>
                <w:szCs w:val="18"/>
              </w:rPr>
              <w:t>本期利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息资本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化率</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273" w:right="89" w:hanging="178"/>
              <w:jc w:val="left"/>
              <w:rPr>
                <w:rFonts w:ascii="宋体" w:hAnsi="宋体" w:cs="宋体" w:eastAsia="宋体" w:hint="default"/>
                <w:sz w:val="18"/>
                <w:szCs w:val="18"/>
              </w:rPr>
            </w:pPr>
            <w:r>
              <w:rPr>
                <w:rFonts w:ascii="宋体" w:hAnsi="宋体" w:cs="宋体" w:eastAsia="宋体" w:hint="default"/>
                <w:sz w:val="18"/>
                <w:szCs w:val="18"/>
              </w:rPr>
              <w:t>资金来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源</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56"/>
              <w:jc w:val="left"/>
              <w:rPr>
                <w:rFonts w:ascii="宋体" w:hAnsi="宋体" w:cs="宋体" w:eastAsia="宋体" w:hint="default"/>
                <w:sz w:val="18"/>
                <w:szCs w:val="18"/>
              </w:rPr>
            </w:pPr>
            <w:r>
              <w:rPr>
                <w:rFonts w:ascii="宋体" w:hAnsi="宋体" w:cs="宋体" w:eastAsia="宋体" w:hint="default"/>
                <w:sz w:val="18"/>
                <w:szCs w:val="18"/>
              </w:rPr>
              <w:t>天津基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建项目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0" w:right="0"/>
              <w:jc w:val="center"/>
              <w:rPr>
                <w:rFonts w:ascii="Times New Roman" w:hAnsi="Times New Roman" w:cs="Times New Roman" w:eastAsia="Times New Roman" w:hint="default"/>
                <w:sz w:val="18"/>
                <w:szCs w:val="18"/>
              </w:rPr>
            </w:pPr>
            <w:r>
              <w:rPr>
                <w:rFonts w:ascii="Times New Roman"/>
                <w:sz w:val="18"/>
              </w:rPr>
              <w:t>342,230,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12,926,0</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35.01</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2,537,44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9.54</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 w:right="0"/>
              <w:jc w:val="left"/>
              <w:rPr>
                <w:rFonts w:ascii="Times New Roman" w:hAnsi="Times New Roman" w:cs="Times New Roman" w:eastAsia="Times New Roman" w:hint="default"/>
                <w:sz w:val="18"/>
                <w:szCs w:val="18"/>
              </w:rPr>
            </w:pPr>
            <w:r>
              <w:rPr>
                <w:rFonts w:ascii="Times New Roman"/>
                <w:sz w:val="18"/>
              </w:rPr>
              <w:t>15,463,4</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84.55</w:t>
            </w:r>
          </w:p>
        </w:tc>
        <w:tc>
          <w:tcPr>
            <w:tcW w:w="740"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2"/>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338"/>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磷酸铁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车间改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造</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68,535,5</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3,072,76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9.56</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2,338,38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4.95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2,189,11</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4.90</w:t>
            </w:r>
          </w:p>
        </w:tc>
        <w:tc>
          <w:tcPr>
            <w:tcW w:w="73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3,222,03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9.61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98.40%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38"/>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652"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电池级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铁锂材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料生产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基地项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300,000,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134,018,</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096.82</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139,890,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477.42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2,551,72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2,114,17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269,242,</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678.09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91.30%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92.00</w:t>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募股资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w:t>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center"/>
              <w:rPr>
                <w:rFonts w:ascii="Times New Roman" w:hAnsi="Times New Roman" w:cs="Times New Roman" w:eastAsia="Times New Roman" w:hint="default"/>
                <w:sz w:val="18"/>
                <w:szCs w:val="18"/>
              </w:rPr>
            </w:pPr>
            <w:r>
              <w:rPr>
                <w:rFonts w:ascii="Times New Roman"/>
                <w:sz w:val="18"/>
              </w:rPr>
              <w:t>710,766,</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300.00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9" w:right="0"/>
              <w:jc w:val="center"/>
              <w:rPr>
                <w:rFonts w:ascii="Times New Roman" w:hAnsi="Times New Roman" w:cs="Times New Roman" w:eastAsia="Times New Roman" w:hint="default"/>
                <w:sz w:val="18"/>
                <w:szCs w:val="18"/>
              </w:rPr>
            </w:pPr>
            <w:r>
              <w:rPr>
                <w:rFonts w:ascii="Times New Roman"/>
                <w:sz w:val="18"/>
              </w:rPr>
              <w:t>150,016,</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901.39</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center"/>
              <w:rPr>
                <w:rFonts w:ascii="Times New Roman" w:hAnsi="Times New Roman" w:cs="Times New Roman" w:eastAsia="Times New Roman" w:hint="default"/>
                <w:sz w:val="18"/>
                <w:szCs w:val="18"/>
              </w:rPr>
            </w:pPr>
            <w:r>
              <w:rPr>
                <w:rFonts w:ascii="Times New Roman"/>
                <w:sz w:val="18"/>
              </w:rPr>
              <w:t>144,766,</w:t>
            </w:r>
          </w:p>
          <w:p>
            <w:pPr>
              <w:pStyle w:val="TableParagraph"/>
              <w:spacing w:line="240" w:lineRule="auto" w:before="105"/>
              <w:ind w:left="196" w:right="0"/>
              <w:jc w:val="center"/>
              <w:rPr>
                <w:rFonts w:ascii="Times New Roman" w:hAnsi="Times New Roman" w:cs="Times New Roman" w:eastAsia="Times New Roman" w:hint="default"/>
                <w:sz w:val="18"/>
                <w:szCs w:val="18"/>
              </w:rPr>
            </w:pPr>
            <w:r>
              <w:rPr>
                <w:rFonts w:ascii="Times New Roman"/>
                <w:sz w:val="18"/>
              </w:rPr>
              <w:t>311.91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4,740,83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17,577,6</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56.55</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 w:right="0"/>
              <w:jc w:val="center"/>
              <w:rPr>
                <w:rFonts w:ascii="Times New Roman" w:hAnsi="Times New Roman" w:cs="Times New Roman" w:eastAsia="Times New Roman" w:hint="default"/>
                <w:sz w:val="18"/>
                <w:szCs w:val="18"/>
              </w:rPr>
            </w:pPr>
            <w:r>
              <w:rPr>
                <w:rFonts w:ascii="Times New Roman"/>
                <w:sz w:val="18"/>
              </w:rPr>
              <w:t>272,464,</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717.70</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74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310"/>
              <w:jc w:val="righ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在建工程减值准备情况" w:id="298"/>
      <w:bookmarkEnd w:id="298"/>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工程物资" w:id="299"/>
      <w:bookmarkEnd w:id="299"/>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3、生产性生物资产" w:id="300"/>
      <w:bookmarkEnd w:id="30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24、油气资产" w:id="301"/>
      <w:bookmarkEnd w:id="301"/>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1"/>
        <w:rPr>
          <w:rFonts w:ascii="宋体" w:hAnsi="宋体" w:cs="宋体" w:eastAsia="宋体" w:hint="default"/>
          <w:b/>
          <w:bCs/>
          <w:sz w:val="27"/>
          <w:szCs w:val="27"/>
        </w:rPr>
      </w:pPr>
    </w:p>
    <w:p>
      <w:pPr>
        <w:spacing w:line="542" w:lineRule="auto" w:before="0"/>
        <w:ind w:left="153" w:right="927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适用</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r>
        <w:rPr>
          <w:rFonts w:ascii="宋体" w:hAnsi="宋体" w:cs="宋体" w:eastAsia="宋体" w:hint="default"/>
          <w:spacing w:val="-87"/>
          <w:sz w:val="18"/>
          <w:szCs w:val="18"/>
        </w:rPr>
        <w:t> </w:t>
      </w:r>
      <w:r>
        <w:rPr>
          <w:rFonts w:ascii="宋体" w:hAnsi="宋体" w:cs="宋体" w:eastAsia="宋体" w:hint="default"/>
          <w:spacing w:val="-87"/>
          <w:sz w:val="18"/>
          <w:szCs w:val="18"/>
        </w:rPr>
      </w:r>
      <w:bookmarkStart w:name="25、使用权资产" w:id="302"/>
      <w:bookmarkEnd w:id="302"/>
      <w:r>
        <w:rPr>
          <w:rFonts w:ascii="宋体" w:hAnsi="宋体" w:cs="宋体" w:eastAsia="宋体" w:hint="default"/>
          <w:spacing w:val="-87"/>
          <w:sz w:val="18"/>
          <w:szCs w:val="18"/>
        </w:rPr>
      </w:r>
      <w:r>
        <w:rPr>
          <w:rFonts w:ascii="Times New Roman" w:hAnsi="Times New Roman" w:cs="Times New Roman" w:eastAsia="Times New Roman" w:hint="default"/>
          <w:b/>
          <w:bCs/>
          <w:sz w:val="21"/>
          <w:szCs w:val="21"/>
        </w:rPr>
        <w:t>25</w:t>
      </w:r>
      <w:r>
        <w:rPr>
          <w:rFonts w:ascii="宋体" w:hAnsi="宋体" w:cs="宋体" w:eastAsia="宋体" w:hint="default"/>
          <w:b/>
          <w:bCs/>
          <w:sz w:val="21"/>
          <w:szCs w:val="21"/>
        </w:rPr>
        <w:t>、使用权资产</w:t>
      </w:r>
      <w:r>
        <w:rPr>
          <w:rFonts w:ascii="宋体" w:hAnsi="宋体" w:cs="宋体" w:eastAsia="宋体" w:hint="default"/>
          <w:b/>
          <w:bCs/>
          <w:spacing w:val="-103"/>
          <w:sz w:val="21"/>
          <w:szCs w:val="21"/>
        </w:rPr>
        <w:t> </w:t>
      </w:r>
      <w:r>
        <w:rPr>
          <w:rFonts w:ascii="宋体" w:hAnsi="宋体" w:cs="宋体" w:eastAsia="宋体" w:hint="default"/>
          <w:sz w:val="18"/>
          <w:szCs w:val="18"/>
        </w:rPr>
        <w:t>不适用</w:t>
      </w:r>
    </w:p>
    <w:p>
      <w:pPr>
        <w:pStyle w:val="Heading3"/>
        <w:spacing w:line="240" w:lineRule="auto" w:before="126"/>
        <w:ind w:right="0"/>
        <w:jc w:val="left"/>
        <w:rPr>
          <w:b w:val="0"/>
          <w:bCs w:val="0"/>
        </w:rPr>
      </w:pPr>
      <w:bookmarkStart w:name="26、无形资产" w:id="303"/>
      <w:bookmarkEnd w:id="303"/>
      <w:r>
        <w:rPr>
          <w:b w:val="0"/>
          <w:bCs w:val="0"/>
        </w:rPr>
      </w: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无形资产情况" w:id="304"/>
      <w:bookmarkEnd w:id="30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06"/>
        <w:gridCol w:w="1595"/>
        <w:gridCol w:w="1594"/>
        <w:gridCol w:w="1594"/>
        <w:gridCol w:w="1599"/>
      </w:tblGrid>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5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5"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118,825,983.03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98,824,641.71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4,753,418.29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13,073,063.78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235,477,106.81</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48,076,025.72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16,522,761.82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1,404,458.24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66,003,245.78</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）购置</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48,076,025.72</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814,646.92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48,890,672.64</w:t>
            </w:r>
          </w:p>
        </w:tc>
      </w:tr>
      <w:tr>
        <w:trPr>
          <w:trHeight w:val="716"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55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w w:val="101"/>
                <w:sz w:val="18"/>
                <w:szCs w:val="18"/>
              </w:rPr>
              <w:t>发</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16,522,761.82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589,811.32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2"/>
                <w:sz w:val="18"/>
              </w:rPr>
              <w:t>17,112,573.14</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11" w:right="11" w:firstLine="542"/>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）企业合</w:t>
            </w:r>
            <w:r>
              <w:rPr>
                <w:rFonts w:ascii="宋体" w:hAnsi="宋体" w:cs="宋体" w:eastAsia="宋体" w:hint="default"/>
                <w:w w:val="101"/>
                <w:sz w:val="18"/>
                <w:szCs w:val="18"/>
              </w:rPr>
              <w:t> </w:t>
            </w:r>
            <w:r>
              <w:rPr>
                <w:rFonts w:ascii="宋体" w:hAnsi="宋体" w:cs="宋体" w:eastAsia="宋体" w:hint="default"/>
                <w:sz w:val="18"/>
                <w:szCs w:val="18"/>
              </w:rPr>
              <w:t>并增加</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166,902,008.75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115,347,403.53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4,753,418.29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14,477,522.02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301,480,352.59</w:t>
            </w:r>
          </w:p>
        </w:tc>
      </w:tr>
      <w:tr>
        <w:trPr>
          <w:trHeight w:val="399"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6"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12,362,702.60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14,861,667.49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1,063,356.00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3,156,234.31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8"/>
                <w:szCs w:val="18"/>
              </w:rPr>
            </w:pPr>
            <w:r>
              <w:rPr>
                <w:rFonts w:ascii="Times New Roman"/>
                <w:spacing w:val="-1"/>
                <w:sz w:val="18"/>
              </w:rPr>
              <w:t>31,443,960.40</w:t>
            </w:r>
          </w:p>
        </w:tc>
      </w:tr>
      <w:tr>
        <w:trPr>
          <w:trHeight w:val="715"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7"/>
              <w:ind w:left="11"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3,424,363.59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10,872,385.21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44,000.04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940,584.75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15,281,333.59</w:t>
            </w:r>
          </w:p>
        </w:tc>
      </w:tr>
      <w:tr>
        <w:trPr>
          <w:trHeight w:val="404"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3,424,363.59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10,872,385.21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940,584.75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15,281,333.59</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7"/>
              <w:ind w:right="144"/>
              <w:jc w:val="righ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本期减少金</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82"/>
        <w:gridCol w:w="1606"/>
        <w:gridCol w:w="1595"/>
        <w:gridCol w:w="1594"/>
        <w:gridCol w:w="1594"/>
        <w:gridCol w:w="1599"/>
      </w:tblGrid>
      <w:tr>
        <w:trPr>
          <w:trHeight w:val="360"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15,787,066.19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25,734,052.70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1,107,356.04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4,096,819.06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46,725,293.99</w:t>
            </w: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期初余额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92"/>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）计提</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w:t>
            </w:r>
          </w:p>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w w:val="101"/>
                <w:sz w:val="18"/>
                <w:szCs w:val="18"/>
              </w:rPr>
              <w:t>额</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期末余额</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606" w:type="dxa"/>
            <w:tcBorders>
              <w:top w:val="single" w:sz="4" w:space="0" w:color="000000"/>
              <w:left w:val="single" w:sz="13" w:space="0" w:color="D2D2D2"/>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w:t>
            </w:r>
          </w:p>
          <w:p>
            <w:pPr>
              <w:pStyle w:val="TableParagraph"/>
              <w:spacing w:line="240" w:lineRule="auto" w:before="67"/>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151,114,942.56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89,613,350.83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3,646,062.25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10,380,702.96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254,755,058.60</w:t>
            </w:r>
          </w:p>
        </w:tc>
      </w:tr>
      <w:tr>
        <w:trPr>
          <w:trHeight w:val="715"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w w:val="101"/>
                <w:sz w:val="18"/>
                <w:szCs w:val="18"/>
              </w:rPr>
              <w:t>值</w:t>
            </w:r>
            <w:r>
              <w:rPr>
                <w:rFonts w:ascii="宋体" w:hAnsi="宋体" w:cs="宋体" w:eastAsia="宋体" w:hint="default"/>
                <w:sz w:val="18"/>
                <w:szCs w:val="18"/>
              </w:rPr>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106,463,280.43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83,962,974.22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3,690,062.29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9,916,829.47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204,033,146.41</w:t>
            </w:r>
          </w:p>
        </w:tc>
      </w:tr>
    </w:tbl>
    <w:p>
      <w:pPr>
        <w:pStyle w:val="BodyText"/>
        <w:spacing w:line="240" w:lineRule="auto" w:before="54"/>
        <w:ind w:right="0"/>
        <w:jc w:val="left"/>
      </w:pPr>
      <w:r>
        <w:rPr>
          <w:spacing w:val="-3"/>
        </w:rPr>
        <w:t>本期末通过公司内部研发形成的无形资产占无形资产余额的比例</w:t>
      </w:r>
      <w:r>
        <w:rPr>
          <w:spacing w:val="38"/>
        </w:rPr>
        <w:t> </w:t>
      </w:r>
      <w:r>
        <w:rPr>
          <w:rFonts w:ascii="Times New Roman" w:hAnsi="Times New Roman" w:cs="Times New Roman" w:eastAsia="Times New Roman" w:hint="default"/>
        </w:rPr>
        <w:t>37.10%</w:t>
      </w:r>
      <w:r>
        <w:rPr/>
        <w:t>。</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305"/>
      <w:bookmarkEnd w:id="30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7、开发支出" w:id="306"/>
      <w:bookmarkEnd w:id="306"/>
      <w:r>
        <w:rPr>
          <w:b w:val="0"/>
          <w:bCs w:val="0"/>
        </w:rPr>
      </w:r>
      <w:r>
        <w:rPr>
          <w:rFonts w:ascii="Times New Roman" w:hAnsi="Times New Roman" w:cs="Times New Roman" w:eastAsia="Times New Roman" w:hint="default"/>
        </w:rPr>
        <w:t>27</w:t>
      </w:r>
      <w:r>
        <w:rPr/>
        <w:t>、开发支出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040"/>
        <w:gridCol w:w="1076"/>
        <w:gridCol w:w="1061"/>
        <w:gridCol w:w="1066"/>
        <w:gridCol w:w="1061"/>
        <w:gridCol w:w="1066"/>
        <w:gridCol w:w="1061"/>
        <w:gridCol w:w="1066"/>
        <w:gridCol w:w="1061"/>
      </w:tblGrid>
      <w:tr>
        <w:trPr>
          <w:trHeight w:val="403" w:hRule="exact"/>
        </w:trPr>
        <w:tc>
          <w:tcPr>
            <w:tcW w:w="104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5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8" w:hRule="exact"/>
        </w:trPr>
        <w:tc>
          <w:tcPr>
            <w:tcW w:w="104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3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8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36" w:right="69" w:hanging="360"/>
              <w:jc w:val="left"/>
              <w:rPr>
                <w:rFonts w:ascii="宋体" w:hAnsi="宋体" w:cs="宋体" w:eastAsia="宋体" w:hint="default"/>
                <w:sz w:val="18"/>
                <w:szCs w:val="18"/>
              </w:rPr>
            </w:pPr>
            <w:r>
              <w:rPr>
                <w:rFonts w:ascii="宋体" w:hAnsi="宋体" w:cs="宋体" w:eastAsia="宋体" w:hint="default"/>
                <w:spacing w:val="-2"/>
                <w:sz w:val="18"/>
                <w:szCs w:val="18"/>
              </w:rPr>
              <w:t>内部开发支</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出</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45" w:right="75" w:hanging="269"/>
              <w:jc w:val="left"/>
              <w:rPr>
                <w:rFonts w:ascii="宋体" w:hAnsi="宋体" w:cs="宋体" w:eastAsia="宋体" w:hint="default"/>
                <w:sz w:val="18"/>
                <w:szCs w:val="18"/>
              </w:rPr>
            </w:pPr>
            <w:r>
              <w:rPr>
                <w:rFonts w:ascii="宋体" w:hAnsi="宋体" w:cs="宋体" w:eastAsia="宋体" w:hint="default"/>
                <w:spacing w:val="-2"/>
                <w:sz w:val="18"/>
                <w:szCs w:val="18"/>
              </w:rPr>
              <w:t>确认为无形</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资产</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转入当期损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益</w:t>
            </w: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1040" w:type="dxa"/>
            <w:vMerge/>
            <w:tcBorders>
              <w:left w:val="single" w:sz="4" w:space="0" w:color="000000"/>
              <w:bottom w:val="nil" w:sz="6" w:space="0" w:color="auto"/>
              <w:right w:val="single" w:sz="4" w:space="0" w:color="000000"/>
            </w:tcBorders>
            <w:shd w:val="clear" w:color="auto" w:fill="D2D2D2"/>
          </w:tcPr>
          <w:p>
            <w:pPr/>
          </w:p>
        </w:tc>
        <w:tc>
          <w:tcPr>
            <w:tcW w:w="107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3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1" w:type="dxa"/>
            <w:vMerge w:val="restart"/>
            <w:tcBorders>
              <w:top w:val="nil" w:sz="6" w:space="0" w:color="auto"/>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0" w:type="dxa"/>
            <w:vMerge w:val="restart"/>
            <w:tcBorders>
              <w:top w:val="nil" w:sz="6" w:space="0" w:color="auto"/>
              <w:left w:val="single" w:sz="4" w:space="0" w:color="000000"/>
              <w:right w:val="single" w:sz="4" w:space="0" w:color="000000"/>
            </w:tcBorders>
            <w:shd w:val="clear" w:color="auto" w:fill="D2D2D2"/>
          </w:tcPr>
          <w:p>
            <w:pPr/>
          </w:p>
        </w:tc>
        <w:tc>
          <w:tcPr>
            <w:tcW w:w="1076" w:type="dxa"/>
            <w:vMerge w:val="restart"/>
            <w:tcBorders>
              <w:top w:val="nil" w:sz="6" w:space="0" w:color="auto"/>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61"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1040" w:type="dxa"/>
            <w:vMerge/>
            <w:tcBorders>
              <w:left w:val="single" w:sz="4" w:space="0" w:color="000000"/>
              <w:bottom w:val="single" w:sz="4" w:space="0" w:color="000000"/>
              <w:right w:val="single" w:sz="4" w:space="0" w:color="000000"/>
            </w:tcBorders>
            <w:shd w:val="clear" w:color="auto" w:fill="D2D2D2"/>
          </w:tcPr>
          <w:p>
            <w:pPr/>
          </w:p>
        </w:tc>
        <w:tc>
          <w:tcPr>
            <w:tcW w:w="107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项目一</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1,616,700.80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1,656,654.78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3,273,355.58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项目二</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5,436,837.52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1,490,876.23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6,927,713.75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项目三</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25,710.10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25,710.10</w:t>
            </w:r>
          </w:p>
        </w:tc>
      </w:tr>
      <w:tr>
        <w:trPr>
          <w:trHeight w:val="399"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项目四</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1,109,018.68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1,076,519.37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2,185,538.05</w:t>
            </w:r>
          </w:p>
        </w:tc>
      </w:tr>
      <w:tr>
        <w:trPr>
          <w:trHeight w:val="403" w:hRule="exact"/>
        </w:trPr>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项目五</w:t>
            </w:r>
          </w:p>
        </w:tc>
        <w:tc>
          <w:tcPr>
            <w:tcW w:w="107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870,531.80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1,983,102.83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2,853,634.63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1"/>
        <w:gridCol w:w="1066"/>
        <w:gridCol w:w="1061"/>
        <w:gridCol w:w="1066"/>
        <w:gridCol w:w="1061"/>
        <w:gridCol w:w="1066"/>
        <w:gridCol w:w="1061"/>
      </w:tblGrid>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项目六</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228,498.71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570,852.07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799,350.78</w:t>
            </w:r>
          </w:p>
        </w:tc>
      </w:tr>
      <w:tr>
        <w:trPr>
          <w:trHeight w:val="39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项目七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982,743.15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665,933.57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1,648,676.72</w:t>
            </w:r>
          </w:p>
        </w:tc>
      </w:tr>
      <w:tr>
        <w:trPr>
          <w:trHeight w:val="40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项目八</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17,080.60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17,080.60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项目九</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99,727.33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76,282.05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23,445.28</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项目十</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1,504.15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1,504.15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r>
      <w:tr>
        <w:trPr>
          <w:trHeight w:val="39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项目十一</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1,652,308.73</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1,652,308.73</w:t>
            </w:r>
          </w:p>
        </w:tc>
      </w:tr>
      <w:tr>
        <w:trPr>
          <w:trHeight w:val="40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项目十二</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3,468,057.86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3,468,057.86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项目十三</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434,358.30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434,358.30</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项目研究阶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段汇总</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34,324,047.2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34,324,047.2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5</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10,388,352.8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47,322,710.9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9</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16,522,761.8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34,342,632.0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76,282.05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6,769,387.96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8、商誉" w:id="307"/>
      <w:bookmarkEnd w:id="307"/>
      <w:r>
        <w:rPr>
          <w:b w:val="0"/>
          <w:bCs w:val="0"/>
        </w:rPr>
      </w:r>
      <w:r>
        <w:rPr>
          <w:rFonts w:ascii="Times New Roman" w:hAnsi="Times New Roman" w:cs="Times New Roman" w:eastAsia="Times New Roman" w:hint="default"/>
        </w:rPr>
        <w:t>28</w:t>
      </w:r>
      <w:r>
        <w:rPr/>
        <w:t>、商誉</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商誉账面原值" w:id="308"/>
      <w:bookmarkEnd w:id="308"/>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5"/>
        <w:gridCol w:w="1380"/>
        <w:gridCol w:w="1364"/>
        <w:gridCol w:w="1368"/>
        <w:gridCol w:w="1368"/>
        <w:gridCol w:w="1369"/>
        <w:gridCol w:w="1369"/>
      </w:tblGrid>
      <w:tr>
        <w:trPr>
          <w:trHeight w:val="317" w:hRule="exact"/>
        </w:trPr>
        <w:tc>
          <w:tcPr>
            <w:tcW w:w="13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5" w:right="34"/>
              <w:jc w:val="center"/>
              <w:rPr>
                <w:rFonts w:ascii="宋体" w:hAnsi="宋体" w:cs="宋体" w:eastAsia="宋体" w:hint="default"/>
                <w:sz w:val="18"/>
                <w:szCs w:val="18"/>
              </w:rPr>
            </w:pPr>
            <w:r>
              <w:rPr>
                <w:rFonts w:ascii="宋体" w:hAnsi="宋体" w:cs="宋体" w:eastAsia="宋体" w:hint="default"/>
                <w:spacing w:val="-3"/>
                <w:sz w:val="18"/>
                <w:szCs w:val="18"/>
              </w:rPr>
              <w:t>被投资单位名称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或形成商誉的事</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项</w:t>
            </w: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42" w:hRule="exact"/>
        </w:trPr>
        <w:tc>
          <w:tcPr>
            <w:tcW w:w="1345" w:type="dxa"/>
            <w:vMerge/>
            <w:tcBorders>
              <w:left w:val="single" w:sz="4" w:space="0" w:color="000000"/>
              <w:right w:val="single" w:sz="4" w:space="0" w:color="000000"/>
            </w:tcBorders>
            <w:shd w:val="clear" w:color="auto" w:fill="D2D2D2"/>
          </w:tcPr>
          <w:p>
            <w:pP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5" w:type="dxa"/>
            <w:vMerge/>
            <w:tcBorders>
              <w:left w:val="single" w:sz="4" w:space="0" w:color="000000"/>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48" w:right="0"/>
              <w:jc w:val="left"/>
              <w:rPr>
                <w:rFonts w:ascii="宋体" w:hAnsi="宋体" w:cs="宋体" w:eastAsia="宋体" w:hint="default"/>
                <w:sz w:val="18"/>
                <w:szCs w:val="18"/>
              </w:rPr>
            </w:pPr>
            <w:r>
              <w:rPr>
                <w:rFonts w:ascii="宋体" w:hAnsi="宋体" w:cs="宋体" w:eastAsia="宋体" w:hint="default"/>
                <w:spacing w:val="-3"/>
                <w:sz w:val="18"/>
                <w:szCs w:val="18"/>
              </w:rPr>
              <w:t>企业合并形成的</w:t>
            </w:r>
          </w:p>
        </w:tc>
        <w:tc>
          <w:tcPr>
            <w:tcW w:w="1368"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9"/>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345" w:type="dxa"/>
            <w:vMerge/>
            <w:tcBorders>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1"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1" w:right="58"/>
              <w:jc w:val="left"/>
              <w:rPr>
                <w:rFonts w:ascii="宋体" w:hAnsi="宋体" w:cs="宋体" w:eastAsia="宋体" w:hint="default"/>
                <w:sz w:val="18"/>
                <w:szCs w:val="18"/>
              </w:rPr>
            </w:pPr>
            <w:r>
              <w:rPr>
                <w:rFonts w:ascii="宋体" w:hAnsi="宋体" w:cs="宋体" w:eastAsia="宋体" w:hint="default"/>
                <w:spacing w:val="-3"/>
                <w:sz w:val="18"/>
                <w:szCs w:val="18"/>
              </w:rPr>
              <w:t>湖南雅城新材料</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279,194,405.65</w:t>
            </w:r>
          </w:p>
        </w:tc>
        <w:tc>
          <w:tcPr>
            <w:tcW w:w="1364"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8"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4" w:space="0" w:color="D2D2D2"/>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279,194,405.65</w:t>
            </w:r>
          </w:p>
        </w:tc>
      </w:tr>
      <w:tr>
        <w:trPr>
          <w:trHeight w:val="715"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58"/>
              <w:jc w:val="left"/>
              <w:rPr>
                <w:rFonts w:ascii="宋体" w:hAnsi="宋体" w:cs="宋体" w:eastAsia="宋体" w:hint="default"/>
                <w:sz w:val="18"/>
                <w:szCs w:val="18"/>
              </w:rPr>
            </w:pPr>
            <w:r>
              <w:rPr>
                <w:rFonts w:ascii="宋体" w:hAnsi="宋体" w:cs="宋体" w:eastAsia="宋体" w:hint="default"/>
                <w:spacing w:val="-3"/>
                <w:sz w:val="18"/>
                <w:szCs w:val="18"/>
              </w:rPr>
              <w:t>江苏鹏创电力设</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计有限公司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142,757,982.21</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142,757,982.21</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58"/>
              <w:jc w:val="left"/>
              <w:rPr>
                <w:rFonts w:ascii="宋体" w:hAnsi="宋体" w:cs="宋体" w:eastAsia="宋体" w:hint="default"/>
                <w:sz w:val="18"/>
                <w:szCs w:val="18"/>
              </w:rPr>
            </w:pPr>
            <w:r>
              <w:rPr>
                <w:rFonts w:ascii="宋体" w:hAnsi="宋体" w:cs="宋体" w:eastAsia="宋体" w:hint="default"/>
                <w:spacing w:val="-3"/>
                <w:sz w:val="18"/>
                <w:szCs w:val="18"/>
              </w:rPr>
              <w:t>四川鹏华电力工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程设计有限公司</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775,000.00</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775,000.00</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422,727,387.86</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422,727,387.86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商誉减值准备" w:id="309"/>
      <w:bookmarkEnd w:id="309"/>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88"/>
        <w:gridCol w:w="1368"/>
        <w:gridCol w:w="1369"/>
        <w:gridCol w:w="1095"/>
        <w:gridCol w:w="1368"/>
        <w:gridCol w:w="1364"/>
        <w:gridCol w:w="1369"/>
      </w:tblGrid>
      <w:tr>
        <w:trPr>
          <w:trHeight w:val="206" w:hRule="exact"/>
        </w:trPr>
        <w:tc>
          <w:tcPr>
            <w:tcW w:w="16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95" w:right="27" w:hanging="269"/>
              <w:jc w:val="left"/>
              <w:rPr>
                <w:rFonts w:ascii="宋体" w:hAnsi="宋体" w:cs="宋体" w:eastAsia="宋体" w:hint="default"/>
                <w:sz w:val="18"/>
                <w:szCs w:val="18"/>
              </w:rPr>
            </w:pPr>
            <w:r>
              <w:rPr>
                <w:rFonts w:ascii="宋体" w:hAnsi="宋体" w:cs="宋体" w:eastAsia="宋体" w:hint="default"/>
                <w:spacing w:val="-3"/>
                <w:sz w:val="18"/>
                <w:szCs w:val="18"/>
              </w:rPr>
              <w:t>被投资单位名称或形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成商誉的事项</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688"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463" w:type="dxa"/>
            <w:gridSpan w:val="2"/>
            <w:vMerge/>
            <w:tcBorders>
              <w:left w:val="single" w:sz="4" w:space="0" w:color="000000"/>
              <w:bottom w:val="single" w:sz="4" w:space="0" w:color="000000"/>
              <w:right w:val="single" w:sz="4" w:space="0" w:color="000000"/>
            </w:tcBorders>
            <w:shd w:val="clear" w:color="auto" w:fill="D2D2D2"/>
          </w:tcPr>
          <w:p>
            <w:pPr/>
          </w:p>
        </w:tc>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136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688"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095" w:type="dxa"/>
            <w:vMerge w:val="restart"/>
            <w:tcBorders>
              <w:top w:val="single" w:sz="4" w:space="0" w:color="000000"/>
              <w:left w:val="single" w:sz="4" w:space="0" w:color="000000"/>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4" w:type="dxa"/>
            <w:vMerge w:val="restart"/>
            <w:tcBorders>
              <w:top w:val="single" w:sz="4" w:space="0" w:color="000000"/>
              <w:left w:val="single" w:sz="4" w:space="0" w:color="000000"/>
              <w:right w:val="single" w:sz="4" w:space="0" w:color="000000"/>
            </w:tcBorders>
            <w:shd w:val="clear" w:color="auto" w:fill="D2D2D2"/>
          </w:tcPr>
          <w:p>
            <w:pPr/>
          </w:p>
        </w:tc>
        <w:tc>
          <w:tcPr>
            <w:tcW w:w="1369"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68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095"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6" w:hRule="exact"/>
        </w:trPr>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公司</w:t>
            </w:r>
          </w:p>
        </w:tc>
        <w:tc>
          <w:tcPr>
            <w:tcW w:w="13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17,337,109.49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17,337,109.49</w:t>
            </w:r>
          </w:p>
        </w:tc>
      </w:tr>
      <w:tr>
        <w:trPr>
          <w:trHeight w:val="398" w:hRule="exact"/>
        </w:trPr>
        <w:tc>
          <w:tcPr>
            <w:tcW w:w="1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17,337,109.49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17,337,109.49</w:t>
            </w:r>
          </w:p>
        </w:tc>
      </w:tr>
    </w:tbl>
    <w:p>
      <w:pPr>
        <w:pStyle w:val="BodyText"/>
        <w:spacing w:line="240" w:lineRule="auto" w:before="53"/>
        <w:ind w:right="0"/>
        <w:jc w:val="left"/>
      </w:pPr>
      <w:r>
        <w:rPr>
          <w:spacing w:val="-3"/>
        </w:rPr>
        <w:t>商誉所在资产组或资产组组合的相关信息</w:t>
      </w:r>
    </w:p>
    <w:p>
      <w:pPr>
        <w:spacing w:after="0" w:line="240" w:lineRule="auto"/>
        <w:jc w:val="lef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2943"/>
        <w:gridCol w:w="2070"/>
        <w:gridCol w:w="1656"/>
        <w:gridCol w:w="1565"/>
        <w:gridCol w:w="1695"/>
      </w:tblGrid>
      <w:tr>
        <w:trPr>
          <w:trHeight w:val="346" w:hRule="exact"/>
        </w:trPr>
        <w:tc>
          <w:tcPr>
            <w:tcW w:w="2943"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20"/>
              <w:ind w:left="989" w:right="0"/>
              <w:jc w:val="left"/>
              <w:rPr>
                <w:rFonts w:ascii="宋体" w:hAnsi="宋体" w:cs="宋体" w:eastAsia="宋体" w:hint="default"/>
                <w:sz w:val="18"/>
                <w:szCs w:val="18"/>
              </w:rPr>
            </w:pPr>
            <w:r>
              <w:rPr>
                <w:rFonts w:ascii="宋体" w:hAnsi="宋体" w:cs="宋体" w:eastAsia="宋体" w:hint="default"/>
                <w:b/>
                <w:bCs/>
                <w:sz w:val="18"/>
                <w:szCs w:val="18"/>
              </w:rPr>
              <w:t>被投资单位名称</w:t>
            </w:r>
            <w:r>
              <w:rPr>
                <w:rFonts w:ascii="宋体" w:hAnsi="宋体" w:cs="宋体" w:eastAsia="宋体" w:hint="default"/>
                <w:sz w:val="18"/>
                <w:szCs w:val="18"/>
              </w:rPr>
            </w:r>
          </w:p>
        </w:tc>
        <w:tc>
          <w:tcPr>
            <w:tcW w:w="6987" w:type="dxa"/>
            <w:gridSpan w:val="4"/>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 w:right="0"/>
              <w:jc w:val="center"/>
              <w:rPr>
                <w:rFonts w:ascii="宋体" w:hAnsi="宋体" w:cs="宋体" w:eastAsia="宋体" w:hint="default"/>
                <w:sz w:val="18"/>
                <w:szCs w:val="18"/>
              </w:rPr>
            </w:pPr>
            <w:r>
              <w:rPr>
                <w:rFonts w:ascii="宋体" w:hAnsi="宋体" w:cs="宋体" w:eastAsia="宋体" w:hint="default"/>
                <w:b/>
                <w:bCs/>
                <w:sz w:val="18"/>
                <w:szCs w:val="18"/>
              </w:rPr>
              <w:t>资产组或资产组组合</w:t>
            </w:r>
            <w:r>
              <w:rPr>
                <w:rFonts w:ascii="宋体" w:hAnsi="宋体" w:cs="宋体" w:eastAsia="宋体" w:hint="default"/>
                <w:sz w:val="18"/>
                <w:szCs w:val="18"/>
              </w:rPr>
            </w:r>
          </w:p>
        </w:tc>
      </w:tr>
      <w:tr>
        <w:trPr>
          <w:trHeight w:val="350" w:hRule="exact"/>
        </w:trPr>
        <w:tc>
          <w:tcPr>
            <w:tcW w:w="2943" w:type="dxa"/>
            <w:vMerge/>
            <w:tcBorders>
              <w:left w:val="single" w:sz="6" w:space="0" w:color="000000"/>
              <w:bottom w:val="single" w:sz="6" w:space="0" w:color="000000"/>
              <w:right w:val="single" w:sz="6" w:space="0" w:color="000000"/>
            </w:tcBorders>
            <w:shd w:val="clear" w:color="auto" w:fill="D9D9D9"/>
          </w:tcPr>
          <w:p>
            <w:pPr/>
          </w:p>
        </w:tc>
        <w:tc>
          <w:tcPr>
            <w:tcW w:w="207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667" w:right="0"/>
              <w:jc w:val="left"/>
              <w:rPr>
                <w:rFonts w:ascii="宋体" w:hAnsi="宋体" w:cs="宋体" w:eastAsia="宋体" w:hint="default"/>
                <w:sz w:val="18"/>
                <w:szCs w:val="18"/>
              </w:rPr>
            </w:pPr>
            <w:r>
              <w:rPr>
                <w:rFonts w:ascii="宋体" w:hAnsi="宋体" w:cs="宋体" w:eastAsia="宋体" w:hint="default"/>
                <w:b/>
                <w:bCs/>
                <w:sz w:val="18"/>
                <w:szCs w:val="18"/>
              </w:rPr>
              <w:t>主要构成</w:t>
            </w:r>
            <w:r>
              <w:rPr>
                <w:rFonts w:ascii="宋体" w:hAnsi="宋体" w:cs="宋体" w:eastAsia="宋体" w:hint="default"/>
                <w:sz w:val="18"/>
                <w:szCs w:val="18"/>
              </w:rPr>
            </w:r>
          </w:p>
        </w:tc>
        <w:tc>
          <w:tcPr>
            <w:tcW w:w="165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580" w:right="0"/>
              <w:jc w:val="left"/>
              <w:rPr>
                <w:rFonts w:ascii="宋体" w:hAnsi="宋体" w:cs="宋体" w:eastAsia="宋体" w:hint="default"/>
                <w:sz w:val="18"/>
                <w:szCs w:val="18"/>
              </w:rPr>
            </w:pPr>
            <w:r>
              <w:rPr>
                <w:rFonts w:ascii="宋体" w:hAnsi="宋体" w:cs="宋体" w:eastAsia="宋体" w:hint="default"/>
                <w:b/>
                <w:bCs/>
                <w:sz w:val="18"/>
                <w:szCs w:val="18"/>
              </w:rPr>
              <w:t>账面价值</w:t>
            </w:r>
            <w:r>
              <w:rPr>
                <w:rFonts w:ascii="宋体" w:hAnsi="宋体" w:cs="宋体" w:eastAsia="宋体" w:hint="default"/>
                <w:sz w:val="18"/>
                <w:szCs w:val="18"/>
              </w:rPr>
            </w:r>
          </w:p>
        </w:tc>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right="287"/>
              <w:jc w:val="right"/>
              <w:rPr>
                <w:rFonts w:ascii="宋体" w:hAnsi="宋体" w:cs="宋体" w:eastAsia="宋体" w:hint="default"/>
                <w:sz w:val="18"/>
                <w:szCs w:val="18"/>
              </w:rPr>
            </w:pPr>
            <w:r>
              <w:rPr>
                <w:rFonts w:ascii="宋体" w:hAnsi="宋体" w:cs="宋体" w:eastAsia="宋体" w:hint="default"/>
                <w:b/>
                <w:bCs/>
                <w:sz w:val="18"/>
                <w:szCs w:val="18"/>
              </w:rPr>
              <w:t>确定方法</w:t>
            </w:r>
            <w:r>
              <w:rPr>
                <w:rFonts w:ascii="宋体" w:hAnsi="宋体" w:cs="宋体" w:eastAsia="宋体" w:hint="default"/>
                <w:sz w:val="18"/>
                <w:szCs w:val="18"/>
              </w:rPr>
            </w:r>
          </w:p>
        </w:tc>
        <w:tc>
          <w:tcPr>
            <w:tcW w:w="16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5"/>
              <w:ind w:left="197" w:right="0"/>
              <w:jc w:val="left"/>
              <w:rPr>
                <w:rFonts w:ascii="宋体" w:hAnsi="宋体" w:cs="宋体" w:eastAsia="宋体" w:hint="default"/>
                <w:sz w:val="18"/>
                <w:szCs w:val="18"/>
              </w:rPr>
            </w:pPr>
            <w:r>
              <w:rPr>
                <w:rFonts w:ascii="宋体" w:hAnsi="宋体" w:cs="宋体" w:eastAsia="宋体" w:hint="default"/>
                <w:b/>
                <w:bCs/>
                <w:sz w:val="18"/>
                <w:szCs w:val="18"/>
              </w:rPr>
              <w:t>本期是否发生变动</w:t>
            </w:r>
            <w:r>
              <w:rPr>
                <w:rFonts w:ascii="宋体" w:hAnsi="宋体" w:cs="宋体" w:eastAsia="宋体" w:hint="default"/>
                <w:sz w:val="18"/>
                <w:szCs w:val="18"/>
              </w:rPr>
            </w:r>
          </w:p>
        </w:tc>
      </w:tr>
      <w:tr>
        <w:trPr>
          <w:trHeight w:val="346"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电子新型材料生产线</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9"/>
              <w:jc w:val="right"/>
              <w:rPr>
                <w:rFonts w:ascii="Times New Roman" w:hAnsi="Times New Roman" w:cs="Times New Roman" w:eastAsia="Times New Roman" w:hint="default"/>
                <w:sz w:val="18"/>
                <w:szCs w:val="18"/>
              </w:rPr>
            </w:pPr>
            <w:r>
              <w:rPr>
                <w:rFonts w:ascii="Times New Roman"/>
                <w:spacing w:val="-2"/>
                <w:sz w:val="18"/>
              </w:rPr>
              <w:t>1,060,445,824.06</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15"/>
              <w:jc w:val="right"/>
              <w:rPr>
                <w:rFonts w:ascii="宋体" w:hAnsi="宋体" w:cs="宋体" w:eastAsia="宋体" w:hint="default"/>
                <w:sz w:val="18"/>
                <w:szCs w:val="18"/>
              </w:rPr>
            </w:pPr>
            <w:r>
              <w:rPr>
                <w:rFonts w:ascii="宋体" w:hAnsi="宋体" w:cs="宋体" w:eastAsia="宋体" w:hint="default"/>
                <w:spacing w:val="-2"/>
                <w:sz w:val="18"/>
                <w:szCs w:val="18"/>
              </w:rPr>
              <w:t>独立现金流</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46"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江苏鹏创电力设计有限公司</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电力工程设计相关业务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9"/>
              <w:jc w:val="right"/>
              <w:rPr>
                <w:rFonts w:ascii="Times New Roman" w:hAnsi="Times New Roman" w:cs="Times New Roman" w:eastAsia="Times New Roman" w:hint="default"/>
                <w:sz w:val="18"/>
                <w:szCs w:val="18"/>
              </w:rPr>
            </w:pPr>
            <w:r>
              <w:rPr>
                <w:rFonts w:ascii="Times New Roman"/>
                <w:spacing w:val="-1"/>
                <w:sz w:val="18"/>
              </w:rPr>
              <w:t>86,328,945.02</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15"/>
              <w:jc w:val="right"/>
              <w:rPr>
                <w:rFonts w:ascii="宋体" w:hAnsi="宋体" w:cs="宋体" w:eastAsia="宋体" w:hint="default"/>
                <w:sz w:val="18"/>
                <w:szCs w:val="18"/>
              </w:rPr>
            </w:pPr>
            <w:r>
              <w:rPr>
                <w:rFonts w:ascii="宋体" w:hAnsi="宋体" w:cs="宋体" w:eastAsia="宋体" w:hint="default"/>
                <w:spacing w:val="-2"/>
                <w:sz w:val="18"/>
                <w:szCs w:val="18"/>
              </w:rPr>
              <w:t>独立现金流</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50" w:hRule="exact"/>
        </w:trPr>
        <w:tc>
          <w:tcPr>
            <w:tcW w:w="29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四川鹏华电力工程设计有限公司</w:t>
            </w:r>
          </w:p>
        </w:tc>
        <w:tc>
          <w:tcPr>
            <w:tcW w:w="2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电力工程设计相关业务</w:t>
            </w:r>
          </w:p>
        </w:tc>
        <w:tc>
          <w:tcPr>
            <w:tcW w:w="16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0"/>
              <w:jc w:val="right"/>
              <w:rPr>
                <w:rFonts w:ascii="Times New Roman" w:hAnsi="Times New Roman" w:cs="Times New Roman" w:eastAsia="Times New Roman" w:hint="default"/>
                <w:sz w:val="18"/>
                <w:szCs w:val="18"/>
              </w:rPr>
            </w:pPr>
            <w:r>
              <w:rPr>
                <w:rFonts w:ascii="Times New Roman"/>
                <w:spacing w:val="-1"/>
                <w:sz w:val="18"/>
              </w:rPr>
              <w:t>107,818.83</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315"/>
              <w:jc w:val="right"/>
              <w:rPr>
                <w:rFonts w:ascii="宋体" w:hAnsi="宋体" w:cs="宋体" w:eastAsia="宋体" w:hint="default"/>
                <w:sz w:val="18"/>
                <w:szCs w:val="18"/>
              </w:rPr>
            </w:pPr>
            <w:r>
              <w:rPr>
                <w:rFonts w:ascii="宋体" w:hAnsi="宋体" w:cs="宋体" w:eastAsia="宋体" w:hint="default"/>
                <w:spacing w:val="-2"/>
                <w:sz w:val="18"/>
                <w:szCs w:val="18"/>
              </w:rPr>
              <w:t>独立现金流</w:t>
            </w:r>
          </w:p>
        </w:tc>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9" w:right="0"/>
              <w:jc w:val="center"/>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5"/>
        <w:rPr>
          <w:rFonts w:ascii="宋体" w:hAnsi="宋体" w:cs="宋体" w:eastAsia="宋体" w:hint="default"/>
          <w:sz w:val="24"/>
          <w:szCs w:val="24"/>
        </w:rPr>
      </w:pPr>
    </w:p>
    <w:p>
      <w:pPr>
        <w:pStyle w:val="BodyText"/>
        <w:spacing w:line="316" w:lineRule="auto" w:before="46"/>
        <w:ind w:right="0"/>
        <w:jc w:val="left"/>
      </w:pPr>
      <w:r>
        <w:rPr>
          <w:spacing w:val="-4"/>
        </w:rPr>
        <w:t>说明商誉减值测试过程、关键参数（如预计未来现金流量现值时的预测期增长率、稳定期增长率、利润率、折现率、预测期</w:t>
      </w:r>
      <w:r>
        <w:rPr>
          <w:spacing w:val="40"/>
        </w:rPr>
        <w:t> </w:t>
      </w:r>
      <w:r>
        <w:rPr>
          <w:spacing w:val="40"/>
        </w:rPr>
      </w:r>
      <w:r>
        <w:rPr>
          <w:spacing w:val="-3"/>
        </w:rPr>
        <w:t>等）及商誉减值损失的确认方法：</w:t>
      </w:r>
    </w:p>
    <w:p>
      <w:pPr>
        <w:spacing w:line="240" w:lineRule="auto" w:before="7"/>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1047"/>
        <w:gridCol w:w="682"/>
        <w:gridCol w:w="3169"/>
        <w:gridCol w:w="1968"/>
        <w:gridCol w:w="3074"/>
      </w:tblGrid>
      <w:tr>
        <w:trPr>
          <w:trHeight w:val="658" w:hRule="exact"/>
        </w:trPr>
        <w:tc>
          <w:tcPr>
            <w:tcW w:w="10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5"/>
              <w:ind w:left="4" w:right="-29"/>
              <w:jc w:val="left"/>
              <w:rPr>
                <w:rFonts w:ascii="宋体" w:hAnsi="宋体" w:cs="宋体" w:eastAsia="宋体" w:hint="default"/>
                <w:sz w:val="18"/>
                <w:szCs w:val="18"/>
              </w:rPr>
            </w:pPr>
            <w:r>
              <w:rPr>
                <w:rFonts w:ascii="宋体" w:hAnsi="宋体" w:cs="宋体" w:eastAsia="宋体" w:hint="default"/>
                <w:spacing w:val="21"/>
                <w:sz w:val="18"/>
                <w:szCs w:val="18"/>
              </w:rPr>
              <w:t>被投资单位</w:t>
            </w:r>
            <w:r>
              <w:rPr>
                <w:rFonts w:ascii="宋体" w:hAnsi="宋体" w:cs="宋体" w:eastAsia="宋体" w:hint="default"/>
                <w:spacing w:val="-72"/>
                <w:sz w:val="18"/>
                <w:szCs w:val="18"/>
              </w:rPr>
              <w:t> </w:t>
            </w:r>
            <w:r>
              <w:rPr>
                <w:rFonts w:ascii="宋体" w:hAnsi="宋体" w:cs="宋体" w:eastAsia="宋体" w:hint="default"/>
                <w:sz w:val="18"/>
                <w:szCs w:val="18"/>
              </w:rPr>
              <w:t>名称</w:t>
            </w:r>
          </w:p>
        </w:tc>
        <w:tc>
          <w:tcPr>
            <w:tcW w:w="68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15"/>
              <w:ind w:left="4" w:right="-5"/>
              <w:jc w:val="left"/>
              <w:rPr>
                <w:rFonts w:ascii="宋体" w:hAnsi="宋体" w:cs="宋体" w:eastAsia="宋体" w:hint="default"/>
                <w:sz w:val="18"/>
                <w:szCs w:val="18"/>
              </w:rPr>
            </w:pPr>
            <w:r>
              <w:rPr>
                <w:rFonts w:ascii="宋体" w:hAnsi="宋体" w:cs="宋体" w:eastAsia="宋体" w:hint="default"/>
                <w:sz w:val="18"/>
                <w:szCs w:val="18"/>
              </w:rPr>
              <w:t>商 誉</w:t>
            </w:r>
            <w:r>
              <w:rPr>
                <w:rFonts w:ascii="宋体" w:hAnsi="宋体" w:cs="宋体" w:eastAsia="宋体" w:hint="default"/>
                <w:spacing w:val="-55"/>
                <w:sz w:val="18"/>
                <w:szCs w:val="18"/>
              </w:rPr>
              <w:t> </w:t>
            </w:r>
            <w:r>
              <w:rPr>
                <w:rFonts w:ascii="宋体" w:hAnsi="宋体" w:cs="宋体" w:eastAsia="宋体" w:hint="default"/>
                <w:sz w:val="18"/>
                <w:szCs w:val="18"/>
              </w:rPr>
              <w:t>账</w:t>
            </w:r>
            <w:r>
              <w:rPr>
                <w:rFonts w:ascii="宋体" w:hAnsi="宋体" w:cs="宋体" w:eastAsia="宋体" w:hint="default"/>
                <w:w w:val="101"/>
                <w:sz w:val="18"/>
                <w:szCs w:val="18"/>
              </w:rPr>
              <w:t> </w:t>
            </w:r>
            <w:r>
              <w:rPr>
                <w:rFonts w:ascii="宋体" w:hAnsi="宋体" w:cs="宋体" w:eastAsia="宋体" w:hint="default"/>
                <w:sz w:val="18"/>
                <w:szCs w:val="18"/>
              </w:rPr>
              <w:t>面价值</w:t>
            </w:r>
          </w:p>
        </w:tc>
        <w:tc>
          <w:tcPr>
            <w:tcW w:w="316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可收回金额的确定方法</w:t>
            </w:r>
          </w:p>
        </w:tc>
        <w:tc>
          <w:tcPr>
            <w:tcW w:w="19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重要假设及其合理理由</w:t>
            </w:r>
          </w:p>
        </w:tc>
        <w:tc>
          <w:tcPr>
            <w:tcW w:w="307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5"/>
              <w:ind w:left="4" w:right="0"/>
              <w:jc w:val="left"/>
              <w:rPr>
                <w:rFonts w:ascii="宋体" w:hAnsi="宋体" w:cs="宋体" w:eastAsia="宋体" w:hint="default"/>
                <w:sz w:val="18"/>
                <w:szCs w:val="18"/>
              </w:rPr>
            </w:pPr>
            <w:r>
              <w:rPr>
                <w:rFonts w:ascii="宋体" w:hAnsi="宋体" w:cs="宋体" w:eastAsia="宋体" w:hint="default"/>
                <w:sz w:val="18"/>
                <w:szCs w:val="18"/>
              </w:rPr>
              <w:t>关键参数及其理由</w:t>
            </w:r>
          </w:p>
        </w:tc>
      </w:tr>
      <w:tr>
        <w:trPr>
          <w:trHeight w:val="2218"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9"/>
              <w:jc w:val="both"/>
              <w:rPr>
                <w:rFonts w:ascii="宋体" w:hAnsi="宋体" w:cs="宋体" w:eastAsia="宋体" w:hint="default"/>
                <w:sz w:val="18"/>
                <w:szCs w:val="18"/>
              </w:rPr>
            </w:pPr>
            <w:r>
              <w:rPr>
                <w:rFonts w:ascii="宋体" w:hAnsi="宋体" w:cs="宋体" w:eastAsia="宋体" w:hint="default"/>
                <w:spacing w:val="21"/>
                <w:sz w:val="18"/>
                <w:szCs w:val="18"/>
              </w:rPr>
              <w:t>湖南雅城新</w:t>
            </w:r>
            <w:r>
              <w:rPr>
                <w:rFonts w:ascii="宋体" w:hAnsi="宋体" w:cs="宋体" w:eastAsia="宋体" w:hint="default"/>
                <w:spacing w:val="-72"/>
                <w:sz w:val="18"/>
                <w:szCs w:val="18"/>
              </w:rPr>
              <w:t> </w:t>
            </w:r>
            <w:r>
              <w:rPr>
                <w:rFonts w:ascii="宋体" w:hAnsi="宋体" w:cs="宋体" w:eastAsia="宋体" w:hint="default"/>
                <w:spacing w:val="21"/>
                <w:sz w:val="18"/>
                <w:szCs w:val="18"/>
              </w:rPr>
              <w:t>材料有限公</w:t>
            </w:r>
            <w:r>
              <w:rPr>
                <w:rFonts w:ascii="宋体" w:hAnsi="宋体" w:cs="宋体" w:eastAsia="宋体" w:hint="default"/>
                <w:spacing w:val="-72"/>
                <w:sz w:val="18"/>
                <w:szCs w:val="18"/>
              </w:rPr>
              <w:t> </w:t>
            </w:r>
            <w:r>
              <w:rPr>
                <w:rFonts w:ascii="宋体" w:hAnsi="宋体" w:cs="宋体" w:eastAsia="宋体" w:hint="default"/>
                <w:sz w:val="18"/>
                <w:szCs w:val="18"/>
              </w:rPr>
              <w:t>司</w:t>
            </w:r>
          </w:p>
        </w:tc>
        <w:tc>
          <w:tcPr>
            <w:tcW w:w="682" w:type="dxa"/>
            <w:tcBorders>
              <w:top w:val="single" w:sz="6" w:space="0" w:color="000000"/>
              <w:left w:val="single" w:sz="6" w:space="0" w:color="000000"/>
              <w:bottom w:val="single" w:sz="6" w:space="0" w:color="000000"/>
              <w:right w:val="single" w:sz="6" w:space="0" w:color="000000"/>
            </w:tcBorders>
          </w:tcPr>
          <w:p>
            <w:pP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5"/>
              <w:jc w:val="both"/>
              <w:rPr>
                <w:rFonts w:ascii="宋体" w:hAnsi="宋体" w:cs="宋体" w:eastAsia="宋体" w:hint="default"/>
                <w:sz w:val="18"/>
                <w:szCs w:val="18"/>
              </w:rPr>
            </w:pPr>
            <w:r>
              <w:rPr>
                <w:rFonts w:ascii="宋体" w:hAnsi="宋体" w:cs="宋体" w:eastAsia="宋体" w:hint="default"/>
                <w:sz w:val="18"/>
                <w:szCs w:val="18"/>
              </w:rPr>
              <w:t>管理层基于未来五年财务预算的现金流</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8"/>
                <w:w w:val="101"/>
                <w:sz w:val="18"/>
                <w:szCs w:val="18"/>
              </w:rPr>
              <w:t>预测确定预测期现金流，超过五年的现金</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流量采用第五年的现金流量确定稳定期</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8"/>
                <w:w w:val="101"/>
                <w:sz w:val="18"/>
                <w:szCs w:val="18"/>
              </w:rPr>
              <w:t>现金流，结合资产组所在行业具体情况采</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用国际上通用的加权平均资本成本模型</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8"/>
                <w:w w:val="101"/>
                <w:sz w:val="18"/>
                <w:szCs w:val="18"/>
              </w:rPr>
              <w:t>计算得出折现率。以此确定资产组未来现</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金流量的现值。</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9"/>
              <w:jc w:val="both"/>
              <w:rPr>
                <w:rFonts w:ascii="宋体" w:hAnsi="宋体" w:cs="宋体" w:eastAsia="宋体" w:hint="default"/>
                <w:sz w:val="18"/>
                <w:szCs w:val="18"/>
              </w:rPr>
            </w:pPr>
            <w:r>
              <w:rPr>
                <w:rFonts w:ascii="宋体" w:hAnsi="宋体" w:cs="宋体" w:eastAsia="宋体" w:hint="default"/>
                <w:spacing w:val="13"/>
                <w:sz w:val="18"/>
                <w:szCs w:val="18"/>
              </w:rPr>
              <w:t>管理层根据每个资产组</w:t>
            </w:r>
            <w:r>
              <w:rPr>
                <w:rFonts w:ascii="宋体" w:hAnsi="宋体" w:cs="宋体" w:eastAsia="宋体" w:hint="default"/>
                <w:spacing w:val="-57"/>
                <w:sz w:val="18"/>
                <w:szCs w:val="18"/>
              </w:rPr>
              <w:t> </w:t>
            </w:r>
            <w:r>
              <w:rPr>
                <w:rFonts w:ascii="宋体" w:hAnsi="宋体" w:cs="宋体" w:eastAsia="宋体" w:hint="default"/>
                <w:spacing w:val="13"/>
                <w:sz w:val="18"/>
                <w:szCs w:val="18"/>
              </w:rPr>
              <w:t>或资产组合过去的经营</w:t>
            </w:r>
            <w:r>
              <w:rPr>
                <w:rFonts w:ascii="宋体" w:hAnsi="宋体" w:cs="宋体" w:eastAsia="宋体" w:hint="default"/>
                <w:spacing w:val="-57"/>
                <w:sz w:val="18"/>
                <w:szCs w:val="18"/>
              </w:rPr>
              <w:t> </w:t>
            </w:r>
            <w:r>
              <w:rPr>
                <w:rFonts w:ascii="宋体" w:hAnsi="宋体" w:cs="宋体" w:eastAsia="宋体" w:hint="default"/>
                <w:spacing w:val="13"/>
                <w:sz w:val="18"/>
                <w:szCs w:val="18"/>
              </w:rPr>
              <w:t>状况及其对未来市场发</w:t>
            </w:r>
            <w:r>
              <w:rPr>
                <w:rFonts w:ascii="宋体" w:hAnsi="宋体" w:cs="宋体" w:eastAsia="宋体" w:hint="default"/>
                <w:spacing w:val="-57"/>
                <w:sz w:val="18"/>
                <w:szCs w:val="18"/>
              </w:rPr>
              <w:t> </w:t>
            </w:r>
            <w:r>
              <w:rPr>
                <w:rFonts w:ascii="宋体" w:hAnsi="宋体" w:cs="宋体" w:eastAsia="宋体" w:hint="default"/>
                <w:spacing w:val="13"/>
                <w:sz w:val="18"/>
                <w:szCs w:val="18"/>
              </w:rPr>
              <w:t>展的预期确定相关重要</w:t>
            </w:r>
            <w:r>
              <w:rPr>
                <w:rFonts w:ascii="宋体" w:hAnsi="宋体" w:cs="宋体" w:eastAsia="宋体" w:hint="default"/>
                <w:spacing w:val="-57"/>
                <w:sz w:val="18"/>
                <w:szCs w:val="18"/>
              </w:rPr>
              <w:t> </w:t>
            </w:r>
            <w:r>
              <w:rPr>
                <w:rFonts w:ascii="宋体" w:hAnsi="宋体" w:cs="宋体" w:eastAsia="宋体" w:hint="default"/>
                <w:spacing w:val="-5"/>
                <w:sz w:val="18"/>
                <w:szCs w:val="18"/>
              </w:rPr>
              <w:t>假设，包括预计售价、销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量、相关成本费用等。</w:t>
            </w:r>
          </w:p>
        </w:tc>
        <w:tc>
          <w:tcPr>
            <w:tcW w:w="307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5"/>
              <w:jc w:val="both"/>
              <w:rPr>
                <w:rFonts w:ascii="宋体" w:hAnsi="宋体" w:cs="宋体" w:eastAsia="宋体" w:hint="default"/>
                <w:sz w:val="18"/>
                <w:szCs w:val="18"/>
              </w:rPr>
            </w:pPr>
            <w:r>
              <w:rPr>
                <w:rFonts w:ascii="宋体" w:hAnsi="宋体" w:cs="宋体" w:eastAsia="宋体" w:hint="default"/>
                <w:spacing w:val="7"/>
                <w:sz w:val="18"/>
                <w:szCs w:val="18"/>
              </w:rPr>
              <w:t>管理层根据长期增长战略时运用的预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4"/>
                <w:sz w:val="18"/>
                <w:szCs w:val="18"/>
              </w:rPr>
              <w:t>测期平均增长率为</w:t>
            </w:r>
            <w:r>
              <w:rPr>
                <w:rFonts w:ascii="Times New Roman" w:hAnsi="Times New Roman" w:cs="Times New Roman" w:eastAsia="Times New Roman" w:hint="default"/>
                <w:spacing w:val="-4"/>
                <w:sz w:val="18"/>
                <w:szCs w:val="18"/>
              </w:rPr>
              <w:t>27.60%</w:t>
            </w:r>
            <w:r>
              <w:rPr>
                <w:rFonts w:ascii="宋体" w:hAnsi="宋体" w:cs="宋体" w:eastAsia="宋体" w:hint="default"/>
                <w:spacing w:val="-4"/>
                <w:sz w:val="18"/>
                <w:szCs w:val="18"/>
              </w:rPr>
              <w:t>，平均销售利</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pacing w:val="-5"/>
                <w:sz w:val="18"/>
                <w:szCs w:val="18"/>
              </w:rPr>
              <w:t>润率为</w:t>
            </w:r>
            <w:r>
              <w:rPr>
                <w:rFonts w:ascii="Times New Roman" w:hAnsi="Times New Roman" w:cs="Times New Roman" w:eastAsia="Times New Roman" w:hint="default"/>
                <w:spacing w:val="-5"/>
                <w:sz w:val="18"/>
                <w:szCs w:val="18"/>
              </w:rPr>
              <w:t>6.76%</w:t>
            </w:r>
            <w:r>
              <w:rPr>
                <w:rFonts w:ascii="宋体" w:hAnsi="宋体" w:cs="宋体" w:eastAsia="宋体" w:hint="default"/>
                <w:spacing w:val="-5"/>
                <w:sz w:val="18"/>
                <w:szCs w:val="18"/>
              </w:rPr>
              <w:t>；稳定期增长率</w:t>
            </w:r>
            <w:r>
              <w:rPr>
                <w:rFonts w:ascii="Times New Roman" w:hAnsi="Times New Roman" w:cs="Times New Roman" w:eastAsia="Times New Roman" w:hint="default"/>
                <w:spacing w:val="-5"/>
                <w:sz w:val="18"/>
                <w:szCs w:val="18"/>
              </w:rPr>
              <w:t>0.00%</w:t>
            </w:r>
            <w:r>
              <w:rPr>
                <w:rFonts w:ascii="宋体" w:hAnsi="宋体" w:cs="宋体" w:eastAsia="宋体" w:hint="default"/>
                <w:spacing w:val="-5"/>
                <w:sz w:val="18"/>
                <w:szCs w:val="18"/>
              </w:rPr>
              <w:t>，销</w:t>
            </w:r>
            <w:r>
              <w:rPr>
                <w:rFonts w:ascii="宋体" w:hAnsi="宋体" w:cs="宋体" w:eastAsia="宋体" w:hint="default"/>
                <w:spacing w:val="-40"/>
                <w:sz w:val="18"/>
                <w:szCs w:val="18"/>
              </w:rPr>
              <w:t> </w:t>
            </w:r>
            <w:r>
              <w:rPr>
                <w:rFonts w:ascii="宋体" w:hAnsi="宋体" w:cs="宋体" w:eastAsia="宋体" w:hint="default"/>
                <w:sz w:val="18"/>
                <w:szCs w:val="18"/>
              </w:rPr>
              <w:t>售利润率为</w:t>
            </w:r>
            <w:r>
              <w:rPr>
                <w:rFonts w:ascii="Times New Roman" w:hAnsi="Times New Roman" w:cs="Times New Roman" w:eastAsia="Times New Roman" w:hint="default"/>
                <w:sz w:val="18"/>
                <w:szCs w:val="18"/>
              </w:rPr>
              <w:t>8.07%</w:t>
            </w:r>
            <w:r>
              <w:rPr>
                <w:rFonts w:ascii="宋体" w:hAnsi="宋体" w:cs="宋体" w:eastAsia="宋体" w:hint="default"/>
                <w:sz w:val="18"/>
                <w:szCs w:val="18"/>
              </w:rPr>
              <w:t>；折现率采用国际上</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pacing w:val="7"/>
                <w:sz w:val="18"/>
                <w:szCs w:val="18"/>
              </w:rPr>
              <w:t>通用的税前加权平均资本成本定价模</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型计算得出</w:t>
            </w:r>
            <w:r>
              <w:rPr>
                <w:rFonts w:ascii="Times New Roman" w:hAnsi="Times New Roman" w:cs="Times New Roman" w:eastAsia="Times New Roman" w:hint="default"/>
                <w:sz w:val="18"/>
                <w:szCs w:val="18"/>
              </w:rPr>
              <w:t>12.03%</w:t>
            </w:r>
            <w:r>
              <w:rPr>
                <w:rFonts w:ascii="宋体" w:hAnsi="宋体" w:cs="宋体" w:eastAsia="宋体" w:hint="default"/>
                <w:sz w:val="18"/>
                <w:szCs w:val="18"/>
              </w:rPr>
              <w:t>。</w:t>
            </w:r>
          </w:p>
        </w:tc>
      </w:tr>
      <w:tr>
        <w:trPr>
          <w:trHeight w:val="2218"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29"/>
              <w:jc w:val="both"/>
              <w:rPr>
                <w:rFonts w:ascii="宋体" w:hAnsi="宋体" w:cs="宋体" w:eastAsia="宋体" w:hint="default"/>
                <w:sz w:val="18"/>
                <w:szCs w:val="18"/>
              </w:rPr>
            </w:pPr>
            <w:r>
              <w:rPr>
                <w:rFonts w:ascii="宋体" w:hAnsi="宋体" w:cs="宋体" w:eastAsia="宋体" w:hint="default"/>
                <w:spacing w:val="21"/>
                <w:sz w:val="18"/>
                <w:szCs w:val="18"/>
              </w:rPr>
              <w:t>江苏鹏创电</w:t>
            </w:r>
            <w:r>
              <w:rPr>
                <w:rFonts w:ascii="宋体" w:hAnsi="宋体" w:cs="宋体" w:eastAsia="宋体" w:hint="default"/>
                <w:spacing w:val="-72"/>
                <w:sz w:val="18"/>
                <w:szCs w:val="18"/>
              </w:rPr>
              <w:t> </w:t>
            </w:r>
            <w:r>
              <w:rPr>
                <w:rFonts w:ascii="宋体" w:hAnsi="宋体" w:cs="宋体" w:eastAsia="宋体" w:hint="default"/>
                <w:spacing w:val="21"/>
                <w:sz w:val="18"/>
                <w:szCs w:val="18"/>
              </w:rPr>
              <w:t>力设计有限</w:t>
            </w:r>
            <w:r>
              <w:rPr>
                <w:rFonts w:ascii="宋体" w:hAnsi="宋体" w:cs="宋体" w:eastAsia="宋体" w:hint="default"/>
                <w:spacing w:val="-72"/>
                <w:sz w:val="18"/>
                <w:szCs w:val="18"/>
              </w:rPr>
              <w:t> </w:t>
            </w:r>
            <w:r>
              <w:rPr>
                <w:rFonts w:ascii="宋体" w:hAnsi="宋体" w:cs="宋体" w:eastAsia="宋体" w:hint="default"/>
                <w:sz w:val="18"/>
                <w:szCs w:val="18"/>
              </w:rPr>
              <w:t>公司</w:t>
            </w:r>
          </w:p>
        </w:tc>
        <w:tc>
          <w:tcPr>
            <w:tcW w:w="682" w:type="dxa"/>
            <w:tcBorders>
              <w:top w:val="single" w:sz="6" w:space="0" w:color="000000"/>
              <w:left w:val="single" w:sz="6" w:space="0" w:color="000000"/>
              <w:bottom w:val="single" w:sz="6" w:space="0" w:color="000000"/>
              <w:right w:val="single" w:sz="6" w:space="0" w:color="000000"/>
            </w:tcBorders>
          </w:tcPr>
          <w:p>
            <w:pP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5"/>
              <w:jc w:val="both"/>
              <w:rPr>
                <w:rFonts w:ascii="宋体" w:hAnsi="宋体" w:cs="宋体" w:eastAsia="宋体" w:hint="default"/>
                <w:sz w:val="18"/>
                <w:szCs w:val="18"/>
              </w:rPr>
            </w:pPr>
            <w:r>
              <w:rPr>
                <w:rFonts w:ascii="宋体" w:hAnsi="宋体" w:cs="宋体" w:eastAsia="宋体" w:hint="default"/>
                <w:spacing w:val="2"/>
                <w:sz w:val="18"/>
                <w:szCs w:val="18"/>
              </w:rPr>
              <w:t>管理层基于未来五年财务预算的现金流</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pacing w:val="-8"/>
                <w:w w:val="101"/>
                <w:sz w:val="18"/>
                <w:szCs w:val="18"/>
              </w:rPr>
              <w:t>预测确定预测期现金流，超过五年的现金</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流量采用第五年的现金流量确定稳定期</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8"/>
                <w:w w:val="101"/>
                <w:sz w:val="18"/>
                <w:szCs w:val="18"/>
              </w:rPr>
              <w:t>现金流，结合资产组所在行业具体情况采</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z w:val="18"/>
                <w:szCs w:val="18"/>
              </w:rPr>
              <w:t>用国际上通用的加权平均资本成本模型</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8"/>
                <w:w w:val="101"/>
                <w:sz w:val="18"/>
                <w:szCs w:val="18"/>
              </w:rPr>
              <w:t>计算得出折现率。以此确定资产组未来现</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金流量的现值。</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9"/>
              <w:jc w:val="both"/>
              <w:rPr>
                <w:rFonts w:ascii="宋体" w:hAnsi="宋体" w:cs="宋体" w:eastAsia="宋体" w:hint="default"/>
                <w:sz w:val="18"/>
                <w:szCs w:val="18"/>
              </w:rPr>
            </w:pPr>
            <w:r>
              <w:rPr>
                <w:rFonts w:ascii="宋体" w:hAnsi="宋体" w:cs="宋体" w:eastAsia="宋体" w:hint="default"/>
                <w:spacing w:val="13"/>
                <w:sz w:val="18"/>
                <w:szCs w:val="18"/>
              </w:rPr>
              <w:t>管理层根据每个资产组</w:t>
            </w:r>
            <w:r>
              <w:rPr>
                <w:rFonts w:ascii="宋体" w:hAnsi="宋体" w:cs="宋体" w:eastAsia="宋体" w:hint="default"/>
                <w:spacing w:val="-57"/>
                <w:sz w:val="18"/>
                <w:szCs w:val="18"/>
              </w:rPr>
              <w:t> </w:t>
            </w:r>
            <w:r>
              <w:rPr>
                <w:rFonts w:ascii="宋体" w:hAnsi="宋体" w:cs="宋体" w:eastAsia="宋体" w:hint="default"/>
                <w:spacing w:val="13"/>
                <w:sz w:val="18"/>
                <w:szCs w:val="18"/>
              </w:rPr>
              <w:t>或资产组合过去的经营</w:t>
            </w:r>
            <w:r>
              <w:rPr>
                <w:rFonts w:ascii="宋体" w:hAnsi="宋体" w:cs="宋体" w:eastAsia="宋体" w:hint="default"/>
                <w:spacing w:val="-57"/>
                <w:sz w:val="18"/>
                <w:szCs w:val="18"/>
              </w:rPr>
              <w:t> </w:t>
            </w:r>
            <w:r>
              <w:rPr>
                <w:rFonts w:ascii="宋体" w:hAnsi="宋体" w:cs="宋体" w:eastAsia="宋体" w:hint="default"/>
                <w:spacing w:val="13"/>
                <w:sz w:val="18"/>
                <w:szCs w:val="18"/>
              </w:rPr>
              <w:t>状况及其对未来市场发</w:t>
            </w:r>
            <w:r>
              <w:rPr>
                <w:rFonts w:ascii="宋体" w:hAnsi="宋体" w:cs="宋体" w:eastAsia="宋体" w:hint="default"/>
                <w:spacing w:val="-57"/>
                <w:sz w:val="18"/>
                <w:szCs w:val="18"/>
              </w:rPr>
              <w:t> </w:t>
            </w:r>
            <w:r>
              <w:rPr>
                <w:rFonts w:ascii="宋体" w:hAnsi="宋体" w:cs="宋体" w:eastAsia="宋体" w:hint="default"/>
                <w:spacing w:val="13"/>
                <w:sz w:val="18"/>
                <w:szCs w:val="18"/>
              </w:rPr>
              <w:t>展的预期确定相关重要</w:t>
            </w:r>
            <w:r>
              <w:rPr>
                <w:rFonts w:ascii="宋体" w:hAnsi="宋体" w:cs="宋体" w:eastAsia="宋体" w:hint="default"/>
                <w:spacing w:val="-57"/>
                <w:sz w:val="18"/>
                <w:szCs w:val="18"/>
              </w:rPr>
              <w:t> </w:t>
            </w:r>
            <w:r>
              <w:rPr>
                <w:rFonts w:ascii="宋体" w:hAnsi="宋体" w:cs="宋体" w:eastAsia="宋体" w:hint="default"/>
                <w:spacing w:val="-5"/>
                <w:sz w:val="18"/>
                <w:szCs w:val="18"/>
              </w:rPr>
              <w:t>假设，包括预计售价、销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量、相关成本费用等。</w:t>
            </w:r>
          </w:p>
        </w:tc>
        <w:tc>
          <w:tcPr>
            <w:tcW w:w="307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5"/>
              <w:jc w:val="both"/>
              <w:rPr>
                <w:rFonts w:ascii="宋体" w:hAnsi="宋体" w:cs="宋体" w:eastAsia="宋体" w:hint="default"/>
                <w:sz w:val="18"/>
                <w:szCs w:val="18"/>
              </w:rPr>
            </w:pPr>
            <w:r>
              <w:rPr>
                <w:rFonts w:ascii="宋体" w:hAnsi="宋体" w:cs="宋体" w:eastAsia="宋体" w:hint="default"/>
                <w:spacing w:val="7"/>
                <w:sz w:val="18"/>
                <w:szCs w:val="18"/>
              </w:rPr>
              <w:t>管理层根据长期增长战略时运用的预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测期平均增长率为</w:t>
            </w:r>
            <w:r>
              <w:rPr>
                <w:rFonts w:ascii="Times New Roman" w:hAnsi="Times New Roman" w:cs="Times New Roman" w:eastAsia="Times New Roman" w:hint="default"/>
                <w:sz w:val="18"/>
                <w:szCs w:val="18"/>
              </w:rPr>
              <w:t>5.66%</w:t>
            </w:r>
            <w:r>
              <w:rPr>
                <w:rFonts w:ascii="宋体" w:hAnsi="宋体" w:cs="宋体" w:eastAsia="宋体" w:hint="default"/>
                <w:sz w:val="18"/>
                <w:szCs w:val="18"/>
              </w:rPr>
              <w:t>，平均销售利</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z w:val="18"/>
                <w:szCs w:val="18"/>
              </w:rPr>
              <w:t>润率为</w:t>
            </w:r>
            <w:r>
              <w:rPr>
                <w:rFonts w:ascii="Times New Roman" w:hAnsi="Times New Roman" w:cs="Times New Roman" w:eastAsia="Times New Roman" w:hint="default"/>
                <w:sz w:val="18"/>
                <w:szCs w:val="18"/>
              </w:rPr>
              <w:t>55.16%</w:t>
            </w:r>
            <w:r>
              <w:rPr>
                <w:rFonts w:ascii="宋体" w:hAnsi="宋体" w:cs="宋体" w:eastAsia="宋体" w:hint="default"/>
                <w:sz w:val="18"/>
                <w:szCs w:val="18"/>
              </w:rPr>
              <w:t>；稳定期增长率</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pacing w:val="-4"/>
                <w:sz w:val="18"/>
                <w:szCs w:val="18"/>
              </w:rPr>
              <w:t>销售利润率为</w:t>
            </w:r>
            <w:r>
              <w:rPr>
                <w:rFonts w:ascii="Times New Roman" w:hAnsi="Times New Roman" w:cs="Times New Roman" w:eastAsia="Times New Roman" w:hint="default"/>
                <w:spacing w:val="-4"/>
                <w:sz w:val="18"/>
                <w:szCs w:val="18"/>
              </w:rPr>
              <w:t>55.03%</w:t>
            </w:r>
            <w:r>
              <w:rPr>
                <w:rFonts w:ascii="宋体" w:hAnsi="宋体" w:cs="宋体" w:eastAsia="宋体" w:hint="default"/>
                <w:spacing w:val="-4"/>
                <w:sz w:val="18"/>
                <w:szCs w:val="18"/>
              </w:rPr>
              <w:t>；折现率采用国际</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7"/>
                <w:sz w:val="18"/>
                <w:szCs w:val="18"/>
              </w:rPr>
              <w:t>上通用的税前加权平均资本成本定价</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模型计算得出</w:t>
            </w:r>
            <w:r>
              <w:rPr>
                <w:rFonts w:ascii="Times New Roman" w:hAnsi="Times New Roman" w:cs="Times New Roman" w:eastAsia="Times New Roman" w:hint="default"/>
                <w:sz w:val="18"/>
                <w:szCs w:val="18"/>
              </w:rPr>
              <w:t>17.10%</w:t>
            </w:r>
            <w:r>
              <w:rPr>
                <w:rFonts w:ascii="宋体" w:hAnsi="宋体" w:cs="宋体" w:eastAsia="宋体" w:hint="default"/>
                <w:sz w:val="18"/>
                <w:szCs w:val="18"/>
              </w:rPr>
              <w:t>。</w:t>
            </w:r>
          </w:p>
        </w:tc>
      </w:tr>
      <w:tr>
        <w:trPr>
          <w:trHeight w:val="2223" w:hRule="exact"/>
        </w:trPr>
        <w:tc>
          <w:tcPr>
            <w:tcW w:w="104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9"/>
              <w:jc w:val="both"/>
              <w:rPr>
                <w:rFonts w:ascii="宋体" w:hAnsi="宋体" w:cs="宋体" w:eastAsia="宋体" w:hint="default"/>
                <w:sz w:val="18"/>
                <w:szCs w:val="18"/>
              </w:rPr>
            </w:pPr>
            <w:r>
              <w:rPr>
                <w:rFonts w:ascii="宋体" w:hAnsi="宋体" w:cs="宋体" w:eastAsia="宋体" w:hint="default"/>
                <w:spacing w:val="21"/>
                <w:sz w:val="18"/>
                <w:szCs w:val="18"/>
              </w:rPr>
              <w:t>四川鹏华电</w:t>
            </w:r>
            <w:r>
              <w:rPr>
                <w:rFonts w:ascii="宋体" w:hAnsi="宋体" w:cs="宋体" w:eastAsia="宋体" w:hint="default"/>
                <w:spacing w:val="-72"/>
                <w:sz w:val="18"/>
                <w:szCs w:val="18"/>
              </w:rPr>
              <w:t> </w:t>
            </w:r>
            <w:r>
              <w:rPr>
                <w:rFonts w:ascii="宋体" w:hAnsi="宋体" w:cs="宋体" w:eastAsia="宋体" w:hint="default"/>
                <w:spacing w:val="21"/>
                <w:sz w:val="18"/>
                <w:szCs w:val="18"/>
              </w:rPr>
              <w:t>力工程设计</w:t>
            </w:r>
            <w:r>
              <w:rPr>
                <w:rFonts w:ascii="宋体" w:hAnsi="宋体" w:cs="宋体" w:eastAsia="宋体" w:hint="default"/>
                <w:spacing w:val="-72"/>
                <w:sz w:val="18"/>
                <w:szCs w:val="18"/>
              </w:rPr>
              <w:t> </w:t>
            </w:r>
            <w:r>
              <w:rPr>
                <w:rFonts w:ascii="宋体" w:hAnsi="宋体" w:cs="宋体" w:eastAsia="宋体" w:hint="default"/>
                <w:sz w:val="18"/>
                <w:szCs w:val="18"/>
              </w:rPr>
              <w:t>有限公司</w:t>
            </w:r>
          </w:p>
        </w:tc>
        <w:tc>
          <w:tcPr>
            <w:tcW w:w="682" w:type="dxa"/>
            <w:tcBorders>
              <w:top w:val="single" w:sz="6" w:space="0" w:color="000000"/>
              <w:left w:val="single" w:sz="6" w:space="0" w:color="000000"/>
              <w:bottom w:val="single" w:sz="6" w:space="0" w:color="000000"/>
              <w:right w:val="single" w:sz="6" w:space="0" w:color="000000"/>
            </w:tcBorders>
          </w:tcPr>
          <w:p>
            <w:pPr/>
          </w:p>
        </w:tc>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4"/>
              <w:jc w:val="both"/>
              <w:rPr>
                <w:rFonts w:ascii="宋体" w:hAnsi="宋体" w:cs="宋体" w:eastAsia="宋体" w:hint="default"/>
                <w:sz w:val="18"/>
                <w:szCs w:val="18"/>
              </w:rPr>
            </w:pPr>
            <w:r>
              <w:rPr>
                <w:rFonts w:ascii="宋体" w:hAnsi="宋体" w:cs="宋体" w:eastAsia="宋体" w:hint="default"/>
                <w:sz w:val="18"/>
                <w:szCs w:val="18"/>
              </w:rPr>
              <w:t>管理层基于未来五年财务预算的现金流</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8"/>
                <w:w w:val="101"/>
                <w:sz w:val="18"/>
                <w:szCs w:val="18"/>
              </w:rPr>
              <w:t>预测确定预测期现金流，超过五年的现金</w:t>
            </w:r>
            <w:r>
              <w:rPr>
                <w:rFonts w:ascii="宋体" w:hAnsi="宋体" w:cs="宋体" w:eastAsia="宋体" w:hint="default"/>
                <w:spacing w:val="-79"/>
                <w:w w:val="101"/>
                <w:sz w:val="18"/>
                <w:szCs w:val="18"/>
              </w:rPr>
              <w:t> </w:t>
            </w:r>
            <w:r>
              <w:rPr>
                <w:rFonts w:ascii="宋体" w:hAnsi="宋体" w:cs="宋体" w:eastAsia="宋体" w:hint="default"/>
                <w:spacing w:val="-79"/>
                <w:w w:val="101"/>
                <w:sz w:val="18"/>
                <w:szCs w:val="18"/>
              </w:rPr>
            </w:r>
            <w:r>
              <w:rPr>
                <w:rFonts w:ascii="宋体" w:hAnsi="宋体" w:cs="宋体" w:eastAsia="宋体" w:hint="default"/>
                <w:sz w:val="18"/>
                <w:szCs w:val="18"/>
              </w:rPr>
              <w:t>流量采用第五年的现金流量确定稳定期</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8"/>
                <w:w w:val="101"/>
                <w:sz w:val="18"/>
                <w:szCs w:val="18"/>
              </w:rPr>
              <w:t>现金流，结合资产组所在行业具体情况采</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z w:val="18"/>
                <w:szCs w:val="18"/>
              </w:rPr>
              <w:t>用国际上通用的加权平均资本成本模型</w:t>
            </w:r>
            <w:r>
              <w:rPr>
                <w:rFonts w:ascii="宋体" w:hAnsi="宋体" w:cs="宋体" w:eastAsia="宋体" w:hint="default"/>
                <w:spacing w:val="-6"/>
                <w:sz w:val="18"/>
                <w:szCs w:val="18"/>
              </w:rPr>
              <w:t> </w:t>
            </w:r>
            <w:r>
              <w:rPr>
                <w:rFonts w:ascii="宋体" w:hAnsi="宋体" w:cs="宋体" w:eastAsia="宋体" w:hint="default"/>
                <w:spacing w:val="-6"/>
                <w:sz w:val="18"/>
                <w:szCs w:val="18"/>
              </w:rPr>
            </w:r>
            <w:r>
              <w:rPr>
                <w:rFonts w:ascii="宋体" w:hAnsi="宋体" w:cs="宋体" w:eastAsia="宋体" w:hint="default"/>
                <w:spacing w:val="-8"/>
                <w:w w:val="101"/>
                <w:sz w:val="18"/>
                <w:szCs w:val="18"/>
              </w:rPr>
              <w:t>计算得出折现率。以此确定资产组未来现</w:t>
            </w:r>
            <w:r>
              <w:rPr>
                <w:rFonts w:ascii="宋体" w:hAnsi="宋体" w:cs="宋体" w:eastAsia="宋体" w:hint="default"/>
                <w:spacing w:val="-80"/>
                <w:w w:val="101"/>
                <w:sz w:val="18"/>
                <w:szCs w:val="18"/>
              </w:rPr>
              <w:t> </w:t>
            </w:r>
            <w:r>
              <w:rPr>
                <w:rFonts w:ascii="宋体" w:hAnsi="宋体" w:cs="宋体" w:eastAsia="宋体" w:hint="default"/>
                <w:spacing w:val="-80"/>
                <w:w w:val="101"/>
                <w:sz w:val="18"/>
                <w:szCs w:val="18"/>
              </w:rPr>
            </w:r>
            <w:r>
              <w:rPr>
                <w:rFonts w:ascii="宋体" w:hAnsi="宋体" w:cs="宋体" w:eastAsia="宋体" w:hint="default"/>
                <w:spacing w:val="-3"/>
                <w:sz w:val="18"/>
                <w:szCs w:val="18"/>
              </w:rPr>
              <w:t>金流量的现值。</w:t>
            </w:r>
          </w:p>
        </w:tc>
        <w:tc>
          <w:tcPr>
            <w:tcW w:w="19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4" w:right="-19"/>
              <w:jc w:val="both"/>
              <w:rPr>
                <w:rFonts w:ascii="宋体" w:hAnsi="宋体" w:cs="宋体" w:eastAsia="宋体" w:hint="default"/>
                <w:sz w:val="18"/>
                <w:szCs w:val="18"/>
              </w:rPr>
            </w:pPr>
            <w:r>
              <w:rPr>
                <w:rFonts w:ascii="宋体" w:hAnsi="宋体" w:cs="宋体" w:eastAsia="宋体" w:hint="default"/>
                <w:spacing w:val="13"/>
                <w:sz w:val="18"/>
                <w:szCs w:val="18"/>
              </w:rPr>
              <w:t>管理层根据每个资产组</w:t>
            </w:r>
            <w:r>
              <w:rPr>
                <w:rFonts w:ascii="宋体" w:hAnsi="宋体" w:cs="宋体" w:eastAsia="宋体" w:hint="default"/>
                <w:spacing w:val="-57"/>
                <w:sz w:val="18"/>
                <w:szCs w:val="18"/>
              </w:rPr>
              <w:t> </w:t>
            </w:r>
            <w:r>
              <w:rPr>
                <w:rFonts w:ascii="宋体" w:hAnsi="宋体" w:cs="宋体" w:eastAsia="宋体" w:hint="default"/>
                <w:spacing w:val="13"/>
                <w:sz w:val="18"/>
                <w:szCs w:val="18"/>
              </w:rPr>
              <w:t>或资产组合过去的经营</w:t>
            </w:r>
            <w:r>
              <w:rPr>
                <w:rFonts w:ascii="宋体" w:hAnsi="宋体" w:cs="宋体" w:eastAsia="宋体" w:hint="default"/>
                <w:spacing w:val="-57"/>
                <w:sz w:val="18"/>
                <w:szCs w:val="18"/>
              </w:rPr>
              <w:t> </w:t>
            </w:r>
            <w:r>
              <w:rPr>
                <w:rFonts w:ascii="宋体" w:hAnsi="宋体" w:cs="宋体" w:eastAsia="宋体" w:hint="default"/>
                <w:spacing w:val="13"/>
                <w:sz w:val="18"/>
                <w:szCs w:val="18"/>
              </w:rPr>
              <w:t>状况及其对未来市场发</w:t>
            </w:r>
            <w:r>
              <w:rPr>
                <w:rFonts w:ascii="宋体" w:hAnsi="宋体" w:cs="宋体" w:eastAsia="宋体" w:hint="default"/>
                <w:spacing w:val="-57"/>
                <w:sz w:val="18"/>
                <w:szCs w:val="18"/>
              </w:rPr>
              <w:t> </w:t>
            </w:r>
            <w:r>
              <w:rPr>
                <w:rFonts w:ascii="宋体" w:hAnsi="宋体" w:cs="宋体" w:eastAsia="宋体" w:hint="default"/>
                <w:spacing w:val="13"/>
                <w:sz w:val="18"/>
                <w:szCs w:val="18"/>
              </w:rPr>
              <w:t>展的预期确定相关重要</w:t>
            </w:r>
            <w:r>
              <w:rPr>
                <w:rFonts w:ascii="宋体" w:hAnsi="宋体" w:cs="宋体" w:eastAsia="宋体" w:hint="default"/>
                <w:spacing w:val="-57"/>
                <w:sz w:val="18"/>
                <w:szCs w:val="18"/>
              </w:rPr>
              <w:t> </w:t>
            </w:r>
            <w:r>
              <w:rPr>
                <w:rFonts w:ascii="宋体" w:hAnsi="宋体" w:cs="宋体" w:eastAsia="宋体" w:hint="default"/>
                <w:spacing w:val="-5"/>
                <w:sz w:val="18"/>
                <w:szCs w:val="18"/>
              </w:rPr>
              <w:t>假设，包括预计售价、销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量、相关成本费用等。</w:t>
            </w:r>
          </w:p>
        </w:tc>
        <w:tc>
          <w:tcPr>
            <w:tcW w:w="307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0"/>
              <w:ind w:left="4" w:right="-5"/>
              <w:jc w:val="both"/>
              <w:rPr>
                <w:rFonts w:ascii="宋体" w:hAnsi="宋体" w:cs="宋体" w:eastAsia="宋体" w:hint="default"/>
                <w:sz w:val="18"/>
                <w:szCs w:val="18"/>
              </w:rPr>
            </w:pPr>
            <w:r>
              <w:rPr>
                <w:rFonts w:ascii="宋体" w:hAnsi="宋体" w:cs="宋体" w:eastAsia="宋体" w:hint="default"/>
                <w:spacing w:val="7"/>
                <w:sz w:val="18"/>
                <w:szCs w:val="18"/>
              </w:rPr>
              <w:t>管理层根据长期增长战略时运用的预</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pacing w:val="-4"/>
                <w:sz w:val="18"/>
                <w:szCs w:val="18"/>
              </w:rPr>
              <w:t>测期平均增长率为</w:t>
            </w:r>
            <w:r>
              <w:rPr>
                <w:rFonts w:ascii="Times New Roman" w:hAnsi="Times New Roman" w:cs="Times New Roman" w:eastAsia="Times New Roman" w:hint="default"/>
                <w:spacing w:val="-4"/>
                <w:sz w:val="18"/>
                <w:szCs w:val="18"/>
              </w:rPr>
              <w:t>16.00%</w:t>
            </w:r>
            <w:r>
              <w:rPr>
                <w:rFonts w:ascii="宋体" w:hAnsi="宋体" w:cs="宋体" w:eastAsia="宋体" w:hint="default"/>
                <w:spacing w:val="-4"/>
                <w:sz w:val="18"/>
                <w:szCs w:val="18"/>
              </w:rPr>
              <w:t>，平均销售利</w:t>
            </w:r>
            <w:r>
              <w:rPr>
                <w:rFonts w:ascii="宋体" w:hAnsi="宋体" w:cs="宋体" w:eastAsia="宋体" w:hint="default"/>
                <w:spacing w:val="-31"/>
                <w:sz w:val="18"/>
                <w:szCs w:val="18"/>
              </w:rPr>
              <w:t> </w:t>
            </w:r>
            <w:r>
              <w:rPr>
                <w:rFonts w:ascii="宋体" w:hAnsi="宋体" w:cs="宋体" w:eastAsia="宋体" w:hint="default"/>
                <w:spacing w:val="-31"/>
                <w:sz w:val="18"/>
                <w:szCs w:val="18"/>
              </w:rPr>
            </w:r>
            <w:r>
              <w:rPr>
                <w:rFonts w:ascii="宋体" w:hAnsi="宋体" w:cs="宋体" w:eastAsia="宋体" w:hint="default"/>
                <w:sz w:val="18"/>
                <w:szCs w:val="18"/>
              </w:rPr>
              <w:t>润率为</w:t>
            </w:r>
            <w:r>
              <w:rPr>
                <w:rFonts w:ascii="Times New Roman" w:hAnsi="Times New Roman" w:cs="Times New Roman" w:eastAsia="Times New Roman" w:hint="default"/>
                <w:sz w:val="18"/>
                <w:szCs w:val="18"/>
              </w:rPr>
              <w:t>68.24%</w:t>
            </w:r>
            <w:r>
              <w:rPr>
                <w:rFonts w:ascii="宋体" w:hAnsi="宋体" w:cs="宋体" w:eastAsia="宋体" w:hint="default"/>
                <w:sz w:val="18"/>
                <w:szCs w:val="18"/>
              </w:rPr>
              <w:t>；稳定期增长率</w:t>
            </w:r>
            <w:r>
              <w:rPr>
                <w:rFonts w:ascii="Times New Roman" w:hAnsi="Times New Roman" w:cs="Times New Roman" w:eastAsia="Times New Roman" w:hint="default"/>
                <w:sz w:val="18"/>
                <w:szCs w:val="18"/>
              </w:rPr>
              <w:t>0.00%</w:t>
            </w: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pacing w:val="-4"/>
                <w:sz w:val="18"/>
                <w:szCs w:val="18"/>
              </w:rPr>
              <w:t>销售利润率为</w:t>
            </w:r>
            <w:r>
              <w:rPr>
                <w:rFonts w:ascii="Times New Roman" w:hAnsi="Times New Roman" w:cs="Times New Roman" w:eastAsia="Times New Roman" w:hint="default"/>
                <w:spacing w:val="-4"/>
                <w:sz w:val="18"/>
                <w:szCs w:val="18"/>
              </w:rPr>
              <w:t>69.98%</w:t>
            </w:r>
            <w:r>
              <w:rPr>
                <w:rFonts w:ascii="宋体" w:hAnsi="宋体" w:cs="宋体" w:eastAsia="宋体" w:hint="default"/>
                <w:spacing w:val="-4"/>
                <w:sz w:val="18"/>
                <w:szCs w:val="18"/>
              </w:rPr>
              <w:t>；折现率采用国际</w:t>
            </w:r>
            <w:r>
              <w:rPr>
                <w:rFonts w:ascii="宋体" w:hAnsi="宋体" w:cs="宋体" w:eastAsia="宋体" w:hint="default"/>
                <w:spacing w:val="-30"/>
                <w:sz w:val="18"/>
                <w:szCs w:val="18"/>
              </w:rPr>
              <w:t> </w:t>
            </w:r>
            <w:r>
              <w:rPr>
                <w:rFonts w:ascii="宋体" w:hAnsi="宋体" w:cs="宋体" w:eastAsia="宋体" w:hint="default"/>
                <w:spacing w:val="-30"/>
                <w:sz w:val="18"/>
                <w:szCs w:val="18"/>
              </w:rPr>
            </w:r>
            <w:r>
              <w:rPr>
                <w:rFonts w:ascii="宋体" w:hAnsi="宋体" w:cs="宋体" w:eastAsia="宋体" w:hint="default"/>
                <w:spacing w:val="7"/>
                <w:sz w:val="18"/>
                <w:szCs w:val="18"/>
              </w:rPr>
              <w:t>上通用的税前加权平均资本成本定价</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模型计算得出</w:t>
            </w:r>
            <w:r>
              <w:rPr>
                <w:rFonts w:ascii="Times New Roman" w:hAnsi="Times New Roman" w:cs="Times New Roman" w:eastAsia="Times New Roman" w:hint="default"/>
                <w:sz w:val="18"/>
                <w:szCs w:val="18"/>
              </w:rPr>
              <w:t>14.25%</w:t>
            </w:r>
            <w:r>
              <w:rPr>
                <w:rFonts w:ascii="宋体" w:hAnsi="宋体" w:cs="宋体" w:eastAsia="宋体" w:hint="default"/>
                <w:sz w:val="18"/>
                <w:szCs w:val="18"/>
              </w:rPr>
              <w:t>。</w:t>
            </w:r>
          </w:p>
        </w:tc>
      </w:tr>
    </w:tbl>
    <w:p>
      <w:pPr>
        <w:spacing w:line="240" w:lineRule="auto" w:before="5"/>
        <w:rPr>
          <w:rFonts w:ascii="宋体" w:hAnsi="宋体" w:cs="宋体" w:eastAsia="宋体" w:hint="default"/>
          <w:sz w:val="24"/>
          <w:szCs w:val="24"/>
        </w:rPr>
      </w:pPr>
    </w:p>
    <w:p>
      <w:pPr>
        <w:pStyle w:val="BodyText"/>
        <w:spacing w:line="352" w:lineRule="auto" w:before="46"/>
        <w:ind w:right="9018"/>
        <w:jc w:val="left"/>
      </w:pPr>
      <w:r>
        <w:rPr>
          <w:spacing w:val="-3"/>
        </w:rPr>
        <w:t>商誉减值测试的影响</w:t>
      </w:r>
      <w:r>
        <w:rPr>
          <w:spacing w:val="-62"/>
        </w:rPr>
        <w:t> </w:t>
      </w:r>
      <w:r>
        <w:rPr>
          <w:spacing w:val="-62"/>
        </w:rPr>
      </w:r>
      <w:r>
        <w:rPr/>
        <w:t>无</w:t>
      </w:r>
    </w:p>
    <w:p>
      <w:pPr>
        <w:spacing w:line="240" w:lineRule="auto" w:before="7"/>
        <w:rPr>
          <w:rFonts w:ascii="宋体" w:hAnsi="宋体" w:cs="宋体" w:eastAsia="宋体" w:hint="default"/>
          <w:sz w:val="20"/>
          <w:szCs w:val="20"/>
        </w:rPr>
      </w:pPr>
    </w:p>
    <w:p>
      <w:pPr>
        <w:pStyle w:val="Heading3"/>
        <w:spacing w:line="240" w:lineRule="auto"/>
        <w:ind w:right="0"/>
        <w:jc w:val="left"/>
        <w:rPr>
          <w:b w:val="0"/>
          <w:bCs w:val="0"/>
        </w:rPr>
      </w:pPr>
      <w:bookmarkStart w:name="29、长期待摊费用" w:id="310"/>
      <w:bookmarkEnd w:id="310"/>
      <w:r>
        <w:rPr>
          <w:b w:val="0"/>
          <w:bCs w:val="0"/>
        </w:rPr>
      </w:r>
      <w:r>
        <w:rPr>
          <w:rFonts w:ascii="Times New Roman" w:hAnsi="Times New Roman" w:cs="Times New Roman" w:eastAsia="Times New Roman" w:hint="default"/>
        </w:rPr>
        <w:t>29</w:t>
      </w:r>
      <w:r>
        <w:rPr/>
        <w:t>、长期待摊费用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5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9"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房屋装修改造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8,919,714.17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17,361,270.44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2,502,765.31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23,778,219.30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水电暖线路改造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1,845,667.37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219,287.16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1,626,380.21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94"/>
        <w:gridCol w:w="1599"/>
        <w:gridCol w:w="1595"/>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地面维修改造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111,940.17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5,144.00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106,796.17</w:t>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厂房绿化改造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334,206.57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39,707.76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294,498.81</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设备安装改造</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334,300.97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81,818.18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46,206.20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369,912.95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11,545,829.25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17,443,088.62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2,813,110.43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26,175,807.44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0、递延所得税资产/递延所得税负债" w:id="311"/>
      <w:bookmarkEnd w:id="311"/>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12"/>
      <w:bookmarkEnd w:id="312"/>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206" w:hRule="exact"/>
        </w:trPr>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2"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1" w:type="dxa"/>
            <w:vMerge/>
            <w:tcBorders>
              <w:left w:val="single" w:sz="4" w:space="0" w:color="000000"/>
              <w:bottom w:val="nil" w:sz="6" w:space="0" w:color="auto"/>
              <w:right w:val="single" w:sz="4" w:space="0" w:color="000000"/>
            </w:tcBorders>
            <w:shd w:val="clear" w:color="auto" w:fill="D2D2D2"/>
          </w:tcPr>
          <w:p>
            <w:pPr/>
          </w:p>
        </w:tc>
        <w:tc>
          <w:tcPr>
            <w:tcW w:w="19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r>
      <w:tr>
        <w:trPr>
          <w:trHeight w:val="206" w:hRule="exact"/>
        </w:trPr>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Arial" w:hAnsi="Arial" w:cs="Arial" w:eastAsia="Arial" w:hint="default"/>
                <w:sz w:val="18"/>
                <w:szCs w:val="18"/>
              </w:rPr>
            </w:pPr>
            <w:r>
              <w:rPr>
                <w:rFonts w:ascii="Arial"/>
                <w:spacing w:val="-2"/>
                <w:w w:val="80"/>
                <w:sz w:val="18"/>
              </w:rPr>
              <w:t>168,988.90</w:t>
            </w:r>
            <w:r>
              <w:rPr>
                <w:rFonts w:ascii="Arial"/>
                <w:spacing w:val="-2"/>
                <w:sz w:val="18"/>
              </w:rPr>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25,348.33</w:t>
            </w: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内部交易未实现利润</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450,278.73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67,541.81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122,696,130.15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18,478,596.77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112,120,113.37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16,818,017.03</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3,128,970.29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469,345.55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351,307.79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52,696.17</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管理层及骨干业绩奖励</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可结转未弥补亏损</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1,406,569.43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351,642.36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股份支付费用</w:t>
            </w:r>
          </w:p>
        </w:tc>
        <w:tc>
          <w:tcPr>
            <w:tcW w:w="1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4,086,845.52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613,026.82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131,768,794.12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19,980,153.31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112,640,410.06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16,896,061.53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bookmarkStart w:name="（2）未经抵销的递延所得税负债" w:id="313"/>
      <w:bookmarkEnd w:id="313"/>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31"/>
        <w:gridCol w:w="1911"/>
        <w:gridCol w:w="1916"/>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3"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r>
      <w:tr>
        <w:trPr>
          <w:trHeight w:val="202"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11" w:right="60"/>
              <w:jc w:val="left"/>
              <w:rPr>
                <w:rFonts w:ascii="宋体" w:hAnsi="宋体" w:cs="宋体" w:eastAsia="宋体" w:hint="default"/>
                <w:sz w:val="18"/>
                <w:szCs w:val="18"/>
              </w:rPr>
            </w:pPr>
            <w:r>
              <w:rPr>
                <w:rFonts w:ascii="宋体" w:hAnsi="宋体" w:cs="宋体" w:eastAsia="宋体" w:hint="default"/>
                <w:spacing w:val="-2"/>
                <w:sz w:val="18"/>
                <w:szCs w:val="18"/>
              </w:rPr>
              <w:t>非同一控制企业合并资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产评估增值</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33,654,457.00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5,048,168.55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37,411,606.73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5,611,741.01</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33,654,457.00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5,048,168.55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37,411,606.73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5,611,741.01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以抵销后净额列示的递延所得税资产或负债" w:id="314"/>
      <w:bookmarkEnd w:id="314"/>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158"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22" w:right="51" w:hanging="361"/>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期末互抵金额</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21" w:right="41"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或负债期末余额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13" w:right="46" w:hanging="360"/>
              <w:jc w:val="left"/>
              <w:rPr>
                <w:rFonts w:ascii="宋体" w:hAnsi="宋体" w:cs="宋体" w:eastAsia="宋体" w:hint="default"/>
                <w:sz w:val="18"/>
                <w:szCs w:val="18"/>
              </w:rPr>
            </w:pPr>
            <w:r>
              <w:rPr>
                <w:rFonts w:ascii="宋体" w:hAnsi="宋体" w:cs="宋体" w:eastAsia="宋体" w:hint="default"/>
                <w:spacing w:val="-2"/>
                <w:sz w:val="18"/>
                <w:szCs w:val="18"/>
              </w:rPr>
              <w:t>递延所得税资产和负债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321" w:right="46" w:hanging="269"/>
              <w:jc w:val="left"/>
              <w:rPr>
                <w:rFonts w:ascii="宋体" w:hAnsi="宋体" w:cs="宋体" w:eastAsia="宋体" w:hint="default"/>
                <w:sz w:val="18"/>
                <w:szCs w:val="18"/>
              </w:rPr>
            </w:pPr>
            <w:r>
              <w:rPr>
                <w:rFonts w:ascii="宋体" w:hAnsi="宋体" w:cs="宋体" w:eastAsia="宋体" w:hint="default"/>
                <w:spacing w:val="-2"/>
                <w:sz w:val="18"/>
                <w:szCs w:val="18"/>
              </w:rPr>
              <w:t>抵销后递延所得税资产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或负债期初余额</w:t>
            </w:r>
          </w:p>
        </w:tc>
      </w:tr>
      <w:tr>
        <w:trPr>
          <w:trHeight w:val="394"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vMerge/>
            <w:tcBorders>
              <w:left w:val="single" w:sz="4" w:space="0" w:color="000000"/>
              <w:right w:val="single" w:sz="4" w:space="0" w:color="000000"/>
            </w:tcBorders>
            <w:shd w:val="clear" w:color="auto" w:fill="D2D2D2"/>
          </w:tcPr>
          <w:p>
            <w:pPr/>
          </w:p>
        </w:tc>
        <w:tc>
          <w:tcPr>
            <w:tcW w:w="1911"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58"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31"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19,980,153.31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16,896,061.53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5,048,168.55</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5,611,741.01</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4）未确认递延所得税资产明细" w:id="315"/>
      <w:bookmarkEnd w:id="315"/>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22,982.30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20,640.00</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843,716.16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8,179,558.55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866,698.46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8,200,198.55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未确认递延所得税资产的可抵扣亏损将于以下年度到期" w:id="316"/>
      <w:bookmarkEnd w:id="316"/>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1,795.90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7,945,902.86</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无到期日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843,716.16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231,859.79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境外子公司无到期日</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843,716.16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8,179,558.55</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1、其他非流动资产" w:id="317"/>
      <w:bookmarkEnd w:id="317"/>
      <w:r>
        <w:rPr>
          <w:b w:val="0"/>
          <w:bCs w:val="0"/>
        </w:rPr>
      </w:r>
      <w:r>
        <w:rPr>
          <w:rFonts w:ascii="Times New Roman" w:hAnsi="Times New Roman" w:cs="Times New Roman" w:eastAsia="Times New Roman" w:hint="default"/>
        </w:rPr>
        <w:t>31</w:t>
      </w:r>
      <w:r>
        <w:rPr/>
        <w:t>、其他非流动资产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2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8"/>
        <w:rPr>
          <w:rFonts w:ascii="宋体" w:hAnsi="宋体" w:cs="宋体" w:eastAsia="宋体" w:hint="default"/>
          <w:sz w:val="7"/>
          <w:szCs w:val="7"/>
        </w:rPr>
      </w:pPr>
    </w:p>
    <w:tbl>
      <w:tblPr>
        <w:tblW w:w="0" w:type="auto"/>
        <w:jc w:val="left"/>
        <w:tblInd w:w="220" w:type="dxa"/>
        <w:tblLayout w:type="fixed"/>
        <w:tblCellMar>
          <w:top w:w="0" w:type="dxa"/>
          <w:left w:w="0" w:type="dxa"/>
          <w:bottom w:w="0" w:type="dxa"/>
          <w:right w:w="0" w:type="dxa"/>
        </w:tblCellMar>
        <w:tblLook w:val="01E0"/>
      </w:tblPr>
      <w:tblGrid>
        <w:gridCol w:w="2411"/>
        <w:gridCol w:w="1273"/>
        <w:gridCol w:w="1066"/>
        <w:gridCol w:w="1205"/>
        <w:gridCol w:w="1133"/>
        <w:gridCol w:w="1066"/>
        <w:gridCol w:w="1344"/>
      </w:tblGrid>
      <w:tr>
        <w:trPr>
          <w:trHeight w:val="403" w:hRule="exact"/>
        </w:trPr>
        <w:tc>
          <w:tcPr>
            <w:tcW w:w="24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4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4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411" w:type="dxa"/>
            <w:vMerge/>
            <w:tcBorders>
              <w:left w:val="single" w:sz="4" w:space="0" w:color="000000"/>
              <w:bottom w:val="single" w:sz="4" w:space="0" w:color="000000"/>
              <w:right w:val="single" w:sz="4" w:space="0" w:color="000000"/>
            </w:tcBorders>
            <w:shd w:val="clear" w:color="auto" w:fill="D2D2D2"/>
          </w:tcPr>
          <w:p>
            <w:pPr/>
          </w:p>
        </w:tc>
        <w:tc>
          <w:tcPr>
            <w:tcW w:w="1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0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10,315,526.32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10,315,526.32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 w:right="0"/>
              <w:jc w:val="center"/>
              <w:rPr>
                <w:rFonts w:ascii="Times New Roman" w:hAnsi="Times New Roman" w:cs="Times New Roman" w:eastAsia="Times New Roman" w:hint="default"/>
                <w:sz w:val="18"/>
                <w:szCs w:val="18"/>
              </w:rPr>
            </w:pPr>
            <w:r>
              <w:rPr>
                <w:rFonts w:ascii="Times New Roman"/>
                <w:sz w:val="18"/>
              </w:rPr>
              <w:t>34,140,876.60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34,140,876.60</w:t>
            </w: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预付融资款项</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1,816,935.97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1,816,935.97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center"/>
              <w:rPr>
                <w:rFonts w:ascii="Times New Roman" w:hAnsi="Times New Roman" w:cs="Times New Roman" w:eastAsia="Times New Roman" w:hint="default"/>
                <w:sz w:val="18"/>
                <w:szCs w:val="18"/>
              </w:rPr>
            </w:pPr>
            <w:r>
              <w:rPr>
                <w:rFonts w:ascii="Times New Roman"/>
                <w:sz w:val="18"/>
              </w:rPr>
              <w:t>5,717,000.58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5,717,000.58</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2,685,714.28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2,685,714.28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center"/>
              <w:rPr>
                <w:rFonts w:ascii="Times New Roman" w:hAnsi="Times New Roman" w:cs="Times New Roman" w:eastAsia="Times New Roman" w:hint="default"/>
                <w:sz w:val="18"/>
                <w:szCs w:val="18"/>
              </w:rPr>
            </w:pPr>
            <w:r>
              <w:rPr>
                <w:rFonts w:ascii="Times New Roman"/>
                <w:sz w:val="18"/>
              </w:rPr>
              <w:t>2,595,967.12</w:t>
            </w:r>
          </w:p>
        </w:tc>
        <w:tc>
          <w:tcPr>
            <w:tcW w:w="106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2,595,967.12</w:t>
            </w:r>
          </w:p>
        </w:tc>
      </w:tr>
      <w:tr>
        <w:trPr>
          <w:trHeight w:val="403"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未实现售后租回损益</w:t>
            </w:r>
          </w:p>
        </w:tc>
        <w:tc>
          <w:tcPr>
            <w:tcW w:w="127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center"/>
              <w:rPr>
                <w:rFonts w:ascii="Times New Roman" w:hAnsi="Times New Roman" w:cs="Times New Roman" w:eastAsia="Times New Roman" w:hint="default"/>
                <w:sz w:val="18"/>
                <w:szCs w:val="18"/>
              </w:rPr>
            </w:pPr>
            <w:r>
              <w:rPr>
                <w:rFonts w:ascii="Times New Roman"/>
                <w:sz w:val="18"/>
              </w:rPr>
              <w:t>1,846,619.96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1,846,619.96</w:t>
            </w:r>
          </w:p>
        </w:tc>
      </w:tr>
      <w:tr>
        <w:trPr>
          <w:trHeight w:val="404" w:hRule="exact"/>
        </w:trPr>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预付土地款</w:t>
            </w:r>
          </w:p>
        </w:tc>
        <w:tc>
          <w:tcPr>
            <w:tcW w:w="1273"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3" w:right="0"/>
              <w:jc w:val="center"/>
              <w:rPr>
                <w:rFonts w:ascii="Times New Roman" w:hAnsi="Times New Roman" w:cs="Times New Roman" w:eastAsia="Times New Roman" w:hint="default"/>
                <w:sz w:val="18"/>
                <w:szCs w:val="18"/>
              </w:rPr>
            </w:pPr>
            <w:r>
              <w:rPr>
                <w:rFonts w:ascii="Times New Roman"/>
                <w:sz w:val="18"/>
              </w:rPr>
              <w:t>1,286,500.00</w:t>
            </w:r>
          </w:p>
        </w:tc>
        <w:tc>
          <w:tcPr>
            <w:tcW w:w="106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1,286,500.00</w:t>
            </w:r>
          </w:p>
        </w:tc>
      </w:tr>
      <w:tr>
        <w:trPr>
          <w:trHeight w:val="398" w:hRule="exact"/>
        </w:trPr>
        <w:tc>
          <w:tcPr>
            <w:tcW w:w="24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14,818,176.57</w:t>
            </w:r>
          </w:p>
        </w:tc>
        <w:tc>
          <w:tcPr>
            <w:tcW w:w="1066"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14,818,176.57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1" w:right="0"/>
              <w:jc w:val="center"/>
              <w:rPr>
                <w:rFonts w:ascii="Times New Roman" w:hAnsi="Times New Roman" w:cs="Times New Roman" w:eastAsia="Times New Roman" w:hint="default"/>
                <w:sz w:val="18"/>
                <w:szCs w:val="18"/>
              </w:rPr>
            </w:pPr>
            <w:r>
              <w:rPr>
                <w:rFonts w:ascii="Times New Roman"/>
                <w:sz w:val="18"/>
              </w:rPr>
              <w:t>45,586,964.26</w:t>
            </w:r>
          </w:p>
        </w:tc>
        <w:tc>
          <w:tcPr>
            <w:tcW w:w="1066"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45,586,964.26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2、短期借款" w:id="318"/>
      <w:bookmarkEnd w:id="318"/>
      <w:r>
        <w:rPr>
          <w:b w:val="0"/>
          <w:bCs w:val="0"/>
        </w:rPr>
      </w: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短期借款分类" w:id="319"/>
      <w:bookmarkEnd w:id="319"/>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type w:val="continuous"/>
          <w:pgSz w:w="11910" w:h="16840"/>
          <w:pgMar w:top="106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11,606,153.95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100,400,000.00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51,000,000.00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189,814,915.00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739,886,800.00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673,284,800.00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107,000,000.00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909,492,953.95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1,063,499,715.00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已逾期未偿还的短期借款情况" w:id="320"/>
      <w:bookmarkEnd w:id="320"/>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3、交易性金融负债" w:id="321"/>
      <w:bookmarkEnd w:id="321"/>
      <w:r>
        <w:rPr>
          <w:b w:val="0"/>
          <w:bCs w:val="0"/>
        </w:rPr>
      </w:r>
      <w:r>
        <w:rPr>
          <w:rFonts w:ascii="Times New Roman" w:hAnsi="Times New Roman" w:cs="Times New Roman" w:eastAsia="Times New Roman" w:hint="default"/>
        </w:rPr>
        <w:t>33</w:t>
      </w:r>
      <w:r>
        <w:rPr/>
        <w:t>、交易性金融负债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4、衍生金融负债" w:id="322"/>
      <w:bookmarkEnd w:id="322"/>
      <w:r>
        <w:rPr>
          <w:b w:val="0"/>
          <w:bCs w:val="0"/>
        </w:rPr>
      </w:r>
      <w:r>
        <w:rPr>
          <w:rFonts w:ascii="Times New Roman" w:hAnsi="Times New Roman" w:cs="Times New Roman" w:eastAsia="Times New Roman" w:hint="default"/>
        </w:rPr>
        <w:t>34</w:t>
      </w:r>
      <w:r>
        <w:rPr/>
        <w:t>、衍生金融负债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5、应付票据" w:id="323"/>
      <w:bookmarkEnd w:id="323"/>
      <w:r>
        <w:rPr>
          <w:b w:val="0"/>
          <w:bCs w:val="0"/>
        </w:rPr>
      </w:r>
      <w:r>
        <w:rPr>
          <w:rFonts w:ascii="Times New Roman" w:hAnsi="Times New Roman" w:cs="Times New Roman" w:eastAsia="Times New Roman" w:hint="default"/>
        </w:rPr>
        <w:t>35</w:t>
      </w:r>
      <w:r>
        <w:rPr/>
        <w:t>、应付票据</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9"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223,152,515.66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201,712,463.21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180,341,508.88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70,112,378.45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403,494,024.54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271,824,841.66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6、应付账款" w:id="324"/>
      <w:bookmarkEnd w:id="324"/>
      <w:r>
        <w:rPr>
          <w:b w:val="0"/>
          <w:bCs w:val="0"/>
        </w:rPr>
      </w:r>
      <w:r>
        <w:rPr>
          <w:rFonts w:ascii="Times New Roman" w:hAnsi="Times New Roman" w:cs="Times New Roman" w:eastAsia="Times New Roman" w:hint="default"/>
        </w:rPr>
        <w:t>36</w:t>
      </w:r>
      <w:r>
        <w:rPr/>
        <w:t>、应付账款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应付账款列示" w:id="325"/>
      <w:bookmarkEnd w:id="325"/>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049"/>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681,292,576.26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1,010,872,614.63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320,468,354.62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117,207,311.12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1,001,760,930.88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1,128,079,925.75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应付账款" w:id="326"/>
      <w:bookmarkEnd w:id="326"/>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2977"/>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7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17,810,873.49</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17,065,956.82</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16,823,674.73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12,207,617.35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9,161,375.61</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供应商六</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7,956,144.13</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6,674,105.74</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供应商八</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5,983,968.75</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93,683,716.62</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7、预收款项" w:id="327"/>
      <w:bookmarkEnd w:id="327"/>
      <w:r>
        <w:rPr>
          <w:b w:val="0"/>
          <w:bCs w:val="0"/>
        </w:rPr>
      </w:r>
      <w:r>
        <w:rPr>
          <w:rFonts w:ascii="Times New Roman" w:hAnsi="Times New Roman" w:cs="Times New Roman" w:eastAsia="Times New Roman" w:hint="default"/>
        </w:rPr>
        <w:t>37</w:t>
      </w:r>
      <w:r>
        <w:rPr/>
        <w:t>、预收款项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1）预收款项列示" w:id="328"/>
      <w:bookmarkEnd w:id="328"/>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7,519,214.22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40,150,568.17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2,499,512.96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31,660.00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10,018,727.18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40,182,228.17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预收款项" w:id="329"/>
      <w:bookmarkEnd w:id="329"/>
      <w:r>
        <w:rPr>
          <w:b w:val="0"/>
          <w:bCs w:val="0"/>
        </w:rPr>
      </w:r>
      <w:r>
        <w:rPr/>
        <w:t>（</w:t>
      </w:r>
      <w:r>
        <w:rPr>
          <w:rFonts w:ascii="Times New Roman" w:hAnsi="Times New Roman" w:cs="Times New Roman" w:eastAsia="Times New Roman" w:hint="default"/>
        </w:rPr>
        <w:t>2</w:t>
      </w:r>
      <w:r>
        <w:rPr/>
        <w:t>）账龄超过</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82" w:right="0"/>
              <w:jc w:val="left"/>
              <w:rPr>
                <w:rFonts w:ascii="宋体" w:hAnsi="宋体" w:cs="宋体" w:eastAsia="宋体" w:hint="default"/>
                <w:sz w:val="18"/>
                <w:szCs w:val="18"/>
              </w:rPr>
            </w:pPr>
            <w:r>
              <w:rPr>
                <w:rFonts w:ascii="宋体" w:hAnsi="宋体" w:cs="宋体" w:eastAsia="宋体" w:hint="default"/>
                <w:spacing w:val="-3"/>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361,120.00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275,459.99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246,489.77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183,000.00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hAnsi="宋体" w:cs="宋体" w:eastAsia="宋体" w:hint="default"/>
                <w:spacing w:val="-2"/>
                <w:sz w:val="18"/>
                <w:szCs w:val="18"/>
              </w:rPr>
              <w:t>业务尚未结束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1,336,069.76</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8、合同负债" w:id="330"/>
      <w:bookmarkEnd w:id="330"/>
      <w:r>
        <w:rPr>
          <w:b w:val="0"/>
          <w:bCs w:val="0"/>
        </w:rPr>
      </w:r>
      <w:r>
        <w:rPr>
          <w:rFonts w:ascii="Times New Roman" w:hAnsi="Times New Roman" w:cs="Times New Roman" w:eastAsia="Times New Roman" w:hint="default"/>
        </w:rPr>
        <w:t>38</w:t>
      </w:r>
      <w:r>
        <w:rPr/>
        <w:t>、合同负债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39、应付职工薪酬" w:id="331"/>
      <w:bookmarkEnd w:id="331"/>
      <w:r>
        <w:rPr>
          <w:b w:val="0"/>
          <w:bCs w:val="0"/>
        </w:rPr>
      </w: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付职工薪酬列示" w:id="332"/>
      <w:bookmarkEnd w:id="332"/>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28,516,312.64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202,571,698.61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202,891,860.15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28,196,151.10</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2"/>
              <w:jc w:val="left"/>
              <w:rPr>
                <w:rFonts w:ascii="宋体" w:hAnsi="宋体" w:cs="宋体" w:eastAsia="宋体" w:hint="default"/>
                <w:sz w:val="18"/>
                <w:szCs w:val="18"/>
              </w:rPr>
            </w:pPr>
            <w:r>
              <w:rPr>
                <w:rFonts w:ascii="宋体" w:hAnsi="宋体" w:cs="宋体" w:eastAsia="宋体" w:hint="default"/>
                <w:spacing w:val="-3"/>
                <w:sz w:val="18"/>
                <w:szCs w:val="18"/>
              </w:rPr>
              <w:t>二、离职后福利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设定提</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存计划</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3"/>
                <w:sz w:val="18"/>
              </w:rPr>
              <w:t>110,711.79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12,658,516.50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12,347,295.23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421,933.06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731,810.70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731,810.70</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28,627,024.43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215,962,025.81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215,970,966.08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28,618,084.16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短期薪酬列示" w:id="333"/>
      <w:bookmarkEnd w:id="333"/>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补贴</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13,455,313.73</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173,934,620.55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173,922,476.69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13,467,457.59</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12,082,325.73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12,082,325.73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115,280.44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9,157,091.56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9,063,620.77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208,751.23</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其中：医疗保险费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93,103.18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7,898,572.26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7,839,603.04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152,072.40</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工伤保险费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17,397.75</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693,051.37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666,907.22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43,541.90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60"/>
              <w:jc w:val="right"/>
              <w:rPr>
                <w:rFonts w:ascii="宋体" w:hAnsi="宋体" w:cs="宋体" w:eastAsia="宋体" w:hint="default"/>
                <w:sz w:val="18"/>
                <w:szCs w:val="18"/>
              </w:rPr>
            </w:pPr>
            <w:r>
              <w:rPr>
                <w:rFonts w:ascii="宋体" w:hAnsi="宋体" w:cs="宋体" w:eastAsia="宋体" w:hint="default"/>
                <w:spacing w:val="-2"/>
                <w:sz w:val="18"/>
                <w:szCs w:val="18"/>
              </w:rPr>
              <w:t>生育保险费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4,779.51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565,467.93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557,110.51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13,136.93</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280,900.00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6,366,337.00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6,117,737.00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529,500.00</w:t>
            </w:r>
          </w:p>
        </w:tc>
      </w:tr>
      <w:tr>
        <w:trPr>
          <w:trHeight w:val="715"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4" w:lineRule="auto" w:before="53"/>
              <w:ind w:left="24" w:right="3"/>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经费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14,664,818.47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1,031,323.77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1,705,699.96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13,990,442.28</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28,516,312.64</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202,571,698.61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202,891,860.15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28,196,151.10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设定提存计划列示" w:id="334"/>
      <w:bookmarkEnd w:id="334"/>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100,726.11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12,169,526.83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11,860,197.58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410,055.36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9,985.68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488,989.67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487,097.65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11,877.70</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3"/>
                <w:sz w:val="18"/>
              </w:rPr>
              <w:t>110,711.79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12,658,516.50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12,347,295.23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421,933.06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0、应交税费" w:id="335"/>
      <w:bookmarkEnd w:id="335"/>
      <w:r>
        <w:rPr>
          <w:b w:val="0"/>
          <w:bCs w:val="0"/>
        </w:rPr>
      </w:r>
      <w:r>
        <w:rPr>
          <w:rFonts w:ascii="Times New Roman" w:hAnsi="Times New Roman" w:cs="Times New Roman" w:eastAsia="Times New Roman" w:hint="default"/>
        </w:rPr>
        <w:t>40</w:t>
      </w:r>
      <w:r>
        <w:rPr/>
        <w:t>、应交税费</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25,338,533.00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21,908,669.71</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6,349,837.73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5,730,709.94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478,038.02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329,064.61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3,744,195.21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2,404,669.76</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2,629,974.19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1,401,208.70</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128,358.59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879,594.74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38,668,936.74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32,653,917.46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1、其他应付款" w:id="336"/>
      <w:bookmarkEnd w:id="336"/>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1,717,459.45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1,743,648.04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108,866,794.35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10,308,280.07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110,584,253.80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12,051,928.11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付利息" w:id="337"/>
      <w:bookmarkEnd w:id="337"/>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分期付息到期还本的长期借款利息</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28,562.06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1,717,459.45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1,715,085.98</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1,717,459.45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1,743,648.04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应付股利" w:id="338"/>
      <w:bookmarkEnd w:id="338"/>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其他应付款" w:id="339"/>
      <w:bookmarkEnd w:id="339"/>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按款项性质列示其他应付款" w:id="340"/>
      <w:bookmarkEnd w:id="340"/>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安装服务费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232,062.50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2,661,426.24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印尼公司开办费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2,278,053.92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1,116,213.37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830,873.50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应付员工备用金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6,206,088.39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730,115.90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245,305.26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限制性股票回购义务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59,719,704.24</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36,500,000.00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5,086,525.85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3,562,505.25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108,866,794.35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10,308,280.07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账龄超过1年的重要其他应付款" w:id="341"/>
      <w:bookmarkEnd w:id="341"/>
      <w:r>
        <w:rPr>
          <w:b w:val="0"/>
          <w:bCs w:val="0"/>
        </w:rPr>
      </w:r>
      <w:r>
        <w:rPr>
          <w:rFonts w:ascii="Times New Roman" w:hAnsi="Times New Roman" w:cs="Times New Roman" w:eastAsia="Times New Roman" w:hint="default"/>
        </w:rPr>
        <w:t>2</w:t>
      </w:r>
      <w:r>
        <w:rPr/>
        <w:t>）账龄超过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2、持有待售负债" w:id="342"/>
      <w:bookmarkEnd w:id="342"/>
      <w:r>
        <w:rPr>
          <w:b w:val="0"/>
          <w:bCs w:val="0"/>
        </w:rPr>
      </w:r>
      <w:r>
        <w:rPr>
          <w:rFonts w:ascii="Times New Roman" w:hAnsi="Times New Roman" w:cs="Times New Roman" w:eastAsia="Times New Roman" w:hint="default"/>
        </w:rPr>
        <w:t>42</w:t>
      </w:r>
      <w:r>
        <w:rPr/>
        <w:t>、持有待售负债</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3、一年内到期的非流动负债" w:id="343"/>
      <w:bookmarkEnd w:id="34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33,016,333.33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38,316,974.10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4,120,022.69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14,750,563.17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37,136,356.02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53,067,537.27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4、其他流动负债" w:id="344"/>
      <w:bookmarkEnd w:id="34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5、长期借款" w:id="345"/>
      <w:bookmarkEnd w:id="34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长期借款分类" w:id="346"/>
      <w:bookmarkEnd w:id="34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38,337,706.58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71,076,539.92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7,916,666.67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-33,016,333.33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-38,316,974.10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5,321,373.25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40,676,232.49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46、应付债券" w:id="347"/>
      <w:bookmarkEnd w:id="34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7、租赁负债" w:id="348"/>
      <w:bookmarkEnd w:id="348"/>
      <w:r>
        <w:rPr>
          <w:b w:val="0"/>
          <w:bCs w:val="0"/>
        </w:rPr>
      </w:r>
      <w:r>
        <w:rPr>
          <w:rFonts w:ascii="Times New Roman" w:hAnsi="Times New Roman" w:cs="Times New Roman" w:eastAsia="Times New Roman" w:hint="default"/>
        </w:rPr>
        <w:t>47</w:t>
      </w:r>
      <w:r>
        <w:rPr/>
        <w:t>、租赁负债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8、长期应付款" w:id="349"/>
      <w:bookmarkEnd w:id="349"/>
      <w:r>
        <w:rPr>
          <w:b w:val="0"/>
          <w:bCs w:val="0"/>
        </w:rPr>
      </w:r>
      <w:r>
        <w:rPr>
          <w:rFonts w:ascii="Times New Roman" w:hAnsi="Times New Roman" w:cs="Times New Roman" w:eastAsia="Times New Roman" w:hint="default"/>
        </w:rPr>
        <w:t>48</w:t>
      </w:r>
      <w:r>
        <w:rPr/>
        <w:t>、长期应付款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3,618,950.71</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3,618,950.71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按款项性质列示长期应付款" w:id="350"/>
      <w:bookmarkEnd w:id="35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应付租赁款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4,160,423.53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一年内到期的长期应付款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-541,472.82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3,618,950.71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专项应付款" w:id="351"/>
      <w:bookmarkEnd w:id="351"/>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9、长期应付职工薪酬" w:id="352"/>
      <w:bookmarkEnd w:id="352"/>
      <w:r>
        <w:rPr>
          <w:b w:val="0"/>
          <w:bCs w:val="0"/>
        </w:rPr>
      </w:r>
      <w:r>
        <w:rPr>
          <w:rFonts w:ascii="Times New Roman" w:hAnsi="Times New Roman" w:cs="Times New Roman" w:eastAsia="Times New Roman" w:hint="default"/>
        </w:rPr>
        <w:t>49</w:t>
      </w:r>
      <w:r>
        <w:rPr/>
        <w:t>、长期应付职工薪酬</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0、预计负债" w:id="353"/>
      <w:bookmarkEnd w:id="353"/>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1、递延收益" w:id="354"/>
      <w:bookmarkEnd w:id="354"/>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0"/>
        <w:gridCol w:w="1611"/>
        <w:gridCol w:w="1595"/>
        <w:gridCol w:w="1594"/>
        <w:gridCol w:w="1594"/>
        <w:gridCol w:w="1594"/>
      </w:tblGrid>
      <w:tr>
        <w:trPr>
          <w:trHeight w:val="403"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398" w:hRule="exact"/>
        </w:trPr>
        <w:tc>
          <w:tcPr>
            <w:tcW w:w="1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28" w:right="0"/>
              <w:jc w:val="left"/>
              <w:rPr>
                <w:rFonts w:ascii="Times New Roman" w:hAnsi="Times New Roman" w:cs="Times New Roman" w:eastAsia="Times New Roman" w:hint="default"/>
                <w:sz w:val="18"/>
                <w:szCs w:val="18"/>
              </w:rPr>
            </w:pPr>
            <w:r>
              <w:rPr>
                <w:rFonts w:ascii="Times New Roman"/>
                <w:sz w:val="18"/>
              </w:rPr>
              <w:t>59,943,701.57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5" w:right="0"/>
              <w:jc w:val="left"/>
              <w:rPr>
                <w:rFonts w:ascii="Times New Roman" w:hAnsi="Times New Roman" w:cs="Times New Roman" w:eastAsia="Times New Roman" w:hint="default"/>
                <w:sz w:val="18"/>
                <w:szCs w:val="18"/>
              </w:rPr>
            </w:pPr>
            <w:r>
              <w:rPr>
                <w:rFonts w:ascii="Times New Roman"/>
                <w:sz w:val="18"/>
              </w:rPr>
              <w:t>9,639,000.00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3,206,040.84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66,376,660.73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6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582"/>
        <w:gridCol w:w="1611"/>
        <w:gridCol w:w="1595"/>
        <w:gridCol w:w="1594"/>
        <w:gridCol w:w="1594"/>
        <w:gridCol w:w="1594"/>
      </w:tblGrid>
      <w:tr>
        <w:trPr>
          <w:trHeight w:val="403" w:hRule="exact"/>
        </w:trPr>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1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28" w:right="0"/>
              <w:jc w:val="left"/>
              <w:rPr>
                <w:rFonts w:ascii="Times New Roman" w:hAnsi="Times New Roman" w:cs="Times New Roman" w:eastAsia="Times New Roman" w:hint="default"/>
                <w:sz w:val="18"/>
                <w:szCs w:val="18"/>
              </w:rPr>
            </w:pPr>
            <w:r>
              <w:rPr>
                <w:rFonts w:ascii="Times New Roman"/>
                <w:sz w:val="18"/>
              </w:rPr>
              <w:t>59,943,701.57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5" w:right="0"/>
              <w:jc w:val="left"/>
              <w:rPr>
                <w:rFonts w:ascii="Times New Roman" w:hAnsi="Times New Roman" w:cs="Times New Roman" w:eastAsia="Times New Roman" w:hint="default"/>
                <w:sz w:val="18"/>
                <w:szCs w:val="18"/>
              </w:rPr>
            </w:pPr>
            <w:r>
              <w:rPr>
                <w:rFonts w:ascii="Times New Roman"/>
                <w:sz w:val="18"/>
              </w:rPr>
              <w:t>9,639,000.00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4" w:right="0"/>
              <w:jc w:val="left"/>
              <w:rPr>
                <w:rFonts w:ascii="Times New Roman" w:hAnsi="Times New Roman" w:cs="Times New Roman" w:eastAsia="Times New Roman" w:hint="default"/>
                <w:sz w:val="18"/>
                <w:szCs w:val="18"/>
              </w:rPr>
            </w:pPr>
            <w:r>
              <w:rPr>
                <w:rFonts w:ascii="Times New Roman"/>
                <w:sz w:val="18"/>
              </w:rPr>
              <w:t>3,206,040.84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3" w:right="0"/>
              <w:jc w:val="left"/>
              <w:rPr>
                <w:rFonts w:ascii="Times New Roman" w:hAnsi="Times New Roman" w:cs="Times New Roman" w:eastAsia="Times New Roman" w:hint="default"/>
                <w:sz w:val="18"/>
                <w:szCs w:val="18"/>
              </w:rPr>
            </w:pPr>
            <w:r>
              <w:rPr>
                <w:rFonts w:ascii="Times New Roman"/>
                <w:sz w:val="18"/>
              </w:rPr>
              <w:t>66,376,660.73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bl>
    <w:p>
      <w:pPr>
        <w:pStyle w:val="BodyText"/>
        <w:spacing w:line="240" w:lineRule="auto" w:before="53"/>
        <w:ind w:right="0"/>
        <w:jc w:val="left"/>
      </w:pPr>
      <w:r>
        <w:rPr/>
        <w:t>涉及政府补助的项目：</w:t>
      </w:r>
    </w:p>
    <w:p>
      <w:pPr>
        <w:pStyle w:val="BodyText"/>
        <w:spacing w:line="240" w:lineRule="auto" w:before="115"/>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1027"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230" w:right="41" w:hanging="178"/>
              <w:jc w:val="left"/>
              <w:rPr>
                <w:rFonts w:ascii="宋体" w:hAnsi="宋体" w:cs="宋体" w:eastAsia="宋体" w:hint="default"/>
                <w:sz w:val="18"/>
                <w:szCs w:val="18"/>
              </w:rPr>
            </w:pPr>
            <w:r>
              <w:rPr>
                <w:rFonts w:ascii="宋体" w:hAnsi="宋体" w:cs="宋体" w:eastAsia="宋体" w:hint="default"/>
                <w:spacing w:val="-2"/>
                <w:sz w:val="18"/>
                <w:szCs w:val="18"/>
              </w:rPr>
              <w:t>本期新增补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助金额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58" w:right="41"/>
              <w:jc w:val="center"/>
              <w:rPr>
                <w:rFonts w:ascii="宋体" w:hAnsi="宋体" w:cs="宋体" w:eastAsia="宋体" w:hint="default"/>
                <w:sz w:val="18"/>
                <w:szCs w:val="18"/>
              </w:rPr>
            </w:pPr>
            <w:r>
              <w:rPr>
                <w:rFonts w:ascii="宋体" w:hAnsi="宋体" w:cs="宋体" w:eastAsia="宋体" w:hint="default"/>
                <w:spacing w:val="-2"/>
                <w:sz w:val="18"/>
                <w:szCs w:val="18"/>
              </w:rPr>
              <w:t>本期计入营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业外收入金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2" w:right="41"/>
              <w:jc w:val="left"/>
              <w:rPr>
                <w:rFonts w:ascii="宋体" w:hAnsi="宋体" w:cs="宋体" w:eastAsia="宋体" w:hint="default"/>
                <w:sz w:val="18"/>
                <w:szCs w:val="18"/>
              </w:rPr>
            </w:pPr>
            <w:r>
              <w:rPr>
                <w:rFonts w:ascii="宋体" w:hAnsi="宋体" w:cs="宋体" w:eastAsia="宋体" w:hint="default"/>
                <w:spacing w:val="-2"/>
                <w:sz w:val="18"/>
                <w:szCs w:val="18"/>
              </w:rPr>
              <w:t>本期计入其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他收益金额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21" w:lineRule="auto"/>
              <w:ind w:left="52" w:right="46"/>
              <w:jc w:val="left"/>
              <w:rPr>
                <w:rFonts w:ascii="宋体" w:hAnsi="宋体" w:cs="宋体" w:eastAsia="宋体" w:hint="default"/>
                <w:sz w:val="18"/>
                <w:szCs w:val="18"/>
              </w:rPr>
            </w:pPr>
            <w:r>
              <w:rPr>
                <w:rFonts w:ascii="宋体" w:hAnsi="宋体" w:cs="宋体" w:eastAsia="宋体" w:hint="default"/>
                <w:spacing w:val="-2"/>
                <w:sz w:val="18"/>
                <w:szCs w:val="18"/>
              </w:rPr>
              <w:t>本期冲减成</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本费用金额</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4" w:lineRule="auto"/>
              <w:ind w:left="52" w:right="24" w:hanging="29"/>
              <w:jc w:val="left"/>
              <w:rPr>
                <w:rFonts w:ascii="宋体" w:hAnsi="宋体" w:cs="宋体" w:eastAsia="宋体" w:hint="default"/>
                <w:sz w:val="18"/>
                <w:szCs w:val="18"/>
              </w:rPr>
            </w:pPr>
            <w:r>
              <w:rPr>
                <w:rFonts w:ascii="宋体" w:hAnsi="宋体" w:cs="宋体" w:eastAsia="宋体" w:hint="default"/>
                <w:spacing w:val="-2"/>
                <w:sz w:val="18"/>
                <w:szCs w:val="18"/>
              </w:rPr>
              <w:t>与资产相关</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与收益相关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firstLine="91"/>
              <w:jc w:val="left"/>
              <w:rPr>
                <w:rFonts w:ascii="宋体" w:hAnsi="宋体" w:cs="宋体" w:eastAsia="宋体" w:hint="default"/>
                <w:sz w:val="18"/>
                <w:szCs w:val="18"/>
              </w:rPr>
            </w:pPr>
            <w:r>
              <w:rPr>
                <w:rFonts w:ascii="宋体" w:hAnsi="宋体" w:cs="宋体" w:eastAsia="宋体" w:hint="default"/>
                <w:sz w:val="18"/>
                <w:szCs w:val="18"/>
              </w:rPr>
              <w:t>天津生产</w:t>
            </w:r>
            <w:r>
              <w:rPr>
                <w:rFonts w:ascii="宋体" w:hAnsi="宋体" w:cs="宋体" w:eastAsia="宋体" w:hint="default"/>
                <w:w w:val="101"/>
                <w:sz w:val="18"/>
                <w:szCs w:val="18"/>
              </w:rPr>
              <w:t> </w:t>
            </w:r>
            <w:r>
              <w:rPr>
                <w:rFonts w:ascii="宋体" w:hAnsi="宋体" w:cs="宋体" w:eastAsia="宋体" w:hint="default"/>
                <w:spacing w:val="-2"/>
                <w:sz w:val="18"/>
                <w:szCs w:val="18"/>
              </w:rPr>
              <w:t>基地建设项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45,398,425.08</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1,055,777.28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44,342,647.80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2500T</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磷酸</w:t>
            </w:r>
            <w:r>
              <w:rPr>
                <w:rFonts w:ascii="宋体" w:hAnsi="宋体" w:cs="宋体" w:eastAsia="宋体" w:hint="default"/>
                <w:sz w:val="18"/>
                <w:szCs w:val="18"/>
              </w:rPr>
            </w:r>
          </w:p>
          <w:p>
            <w:pPr>
              <w:pStyle w:val="TableParagraph"/>
              <w:spacing w:line="321" w:lineRule="auto" w:before="63"/>
              <w:ind w:left="24" w:right="75"/>
              <w:jc w:val="left"/>
              <w:rPr>
                <w:rFonts w:ascii="宋体" w:hAnsi="宋体" w:cs="宋体" w:eastAsia="宋体" w:hint="default"/>
                <w:sz w:val="18"/>
                <w:szCs w:val="18"/>
              </w:rPr>
            </w:pPr>
            <w:r>
              <w:rPr>
                <w:rFonts w:ascii="宋体" w:hAnsi="宋体" w:cs="宋体" w:eastAsia="宋体" w:hint="default"/>
                <w:spacing w:val="-2"/>
                <w:sz w:val="18"/>
                <w:szCs w:val="18"/>
              </w:rPr>
              <w:t>铁复合材料</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建设项目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9,373,731.11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1,196,650.00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8,177,081.11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firstLine="91"/>
              <w:jc w:val="left"/>
              <w:rPr>
                <w:rFonts w:ascii="宋体" w:hAnsi="宋体" w:cs="宋体" w:eastAsia="宋体" w:hint="default"/>
                <w:sz w:val="18"/>
                <w:szCs w:val="18"/>
              </w:rPr>
            </w:pPr>
            <w:r>
              <w:rPr>
                <w:rFonts w:ascii="宋体" w:hAnsi="宋体" w:cs="宋体" w:eastAsia="宋体" w:hint="default"/>
                <w:sz w:val="18"/>
                <w:szCs w:val="18"/>
              </w:rPr>
              <w:t>配网智能</w:t>
            </w:r>
            <w:r>
              <w:rPr>
                <w:rFonts w:ascii="宋体" w:hAnsi="宋体" w:cs="宋体" w:eastAsia="宋体" w:hint="default"/>
                <w:w w:val="101"/>
                <w:sz w:val="18"/>
                <w:szCs w:val="18"/>
              </w:rPr>
              <w:t> </w:t>
            </w:r>
            <w:r>
              <w:rPr>
                <w:rFonts w:ascii="宋体" w:hAnsi="宋体" w:cs="宋体" w:eastAsia="宋体" w:hint="default"/>
                <w:spacing w:val="-2"/>
                <w:sz w:val="18"/>
                <w:szCs w:val="18"/>
              </w:rPr>
              <w:t>柱上开关研</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制</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1,561,634.95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267,131.88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1,294,503.07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5"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61" w:firstLine="91"/>
              <w:jc w:val="left"/>
              <w:rPr>
                <w:rFonts w:ascii="宋体" w:hAnsi="宋体" w:cs="宋体" w:eastAsia="宋体" w:hint="default"/>
                <w:sz w:val="18"/>
                <w:szCs w:val="18"/>
              </w:rPr>
            </w:pPr>
            <w:r>
              <w:rPr>
                <w:rFonts w:ascii="宋体" w:hAnsi="宋体" w:cs="宋体" w:eastAsia="宋体" w:hint="default"/>
                <w:sz w:val="18"/>
                <w:szCs w:val="18"/>
              </w:rPr>
              <w:t>制造强省</w:t>
            </w:r>
            <w:r>
              <w:rPr>
                <w:rFonts w:ascii="宋体" w:hAnsi="宋体" w:cs="宋体" w:eastAsia="宋体" w:hint="default"/>
                <w:w w:val="101"/>
                <w:sz w:val="18"/>
                <w:szCs w:val="18"/>
              </w:rPr>
              <w:t> </w:t>
            </w:r>
            <w:r>
              <w:rPr>
                <w:rFonts w:ascii="宋体" w:hAnsi="宋体" w:cs="宋体" w:eastAsia="宋体" w:hint="default"/>
                <w:sz w:val="18"/>
                <w:szCs w:val="18"/>
              </w:rPr>
              <w:t>专项资金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1,162,500.00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1,012,500.00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4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7" w:firstLine="91"/>
              <w:jc w:val="both"/>
              <w:rPr>
                <w:rFonts w:ascii="宋体" w:hAnsi="宋体" w:cs="宋体" w:eastAsia="宋体" w:hint="default"/>
                <w:sz w:val="18"/>
                <w:szCs w:val="18"/>
              </w:rPr>
            </w:pPr>
            <w:r>
              <w:rPr>
                <w:rFonts w:ascii="宋体" w:hAnsi="宋体" w:cs="宋体" w:eastAsia="宋体" w:hint="default"/>
                <w:spacing w:val="-9"/>
                <w:sz w:val="18"/>
                <w:szCs w:val="18"/>
              </w:rPr>
              <w:t>智能化、小</w:t>
            </w:r>
            <w:r>
              <w:rPr>
                <w:rFonts w:ascii="宋体" w:hAnsi="宋体" w:cs="宋体" w:eastAsia="宋体" w:hint="default"/>
                <w:w w:val="101"/>
                <w:sz w:val="18"/>
                <w:szCs w:val="18"/>
              </w:rPr>
              <w:t> </w:t>
            </w:r>
            <w:r>
              <w:rPr>
                <w:rFonts w:ascii="宋体" w:hAnsi="宋体" w:cs="宋体" w:eastAsia="宋体" w:hint="default"/>
                <w:sz w:val="18"/>
                <w:szCs w:val="18"/>
              </w:rPr>
              <w:t>型化城市电</w:t>
            </w:r>
            <w:r>
              <w:rPr>
                <w:rFonts w:ascii="宋体" w:hAnsi="宋体" w:cs="宋体" w:eastAsia="宋体" w:hint="default"/>
                <w:w w:val="101"/>
                <w:sz w:val="18"/>
                <w:szCs w:val="18"/>
              </w:rPr>
              <w:t> </w:t>
            </w:r>
            <w:r>
              <w:rPr>
                <w:rFonts w:ascii="宋体" w:hAnsi="宋体" w:cs="宋体" w:eastAsia="宋体" w:hint="default"/>
                <w:sz w:val="18"/>
                <w:szCs w:val="18"/>
              </w:rPr>
              <w:t>网生产基地</w:t>
            </w:r>
            <w:r>
              <w:rPr>
                <w:rFonts w:ascii="宋体" w:hAnsi="宋体" w:cs="宋体" w:eastAsia="宋体" w:hint="default"/>
                <w:w w:val="101"/>
                <w:sz w:val="18"/>
                <w:szCs w:val="18"/>
              </w:rPr>
              <w:t> </w:t>
            </w:r>
            <w:r>
              <w:rPr>
                <w:rFonts w:ascii="宋体" w:hAnsi="宋体" w:cs="宋体" w:eastAsia="宋体" w:hint="default"/>
                <w:sz w:val="18"/>
                <w:szCs w:val="18"/>
              </w:rPr>
              <w:t>建设专项资</w:t>
            </w:r>
            <w:r>
              <w:rPr>
                <w:rFonts w:ascii="宋体" w:hAnsi="宋体" w:cs="宋体" w:eastAsia="宋体" w:hint="default"/>
                <w:w w:val="101"/>
                <w:sz w:val="18"/>
                <w:szCs w:val="18"/>
              </w:rPr>
              <w:t> </w:t>
            </w:r>
            <w:r>
              <w:rPr>
                <w:rFonts w:ascii="宋体" w:hAnsi="宋体" w:cs="宋体" w:eastAsia="宋体" w:hint="default"/>
                <w:sz w:val="18"/>
                <w:szCs w:val="18"/>
              </w:rPr>
              <w:t>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351,307.79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213,750.00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137,557.79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4"/>
              <w:ind w:left="24" w:right="75"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年第</w:t>
            </w:r>
            <w:r>
              <w:rPr>
                <w:rFonts w:ascii="宋体" w:hAnsi="宋体" w:cs="宋体" w:eastAsia="宋体" w:hint="default"/>
                <w:spacing w:val="-5"/>
                <w:w w:val="101"/>
                <w:sz w:val="18"/>
                <w:szCs w:val="18"/>
              </w:rPr>
              <w:t> </w:t>
            </w:r>
            <w:r>
              <w:rPr>
                <w:rFonts w:ascii="宋体" w:hAnsi="宋体" w:cs="宋体" w:eastAsia="宋体" w:hint="default"/>
                <w:spacing w:val="-2"/>
                <w:sz w:val="18"/>
                <w:szCs w:val="18"/>
              </w:rPr>
              <w:t>三季度装备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293,914.10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31,010.00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262,904.10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75"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年第</w:t>
            </w:r>
            <w:r>
              <w:rPr>
                <w:rFonts w:ascii="宋体" w:hAnsi="宋体" w:cs="宋体" w:eastAsia="宋体" w:hint="default"/>
                <w:spacing w:val="-5"/>
                <w:w w:val="101"/>
                <w:sz w:val="18"/>
                <w:szCs w:val="18"/>
              </w:rPr>
              <w:t> </w:t>
            </w:r>
            <w:r>
              <w:rPr>
                <w:rFonts w:ascii="宋体" w:hAnsi="宋体" w:cs="宋体" w:eastAsia="宋体" w:hint="default"/>
                <w:spacing w:val="-2"/>
                <w:sz w:val="18"/>
                <w:szCs w:val="18"/>
              </w:rPr>
              <w:t>三季度装备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290,027.81</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44,221.11</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245,806.70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firstLine="91"/>
              <w:jc w:val="left"/>
              <w:rPr>
                <w:rFonts w:ascii="宋体" w:hAnsi="宋体" w:cs="宋体" w:eastAsia="宋体" w:hint="default"/>
                <w:sz w:val="18"/>
                <w:szCs w:val="18"/>
              </w:rPr>
            </w:pPr>
            <w:r>
              <w:rPr>
                <w:rFonts w:ascii="宋体" w:hAnsi="宋体" w:cs="宋体" w:eastAsia="宋体" w:hint="default"/>
                <w:sz w:val="18"/>
                <w:szCs w:val="18"/>
              </w:rPr>
              <w:t>知识产权</w:t>
            </w:r>
            <w:r>
              <w:rPr>
                <w:rFonts w:ascii="宋体" w:hAnsi="宋体" w:cs="宋体" w:eastAsia="宋体" w:hint="default"/>
                <w:w w:val="101"/>
                <w:sz w:val="18"/>
                <w:szCs w:val="18"/>
              </w:rPr>
              <w:t> </w:t>
            </w:r>
            <w:r>
              <w:rPr>
                <w:rFonts w:ascii="宋体" w:hAnsi="宋体" w:cs="宋体" w:eastAsia="宋体" w:hint="default"/>
                <w:spacing w:val="-2"/>
                <w:sz w:val="18"/>
                <w:szCs w:val="18"/>
              </w:rPr>
              <w:t>管理数据库</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建设项目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48,687.65</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37,049.88</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11,637.77</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1"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61" w:firstLine="91"/>
              <w:jc w:val="left"/>
              <w:rPr>
                <w:rFonts w:ascii="宋体" w:hAnsi="宋体" w:cs="宋体" w:eastAsia="宋体" w:hint="default"/>
                <w:sz w:val="18"/>
                <w:szCs w:val="18"/>
              </w:rPr>
            </w:pPr>
            <w:r>
              <w:rPr>
                <w:rFonts w:ascii="宋体" w:hAnsi="宋体" w:cs="宋体" w:eastAsia="宋体" w:hint="default"/>
                <w:sz w:val="18"/>
                <w:szCs w:val="18"/>
              </w:rPr>
              <w:t>智能制造</w:t>
            </w:r>
            <w:r>
              <w:rPr>
                <w:rFonts w:ascii="宋体" w:hAnsi="宋体" w:cs="宋体" w:eastAsia="宋体" w:hint="default"/>
                <w:w w:val="101"/>
                <w:sz w:val="18"/>
                <w:szCs w:val="18"/>
              </w:rPr>
              <w:t> </w:t>
            </w:r>
            <w:r>
              <w:rPr>
                <w:rFonts w:ascii="宋体" w:hAnsi="宋体" w:cs="宋体" w:eastAsia="宋体" w:hint="default"/>
                <w:sz w:val="18"/>
                <w:szCs w:val="18"/>
              </w:rPr>
              <w:t>补贴资金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656,787.39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71,700.00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585,087.39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年第</w:t>
            </w:r>
            <w:r>
              <w:rPr>
                <w:rFonts w:ascii="宋体" w:hAnsi="宋体" w:cs="宋体" w:eastAsia="宋体" w:hint="default"/>
                <w:spacing w:val="-5"/>
                <w:w w:val="101"/>
                <w:sz w:val="18"/>
                <w:szCs w:val="18"/>
              </w:rPr>
              <w:t> </w:t>
            </w:r>
            <w:r>
              <w:rPr>
                <w:rFonts w:ascii="宋体" w:hAnsi="宋体" w:cs="宋体" w:eastAsia="宋体" w:hint="default"/>
                <w:spacing w:val="-2"/>
                <w:sz w:val="18"/>
                <w:szCs w:val="18"/>
              </w:rPr>
              <w:t>三季度装备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325,350.00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37,513.19</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287,836.81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firstLine="91"/>
              <w:jc w:val="left"/>
              <w:rPr>
                <w:rFonts w:ascii="宋体" w:hAnsi="宋体" w:cs="宋体" w:eastAsia="宋体" w:hint="default"/>
                <w:sz w:val="18"/>
                <w:szCs w:val="18"/>
              </w:rPr>
            </w:pPr>
            <w:r>
              <w:rPr>
                <w:rFonts w:ascii="宋体" w:hAnsi="宋体" w:cs="宋体" w:eastAsia="宋体" w:hint="default"/>
                <w:sz w:val="18"/>
                <w:szCs w:val="18"/>
              </w:rPr>
              <w:t>购买先进</w:t>
            </w:r>
            <w:r>
              <w:rPr>
                <w:rFonts w:ascii="宋体" w:hAnsi="宋体" w:cs="宋体" w:eastAsia="宋体" w:hint="default"/>
                <w:w w:val="101"/>
                <w:sz w:val="18"/>
                <w:szCs w:val="18"/>
              </w:rPr>
              <w:t> </w:t>
            </w:r>
            <w:r>
              <w:rPr>
                <w:rFonts w:ascii="宋体" w:hAnsi="宋体" w:cs="宋体" w:eastAsia="宋体" w:hint="default"/>
                <w:spacing w:val="-2"/>
                <w:sz w:val="18"/>
                <w:szCs w:val="18"/>
              </w:rPr>
              <w:t>装备政府扶</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持资金</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240,075.00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29,100.00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210,975.00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5"/>
                <w:sz w:val="18"/>
                <w:szCs w:val="18"/>
              </w:rPr>
              <w:t>年第</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160,700.00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16,070.00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144,630.00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center"/>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08"/>
        <w:gridCol w:w="1013"/>
        <w:gridCol w:w="1008"/>
        <w:gridCol w:w="1013"/>
        <w:gridCol w:w="1009"/>
        <w:gridCol w:w="1248"/>
        <w:gridCol w:w="1013"/>
      </w:tblGrid>
      <w:tr>
        <w:trPr>
          <w:trHeight w:val="67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0"/>
              <w:ind w:left="24" w:right="75"/>
              <w:jc w:val="left"/>
              <w:rPr>
                <w:rFonts w:ascii="宋体" w:hAnsi="宋体" w:cs="宋体" w:eastAsia="宋体" w:hint="default"/>
                <w:sz w:val="18"/>
                <w:szCs w:val="18"/>
              </w:rPr>
            </w:pPr>
            <w:r>
              <w:rPr>
                <w:rFonts w:ascii="宋体" w:hAnsi="宋体" w:cs="宋体" w:eastAsia="宋体" w:hint="default"/>
                <w:spacing w:val="-2"/>
                <w:sz w:val="18"/>
                <w:szCs w:val="18"/>
              </w:rPr>
              <w:t>一季度装备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年第</w:t>
            </w:r>
            <w:r>
              <w:rPr>
                <w:rFonts w:ascii="宋体" w:hAnsi="宋体" w:cs="宋体" w:eastAsia="宋体" w:hint="default"/>
                <w:spacing w:val="-5"/>
                <w:w w:val="101"/>
                <w:sz w:val="18"/>
                <w:szCs w:val="18"/>
              </w:rPr>
              <w:t> </w:t>
            </w:r>
            <w:r>
              <w:rPr>
                <w:rFonts w:ascii="宋体" w:hAnsi="宋体" w:cs="宋体" w:eastAsia="宋体" w:hint="default"/>
                <w:spacing w:val="-2"/>
                <w:sz w:val="18"/>
                <w:szCs w:val="18"/>
              </w:rPr>
              <w:t>二季度装备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80,560.69</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8,480.00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72,080.69</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firstLine="91"/>
              <w:jc w:val="left"/>
              <w:rPr>
                <w:rFonts w:ascii="宋体" w:hAnsi="宋体" w:cs="宋体" w:eastAsia="宋体" w:hint="default"/>
                <w:sz w:val="18"/>
                <w:szCs w:val="18"/>
              </w:rPr>
            </w:pPr>
            <w:r>
              <w:rPr>
                <w:rFonts w:ascii="宋体" w:hAnsi="宋体" w:cs="宋体" w:eastAsia="宋体" w:hint="default"/>
                <w:sz w:val="18"/>
                <w:szCs w:val="18"/>
              </w:rPr>
              <w:t>天津合纵</w:t>
            </w:r>
            <w:r>
              <w:rPr>
                <w:rFonts w:ascii="宋体" w:hAnsi="宋体" w:cs="宋体" w:eastAsia="宋体" w:hint="default"/>
                <w:w w:val="101"/>
                <w:sz w:val="18"/>
                <w:szCs w:val="18"/>
              </w:rPr>
              <w:t> </w:t>
            </w:r>
            <w:r>
              <w:rPr>
                <w:rFonts w:ascii="宋体" w:hAnsi="宋体" w:cs="宋体" w:eastAsia="宋体" w:hint="default"/>
                <w:spacing w:val="-2"/>
                <w:sz w:val="18"/>
                <w:szCs w:val="18"/>
              </w:rPr>
              <w:t>屋顶光伏项</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6,600,000.00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6,600,000.00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6"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5" w:firstLine="91"/>
              <w:jc w:val="left"/>
              <w:rPr>
                <w:rFonts w:ascii="宋体" w:hAnsi="宋体" w:cs="宋体" w:eastAsia="宋体" w:hint="default"/>
                <w:sz w:val="18"/>
                <w:szCs w:val="18"/>
              </w:rPr>
            </w:pPr>
            <w:r>
              <w:rPr>
                <w:rFonts w:ascii="宋体" w:hAnsi="宋体" w:cs="宋体" w:eastAsia="宋体" w:hint="default"/>
                <w:sz w:val="18"/>
                <w:szCs w:val="18"/>
              </w:rPr>
              <w:t>水污染治</w:t>
            </w:r>
            <w:r>
              <w:rPr>
                <w:rFonts w:ascii="宋体" w:hAnsi="宋体" w:cs="宋体" w:eastAsia="宋体" w:hint="default"/>
                <w:w w:val="101"/>
                <w:sz w:val="18"/>
                <w:szCs w:val="18"/>
              </w:rPr>
              <w:t> </w:t>
            </w:r>
            <w:r>
              <w:rPr>
                <w:rFonts w:ascii="宋体" w:hAnsi="宋体" w:cs="宋体" w:eastAsia="宋体" w:hint="default"/>
                <w:spacing w:val="-2"/>
                <w:sz w:val="18"/>
                <w:szCs w:val="18"/>
              </w:rPr>
              <w:t>理专项资金</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3"/>
              <w:ind w:left="24" w:right="75"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年第</w:t>
            </w:r>
            <w:r>
              <w:rPr>
                <w:rFonts w:ascii="宋体" w:hAnsi="宋体" w:cs="宋体" w:eastAsia="宋体" w:hint="default"/>
                <w:spacing w:val="-5"/>
                <w:w w:val="101"/>
                <w:sz w:val="18"/>
                <w:szCs w:val="18"/>
              </w:rPr>
              <w:t> </w:t>
            </w:r>
            <w:r>
              <w:rPr>
                <w:rFonts w:ascii="宋体" w:hAnsi="宋体" w:cs="宋体" w:eastAsia="宋体" w:hint="default"/>
                <w:spacing w:val="-2"/>
                <w:sz w:val="18"/>
                <w:szCs w:val="18"/>
              </w:rPr>
              <w:t>四季度装备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1,173,100.00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1,173,100.00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年第</w:t>
            </w:r>
            <w:r>
              <w:rPr>
                <w:rFonts w:ascii="宋体" w:hAnsi="宋体" w:cs="宋体" w:eastAsia="宋体" w:hint="default"/>
                <w:spacing w:val="-5"/>
                <w:w w:val="101"/>
                <w:sz w:val="18"/>
                <w:szCs w:val="18"/>
              </w:rPr>
              <w:t> </w:t>
            </w:r>
            <w:r>
              <w:rPr>
                <w:rFonts w:ascii="宋体" w:hAnsi="宋体" w:cs="宋体" w:eastAsia="宋体" w:hint="default"/>
                <w:spacing w:val="-2"/>
                <w:sz w:val="18"/>
                <w:szCs w:val="18"/>
              </w:rPr>
              <w:t>二季度装备</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补贴</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545,900.00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3,587.50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542,312.50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8"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5" w:firstLine="91"/>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年第</w:t>
            </w:r>
            <w:r>
              <w:rPr>
                <w:rFonts w:ascii="宋体" w:hAnsi="宋体" w:cs="宋体" w:eastAsia="宋体" w:hint="default"/>
                <w:spacing w:val="-5"/>
                <w:w w:val="101"/>
                <w:sz w:val="18"/>
                <w:szCs w:val="18"/>
              </w:rPr>
              <w:t> </w:t>
            </w:r>
            <w:r>
              <w:rPr>
                <w:rFonts w:ascii="宋体" w:hAnsi="宋体" w:cs="宋体" w:eastAsia="宋体" w:hint="default"/>
                <w:spacing w:val="-2"/>
                <w:sz w:val="18"/>
                <w:szCs w:val="18"/>
              </w:rPr>
              <w:t>五批制造强</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省项目</w:t>
            </w:r>
          </w:p>
        </w:tc>
        <w:tc>
          <w:tcPr>
            <w:tcW w:w="124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1,200,000.00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1,200,000.00</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3"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59,943,701.57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9,639,000.00</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3,206,040.84</w:t>
            </w:r>
          </w:p>
        </w:tc>
        <w:tc>
          <w:tcPr>
            <w:tcW w:w="1013" w:type="dxa"/>
            <w:tcBorders>
              <w:top w:val="single" w:sz="4" w:space="0" w:color="000000"/>
              <w:left w:val="single" w:sz="4" w:space="0" w:color="000000"/>
              <w:bottom w:val="single" w:sz="4" w:space="0" w:color="000000"/>
              <w:right w:val="single" w:sz="4" w:space="0" w:color="000000"/>
            </w:tcBorders>
          </w:tcPr>
          <w:p>
            <w:pPr/>
          </w:p>
        </w:tc>
        <w:tc>
          <w:tcPr>
            <w:tcW w:w="1009"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66,376,660.73</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0"/>
              <w:jc w:val="center"/>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2、其他非流动负债" w:id="355"/>
      <w:bookmarkEnd w:id="355"/>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3、股本" w:id="356"/>
      <w:bookmarkEnd w:id="356"/>
      <w:r>
        <w:rPr>
          <w:b w:val="0"/>
          <w:bCs w:val="0"/>
        </w:rPr>
      </w:r>
      <w:r>
        <w:rPr>
          <w:rFonts w:ascii="Times New Roman" w:hAnsi="Times New Roman" w:cs="Times New Roman" w:eastAsia="Times New Roman" w:hint="default"/>
        </w:rPr>
        <w:t>53</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spacing w:val="-2"/>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9"/>
        <w:gridCol w:w="1196"/>
        <w:gridCol w:w="1196"/>
        <w:gridCol w:w="1196"/>
        <w:gridCol w:w="1186"/>
        <w:gridCol w:w="1205"/>
      </w:tblGrid>
      <w:tr>
        <w:trPr>
          <w:trHeight w:val="207"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2" w:type="dxa"/>
            <w:gridSpan w:val="5"/>
            <w:vMerge/>
            <w:tcBorders>
              <w:left w:val="single" w:sz="4" w:space="0" w:color="000000"/>
              <w:bottom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22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5"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9"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6" w:type="dxa"/>
            <w:vMerge/>
            <w:tcBorders>
              <w:left w:val="single" w:sz="4" w:space="0" w:color="000000"/>
              <w:bottom w:val="single" w:sz="4" w:space="0" w:color="000000"/>
              <w:right w:val="single" w:sz="4" w:space="0" w:color="000000"/>
            </w:tcBorders>
            <w:shd w:val="clear" w:color="auto" w:fill="D2D2D2"/>
          </w:tcPr>
          <w:p>
            <w:pPr/>
          </w:p>
        </w:tc>
        <w:tc>
          <w:tcPr>
            <w:tcW w:w="12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36" w:right="0"/>
              <w:jc w:val="left"/>
              <w:rPr>
                <w:rFonts w:ascii="Times New Roman" w:hAnsi="Times New Roman" w:cs="Times New Roman" w:eastAsia="Times New Roman" w:hint="default"/>
                <w:sz w:val="18"/>
                <w:szCs w:val="18"/>
              </w:rPr>
            </w:pPr>
            <w:r>
              <w:rPr>
                <w:rFonts w:ascii="Times New Roman"/>
                <w:sz w:val="18"/>
              </w:rPr>
              <w:t>582,194,642.00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7" w:right="0"/>
              <w:jc w:val="left"/>
              <w:rPr>
                <w:rFonts w:ascii="Times New Roman" w:hAnsi="Times New Roman" w:cs="Times New Roman" w:eastAsia="Times New Roman" w:hint="default"/>
                <w:sz w:val="18"/>
                <w:szCs w:val="18"/>
              </w:rPr>
            </w:pPr>
            <w:r>
              <w:rPr>
                <w:rFonts w:ascii="Times New Roman"/>
                <w:sz w:val="18"/>
              </w:rPr>
              <w:t>17,903,200.00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232,877,856.00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pacing w:val="-1"/>
                <w:sz w:val="18"/>
              </w:rPr>
              <w:t>250,781,056.00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832,975,698.00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4、其他权益工具" w:id="357"/>
      <w:bookmarkEnd w:id="357"/>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5、资本公积" w:id="358"/>
      <w:bookmarkEnd w:id="358"/>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36"/>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left="766" w:right="0"/>
              <w:jc w:val="left"/>
              <w:rPr>
                <w:rFonts w:ascii="Times New Roman" w:hAnsi="Times New Roman" w:cs="Times New Roman" w:eastAsia="Times New Roman" w:hint="default"/>
                <w:sz w:val="18"/>
                <w:szCs w:val="18"/>
              </w:rPr>
            </w:pPr>
            <w:r>
              <w:rPr>
                <w:rFonts w:ascii="Times New Roman"/>
                <w:sz w:val="18"/>
              </w:rPr>
              <w:t>819,574,603.72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41,816,504.24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232,877,856.00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628,513,251.96</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357,302.60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4,117,154.88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4,474,457.48</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819,931,906.32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45,933,659.12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58" w:right="0"/>
              <w:jc w:val="left"/>
              <w:rPr>
                <w:rFonts w:ascii="Times New Roman" w:hAnsi="Times New Roman" w:cs="Times New Roman" w:eastAsia="Times New Roman" w:hint="default"/>
                <w:sz w:val="18"/>
                <w:szCs w:val="18"/>
              </w:rPr>
            </w:pPr>
            <w:r>
              <w:rPr>
                <w:rFonts w:ascii="Times New Roman"/>
                <w:sz w:val="18"/>
              </w:rPr>
              <w:t>232,877,856.00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632,987,709.44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6、库存股" w:id="359"/>
      <w:bookmarkEnd w:id="359"/>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1"/>
        <w:gridCol w:w="1921"/>
        <w:gridCol w:w="1911"/>
        <w:gridCol w:w="1916"/>
        <w:gridCol w:w="1916"/>
      </w:tblGrid>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用于股份支付</w:t>
            </w:r>
          </w:p>
        </w:tc>
        <w:tc>
          <w:tcPr>
            <w:tcW w:w="1921"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59,719,704.24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59,719,704.24</w:t>
            </w:r>
          </w:p>
        </w:tc>
      </w:tr>
      <w:tr>
        <w:trPr>
          <w:trHeight w:val="403" w:hRule="exact"/>
        </w:trPr>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1" w:type="dxa"/>
            <w:tcBorders>
              <w:top w:val="single" w:sz="4" w:space="0" w:color="000000"/>
              <w:left w:val="single" w:sz="10" w:space="0" w:color="D2D2D2"/>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59,719,704.24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59,719,704.24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7、其他综合收益" w:id="360"/>
      <w:bookmarkEnd w:id="360"/>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47"/>
        <w:gridCol w:w="975"/>
        <w:gridCol w:w="850"/>
        <w:gridCol w:w="1052"/>
        <w:gridCol w:w="850"/>
        <w:gridCol w:w="855"/>
        <w:gridCol w:w="854"/>
        <w:gridCol w:w="850"/>
        <w:gridCol w:w="725"/>
      </w:tblGrid>
      <w:tr>
        <w:trPr>
          <w:trHeight w:val="398" w:hRule="exact"/>
        </w:trPr>
        <w:tc>
          <w:tcPr>
            <w:tcW w:w="2547" w:type="dxa"/>
            <w:vMerge w:val="restart"/>
            <w:tcBorders>
              <w:top w:val="single" w:sz="4" w:space="0" w:color="000000"/>
              <w:left w:val="single" w:sz="4" w:space="0" w:color="000000"/>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shd w:val="clear" w:color="auto" w:fill="D2D2D2"/>
          </w:tcPr>
          <w:p>
            <w:pPr/>
          </w:p>
        </w:tc>
        <w:tc>
          <w:tcPr>
            <w:tcW w:w="531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5" w:type="dxa"/>
            <w:vMerge w:val="restart"/>
            <w:tcBorders>
              <w:top w:val="single" w:sz="4" w:space="0" w:color="000000"/>
              <w:left w:val="single" w:sz="4" w:space="0" w:color="000000"/>
              <w:right w:val="single" w:sz="4" w:space="0" w:color="000000"/>
            </w:tcBorders>
            <w:shd w:val="clear" w:color="auto" w:fill="D2D2D2"/>
          </w:tcPr>
          <w:p>
            <w:pPr/>
          </w:p>
        </w:tc>
      </w:tr>
      <w:tr>
        <w:trPr>
          <w:trHeight w:val="163"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8"/>
              <w:ind w:left="62" w:right="51"/>
              <w:jc w:val="both"/>
              <w:rPr>
                <w:rFonts w:ascii="宋体" w:hAnsi="宋体" w:cs="宋体" w:eastAsia="宋体" w:hint="default"/>
                <w:sz w:val="18"/>
                <w:szCs w:val="18"/>
              </w:rPr>
            </w:pPr>
            <w:r>
              <w:rPr>
                <w:rFonts w:ascii="宋体" w:hAnsi="宋体" w:cs="宋体" w:eastAsia="宋体" w:hint="default"/>
                <w:sz w:val="18"/>
                <w:szCs w:val="18"/>
              </w:rPr>
              <w:t>减：前期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计入其他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当期转入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留存收益</w:t>
            </w:r>
          </w:p>
        </w:tc>
        <w:tc>
          <w:tcPr>
            <w:tcW w:w="855" w:type="dxa"/>
            <w:vMerge w:val="restart"/>
            <w:tcBorders>
              <w:top w:val="single" w:sz="4" w:space="0" w:color="000000"/>
              <w:left w:val="single" w:sz="4" w:space="0" w:color="000000"/>
              <w:right w:val="single" w:sz="4" w:space="0" w:color="000000"/>
            </w:tcBorders>
            <w:shd w:val="clear" w:color="auto" w:fill="D2D2D2"/>
          </w:tcPr>
          <w:p>
            <w:pPr/>
          </w:p>
        </w:tc>
        <w:tc>
          <w:tcPr>
            <w:tcW w:w="854"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48"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3"/>
              <w:ind w:left="23" w:right="17"/>
              <w:jc w:val="center"/>
              <w:rPr>
                <w:rFonts w:ascii="宋体" w:hAnsi="宋体" w:cs="宋体" w:eastAsia="宋体" w:hint="default"/>
                <w:sz w:val="18"/>
                <w:szCs w:val="18"/>
              </w:rPr>
            </w:pPr>
            <w:r>
              <w:rPr>
                <w:rFonts w:ascii="宋体" w:hAnsi="宋体" w:cs="宋体" w:eastAsia="宋体" w:hint="default"/>
                <w:spacing w:val="-16"/>
                <w:w w:val="101"/>
                <w:sz w:val="18"/>
                <w:szCs w:val="18"/>
              </w:rPr>
              <w:t>减：前期计入</w:t>
            </w:r>
            <w:r>
              <w:rPr>
                <w:rFonts w:ascii="宋体" w:hAnsi="宋体" w:cs="宋体" w:eastAsia="宋体" w:hint="default"/>
                <w:w w:val="101"/>
                <w:sz w:val="18"/>
                <w:szCs w:val="18"/>
              </w:rPr>
              <w:t> </w:t>
            </w:r>
            <w:r>
              <w:rPr>
                <w:rFonts w:ascii="宋体" w:hAnsi="宋体" w:cs="宋体" w:eastAsia="宋体" w:hint="default"/>
                <w:sz w:val="18"/>
                <w:szCs w:val="18"/>
              </w:rPr>
              <w:t>其他综合收</w:t>
            </w:r>
            <w:r>
              <w:rPr>
                <w:rFonts w:ascii="宋体" w:hAnsi="宋体" w:cs="宋体" w:eastAsia="宋体" w:hint="default"/>
                <w:w w:val="101"/>
                <w:sz w:val="18"/>
                <w:szCs w:val="18"/>
              </w:rPr>
              <w:t> </w:t>
            </w:r>
            <w:r>
              <w:rPr>
                <w:rFonts w:ascii="宋体" w:hAnsi="宋体" w:cs="宋体" w:eastAsia="宋体" w:hint="default"/>
                <w:sz w:val="18"/>
                <w:szCs w:val="18"/>
              </w:rPr>
              <w:t>益当期转入</w:t>
            </w:r>
            <w:r>
              <w:rPr>
                <w:rFonts w:ascii="宋体" w:hAnsi="宋体" w:cs="宋体" w:eastAsia="宋体" w:hint="default"/>
                <w:w w:val="101"/>
                <w:sz w:val="18"/>
                <w:szCs w:val="18"/>
              </w:rPr>
              <w:t> </w:t>
            </w:r>
            <w:r>
              <w:rPr>
                <w:rFonts w:ascii="宋体" w:hAnsi="宋体" w:cs="宋体" w:eastAsia="宋体" w:hint="default"/>
                <w:sz w:val="18"/>
                <w:szCs w:val="18"/>
              </w:rPr>
              <w:t>损益</w:t>
            </w: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17" w:space="0" w:color="FFFFFF"/>
              <w:right w:val="single" w:sz="4" w:space="0" w:color="000000"/>
            </w:tcBorders>
            <w:shd w:val="clear" w:color="auto" w:fill="D2D2D2"/>
          </w:tcPr>
          <w:p>
            <w:pPr/>
          </w:p>
        </w:tc>
        <w:tc>
          <w:tcPr>
            <w:tcW w:w="725" w:type="dxa"/>
            <w:vMerge/>
            <w:tcBorders>
              <w:left w:val="single" w:sz="4" w:space="0" w:color="000000"/>
              <w:bottom w:val="single" w:sz="17" w:space="0" w:color="FFFFFF"/>
              <w:right w:val="single" w:sz="4" w:space="0" w:color="000000"/>
            </w:tcBorders>
            <w:shd w:val="clear" w:color="auto" w:fill="D2D2D2"/>
          </w:tcPr>
          <w:p>
            <w:pPr/>
          </w:p>
        </w:tc>
      </w:tr>
      <w:tr>
        <w:trPr>
          <w:trHeight w:val="143" w:hRule="exact"/>
        </w:trPr>
        <w:tc>
          <w:tcPr>
            <w:tcW w:w="2547" w:type="dxa"/>
            <w:vMerge/>
            <w:tcBorders>
              <w:left w:val="single" w:sz="4" w:space="0" w:color="000000"/>
              <w:bottom w:val="nil" w:sz="6" w:space="0" w:color="auto"/>
              <w:right w:val="single" w:sz="4" w:space="0" w:color="000000"/>
            </w:tcBorders>
            <w:shd w:val="clear" w:color="auto" w:fill="D2D2D2"/>
          </w:tcPr>
          <w:p>
            <w:pPr/>
          </w:p>
        </w:tc>
        <w:tc>
          <w:tcPr>
            <w:tcW w:w="975"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64"/>
              <w:ind w:left="62" w:right="50"/>
              <w:jc w:val="center"/>
              <w:rPr>
                <w:rFonts w:ascii="宋体" w:hAnsi="宋体" w:cs="宋体" w:eastAsia="宋体" w:hint="default"/>
                <w:sz w:val="18"/>
                <w:szCs w:val="18"/>
              </w:rPr>
            </w:pPr>
            <w:r>
              <w:rPr>
                <w:rFonts w:ascii="宋体" w:hAnsi="宋体" w:cs="宋体" w:eastAsia="宋体" w:hint="default"/>
                <w:spacing w:val="-2"/>
                <w:sz w:val="18"/>
                <w:szCs w:val="18"/>
              </w:rPr>
              <w:t>本期所得</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税前发生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17" w:space="0" w:color="FFFFFF"/>
              <w:left w:val="single" w:sz="4" w:space="0" w:color="000000"/>
              <w:right w:val="single" w:sz="4" w:space="0" w:color="000000"/>
            </w:tcBorders>
            <w:shd w:val="clear" w:color="auto" w:fill="D2D2D2"/>
          </w:tcPr>
          <w:p>
            <w:pPr>
              <w:pStyle w:val="TableParagraph"/>
              <w:spacing w:line="319" w:lineRule="auto" w:before="43"/>
              <w:ind w:left="62" w:right="51"/>
              <w:jc w:val="center"/>
              <w:rPr>
                <w:rFonts w:ascii="宋体" w:hAnsi="宋体" w:cs="宋体" w:eastAsia="宋体" w:hint="default"/>
                <w:sz w:val="18"/>
                <w:szCs w:val="18"/>
              </w:rPr>
            </w:pPr>
            <w:r>
              <w:rPr>
                <w:rFonts w:ascii="宋体" w:hAnsi="宋体" w:cs="宋体" w:eastAsia="宋体" w:hint="default"/>
                <w:spacing w:val="-2"/>
                <w:sz w:val="18"/>
                <w:szCs w:val="18"/>
              </w:rPr>
              <w:t>税后归属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于少数股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东</w:t>
            </w:r>
          </w:p>
        </w:tc>
        <w:tc>
          <w:tcPr>
            <w:tcW w:w="725" w:type="dxa"/>
            <w:vMerge w:val="restart"/>
            <w:tcBorders>
              <w:top w:val="single" w:sz="17" w:space="0" w:color="FFFFFF"/>
              <w:left w:val="single" w:sz="4" w:space="0" w:color="000000"/>
              <w:right w:val="single" w:sz="4" w:space="0" w:color="000000"/>
            </w:tcBorders>
            <w:shd w:val="clear" w:color="auto" w:fill="D2D2D2"/>
          </w:tcPr>
          <w:p>
            <w:pPr>
              <w:pStyle w:val="TableParagraph"/>
              <w:spacing w:line="316" w:lineRule="auto"/>
              <w:ind w:left="268" w:right="79" w:hanging="178"/>
              <w:jc w:val="left"/>
              <w:rPr>
                <w:rFonts w:ascii="宋体" w:hAnsi="宋体" w:cs="宋体" w:eastAsia="宋体" w:hint="default"/>
                <w:sz w:val="18"/>
                <w:szCs w:val="18"/>
              </w:rPr>
            </w:pPr>
            <w:r>
              <w:rPr>
                <w:rFonts w:ascii="宋体" w:hAnsi="宋体" w:cs="宋体" w:eastAsia="宋体" w:hint="default"/>
                <w:sz w:val="18"/>
                <w:szCs w:val="18"/>
              </w:rPr>
              <w:t>期末余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r>
      <w:tr>
        <w:trPr>
          <w:trHeight w:val="372"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2"/>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75"/>
              <w:ind w:left="153" w:right="56" w:hanging="92"/>
              <w:jc w:val="left"/>
              <w:rPr>
                <w:rFonts w:ascii="宋体" w:hAnsi="宋体" w:cs="宋体" w:eastAsia="宋体" w:hint="default"/>
                <w:sz w:val="18"/>
                <w:szCs w:val="18"/>
              </w:rPr>
            </w:pPr>
            <w:r>
              <w:rPr>
                <w:rFonts w:ascii="宋体" w:hAnsi="宋体" w:cs="宋体" w:eastAsia="宋体" w:hint="default"/>
                <w:sz w:val="18"/>
                <w:szCs w:val="18"/>
              </w:rPr>
              <w:t>减：所得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税费用</w:t>
            </w:r>
          </w:p>
        </w:tc>
        <w:tc>
          <w:tcPr>
            <w:tcW w:w="854" w:type="dxa"/>
            <w:vMerge w:val="restart"/>
            <w:tcBorders>
              <w:top w:val="nil" w:sz="6" w:space="0" w:color="auto"/>
              <w:left w:val="single" w:sz="4" w:space="0" w:color="000000"/>
              <w:right w:val="single" w:sz="4" w:space="0" w:color="000000"/>
            </w:tcBorders>
            <w:shd w:val="clear" w:color="auto" w:fill="D2D2D2"/>
          </w:tcPr>
          <w:p>
            <w:pPr>
              <w:pStyle w:val="TableParagraph"/>
              <w:spacing w:line="321" w:lineRule="auto" w:before="75"/>
              <w:ind w:left="62" w:right="55"/>
              <w:jc w:val="left"/>
              <w:rPr>
                <w:rFonts w:ascii="宋体" w:hAnsi="宋体" w:cs="宋体" w:eastAsia="宋体" w:hint="default"/>
                <w:sz w:val="18"/>
                <w:szCs w:val="18"/>
              </w:rPr>
            </w:pPr>
            <w:r>
              <w:rPr>
                <w:rFonts w:ascii="宋体" w:hAnsi="宋体" w:cs="宋体" w:eastAsia="宋体" w:hint="default"/>
                <w:sz w:val="18"/>
                <w:szCs w:val="18"/>
              </w:rPr>
              <w:t>税后归属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于母公司</w:t>
            </w: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4" w:hRule="exact"/>
        </w:trPr>
        <w:tc>
          <w:tcPr>
            <w:tcW w:w="2547" w:type="dxa"/>
            <w:vMerge w:val="restart"/>
            <w:tcBorders>
              <w:top w:val="nil" w:sz="6" w:space="0" w:color="auto"/>
              <w:left w:val="single" w:sz="4" w:space="0" w:color="000000"/>
              <w:right w:val="single" w:sz="4" w:space="0" w:color="000000"/>
            </w:tcBorders>
            <w:shd w:val="clear" w:color="auto" w:fill="D2D2D2"/>
          </w:tcPr>
          <w:p>
            <w:pPr/>
          </w:p>
        </w:tc>
        <w:tc>
          <w:tcPr>
            <w:tcW w:w="975"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bottom w:val="nil" w:sz="6" w:space="0" w:color="auto"/>
              <w:right w:val="single" w:sz="4" w:space="0" w:color="000000"/>
            </w:tcBorders>
            <w:shd w:val="clear" w:color="auto" w:fill="D2D2D2"/>
          </w:tcPr>
          <w:p>
            <w:pPr/>
          </w:p>
        </w:tc>
        <w:tc>
          <w:tcPr>
            <w:tcW w:w="85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725" w:type="dxa"/>
            <w:vMerge w:val="restart"/>
            <w:tcBorders>
              <w:top w:val="nil" w:sz="6" w:space="0" w:color="auto"/>
              <w:left w:val="single" w:sz="4" w:space="0" w:color="000000"/>
              <w:right w:val="single" w:sz="4" w:space="0" w:color="000000"/>
            </w:tcBorders>
            <w:shd w:val="clear" w:color="auto" w:fill="D2D2D2"/>
          </w:tcPr>
          <w:p>
            <w:pPr/>
          </w:p>
        </w:tc>
      </w:tr>
      <w:tr>
        <w:trPr>
          <w:trHeight w:val="158"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val="restart"/>
            <w:tcBorders>
              <w:top w:val="nil" w:sz="6" w:space="0" w:color="auto"/>
              <w:left w:val="single" w:sz="4" w:space="0" w:color="000000"/>
              <w:right w:val="single" w:sz="4" w:space="0" w:color="000000"/>
            </w:tcBorders>
            <w:shd w:val="clear" w:color="auto" w:fill="D2D2D2"/>
          </w:tcPr>
          <w:p>
            <w:pPr/>
          </w:p>
        </w:tc>
        <w:tc>
          <w:tcPr>
            <w:tcW w:w="854" w:type="dxa"/>
            <w:vMerge w:val="restart"/>
            <w:tcBorders>
              <w:top w:val="nil" w:sz="6" w:space="0" w:color="auto"/>
              <w:left w:val="single" w:sz="4" w:space="0" w:color="000000"/>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54" w:hRule="exact"/>
        </w:trPr>
        <w:tc>
          <w:tcPr>
            <w:tcW w:w="2547" w:type="dxa"/>
            <w:vMerge/>
            <w:tcBorders>
              <w:left w:val="single" w:sz="4" w:space="0" w:color="000000"/>
              <w:right w:val="single" w:sz="4" w:space="0" w:color="000000"/>
            </w:tcBorders>
            <w:shd w:val="clear" w:color="auto" w:fill="D2D2D2"/>
          </w:tcPr>
          <w:p>
            <w:pPr/>
          </w:p>
        </w:tc>
        <w:tc>
          <w:tcPr>
            <w:tcW w:w="975"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855"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c>
          <w:tcPr>
            <w:tcW w:w="850" w:type="dxa"/>
            <w:vMerge w:val="restart"/>
            <w:tcBorders>
              <w:top w:val="nil" w:sz="6" w:space="0" w:color="auto"/>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r>
      <w:tr>
        <w:trPr>
          <w:trHeight w:val="163" w:hRule="exact"/>
        </w:trPr>
        <w:tc>
          <w:tcPr>
            <w:tcW w:w="2547"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855"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r>
      <w:tr>
        <w:trPr>
          <w:trHeight w:val="710"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二、将重分类进损益的其他综合</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-1,546,918.8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7,868,904.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50</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8,274,568.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571,870.8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6,727,64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9.59</w:t>
            </w:r>
          </w:p>
        </w:tc>
      </w:tr>
      <w:tr>
        <w:trPr>
          <w:trHeight w:val="716" w:hRule="exact"/>
        </w:trPr>
        <w:tc>
          <w:tcPr>
            <w:tcW w:w="2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3"/>
              <w:ind w:left="11" w:right="17"/>
              <w:jc w:val="left"/>
              <w:rPr>
                <w:rFonts w:ascii="宋体" w:hAnsi="宋体" w:cs="宋体" w:eastAsia="宋体" w:hint="default"/>
                <w:sz w:val="18"/>
                <w:szCs w:val="18"/>
              </w:rPr>
            </w:pPr>
            <w:r>
              <w:rPr>
                <w:rFonts w:ascii="宋体" w:hAnsi="宋体" w:cs="宋体" w:eastAsia="宋体" w:hint="default"/>
                <w:spacing w:val="-4"/>
                <w:sz w:val="18"/>
                <w:szCs w:val="18"/>
              </w:rPr>
              <w:t>其中：权益法下可转损益的其他</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综合收益</w:t>
            </w:r>
          </w:p>
        </w:tc>
        <w:tc>
          <w:tcPr>
            <w:tcW w:w="9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-1,504,435.4</w:t>
            </w: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w w:val="101"/>
                <w:sz w:val="18"/>
              </w:rPr>
              <w:t>1</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7,249,598.</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86</w:t>
            </w:r>
          </w:p>
        </w:tc>
        <w:tc>
          <w:tcPr>
            <w:tcW w:w="105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7,249,598.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86</w:t>
            </w:r>
          </w:p>
        </w:tc>
        <w:tc>
          <w:tcPr>
            <w:tcW w:w="850"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5,745,16</w:t>
            </w:r>
          </w:p>
          <w:p>
            <w:pPr>
              <w:pStyle w:val="TableParagraph"/>
              <w:spacing w:line="240" w:lineRule="auto" w:before="110"/>
              <w:ind w:left="379" w:right="0"/>
              <w:jc w:val="left"/>
              <w:rPr>
                <w:rFonts w:ascii="Times New Roman" w:hAnsi="Times New Roman" w:cs="Times New Roman" w:eastAsia="Times New Roman" w:hint="default"/>
                <w:sz w:val="18"/>
                <w:szCs w:val="18"/>
              </w:rPr>
            </w:pPr>
            <w:r>
              <w:rPr>
                <w:rFonts w:ascii="Times New Roman"/>
                <w:sz w:val="18"/>
              </w:rPr>
              <w:t>3.45</w:t>
            </w:r>
          </w:p>
        </w:tc>
      </w:tr>
      <w:tr>
        <w:trPr>
          <w:trHeight w:val="163" w:hRule="exact"/>
        </w:trPr>
        <w:tc>
          <w:tcPr>
            <w:tcW w:w="2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-42,483.41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619,305.6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1,024,969.</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55</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571,870.8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982,486.</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14</w:t>
            </w:r>
          </w:p>
        </w:tc>
      </w:tr>
      <w:tr>
        <w:trPr>
          <w:trHeight w:val="389"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3"/>
                <w:sz w:val="18"/>
                <w:szCs w:val="18"/>
              </w:rPr>
              <w:t>外币财务报表折算差额</w:t>
            </w:r>
          </w:p>
        </w:tc>
        <w:tc>
          <w:tcPr>
            <w:tcW w:w="975"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63" w:hRule="exact"/>
        </w:trPr>
        <w:tc>
          <w:tcPr>
            <w:tcW w:w="2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r>
        <w:trPr>
          <w:trHeight w:val="158" w:hRule="exact"/>
        </w:trPr>
        <w:tc>
          <w:tcPr>
            <w:tcW w:w="2547"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10" w:space="0" w:color="D2D2D2"/>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-1,546,918.8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w w:val="101"/>
                <w:sz w:val="18"/>
              </w:rPr>
              <w:t>2</w:t>
            </w:r>
            <w:r>
              <w:rPr>
                <w:rFonts w:ascii="Times New Roman"/>
                <w:sz w:val="18"/>
              </w:rPr>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7,868,904.</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50</w:t>
            </w:r>
          </w:p>
        </w:tc>
        <w:tc>
          <w:tcPr>
            <w:tcW w:w="1052"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5" w:type="dxa"/>
            <w:vMerge w:val="restart"/>
            <w:tcBorders>
              <w:top w:val="single" w:sz="4" w:space="0" w:color="000000"/>
              <w:left w:val="single" w:sz="4" w:space="0" w:color="000000"/>
              <w:right w:val="single" w:sz="4" w:space="0" w:color="000000"/>
            </w:tcBorders>
          </w:tcPr>
          <w:p>
            <w:pPr/>
          </w:p>
        </w:tc>
        <w:tc>
          <w:tcPr>
            <w:tcW w:w="85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8,274,568.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41</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571,870.8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w w:val="101"/>
                <w:sz w:val="18"/>
              </w:rPr>
              <w:t>4</w:t>
            </w:r>
            <w:r>
              <w:rPr>
                <w:rFonts w:ascii="Times New Roman"/>
                <w:sz w:val="18"/>
              </w:rPr>
            </w:r>
          </w:p>
        </w:tc>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6,727,64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9.59</w:t>
            </w:r>
          </w:p>
        </w:tc>
      </w:tr>
      <w:tr>
        <w:trPr>
          <w:trHeight w:val="394" w:hRule="exact"/>
        </w:trPr>
        <w:tc>
          <w:tcPr>
            <w:tcW w:w="254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5" w:type="dxa"/>
            <w:vMerge/>
            <w:tcBorders>
              <w:left w:val="single" w:sz="4" w:space="0" w:color="000000"/>
              <w:right w:val="single" w:sz="4" w:space="0" w:color="000000"/>
            </w:tcBorders>
          </w:tcPr>
          <w:p>
            <w:pPr/>
          </w:p>
        </w:tc>
        <w:tc>
          <w:tcPr>
            <w:tcW w:w="854"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25" w:type="dxa"/>
            <w:vMerge/>
            <w:tcBorders>
              <w:left w:val="single" w:sz="4" w:space="0" w:color="000000"/>
              <w:right w:val="single" w:sz="4" w:space="0" w:color="000000"/>
            </w:tcBorders>
          </w:tcPr>
          <w:p>
            <w:pPr/>
          </w:p>
        </w:tc>
      </w:tr>
      <w:tr>
        <w:trPr>
          <w:trHeight w:val="163" w:hRule="exact"/>
        </w:trPr>
        <w:tc>
          <w:tcPr>
            <w:tcW w:w="2547"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5" w:type="dxa"/>
            <w:vMerge/>
            <w:tcBorders>
              <w:left w:val="single" w:sz="4" w:space="0" w:color="000000"/>
              <w:bottom w:val="single" w:sz="4" w:space="0" w:color="000000"/>
              <w:right w:val="single" w:sz="4" w:space="0" w:color="000000"/>
            </w:tcBorders>
          </w:tcPr>
          <w:p>
            <w:pPr/>
          </w:p>
        </w:tc>
        <w:tc>
          <w:tcPr>
            <w:tcW w:w="854"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25"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8、专项储备" w:id="361"/>
      <w:bookmarkEnd w:id="361"/>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9、盈余公积" w:id="362"/>
      <w:bookmarkEnd w:id="362"/>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01"/>
        <w:gridCol w:w="1931"/>
        <w:gridCol w:w="1911"/>
        <w:gridCol w:w="1916"/>
        <w:gridCol w:w="1916"/>
      </w:tblGrid>
      <w:tr>
        <w:trPr>
          <w:trHeight w:val="398"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39,531,522.48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18,670,119.51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58,201,641.99</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39,531,522.48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18,670,119.51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58,201,641.99</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60、未分配利润" w:id="363"/>
      <w:bookmarkEnd w:id="363"/>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9"/>
      </w:tblGrid>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调整前上期末未分配利润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499,879,406.02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483,690,805.90</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499,879,406.02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483,690,805.90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加：本期归属于母公司所有者的净利润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62,644,830.42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51,043,523.98</w:t>
            </w:r>
          </w:p>
        </w:tc>
      </w:tr>
      <w:tr>
        <w:trPr>
          <w:trHeight w:val="404"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18,670,119.51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2,510,777.06</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应付普通股股利</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11,643,892.84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32,344,146.80</w:t>
            </w:r>
          </w:p>
        </w:tc>
      </w:tr>
      <w:tr>
        <w:trPr>
          <w:trHeight w:val="398" w:hRule="exact"/>
        </w:trPr>
        <w:tc>
          <w:tcPr>
            <w:tcW w:w="3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期末未分配利润</w:t>
            </w:r>
          </w:p>
        </w:tc>
        <w:tc>
          <w:tcPr>
            <w:tcW w:w="29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532,210,224.09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499,879,406.02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1、营业收入和营业成本" w:id="364"/>
      <w:bookmarkEnd w:id="364"/>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9"/>
        <w:gridCol w:w="1911"/>
        <w:gridCol w:w="1916"/>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9" w:type="dxa"/>
            <w:gridSpan w:val="2"/>
            <w:vMerge/>
            <w:tcBorders>
              <w:left w:val="single" w:sz="4" w:space="0" w:color="000000"/>
              <w:bottom w:val="single" w:sz="4" w:space="0" w:color="000000"/>
              <w:right w:val="single" w:sz="4" w:space="0" w:color="000000"/>
            </w:tcBorders>
            <w:shd w:val="clear" w:color="auto" w:fill="D2D2D2"/>
          </w:tcPr>
          <w:p>
            <w:pPr/>
          </w:p>
        </w:tc>
        <w:tc>
          <w:tcPr>
            <w:tcW w:w="3832"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9"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399"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1,853,690,516.67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1,448,582,932.87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2,006,954,046.12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1,580,862,134.47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40,613,636.09</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29,748,896.86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560,821.08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102,144.68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1,894,304,152.76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1,478,331,829.73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2,007,514,867.20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1,580,964,279.15</w:t>
            </w:r>
          </w:p>
        </w:tc>
      </w:tr>
    </w:tbl>
    <w:p>
      <w:pPr>
        <w:pStyle w:val="BodyText"/>
        <w:spacing w:line="357" w:lineRule="auto" w:before="53"/>
        <w:ind w:left="580" w:right="1555" w:hanging="428"/>
        <w:jc w:val="left"/>
      </w:pPr>
      <w:r>
        <w:rPr>
          <w:spacing w:val="-3"/>
        </w:rPr>
        <w:t>与分摊至剩余履约义务的交易价格相关的信息：</w:t>
      </w:r>
      <w:r>
        <w:rPr>
          <w:spacing w:val="-27"/>
        </w:rPr>
        <w:t> </w:t>
      </w:r>
      <w:r>
        <w:rPr>
          <w:spacing w:val="-27"/>
        </w:rPr>
      </w:r>
      <w:r>
        <w:rPr>
          <w:spacing w:val="-3"/>
        </w:rPr>
        <w:t>本报告期末已签订合同、但尚未履行或尚未履行完毕的履约义务所对应的收入金额为 </w:t>
      </w:r>
      <w:r>
        <w:rPr>
          <w:rFonts w:ascii="Times New Roman" w:hAnsi="Times New Roman" w:cs="Times New Roman" w:eastAsia="Times New Roman" w:hint="default"/>
        </w:rPr>
        <w:t>192,103,098.00 </w:t>
      </w:r>
      <w:r>
        <w:rPr>
          <w:rFonts w:ascii="Times New Roman" w:hAnsi="Times New Roman" w:cs="Times New Roman" w:eastAsia="Times New Roman" w:hint="default"/>
          <w:spacing w:val="33"/>
        </w:rPr>
        <w:t> </w:t>
      </w:r>
      <w:r>
        <w:rPr>
          <w:spacing w:val="-3"/>
        </w:rPr>
        <w:t>元，其中，</w:t>
      </w:r>
    </w:p>
    <w:p>
      <w:pPr>
        <w:pStyle w:val="BodyText"/>
        <w:spacing w:line="220" w:lineRule="exact"/>
        <w:ind w:right="0"/>
        <w:jc w:val="left"/>
      </w:pPr>
      <w:r>
        <w:rPr>
          <w:rFonts w:ascii="Times New Roman" w:hAnsi="Times New Roman" w:cs="Times New Roman" w:eastAsia="Times New Roman" w:hint="default"/>
        </w:rPr>
        <w:t>192,103,098.00 </w:t>
      </w:r>
      <w:r>
        <w:rPr/>
        <w:t>元预计将于 </w:t>
      </w:r>
      <w:r>
        <w:rPr>
          <w:rFonts w:ascii="Times New Roman" w:hAnsi="Times New Roman" w:cs="Times New Roman" w:eastAsia="Times New Roman" w:hint="default"/>
        </w:rPr>
        <w:t>2020</w:t>
      </w:r>
      <w:r>
        <w:rPr>
          <w:rFonts w:ascii="Times New Roman" w:hAnsi="Times New Roman" w:cs="Times New Roman" w:eastAsia="Times New Roman" w:hint="default"/>
          <w:spacing w:val="-25"/>
        </w:rPr>
        <w:t> </w:t>
      </w:r>
      <w:r>
        <w:rPr>
          <w:spacing w:val="-3"/>
        </w:rPr>
        <w:t>年度确认收入。</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62、税金及附加" w:id="365"/>
      <w:bookmarkEnd w:id="365"/>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城市维护建设税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2,953,052.61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2,645,311.07</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2,164,501.57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2,060,341.56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4,194,305.19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3,975,567.78</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781,826.42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627,000.24</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1,348,498.72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1,448,344.73</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80,531.65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2,329,528.26</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11,522,716.16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13,086,093.64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3、销售费用" w:id="366"/>
      <w:bookmarkEnd w:id="366"/>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after="0" w:line="240" w:lineRule="auto"/>
        <w:jc w:val="right"/>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37,393,197.20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45,749,954.81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26,893,527.29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29,474,894.03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25,783,376.36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25,826,339.94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19,001,697.61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21,874,492.70</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标书、中标服务费、会员费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8,727,739.63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11,502,456.95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8,877,466.72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9,068,379.86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售后服务费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4,802,134.83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9,066,679.34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安装调试费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801,274.36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7,241,785.35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2,213,445.18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1,580,805.03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316,964.32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1,100,708.67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51,769.92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814,382.30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15,749.03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745,786.34</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股份支付摊销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885,248.83</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3,714,749.00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4,547,490.99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139,478,340.28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168,594,156.31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4、管理费用" w:id="367"/>
      <w:bookmarkEnd w:id="367"/>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9"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45,459,161.62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43,129,729.33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25,939,921.12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21,295,551.75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技术检测费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3,548,754.31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7,200,269.82</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9,665,463.19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4,441,015.55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3,443,238.67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2,776,253.26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聘请中介机构费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3,702,987.45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2,534,667.32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3,185,513.65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2,490,550.27</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2,213,990.78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2,374,588.75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1,857,286.51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2,138,770.85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1,524,590.60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1,277,342.49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1,780,988.57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1,078,176.87</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股份支付摊销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3,049,794.09</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4,759,644.59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7,241,657.39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110,131,335.15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97,978,573.65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65、研发费用" w:id="368"/>
      <w:bookmarkEnd w:id="368"/>
      <w:r>
        <w:rPr>
          <w:b w:val="0"/>
          <w:bCs w:val="0"/>
        </w:rPr>
      </w:r>
      <w:r>
        <w:rPr>
          <w:rFonts w:ascii="Times New Roman" w:hAnsi="Times New Roman" w:cs="Times New Roman" w:eastAsia="Times New Roman" w:hint="default"/>
        </w:rPr>
        <w:t>65</w:t>
      </w:r>
      <w:r>
        <w:rPr/>
        <w:t>、研发费用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25,842,836.50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18,433,640.47</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物料投入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2,118,331.67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3,781,998.47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3,068,492.60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4,102,816.18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委托外研发费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431,745.72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480,854.53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股份支付摊销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73,504.42</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2,789,136.34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3,555,788.39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34,324,047.25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30,355,098.04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6、财务费用" w:id="369"/>
      <w:bookmarkEnd w:id="369"/>
      <w:r>
        <w:rPr>
          <w:b w:val="0"/>
          <w:bCs w:val="0"/>
        </w:rPr>
      </w:r>
      <w:r>
        <w:rPr>
          <w:rFonts w:ascii="Times New Roman" w:hAnsi="Times New Roman" w:cs="Times New Roman" w:eastAsia="Times New Roman" w:hint="default"/>
        </w:rPr>
        <w:t>66</w:t>
      </w:r>
      <w:r>
        <w:rPr/>
        <w:t>、财务费用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56,656,944.08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50,505,671.39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2,078,280.87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2,763,900.09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利息净支出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54,578,663.21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47,741,771.30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5,752,078.34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1,551,026.10</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1,499,194.70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3,266,220.35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99,900.00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378,768.43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61,929,836.25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52,937,786.18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7、其他收益" w:id="370"/>
      <w:bookmarkEnd w:id="370"/>
      <w:r>
        <w:rPr>
          <w:b w:val="0"/>
          <w:bCs w:val="0"/>
        </w:rPr>
      </w:r>
      <w:r>
        <w:rPr>
          <w:rFonts w:ascii="Times New Roman" w:hAnsi="Times New Roman" w:cs="Times New Roman" w:eastAsia="Times New Roman" w:hint="default"/>
        </w:rPr>
        <w:t>67</w:t>
      </w:r>
      <w:r>
        <w:rPr/>
        <w:t>、其他收益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782" w:right="0"/>
              <w:jc w:val="left"/>
              <w:rPr>
                <w:rFonts w:ascii="宋体" w:hAnsi="宋体" w:cs="宋体" w:eastAsia="宋体" w:hint="default"/>
                <w:sz w:val="18"/>
                <w:szCs w:val="18"/>
              </w:rPr>
            </w:pPr>
            <w:r>
              <w:rPr>
                <w:rFonts w:ascii="宋体" w:hAnsi="宋体" w:cs="宋体" w:eastAsia="宋体" w:hint="default"/>
                <w:spacing w:val="-3"/>
                <w:sz w:val="18"/>
                <w:szCs w:val="18"/>
              </w:rPr>
              <w:t>产生其他收益的来源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4,617,081.57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17,187,878.40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其他政府补助项目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11,032,667.16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5,216,448.94</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15,649,748.73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22,404,327.34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8、投资收益" w:id="371"/>
      <w:bookmarkEnd w:id="371"/>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8"/>
        <w:gridCol w:w="3200"/>
        <w:gridCol w:w="2919"/>
      </w:tblGrid>
      <w:tr>
        <w:trPr>
          <w:trHeight w:val="404"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3,597,183.35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354,035.15</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3450"/>
        <w:gridCol w:w="3200"/>
        <w:gridCol w:w="2919"/>
      </w:tblGrid>
      <w:tr>
        <w:trPr>
          <w:trHeight w:val="403" w:hRule="exact"/>
        </w:trPr>
        <w:tc>
          <w:tcPr>
            <w:tcW w:w="3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47,693.96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-2,103.82</w:t>
            </w:r>
          </w:p>
        </w:tc>
      </w:tr>
      <w:tr>
        <w:trPr>
          <w:trHeight w:val="398" w:hRule="exact"/>
        </w:trPr>
        <w:tc>
          <w:tcPr>
            <w:tcW w:w="3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2,644,004.17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1,981,592.81</w:t>
            </w:r>
          </w:p>
        </w:tc>
      </w:tr>
      <w:tr>
        <w:trPr>
          <w:trHeight w:val="404" w:hRule="exact"/>
        </w:trPr>
        <w:tc>
          <w:tcPr>
            <w:tcW w:w="3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6,288,881.48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2,333,524.14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9、净敞口套期收益" w:id="372"/>
      <w:bookmarkEnd w:id="372"/>
      <w:r>
        <w:rPr>
          <w:b w:val="0"/>
          <w:bCs w:val="0"/>
        </w:rPr>
      </w:r>
      <w:r>
        <w:rPr>
          <w:rFonts w:ascii="Times New Roman" w:hAnsi="Times New Roman" w:cs="Times New Roman" w:eastAsia="Times New Roman" w:hint="default"/>
        </w:rPr>
        <w:t>69</w:t>
      </w:r>
      <w:r>
        <w:rPr/>
        <w:t>、净敞口套期收益</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70、公允价值变动收益" w:id="373"/>
      <w:bookmarkEnd w:id="373"/>
      <w:r>
        <w:rPr>
          <w:b w:val="0"/>
          <w:bCs w:val="0"/>
        </w:rPr>
      </w:r>
      <w:r>
        <w:rPr>
          <w:rFonts w:ascii="Times New Roman" w:hAnsi="Times New Roman" w:cs="Times New Roman" w:eastAsia="Times New Roman" w:hint="default"/>
        </w:rPr>
        <w:t>70</w:t>
      </w:r>
      <w:r>
        <w:rPr/>
        <w:t>、公允价值变动收益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1、信用减值损失" w:id="374"/>
      <w:bookmarkEnd w:id="374"/>
      <w:r>
        <w:rPr>
          <w:b w:val="0"/>
          <w:bCs w:val="0"/>
        </w:rPr>
      </w:r>
      <w:r>
        <w:rPr>
          <w:rFonts w:ascii="Times New Roman" w:hAnsi="Times New Roman" w:cs="Times New Roman" w:eastAsia="Times New Roman" w:hint="default"/>
        </w:rPr>
        <w:t>71</w:t>
      </w:r>
      <w:r>
        <w:rPr/>
        <w:t>、信用减值损失</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其他应收款坏账损失</w:t>
            </w:r>
          </w:p>
        </w:tc>
        <w:tc>
          <w:tcPr>
            <w:tcW w:w="31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238,334.48</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应收账款信用减值损失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-10,795,152.87</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-10,556,818.39</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2、资产减值损失" w:id="375"/>
      <w:bookmarkEnd w:id="375"/>
      <w:r>
        <w:rPr>
          <w:b w:val="0"/>
          <w:bCs w:val="0"/>
        </w:rPr>
      </w:r>
      <w:r>
        <w:rPr>
          <w:rFonts w:ascii="Times New Roman" w:hAnsi="Times New Roman" w:cs="Times New Roman" w:eastAsia="Times New Roman" w:hint="default"/>
        </w:rPr>
        <w:t>72</w:t>
      </w:r>
      <w:r>
        <w:rPr/>
        <w:t>、资产减值损失</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1" w:footer="979" w:top="1100" w:bottom="1160" w:left="980" w:right="0"/>
        </w:sectPr>
      </w:pPr>
    </w:p>
    <w:p>
      <w:pPr>
        <w:pStyle w:val="BodyText"/>
        <w:spacing w:line="240" w:lineRule="auto" w:before="46"/>
        <w:ind w:right="0"/>
        <w:jc w:val="left"/>
      </w:pPr>
      <w:r>
        <w:rPr>
          <w:spacing w:val="-2"/>
        </w:rPr>
        <w:t>是否已执行新收入准则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5"/>
        </w:rPr>
        <w:t> </w:t>
      </w:r>
      <w:r>
        <w:rPr/>
        <w:t>元</w:t>
      </w:r>
    </w:p>
    <w:p>
      <w:pPr>
        <w:spacing w:after="0" w:line="240" w:lineRule="auto"/>
        <w:jc w:val="left"/>
        <w:sectPr>
          <w:type w:val="continuous"/>
          <w:pgSz w:w="11910" w:h="16840"/>
          <w:pgMar w:top="1060" w:bottom="1160" w:left="980" w:right="0"/>
          <w:cols w:num="2" w:equalWidth="0">
            <w:col w:w="1959" w:space="6872"/>
            <w:col w:w="2099"/>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-14,279,685.97</w:t>
            </w:r>
          </w:p>
        </w:tc>
      </w:tr>
      <w:tr>
        <w:trPr>
          <w:trHeight w:val="716"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1" w:right="77"/>
              <w:jc w:val="left"/>
              <w:rPr>
                <w:rFonts w:ascii="宋体" w:hAnsi="宋体" w:cs="宋体" w:eastAsia="宋体" w:hint="default"/>
                <w:sz w:val="18"/>
                <w:szCs w:val="18"/>
              </w:rPr>
            </w:pPr>
            <w:r>
              <w:rPr>
                <w:rFonts w:ascii="宋体" w:hAnsi="宋体" w:cs="宋体" w:eastAsia="宋体" w:hint="default"/>
                <w:spacing w:val="-3"/>
                <w:sz w:val="18"/>
                <w:szCs w:val="18"/>
              </w:rPr>
              <w:t>二、存货跌价损失及合同履约成本减值</w:t>
            </w:r>
            <w:r>
              <w:rPr>
                <w:rFonts w:ascii="宋体" w:hAnsi="宋体" w:cs="宋体" w:eastAsia="宋体" w:hint="default"/>
                <w:spacing w:val="-39"/>
                <w:sz w:val="18"/>
                <w:szCs w:val="18"/>
              </w:rPr>
              <w:t> </w:t>
            </w:r>
            <w:r>
              <w:rPr>
                <w:rFonts w:ascii="宋体" w:hAnsi="宋体" w:cs="宋体" w:eastAsia="宋体" w:hint="default"/>
                <w:spacing w:val="-39"/>
                <w:sz w:val="18"/>
                <w:szCs w:val="18"/>
              </w:rPr>
            </w:r>
            <w:r>
              <w:rPr>
                <w:rFonts w:ascii="宋体" w:hAnsi="宋体" w:cs="宋体" w:eastAsia="宋体" w:hint="default"/>
                <w:sz w:val="18"/>
                <w:szCs w:val="18"/>
              </w:rPr>
              <w:t>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-168,988.90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十三、商誉减值损失</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-17,337,109.49</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-31,785,784.36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3、资产处置收益" w:id="376"/>
      <w:bookmarkEnd w:id="376"/>
      <w:r>
        <w:rPr>
          <w:b w:val="0"/>
          <w:bCs w:val="0"/>
        </w:rPr>
      </w:r>
      <w:r>
        <w:rPr>
          <w:rFonts w:ascii="Times New Roman" w:hAnsi="Times New Roman" w:cs="Times New Roman" w:eastAsia="Times New Roman" w:hint="default"/>
        </w:rPr>
        <w:t>73</w:t>
      </w:r>
      <w:r>
        <w:rPr/>
        <w:t>、资产处置收益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82" w:right="0"/>
              <w:jc w:val="left"/>
              <w:rPr>
                <w:rFonts w:ascii="宋体" w:hAnsi="宋体" w:cs="宋体" w:eastAsia="宋体" w:hint="default"/>
                <w:sz w:val="18"/>
                <w:szCs w:val="18"/>
              </w:rPr>
            </w:pPr>
            <w:r>
              <w:rPr>
                <w:rFonts w:ascii="宋体" w:hAnsi="宋体" w:cs="宋体" w:eastAsia="宋体" w:hint="default"/>
                <w:spacing w:val="-3"/>
                <w:sz w:val="18"/>
                <w:szCs w:val="18"/>
              </w:rPr>
              <w:t>资产处置收益的来源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154,600.95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-156,162.55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154,600.95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-156,162.55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74、营业外收入" w:id="377"/>
      <w:bookmarkEnd w:id="377"/>
      <w:r>
        <w:rPr>
          <w:b w:val="0"/>
          <w:bCs w:val="0"/>
        </w:rPr>
      </w:r>
      <w:r>
        <w:rPr>
          <w:rFonts w:ascii="Times New Roman" w:hAnsi="Times New Roman" w:cs="Times New Roman" w:eastAsia="Times New Roman" w:hint="default"/>
        </w:rPr>
        <w:t>74</w:t>
      </w:r>
      <w:r>
        <w:rPr/>
        <w:t>、营业外收入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64"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4"/>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额</w:t>
            </w:r>
          </w:p>
        </w:tc>
      </w:tr>
      <w:tr>
        <w:trPr>
          <w:trHeight w:val="389"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63"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100,000.00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90"/>
              <w:jc w:val="left"/>
              <w:rPr>
                <w:rFonts w:ascii="宋体" w:hAnsi="宋体" w:cs="宋体" w:eastAsia="宋体" w:hint="default"/>
                <w:sz w:val="18"/>
                <w:szCs w:val="18"/>
              </w:rPr>
            </w:pPr>
            <w:r>
              <w:rPr>
                <w:rFonts w:ascii="宋体" w:hAnsi="宋体" w:cs="宋体" w:eastAsia="宋体" w:hint="default"/>
                <w:spacing w:val="-3"/>
                <w:sz w:val="18"/>
                <w:szCs w:val="18"/>
              </w:rPr>
              <w:t>与企业日常活动无关的政府</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补助</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9,448,199.00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125,236.15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237,478.43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125,236.15</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225,236.15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9,685,677.43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125,236.15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5、营业外支出" w:id="378"/>
      <w:bookmarkEnd w:id="378"/>
      <w:r>
        <w:rPr>
          <w:b w:val="0"/>
          <w:bCs w:val="0"/>
        </w:rPr>
      </w:r>
      <w:r>
        <w:rPr>
          <w:rFonts w:ascii="Times New Roman" w:hAnsi="Times New Roman" w:cs="Times New Roman" w:eastAsia="Times New Roman" w:hint="default"/>
        </w:rPr>
        <w:t>75</w:t>
      </w:r>
      <w:r>
        <w:rPr/>
        <w:t>、营业外支出</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158" w:hRule="exact"/>
        </w:trPr>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104" w:right="103" w:hanging="994"/>
              <w:jc w:val="left"/>
              <w:rPr>
                <w:rFonts w:ascii="宋体" w:hAnsi="宋体" w:cs="宋体" w:eastAsia="宋体" w:hint="default"/>
                <w:sz w:val="18"/>
                <w:szCs w:val="18"/>
              </w:rPr>
            </w:pPr>
            <w:r>
              <w:rPr>
                <w:rFonts w:ascii="宋体" w:hAnsi="宋体" w:cs="宋体" w:eastAsia="宋体" w:hint="default"/>
                <w:spacing w:val="-3"/>
                <w:sz w:val="18"/>
                <w:szCs w:val="18"/>
              </w:rPr>
              <w:t>计入当期非经常性损益的金</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额</w:t>
            </w:r>
          </w:p>
        </w:tc>
      </w:tr>
      <w:tr>
        <w:trPr>
          <w:trHeight w:val="394" w:hRule="exact"/>
        </w:trPr>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1" w:type="dxa"/>
            <w:vMerge/>
            <w:tcBorders>
              <w:left w:val="single" w:sz="4" w:space="0" w:color="000000"/>
              <w:right w:val="single" w:sz="4" w:space="0" w:color="000000"/>
            </w:tcBorders>
            <w:shd w:val="clear" w:color="auto" w:fill="D2D2D2"/>
          </w:tcPr>
          <w:p>
            <w:pPr/>
          </w:p>
        </w:tc>
      </w:tr>
      <w:tr>
        <w:trPr>
          <w:trHeight w:val="158" w:hRule="exact"/>
        </w:trPr>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3"/>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10,265.18</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166,011.69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5,957.10</w:t>
            </w:r>
          </w:p>
        </w:tc>
      </w:tr>
      <w:tr>
        <w:trPr>
          <w:trHeight w:val="398"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5,957.10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226,276.87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5,957.10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6、所得税费用" w:id="379"/>
      <w:bookmarkEnd w:id="379"/>
      <w:r>
        <w:rPr>
          <w:b w:val="0"/>
          <w:bCs w:val="0"/>
        </w:rPr>
      </w: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所得税费用表" w:id="380"/>
      <w:bookmarkEnd w:id="38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93"/>
      </w:tblGrid>
      <w:tr>
        <w:trPr>
          <w:trHeight w:val="398"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 w:right="0"/>
              <w:jc w:val="left"/>
              <w:rPr>
                <w:rFonts w:ascii="宋体" w:hAnsi="宋体" w:cs="宋体" w:eastAsia="宋体" w:hint="default"/>
                <w:sz w:val="18"/>
                <w:szCs w:val="18"/>
              </w:rPr>
            </w:pPr>
            <w:r>
              <w:rPr>
                <w:rFonts w:ascii="宋体" w:hAnsi="宋体" w:cs="宋体" w:eastAsia="宋体" w:hint="default"/>
                <w:spacing w:val="-3"/>
                <w:sz w:val="18"/>
                <w:szCs w:val="18"/>
              </w:rPr>
              <w:t>当期所得税费用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2"/>
                <w:sz w:val="18"/>
              </w:rPr>
              <w:t>11,780,769.48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7"/>
              <w:jc w:val="right"/>
              <w:rPr>
                <w:rFonts w:ascii="Times New Roman" w:hAnsi="Times New Roman" w:cs="Times New Roman" w:eastAsia="Times New Roman" w:hint="default"/>
                <w:sz w:val="18"/>
                <w:szCs w:val="18"/>
              </w:rPr>
            </w:pPr>
            <w:r>
              <w:rPr>
                <w:rFonts w:ascii="Times New Roman"/>
                <w:spacing w:val="-1"/>
                <w:sz w:val="18"/>
              </w:rPr>
              <w:t>16,585,852.25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递延所得税费用</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-3,632,150.82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-981,293.58</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8,148,618.66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15,604,558.67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会计利润与所得税费用调整过程" w:id="381"/>
      <w:bookmarkEnd w:id="38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9"/>
        <w:gridCol w:w="4799"/>
      </w:tblGrid>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70,341,739.76</w:t>
            </w:r>
          </w:p>
        </w:tc>
      </w:tr>
      <w:tr>
        <w:trPr>
          <w:trHeight w:val="404"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按法定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适用税率计算的所得税费用</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10,551,260.96</w:t>
            </w:r>
          </w:p>
        </w:tc>
      </w:tr>
      <w:tr>
        <w:trPr>
          <w:trHeight w:val="403" w:hRule="exact"/>
        </w:trPr>
        <w:tc>
          <w:tcPr>
            <w:tcW w:w="47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子公司适用不同税率的影响</w:t>
            </w:r>
          </w:p>
        </w:tc>
        <w:tc>
          <w:tcPr>
            <w:tcW w:w="47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2,730,265.23</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调整以前期间所得税的影响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-213,805.17</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不可抵扣的成本、费用和损失的影响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2,340,177.36</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使用前期未确认递延所得税资产的可抵扣亏损的影响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-1,490,143.45</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61"/>
              <w:jc w:val="left"/>
              <w:rPr>
                <w:rFonts w:ascii="宋体" w:hAnsi="宋体" w:cs="宋体" w:eastAsia="宋体" w:hint="default"/>
                <w:sz w:val="18"/>
                <w:szCs w:val="18"/>
              </w:rPr>
            </w:pPr>
            <w:r>
              <w:rPr>
                <w:rFonts w:ascii="宋体" w:hAnsi="宋体" w:cs="宋体" w:eastAsia="宋体" w:hint="default"/>
                <w:spacing w:val="-3"/>
                <w:sz w:val="18"/>
                <w:szCs w:val="18"/>
              </w:rPr>
              <w:t>本期未确认递延所得税资产的可抵扣暂时性差异或可抵扣亏</w:t>
            </w:r>
            <w:r>
              <w:rPr>
                <w:rFonts w:ascii="宋体" w:hAnsi="宋体" w:cs="宋体" w:eastAsia="宋体" w:hint="default"/>
                <w:spacing w:val="-10"/>
                <w:sz w:val="18"/>
                <w:szCs w:val="18"/>
              </w:rPr>
              <w:t> </w:t>
            </w:r>
            <w:r>
              <w:rPr>
                <w:rFonts w:ascii="宋体" w:hAnsi="宋体" w:cs="宋体" w:eastAsia="宋体" w:hint="default"/>
                <w:spacing w:val="-10"/>
                <w:sz w:val="18"/>
                <w:szCs w:val="18"/>
              </w:rPr>
            </w:r>
            <w:r>
              <w:rPr>
                <w:rFonts w:ascii="宋体" w:hAnsi="宋体" w:cs="宋体" w:eastAsia="宋体" w:hint="default"/>
                <w:sz w:val="18"/>
                <w:szCs w:val="18"/>
              </w:rPr>
              <w:t>损的影响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189,115.52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税率变化的影响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244,971.37</w:t>
            </w:r>
          </w:p>
        </w:tc>
      </w:tr>
      <w:tr>
        <w:trPr>
          <w:trHeight w:val="398"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-6,203,223.16</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32,162.32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8,148,618.66</w:t>
            </w:r>
          </w:p>
        </w:tc>
      </w:tr>
    </w:tbl>
    <w:p>
      <w:pPr>
        <w:spacing w:line="240" w:lineRule="auto" w:before="3"/>
        <w:rPr>
          <w:rFonts w:ascii="宋体" w:hAnsi="宋体" w:cs="宋体" w:eastAsia="宋体" w:hint="default"/>
          <w:sz w:val="19"/>
          <w:szCs w:val="19"/>
        </w:rPr>
      </w:pPr>
    </w:p>
    <w:p>
      <w:pPr>
        <w:spacing w:line="544" w:lineRule="auto" w:before="36"/>
        <w:ind w:left="153" w:right="4202" w:firstLine="0"/>
        <w:jc w:val="left"/>
        <w:rPr>
          <w:rFonts w:ascii="宋体" w:hAnsi="宋体" w:cs="宋体" w:eastAsia="宋体" w:hint="default"/>
          <w:sz w:val="21"/>
          <w:szCs w:val="21"/>
        </w:rPr>
      </w:pPr>
      <w:bookmarkStart w:name="77、其他综合收益" w:id="382"/>
      <w:bookmarkEnd w:id="382"/>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spacing w:val="-102"/>
          <w:sz w:val="21"/>
          <w:szCs w:val="21"/>
        </w:rPr>
        <w:t> </w:t>
      </w:r>
      <w:r>
        <w:rPr>
          <w:rFonts w:ascii="宋体" w:hAnsi="宋体" w:cs="宋体" w:eastAsia="宋体" w:hint="default"/>
          <w:spacing w:val="-3"/>
          <w:sz w:val="18"/>
          <w:szCs w:val="18"/>
        </w:rPr>
        <w:t>详见附注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六、合并财务报表主要项目注释（</w:t>
      </w:r>
      <w:r>
        <w:rPr>
          <w:rFonts w:ascii="Times New Roman" w:hAnsi="Times New Roman" w:cs="Times New Roman" w:eastAsia="Times New Roman" w:hint="default"/>
          <w:spacing w:val="-3"/>
          <w:sz w:val="18"/>
          <w:szCs w:val="18"/>
        </w:rPr>
        <w:t>34</w:t>
      </w:r>
      <w:r>
        <w:rPr>
          <w:rFonts w:ascii="宋体" w:hAnsi="宋体" w:cs="宋体" w:eastAsia="宋体" w:hint="default"/>
          <w:spacing w:val="-3"/>
          <w:sz w:val="18"/>
          <w:szCs w:val="18"/>
        </w:rPr>
        <w:t>、其他综合收益）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宋体" w:hAnsi="宋体" w:cs="宋体" w:eastAsia="宋体" w:hint="default"/>
          <w:spacing w:val="2"/>
          <w:sz w:val="18"/>
          <w:szCs w:val="18"/>
        </w:rPr>
        <w:t> </w:t>
      </w:r>
      <w:bookmarkStart w:name="78、现金流量表项目" w:id="383"/>
      <w:bookmarkEnd w:id="383"/>
      <w:r>
        <w:rPr>
          <w:rFonts w:ascii="宋体" w:hAnsi="宋体" w:cs="宋体" w:eastAsia="宋体" w:hint="default"/>
          <w:spacing w:val="2"/>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384"/>
      <w:bookmarkEnd w:id="38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银行汇票承兑、保函保证金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72,018,985.05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79,451,253.37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17,465,626.32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13,119,528.61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2,078,280.87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2,763,900.09</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6,273,612.21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3,501,156.00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97,836,504.45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98,835,838.07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支付的其他与经营活动有关的现金" w:id="385"/>
      <w:bookmarkEnd w:id="38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销售、管理、研发费用等支出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147,922,355.20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162,803,799.69</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4,372,466.43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10,110,472.06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银行汇票承兑、保函保证金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49,942,026.29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5,178,169.55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4,555,945.43</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3,888,145.85</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206,792,793.35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181,980,587.15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收到的其他与投资活动有关的现金" w:id="386"/>
      <w:bookmarkEnd w:id="38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4）支付的其他与投资活动有关的现金" w:id="387"/>
      <w:bookmarkEnd w:id="38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收到的其他与筹资活动有关的现金" w:id="388"/>
      <w:bookmarkEnd w:id="38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96,610,710.00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96,610,710.00</w:t>
            </w:r>
          </w:p>
        </w:tc>
        <w:tc>
          <w:tcPr>
            <w:tcW w:w="31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支付的其他与筹资活动有关的现金" w:id="389"/>
      <w:bookmarkEnd w:id="38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融资租赁支付租金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12,278,647.76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17,267,411.02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融资相关的咨询费手续费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1,819,900.00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5,717,000.58</w:t>
            </w:r>
          </w:p>
        </w:tc>
      </w:tr>
      <w:tr>
        <w:trPr>
          <w:trHeight w:val="399"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拆借款还款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46,169,710.00</w:t>
            </w:r>
          </w:p>
        </w:tc>
        <w:tc>
          <w:tcPr>
            <w:tcW w:w="31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60,268,257.76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22,984,411.60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9、现金流量表补充资料" w:id="390"/>
      <w:bookmarkEnd w:id="390"/>
      <w:r>
        <w:rPr>
          <w:b w:val="0"/>
          <w:bCs w:val="0"/>
        </w:rPr>
      </w:r>
      <w:r>
        <w:rPr>
          <w:rFonts w:ascii="Times New Roman" w:hAnsi="Times New Roman" w:cs="Times New Roman" w:eastAsia="Times New Roman" w:hint="default"/>
        </w:rPr>
        <w:t>79</w:t>
      </w:r>
      <w:r>
        <w:rPr/>
        <w:t>、现金流量表补充资料</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91"/>
      <w:bookmarkEnd w:id="39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62,193,121.10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50,249,626.69</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10,556,818.39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31,785,784.36</w:t>
            </w:r>
          </w:p>
        </w:tc>
      </w:tr>
      <w:tr>
        <w:trPr>
          <w:trHeight w:val="710"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w w:val="101"/>
                <w:sz w:val="18"/>
                <w:szCs w:val="18"/>
              </w:rPr>
              <w:t> </w:t>
            </w:r>
            <w:r>
              <w:rPr>
                <w:rFonts w:ascii="宋体" w:hAnsi="宋体" w:cs="宋体" w:eastAsia="宋体" w:hint="default"/>
                <w:spacing w:val="-3"/>
                <w:sz w:val="18"/>
                <w:szCs w:val="18"/>
              </w:rPr>
              <w:t>生产性生物资产折旧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40,259,545.13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36,864,339.35</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15,281,333.59</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12,648,269.51</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2,813,110.43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2,652,358.83</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37" w:firstLine="72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处置固定资产、无形资产和其他</w:t>
            </w:r>
            <w:r>
              <w:rPr>
                <w:rFonts w:ascii="宋体" w:hAnsi="宋体" w:cs="宋体" w:eastAsia="宋体" w:hint="default"/>
                <w:w w:val="101"/>
                <w:sz w:val="18"/>
                <w:szCs w:val="18"/>
              </w:rPr>
              <w:t> </w:t>
            </w:r>
            <w:r>
              <w:rPr>
                <w:rFonts w:ascii="宋体" w:hAnsi="宋体" w:cs="宋体" w:eastAsia="宋体" w:hint="default"/>
                <w:spacing w:val="-3"/>
                <w:sz w:val="18"/>
                <w:szCs w:val="18"/>
              </w:rPr>
              <w:t>长期资产的损失（收益以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-154,600.95</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156,162.55</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56" w:firstLine="720"/>
              <w:jc w:val="left"/>
              <w:rPr>
                <w:rFonts w:ascii="宋体" w:hAnsi="宋体" w:cs="宋体" w:eastAsia="宋体" w:hint="default"/>
                <w:sz w:val="18"/>
                <w:szCs w:val="18"/>
              </w:rPr>
            </w:pPr>
            <w:r>
              <w:rPr>
                <w:rFonts w:ascii="宋体" w:hAnsi="宋体" w:cs="宋体" w:eastAsia="宋体" w:hint="default"/>
                <w:spacing w:val="-2"/>
                <w:sz w:val="18"/>
                <w:szCs w:val="18"/>
              </w:rPr>
              <w:t>固定资产报废损失（收益以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w w:val="101"/>
                <w:sz w:val="18"/>
                <w:szCs w:val="18"/>
              </w:rPr>
              <w:t> </w:t>
            </w:r>
            <w:r>
              <w:rPr>
                <w:rFonts w:ascii="宋体" w:hAnsi="宋体" w:cs="宋体" w:eastAsia="宋体" w:hint="default"/>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10,265.18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财务费用（收益以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58,156,138.78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57,088,803.83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56"/>
              <w:jc w:val="right"/>
              <w:rPr>
                <w:rFonts w:ascii="宋体" w:hAnsi="宋体" w:cs="宋体" w:eastAsia="宋体" w:hint="default"/>
                <w:sz w:val="18"/>
                <w:szCs w:val="18"/>
              </w:rPr>
            </w:pPr>
            <w:r>
              <w:rPr>
                <w:rFonts w:ascii="宋体" w:hAnsi="宋体" w:cs="宋体" w:eastAsia="宋体" w:hint="default"/>
                <w:spacing w:val="-2"/>
                <w:sz w:val="18"/>
                <w:szCs w:val="18"/>
              </w:rPr>
              <w:t>投资损失（收益以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号填列）</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-6,288,881.48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-2,333,524.14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r>
        <w:rPr/>
        <w:pict>
          <v:group style="position:absolute;margin-left:223.300003pt;margin-top:143.449982pt;width:151.25pt;height:20.65pt;mso-position-horizontal-relative:page;mso-position-vertical-relative:page;z-index:-1057336" coordorigin="4466,2869" coordsize="3025,413">
            <v:group style="position:absolute;left:4478;top:2881;width:2;height:389" coordorigin="4478,2881" coordsize="2,389">
              <v:shape style="position:absolute;left:4478;top:2881;width:2;height:389" coordorigin="4478,2881" coordsize="0,389" path="m4478,2881l4478,3270e" filled="false" stroked="true" strokeweight="1.2pt" strokecolor="#ffffff">
                <v:path arrowok="t"/>
              </v:shape>
            </v:group>
            <v:group style="position:absolute;left:4490;top:2881;width:3001;height:389" coordorigin="4490,2881" coordsize="3001,389">
              <v:shape style="position:absolute;left:4490;top:2881;width:3001;height:389" coordorigin="4490,2881" coordsize="3001,389" path="m4490,3270l7491,3270,7491,2881,4490,2881,4490,3270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306"/>
        <w:gridCol w:w="1039"/>
        <w:gridCol w:w="2029"/>
        <w:gridCol w:w="3183"/>
      </w:tblGrid>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25" w:right="0"/>
              <w:jc w:val="left"/>
              <w:rPr>
                <w:rFonts w:ascii="Times New Roman" w:hAnsi="Times New Roman" w:cs="Times New Roman" w:eastAsia="Times New Roman" w:hint="default"/>
                <w:sz w:val="18"/>
                <w:szCs w:val="18"/>
              </w:rPr>
            </w:pPr>
            <w:r>
              <w:rPr>
                <w:rFonts w:ascii="Times New Roman"/>
                <w:sz w:val="18"/>
              </w:rPr>
              <w:t>-3,084,091.78</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-445,081.25</w:t>
            </w:r>
          </w:p>
        </w:tc>
      </w:tr>
      <w:tr>
        <w:trPr>
          <w:trHeight w:val="71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-563,572.46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-536,212.33</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right="94"/>
              <w:jc w:val="right"/>
              <w:rPr>
                <w:rFonts w:ascii="宋体" w:hAnsi="宋体" w:cs="宋体" w:eastAsia="宋体" w:hint="default"/>
                <w:sz w:val="18"/>
                <w:szCs w:val="18"/>
              </w:rPr>
            </w:pPr>
            <w:r>
              <w:rPr>
                <w:rFonts w:ascii="宋体" w:hAnsi="宋体" w:cs="宋体" w:eastAsia="宋体" w:hint="default"/>
                <w:spacing w:val="-5"/>
                <w:sz w:val="18"/>
                <w:szCs w:val="18"/>
              </w:rPr>
              <w:t>存货的减少（增加以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1039" w:type="dxa"/>
            <w:tcBorders>
              <w:top w:val="single" w:sz="4" w:space="0" w:color="000000"/>
              <w:left w:val="single" w:sz="8" w:space="0" w:color="D2D2D2"/>
              <w:bottom w:val="single" w:sz="4" w:space="0" w:color="000000"/>
              <w:right w:val="nil" w:sz="6" w:space="0" w:color="auto"/>
            </w:tcBorders>
          </w:tcPr>
          <w:p>
            <w:pPr>
              <w:pStyle w:val="TableParagraph"/>
              <w:spacing w:line="240" w:lineRule="auto" w:before="58"/>
              <w:ind w:left="-116"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202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0"/>
              <w:ind w:left="962" w:right="0"/>
              <w:jc w:val="left"/>
              <w:rPr>
                <w:rFonts w:ascii="Times New Roman" w:hAnsi="Times New Roman" w:cs="Times New Roman" w:eastAsia="Times New Roman" w:hint="default"/>
                <w:sz w:val="18"/>
                <w:szCs w:val="18"/>
              </w:rPr>
            </w:pPr>
            <w:r>
              <w:rPr>
                <w:rFonts w:ascii="Times New Roman"/>
                <w:sz w:val="18"/>
              </w:rPr>
              <w:t>81,441,319.96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-339,269,663.20</w:t>
            </w:r>
          </w:p>
        </w:tc>
      </w:tr>
      <w:tr>
        <w:trPr>
          <w:trHeight w:val="715"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经营性应收项目的减少（增加以</w:t>
            </w:r>
          </w:p>
          <w:p>
            <w:pPr>
              <w:pStyle w:val="TableParagraph"/>
              <w:spacing w:line="240" w:lineRule="auto" w:before="8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34" w:right="0"/>
              <w:jc w:val="left"/>
              <w:rPr>
                <w:rFonts w:ascii="Times New Roman" w:hAnsi="Times New Roman" w:cs="Times New Roman" w:eastAsia="Times New Roman" w:hint="default"/>
                <w:sz w:val="18"/>
                <w:szCs w:val="18"/>
              </w:rPr>
            </w:pPr>
            <w:r>
              <w:rPr>
                <w:rFonts w:ascii="Times New Roman"/>
                <w:sz w:val="18"/>
              </w:rPr>
              <w:t>-44,981,875.02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-77,534,647.09</w:t>
            </w:r>
          </w:p>
        </w:tc>
      </w:tr>
      <w:tr>
        <w:trPr>
          <w:trHeight w:val="716"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731" w:right="0"/>
              <w:jc w:val="left"/>
              <w:rPr>
                <w:rFonts w:ascii="宋体" w:hAnsi="宋体" w:cs="宋体" w:eastAsia="宋体" w:hint="default"/>
                <w:sz w:val="18"/>
                <w:szCs w:val="18"/>
              </w:rPr>
            </w:pPr>
            <w:r>
              <w:rPr>
                <w:rFonts w:ascii="宋体" w:hAnsi="宋体" w:cs="宋体" w:eastAsia="宋体" w:hint="default"/>
                <w:spacing w:val="-3"/>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025" w:right="0"/>
              <w:jc w:val="left"/>
              <w:rPr>
                <w:rFonts w:ascii="Times New Roman" w:hAnsi="Times New Roman" w:cs="Times New Roman" w:eastAsia="Times New Roman" w:hint="default"/>
                <w:sz w:val="18"/>
                <w:szCs w:val="18"/>
              </w:rPr>
            </w:pPr>
            <w:r>
              <w:rPr>
                <w:rFonts w:ascii="Times New Roman"/>
                <w:sz w:val="18"/>
              </w:rPr>
              <w:t>-6,738,634.17</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46,780,279.27</w:t>
            </w:r>
          </w:p>
        </w:tc>
      </w:tr>
      <w:tr>
        <w:trPr>
          <w:trHeight w:val="401"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19"/>
              <w:jc w:val="right"/>
              <w:rPr>
                <w:rFonts w:ascii="宋体" w:hAnsi="宋体" w:cs="宋体" w:eastAsia="宋体" w:hint="default"/>
                <w:sz w:val="18"/>
                <w:szCs w:val="18"/>
              </w:rPr>
            </w:pPr>
            <w:r>
              <w:rPr>
                <w:rFonts w:ascii="宋体" w:hAnsi="宋体" w:cs="宋体" w:eastAsia="宋体" w:hint="default"/>
                <w:spacing w:val="-3"/>
                <w:sz w:val="18"/>
                <w:szCs w:val="18"/>
              </w:rPr>
              <w:t>经营活动产生的现金流量净额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208,889,731.52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-181,883,238.44</w:t>
            </w:r>
          </w:p>
        </w:tc>
      </w:tr>
      <w:tr>
        <w:trPr>
          <w:trHeight w:val="161" w:hRule="exact"/>
        </w:trPr>
        <w:tc>
          <w:tcPr>
            <w:tcW w:w="330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6"/>
              <w:ind w:left="11" w:right="1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34"/>
                <w:sz w:val="18"/>
                <w:szCs w:val="18"/>
              </w:rPr>
              <w:t> </w:t>
            </w:r>
            <w:r>
              <w:rPr>
                <w:rFonts w:ascii="宋体" w:hAnsi="宋体" w:cs="宋体" w:eastAsia="宋体" w:hint="default"/>
                <w:spacing w:val="-34"/>
                <w:sz w:val="18"/>
                <w:szCs w:val="18"/>
              </w:rPr>
            </w:r>
            <w:r>
              <w:rPr>
                <w:rFonts w:ascii="宋体" w:hAnsi="宋体" w:cs="宋体" w:eastAsia="宋体" w:hint="default"/>
                <w:sz w:val="18"/>
                <w:szCs w:val="18"/>
              </w:rPr>
              <w:t>动：</w:t>
            </w:r>
          </w:p>
        </w:tc>
        <w:tc>
          <w:tcPr>
            <w:tcW w:w="30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3306" w:type="dxa"/>
            <w:vMerge/>
            <w:tcBorders>
              <w:left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3306" w:type="dxa"/>
            <w:vMerge/>
            <w:tcBorders>
              <w:left w:val="single" w:sz="4" w:space="0" w:color="000000"/>
              <w:bottom w:val="single" w:sz="4" w:space="0" w:color="000000"/>
              <w:right w:val="single" w:sz="4" w:space="0" w:color="000000"/>
            </w:tcBorders>
            <w:shd w:val="clear" w:color="auto" w:fill="D2D2D2"/>
          </w:tcPr>
          <w:p>
            <w:pPr/>
          </w:p>
        </w:tc>
        <w:tc>
          <w:tcPr>
            <w:tcW w:w="30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．现金及现金等价物净变动情况：</w:t>
            </w:r>
          </w:p>
        </w:tc>
        <w:tc>
          <w:tcPr>
            <w:tcW w:w="30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526"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现金的期末余额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92" w:right="0"/>
              <w:jc w:val="left"/>
              <w:rPr>
                <w:rFonts w:ascii="Times New Roman" w:hAnsi="Times New Roman" w:cs="Times New Roman" w:eastAsia="Times New Roman" w:hint="default"/>
                <w:sz w:val="18"/>
                <w:szCs w:val="18"/>
              </w:rPr>
            </w:pPr>
            <w:r>
              <w:rPr>
                <w:rFonts w:ascii="Times New Roman"/>
                <w:sz w:val="18"/>
              </w:rPr>
              <w:t>64,431,420.06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236,606,133.72</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减：现金的期初余额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left="1905" w:right="0"/>
              <w:jc w:val="left"/>
              <w:rPr>
                <w:rFonts w:ascii="Times New Roman" w:hAnsi="Times New Roman" w:cs="Times New Roman" w:eastAsia="Times New Roman" w:hint="default"/>
                <w:sz w:val="18"/>
                <w:szCs w:val="18"/>
              </w:rPr>
            </w:pPr>
            <w:r>
              <w:rPr>
                <w:rFonts w:ascii="Times New Roman"/>
                <w:sz w:val="18"/>
              </w:rPr>
              <w:t>236,606,133.72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225,871,345.27</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371" w:right="0"/>
              <w:jc w:val="left"/>
              <w:rPr>
                <w:rFonts w:ascii="宋体" w:hAnsi="宋体" w:cs="宋体" w:eastAsia="宋体" w:hint="default"/>
                <w:sz w:val="18"/>
                <w:szCs w:val="18"/>
              </w:rPr>
            </w:pPr>
            <w:r>
              <w:rPr>
                <w:rFonts w:ascii="宋体" w:hAnsi="宋体" w:cs="宋体" w:eastAsia="宋体" w:hint="default"/>
                <w:spacing w:val="-3"/>
                <w:sz w:val="18"/>
                <w:szCs w:val="18"/>
              </w:rPr>
              <w:t>现金及现金等价物净增加额</w:t>
            </w:r>
          </w:p>
        </w:tc>
        <w:tc>
          <w:tcPr>
            <w:tcW w:w="3068" w:type="dxa"/>
            <w:gridSpan w:val="2"/>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left="1843" w:right="0"/>
              <w:jc w:val="left"/>
              <w:rPr>
                <w:rFonts w:ascii="Times New Roman" w:hAnsi="Times New Roman" w:cs="Times New Roman" w:eastAsia="Times New Roman" w:hint="default"/>
                <w:sz w:val="18"/>
                <w:szCs w:val="18"/>
              </w:rPr>
            </w:pPr>
            <w:r>
              <w:rPr>
                <w:rFonts w:ascii="Times New Roman"/>
                <w:sz w:val="18"/>
              </w:rPr>
              <w:t>-172,174,713.66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10,734,788.45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支付的取得子公司的现金净额" w:id="392"/>
      <w:bookmarkEnd w:id="39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本期收到的处置子公司的现金净额" w:id="393"/>
      <w:bookmarkEnd w:id="39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现金和现金等价物的构成" w:id="394"/>
      <w:bookmarkEnd w:id="39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8"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64,431,420.06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236,606,133.72</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其中：库存现金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12,721.20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290,327.54</w:t>
            </w:r>
          </w:p>
        </w:tc>
      </w:tr>
      <w:tr>
        <w:trPr>
          <w:trHeight w:val="399"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3"/>
                <w:sz w:val="18"/>
                <w:szCs w:val="18"/>
              </w:rPr>
              <w:t>可随时用于支付的银行存款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64,418,698.82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236,315,806.18</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三、期末现金及现金等价物余额</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64,431,420.06</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236,606,133.72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0、所有者权益变动表项目注释" w:id="395"/>
      <w:bookmarkEnd w:id="395"/>
      <w:r>
        <w:rPr>
          <w:b w:val="0"/>
          <w:bCs w:val="0"/>
        </w:rPr>
      </w:r>
      <w:r>
        <w:rPr>
          <w:rFonts w:ascii="Times New Roman" w:hAnsi="Times New Roman" w:cs="Times New Roman" w:eastAsia="Times New Roman" w:hint="default"/>
        </w:rPr>
        <w:t>80</w:t>
      </w:r>
      <w:r>
        <w:rPr/>
        <w:t>、所有者权益变动表项目注释</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81、所有权或使用权受到限制的资产" w:id="396"/>
      <w:bookmarkEnd w:id="396"/>
      <w:r>
        <w:rPr>
          <w:b w:val="0"/>
          <w:bCs w:val="0"/>
        </w:rPr>
      </w:r>
      <w:r>
        <w:rPr>
          <w:rFonts w:ascii="Times New Roman" w:hAnsi="Times New Roman" w:cs="Times New Roman" w:eastAsia="Times New Roman" w:hint="default"/>
        </w:rPr>
        <w:t>81</w:t>
      </w:r>
      <w:r>
        <w:rPr/>
        <w:t>、所有权或使用权受到限制的资产</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6"/>
        <w:gridCol w:w="3068"/>
        <w:gridCol w:w="3183"/>
      </w:tblGrid>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9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96,673,340.62</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银行承兑票据保证金、保函保证金等</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22,100,000.00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商业承兑票据质押</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72,313,828.41</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固定资产抵押</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8" w:type="dxa"/>
            <w:tcBorders>
              <w:top w:val="single" w:sz="4" w:space="0" w:color="000000"/>
              <w:left w:val="single" w:sz="8" w:space="0" w:color="D2D2D2"/>
              <w:bottom w:val="single" w:sz="4" w:space="0" w:color="000000"/>
              <w:right w:val="single" w:sz="4" w:space="0" w:color="000000"/>
            </w:tcBorders>
          </w:tcPr>
          <w:p>
            <w:pPr/>
          </w:p>
        </w:tc>
        <w:tc>
          <w:tcPr>
            <w:tcW w:w="31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1,811,928.43</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应收账款质押</w:t>
            </w:r>
          </w:p>
        </w:tc>
      </w:tr>
      <w:tr>
        <w:trPr>
          <w:trHeight w:val="398"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银行承兑票据质押</w:t>
            </w:r>
          </w:p>
        </w:tc>
      </w:tr>
      <w:tr>
        <w:trPr>
          <w:trHeight w:val="403"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w:t>
            </w:r>
          </w:p>
        </w:tc>
        <w:tc>
          <w:tcPr>
            <w:tcW w:w="3068" w:type="dxa"/>
            <w:tcBorders>
              <w:top w:val="single" w:sz="4" w:space="0" w:color="000000"/>
              <w:left w:val="single" w:sz="8" w:space="0" w:color="D2D2D2"/>
              <w:bottom w:val="single" w:sz="4" w:space="0" w:color="000000"/>
              <w:right w:val="single" w:sz="4" w:space="0" w:color="000000"/>
            </w:tcBorders>
          </w:tcPr>
          <w:p>
            <w:pPr>
              <w:pStyle w:val="TableParagraph"/>
              <w:spacing w:line="240" w:lineRule="auto" w:before="53"/>
              <w:ind w:right="17"/>
              <w:jc w:val="right"/>
              <w:rPr>
                <w:rFonts w:ascii="宋体" w:hAnsi="宋体" w:cs="宋体" w:eastAsia="宋体" w:hint="default"/>
                <w:sz w:val="18"/>
                <w:szCs w:val="18"/>
              </w:rPr>
            </w:pPr>
            <w:r>
              <w:rPr>
                <w:rFonts w:ascii="宋体"/>
                <w:spacing w:val="-1"/>
                <w:sz w:val="18"/>
              </w:rPr>
              <w:t>10,000,000.00</w:t>
            </w:r>
          </w:p>
        </w:tc>
        <w:tc>
          <w:tcPr>
            <w:tcW w:w="3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银行承兑票据保证金</w:t>
            </w:r>
          </w:p>
        </w:tc>
      </w:tr>
      <w:tr>
        <w:trPr>
          <w:trHeight w:val="404" w:hRule="exact"/>
        </w:trPr>
        <w:tc>
          <w:tcPr>
            <w:tcW w:w="3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8" w:space="0" w:color="D2D2D2"/>
              <w:bottom w:val="single" w:sz="4" w:space="0" w:color="000000"/>
              <w:right w:val="single" w:sz="10" w:space="0" w:color="D2D2D2"/>
            </w:tcBorders>
          </w:tcPr>
          <w:p>
            <w:pPr>
              <w:pStyle w:val="TableParagraph"/>
              <w:spacing w:line="240" w:lineRule="auto" w:before="54"/>
              <w:ind w:right="10"/>
              <w:jc w:val="right"/>
              <w:rPr>
                <w:rFonts w:ascii="宋体" w:hAnsi="宋体" w:cs="宋体" w:eastAsia="宋体" w:hint="default"/>
                <w:sz w:val="18"/>
                <w:szCs w:val="18"/>
              </w:rPr>
            </w:pPr>
            <w:r>
              <w:rPr>
                <w:rFonts w:ascii="宋体"/>
                <w:spacing w:val="-2"/>
                <w:sz w:val="18"/>
              </w:rPr>
              <w:t>212,899,097.46</w:t>
            </w:r>
          </w:p>
        </w:tc>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2、外币货币性项目" w:id="397"/>
      <w:bookmarkEnd w:id="397"/>
      <w:r>
        <w:rPr>
          <w:b w:val="0"/>
          <w:bCs w:val="0"/>
        </w:rPr>
      </w:r>
      <w:r>
        <w:rPr>
          <w:rFonts w:ascii="Times New Roman" w:hAnsi="Times New Roman" w:cs="Times New Roman" w:eastAsia="Times New Roman" w:hint="default"/>
        </w:rPr>
        <w:t>82</w:t>
      </w:r>
      <w:r>
        <w:rPr/>
        <w:t>、外币货币性项目</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398"/>
      <w:bookmarkEnd w:id="39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94" w:type="dxa"/>
        <w:tblLayout w:type="fixed"/>
        <w:tblCellMar>
          <w:top w:w="0" w:type="dxa"/>
          <w:left w:w="0" w:type="dxa"/>
          <w:bottom w:w="0" w:type="dxa"/>
          <w:right w:w="0" w:type="dxa"/>
        </w:tblCellMar>
        <w:tblLook w:val="01E0"/>
      </w:tblPr>
      <w:tblGrid>
        <w:gridCol w:w="2473"/>
        <w:gridCol w:w="2307"/>
        <w:gridCol w:w="2391"/>
        <w:gridCol w:w="2391"/>
      </w:tblGrid>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1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9"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15,090.29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105,272.88</w:t>
            </w:r>
          </w:p>
        </w:tc>
      </w:tr>
      <w:tr>
        <w:trPr>
          <w:trHeight w:val="399"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6,415,515,800.08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0.000502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3,220,588.93</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泰国铢</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7,055,771.91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0.2328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1,642,481.47</w:t>
            </w:r>
          </w:p>
        </w:tc>
      </w:tr>
      <w:tr>
        <w:trPr>
          <w:trHeight w:val="399"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273,400.00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6.9762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1,907,293.08</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卢比</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28,064,938,000.00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0.000502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14,088,598.88</w:t>
            </w: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7"/>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239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欧元</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2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54" w:right="0"/>
              <w:jc w:val="left"/>
              <w:rPr>
                <w:rFonts w:ascii="宋体" w:hAnsi="宋体" w:cs="宋体" w:eastAsia="宋体" w:hint="default"/>
                <w:sz w:val="18"/>
                <w:szCs w:val="18"/>
              </w:rPr>
            </w:pPr>
            <w:r>
              <w:rPr>
                <w:rFonts w:ascii="宋体" w:hAnsi="宋体" w:cs="宋体" w:eastAsia="宋体" w:hint="default"/>
                <w:spacing w:val="-5"/>
                <w:sz w:val="18"/>
                <w:szCs w:val="18"/>
              </w:rPr>
              <w:t>港币</w:t>
            </w:r>
            <w:r>
              <w:rPr>
                <w:rFonts w:ascii="宋体" w:hAnsi="宋体" w:cs="宋体" w:eastAsia="宋体" w:hint="default"/>
                <w:sz w:val="18"/>
                <w:szCs w:val="18"/>
              </w:rPr>
            </w:r>
          </w:p>
        </w:tc>
        <w:tc>
          <w:tcPr>
            <w:tcW w:w="2307" w:type="dxa"/>
            <w:tcBorders>
              <w:top w:val="single" w:sz="4" w:space="0" w:color="000000"/>
              <w:left w:val="single" w:sz="13"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3" w:type="dxa"/>
            <w:tcBorders>
              <w:top w:val="single" w:sz="4" w:space="0" w:color="000000"/>
              <w:left w:val="single" w:sz="4" w:space="0" w:color="000000"/>
              <w:bottom w:val="single" w:sz="4" w:space="0" w:color="000000"/>
              <w:right w:val="single" w:sz="4" w:space="0" w:color="000000"/>
            </w:tcBorders>
          </w:tcPr>
          <w:p>
            <w:pPr/>
          </w:p>
        </w:tc>
        <w:tc>
          <w:tcPr>
            <w:tcW w:w="2307"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t>其他说明：</w:t>
      </w:r>
    </w:p>
    <w:p>
      <w:pPr>
        <w:spacing w:after="0" w:line="240" w:lineRule="auto"/>
        <w:jc w:val="left"/>
        <w:sectPr>
          <w:pgSz w:w="11910" w:h="16840"/>
          <w:pgMar w:header="871" w:footer="979" w:top="1100" w:bottom="1160" w:left="980" w:right="0"/>
        </w:sectPr>
      </w:pPr>
    </w:p>
    <w:p>
      <w:pPr>
        <w:spacing w:line="240" w:lineRule="auto" w:before="11"/>
        <w:rPr>
          <w:rFonts w:ascii="宋体" w:hAnsi="宋体" w:cs="宋体" w:eastAsia="宋体" w:hint="default"/>
          <w:sz w:val="25"/>
          <w:szCs w:val="25"/>
        </w:rPr>
      </w:pPr>
    </w:p>
    <w:tbl>
      <w:tblPr>
        <w:tblW w:w="0" w:type="auto"/>
        <w:jc w:val="left"/>
        <w:tblInd w:w="177" w:type="dxa"/>
        <w:tblLayout w:type="fixed"/>
        <w:tblCellMar>
          <w:top w:w="0" w:type="dxa"/>
          <w:left w:w="0" w:type="dxa"/>
          <w:bottom w:w="0" w:type="dxa"/>
          <w:right w:w="0" w:type="dxa"/>
        </w:tblCellMar>
        <w:tblLook w:val="01E0"/>
      </w:tblPr>
      <w:tblGrid>
        <w:gridCol w:w="2497"/>
        <w:gridCol w:w="2291"/>
        <w:gridCol w:w="2391"/>
        <w:gridCol w:w="2391"/>
      </w:tblGrid>
      <w:tr>
        <w:trPr>
          <w:trHeight w:val="410" w:hRule="exact"/>
        </w:trPr>
        <w:tc>
          <w:tcPr>
            <w:tcW w:w="2497" w:type="dxa"/>
            <w:tcBorders>
              <w:top w:val="single" w:sz="6" w:space="0" w:color="000000"/>
              <w:left w:val="single" w:sz="6" w:space="0" w:color="000000"/>
              <w:bottom w:val="single" w:sz="10" w:space="0" w:color="000000"/>
              <w:right w:val="single" w:sz="6" w:space="0" w:color="000000"/>
            </w:tcBorders>
            <w:shd w:val="clear" w:color="auto" w:fill="D2D2D2"/>
          </w:tcPr>
          <w:p>
            <w:pPr>
              <w:pStyle w:val="TableParagraph"/>
              <w:spacing w:line="240" w:lineRule="auto" w:before="46"/>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600"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18"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6"/>
              <w:ind w:left="383" w:right="0"/>
              <w:jc w:val="left"/>
              <w:rPr>
                <w:rFonts w:ascii="宋体" w:hAnsi="宋体" w:cs="宋体" w:eastAsia="宋体" w:hint="default"/>
                <w:sz w:val="18"/>
                <w:szCs w:val="18"/>
              </w:rPr>
            </w:pPr>
            <w:r>
              <w:rPr>
                <w:rFonts w:ascii="宋体" w:hAnsi="宋体" w:cs="宋体" w:eastAsia="宋体" w:hint="default"/>
                <w:spacing w:val="-3"/>
                <w:sz w:val="18"/>
                <w:szCs w:val="18"/>
              </w:rPr>
              <w:t>期末折算人民币余额</w:t>
            </w:r>
          </w:p>
        </w:tc>
      </w:tr>
      <w:tr>
        <w:trPr>
          <w:trHeight w:val="427" w:hRule="exact"/>
        </w:trPr>
        <w:tc>
          <w:tcPr>
            <w:tcW w:w="24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28" w:hRule="exact"/>
        </w:trPr>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其中：卢比</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10,112,750.00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0.000502</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5,076.60</w:t>
            </w:r>
          </w:p>
        </w:tc>
      </w:tr>
      <w:tr>
        <w:trPr>
          <w:trHeight w:val="427" w:hRule="exact"/>
        </w:trPr>
        <w:tc>
          <w:tcPr>
            <w:tcW w:w="2497" w:type="dxa"/>
            <w:tcBorders>
              <w:top w:val="single" w:sz="6" w:space="0" w:color="000000"/>
              <w:left w:val="single" w:sz="6" w:space="0" w:color="000000"/>
              <w:bottom w:val="single" w:sz="10"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泰国铢</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191,178.64</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0.2328</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44,503.62</w:t>
            </w:r>
          </w:p>
        </w:tc>
      </w:tr>
      <w:tr>
        <w:trPr>
          <w:trHeight w:val="427" w:hRule="exact"/>
        </w:trPr>
        <w:tc>
          <w:tcPr>
            <w:tcW w:w="24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27" w:hRule="exact"/>
        </w:trPr>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其中：卢比</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5,772,493,300.98</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0.000502</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2,897,791.64</w:t>
            </w:r>
          </w:p>
        </w:tc>
      </w:tr>
      <w:tr>
        <w:trPr>
          <w:trHeight w:val="428" w:hRule="exact"/>
        </w:trPr>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泰国铢</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 w:right="0"/>
              <w:jc w:val="left"/>
              <w:rPr>
                <w:rFonts w:ascii="Times New Roman" w:hAnsi="Times New Roman" w:cs="Times New Roman" w:eastAsia="Times New Roman" w:hint="default"/>
                <w:sz w:val="18"/>
                <w:szCs w:val="18"/>
              </w:rPr>
            </w:pPr>
            <w:r>
              <w:rPr>
                <w:rFonts w:ascii="Times New Roman"/>
                <w:sz w:val="18"/>
              </w:rPr>
              <w:t>130,000.00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9" w:right="0"/>
              <w:jc w:val="left"/>
              <w:rPr>
                <w:rFonts w:ascii="Times New Roman" w:hAnsi="Times New Roman" w:cs="Times New Roman" w:eastAsia="Times New Roman" w:hint="default"/>
                <w:sz w:val="18"/>
                <w:szCs w:val="18"/>
              </w:rPr>
            </w:pPr>
            <w:r>
              <w:rPr>
                <w:rFonts w:ascii="Times New Roman"/>
                <w:sz w:val="18"/>
              </w:rPr>
              <w:t>0.2328</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9"/>
              <w:jc w:val="right"/>
              <w:rPr>
                <w:rFonts w:ascii="Times New Roman" w:hAnsi="Times New Roman" w:cs="Times New Roman" w:eastAsia="Times New Roman" w:hint="default"/>
                <w:sz w:val="18"/>
                <w:szCs w:val="18"/>
              </w:rPr>
            </w:pPr>
            <w:r>
              <w:rPr>
                <w:rFonts w:ascii="Times New Roman"/>
                <w:spacing w:val="-1"/>
                <w:sz w:val="18"/>
              </w:rPr>
              <w:t>30,262.12</w:t>
            </w:r>
          </w:p>
        </w:tc>
      </w:tr>
      <w:tr>
        <w:trPr>
          <w:trHeight w:val="427" w:hRule="exact"/>
        </w:trPr>
        <w:tc>
          <w:tcPr>
            <w:tcW w:w="249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c>
          <w:tcPr>
            <w:tcW w:w="2391" w:type="dxa"/>
            <w:tcBorders>
              <w:top w:val="single" w:sz="6" w:space="0" w:color="000000"/>
              <w:left w:val="single" w:sz="6" w:space="0" w:color="000000"/>
              <w:bottom w:val="single" w:sz="6" w:space="0" w:color="000000"/>
              <w:right w:val="single" w:sz="6" w:space="0" w:color="000000"/>
            </w:tcBorders>
          </w:tcPr>
          <w:p>
            <w:pP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8"/>
              <w:jc w:val="right"/>
              <w:rPr>
                <w:rFonts w:ascii="Times New Roman" w:hAnsi="Times New Roman" w:cs="Times New Roman" w:eastAsia="Times New Roman" w:hint="default"/>
                <w:sz w:val="18"/>
                <w:szCs w:val="18"/>
              </w:rPr>
            </w:pPr>
            <w:r>
              <w:rPr>
                <w:rFonts w:ascii="Times New Roman"/>
                <w:w w:val="101"/>
                <w:sz w:val="18"/>
              </w:rPr>
              <w:t>-</w:t>
            </w:r>
            <w:r>
              <w:rPr>
                <w:rFonts w:ascii="Times New Roman"/>
                <w:sz w:val="18"/>
              </w:rPr>
            </w:r>
          </w:p>
        </w:tc>
      </w:tr>
      <w:tr>
        <w:trPr>
          <w:trHeight w:val="427" w:hRule="exact"/>
        </w:trPr>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其中：泰国铢</w:t>
            </w:r>
          </w:p>
        </w:tc>
        <w:tc>
          <w:tcPr>
            <w:tcW w:w="22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4" w:right="0"/>
              <w:jc w:val="left"/>
              <w:rPr>
                <w:rFonts w:ascii="Times New Roman" w:hAnsi="Times New Roman" w:cs="Times New Roman" w:eastAsia="Times New Roman" w:hint="default"/>
                <w:sz w:val="18"/>
                <w:szCs w:val="18"/>
              </w:rPr>
            </w:pPr>
            <w:r>
              <w:rPr>
                <w:rFonts w:ascii="Times New Roman"/>
                <w:sz w:val="18"/>
              </w:rPr>
              <w:t>635,700.00</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left="9" w:right="0"/>
              <w:jc w:val="left"/>
              <w:rPr>
                <w:rFonts w:ascii="Times New Roman" w:hAnsi="Times New Roman" w:cs="Times New Roman" w:eastAsia="Times New Roman" w:hint="default"/>
                <w:sz w:val="18"/>
                <w:szCs w:val="18"/>
              </w:rPr>
            </w:pPr>
            <w:r>
              <w:rPr>
                <w:rFonts w:ascii="Times New Roman"/>
                <w:sz w:val="18"/>
              </w:rPr>
              <w:t>0.2328</w:t>
            </w:r>
          </w:p>
        </w:tc>
        <w:tc>
          <w:tcPr>
            <w:tcW w:w="23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9"/>
              <w:jc w:val="right"/>
              <w:rPr>
                <w:rFonts w:ascii="Times New Roman" w:hAnsi="Times New Roman" w:cs="Times New Roman" w:eastAsia="Times New Roman" w:hint="default"/>
                <w:sz w:val="18"/>
                <w:szCs w:val="18"/>
              </w:rPr>
            </w:pPr>
            <w:r>
              <w:rPr>
                <w:rFonts w:ascii="Times New Roman"/>
                <w:spacing w:val="-1"/>
                <w:sz w:val="18"/>
              </w:rPr>
              <w:t>147,981.75</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56" w:lineRule="auto" w:before="36"/>
        <w:ind w:right="0"/>
        <w:jc w:val="left"/>
        <w:rPr>
          <w:b w:val="0"/>
          <w:bCs w:val="0"/>
        </w:rPr>
      </w:pPr>
      <w:bookmarkStart w:name="（2）境外经营实体说明，包括对于重要的境外经营实体，应披露其境外主要经营地、记账" w:id="399"/>
      <w:bookmarkEnd w:id="39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6"/>
        </w:rPr>
        <w:t> </w:t>
      </w:r>
      <w:r>
        <w:rPr>
          <w:spacing w:val="-66"/>
        </w:rPr>
      </w:r>
      <w:r>
        <w:rPr/>
        <w:t>依据，记账本位币发生变化的还应披露原因。</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83、套期" w:id="400"/>
      <w:bookmarkEnd w:id="400"/>
      <w:r>
        <w:rPr>
          <w:b w:val="0"/>
          <w:bCs w:val="0"/>
        </w:rPr>
      </w:r>
      <w:r>
        <w:rPr>
          <w:rFonts w:ascii="Times New Roman" w:hAnsi="Times New Roman" w:cs="Times New Roman" w:eastAsia="Times New Roman" w:hint="default"/>
        </w:rPr>
        <w:t>83</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84、政府补助" w:id="401"/>
      <w:bookmarkEnd w:id="401"/>
      <w:r>
        <w:rPr>
          <w:b w:val="0"/>
          <w:bCs w:val="0"/>
        </w:rPr>
      </w:r>
      <w:r>
        <w:rPr>
          <w:rFonts w:ascii="Times New Roman" w:hAnsi="Times New Roman" w:cs="Times New Roman" w:eastAsia="Times New Roman" w:hint="default"/>
        </w:rPr>
        <w:t>84</w:t>
      </w:r>
      <w:r>
        <w:rPr/>
        <w:t>、政府补助</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政府补助基本情况" w:id="402"/>
      <w:bookmarkEnd w:id="40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398"/>
        <w:gridCol w:w="1839"/>
        <w:gridCol w:w="1277"/>
        <w:gridCol w:w="1968"/>
      </w:tblGrid>
      <w:tr>
        <w:trPr>
          <w:trHeight w:val="403" w:hRule="exact"/>
        </w:trPr>
        <w:tc>
          <w:tcPr>
            <w:tcW w:w="4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7" w:right="0"/>
              <w:jc w:val="left"/>
              <w:rPr>
                <w:rFonts w:ascii="宋体" w:hAnsi="宋体" w:cs="宋体" w:eastAsia="宋体" w:hint="default"/>
                <w:sz w:val="18"/>
                <w:szCs w:val="18"/>
              </w:rPr>
            </w:pPr>
            <w:r>
              <w:rPr>
                <w:rFonts w:ascii="宋体" w:hAnsi="宋体" w:cs="宋体" w:eastAsia="宋体" w:hint="default"/>
                <w:spacing w:val="-3"/>
                <w:sz w:val="18"/>
                <w:szCs w:val="18"/>
              </w:rPr>
              <w:t>计入当期损益的金额</w:t>
            </w:r>
          </w:p>
        </w:tc>
      </w:tr>
      <w:tr>
        <w:trPr>
          <w:trHeight w:val="399"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收到天津合纵屋顶光伏项目补助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6,600,000.00</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收到水污染治理专项资金补助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120,000.00</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年第四季度装备补贴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1,173,100.00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1,173,100.00</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年第二季度装备补贴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545,900.00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545,900.00</w:t>
            </w:r>
          </w:p>
        </w:tc>
      </w:tr>
      <w:tr>
        <w:trPr>
          <w:trHeight w:val="399"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收到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年第五批制造强省项目补助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z w:val="18"/>
                <w:szCs w:val="18"/>
              </w:rPr>
              <w:t>收到软件退税收入</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4,617,081.57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收到经开区产业扶持资金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2,661,959.72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收到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年湖南第一批企业研发奖补资金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606,800.00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收到政府补贴</w:t>
            </w:r>
            <w:r>
              <w:rPr>
                <w:rFonts w:ascii="宋体" w:hAnsi="宋体" w:cs="宋体" w:eastAsia="宋体" w:hint="default"/>
                <w:spacing w:val="34"/>
                <w:sz w:val="18"/>
                <w:szCs w:val="18"/>
              </w:rPr>
              <w:t> </w:t>
            </w:r>
            <w:r>
              <w:rPr>
                <w:rFonts w:ascii="宋体" w:hAnsi="宋体" w:cs="宋体" w:eastAsia="宋体" w:hint="default"/>
                <w:spacing w:val="-3"/>
                <w:sz w:val="18"/>
                <w:szCs w:val="18"/>
              </w:rPr>
              <w:t>加工贸易和机电高新补助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收到战略性新兴产业转型升级项目补助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
              <w:jc w:val="right"/>
              <w:rPr>
                <w:rFonts w:ascii="Times New Roman" w:hAnsi="Times New Roman" w:cs="Times New Roman" w:eastAsia="Times New Roman" w:hint="default"/>
                <w:sz w:val="18"/>
                <w:szCs w:val="18"/>
              </w:rPr>
            </w:pPr>
            <w:r>
              <w:rPr>
                <w:rFonts w:ascii="Times New Roman"/>
                <w:spacing w:val="-1"/>
                <w:sz w:val="18"/>
              </w:rPr>
              <w:t>500,000.00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收到高新区管委会运营补贴</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398"/>
        <w:gridCol w:w="1839"/>
        <w:gridCol w:w="1277"/>
        <w:gridCol w:w="1968"/>
      </w:tblGrid>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收到宁乡市工业企业自来水</w:t>
            </w:r>
            <w:r>
              <w:rPr>
                <w:rFonts w:ascii="Times New Roman" w:hAnsi="Times New Roman" w:cs="Times New Roman" w:eastAsia="Times New Roman" w:hint="default"/>
                <w:spacing w:val="-3"/>
                <w:sz w:val="18"/>
                <w:szCs w:val="18"/>
              </w:rPr>
              <w:t>“5  </w:t>
            </w:r>
            <w:r>
              <w:rPr>
                <w:rFonts w:ascii="宋体" w:hAnsi="宋体" w:cs="宋体" w:eastAsia="宋体" w:hint="default"/>
                <w:sz w:val="18"/>
                <w:szCs w:val="18"/>
              </w:rPr>
              <w:t>改</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水价增量部分返还</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349,547.80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收到天津滨海高新区管理委员会融资租赁补助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339,900.00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收到天津滨海高新区管理委员会安全生产补助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收到出口信保扶持补助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282,900.00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收到天津高新区财务管理中心融资租赁政策补助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收到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年企业研发后补助财政奖补资金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251,400.00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收到长沙市认定高新技术企业研发经费补贴资金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收到知识产权质押贷款贴息项目补助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收到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年度工业经济考核评定补助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186,100.00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收到促进企业自主创新转型升级扶持资金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142,500.00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收到天津滨海高新区管理委员会研发项目补助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2"/>
                <w:sz w:val="18"/>
              </w:rPr>
              <w:t>119,641.00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z w:val="18"/>
                <w:szCs w:val="18"/>
              </w:rPr>
              <w:t>收到宁乡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pacing w:val="-3"/>
                <w:sz w:val="18"/>
                <w:szCs w:val="18"/>
              </w:rPr>
              <w:t>企业研发财政补助资金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2"/>
                <w:sz w:val="18"/>
              </w:rPr>
              <w:t>117,800.00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z w:val="18"/>
                <w:szCs w:val="18"/>
              </w:rPr>
              <w:t>收到支持企业发展补助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107,000.00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收到投入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双百企业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奖励金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收到长沙市节能示范单位奖励资金</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100,000.00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15" w:right="0"/>
              <w:jc w:val="left"/>
              <w:rPr>
                <w:rFonts w:ascii="宋体" w:hAnsi="宋体" w:cs="宋体" w:eastAsia="宋体" w:hint="default"/>
                <w:sz w:val="18"/>
                <w:szCs w:val="18"/>
              </w:rPr>
            </w:pPr>
            <w:r>
              <w:rPr>
                <w:rFonts w:ascii="宋体" w:hAnsi="宋体" w:cs="宋体" w:eastAsia="宋体" w:hint="default"/>
                <w:spacing w:val="-3"/>
                <w:sz w:val="18"/>
                <w:szCs w:val="18"/>
              </w:rPr>
              <w:t>收到其他与收益相关补助</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86,977.80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22,082,707.89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9" w:right="0"/>
              <w:jc w:val="left"/>
              <w:rPr>
                <w:rFonts w:ascii="Times New Roman" w:hAnsi="Times New Roman" w:cs="Times New Roman" w:eastAsia="Times New Roman" w:hint="default"/>
                <w:sz w:val="18"/>
                <w:szCs w:val="18"/>
              </w:rPr>
            </w:pPr>
            <w:r>
              <w:rPr>
                <w:rFonts w:ascii="Times New Roman"/>
                <w:sz w:val="18"/>
              </w:rPr>
              <w:t>9,639,000.00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政府补助退回情况" w:id="403"/>
      <w:bookmarkEnd w:id="40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85、其他" w:id="404"/>
      <w:bookmarkEnd w:id="404"/>
      <w:r>
        <w:rPr>
          <w:b w:val="0"/>
          <w:bCs w:val="0"/>
        </w:rPr>
      </w:r>
      <w:r>
        <w:rPr>
          <w:rFonts w:ascii="Times New Roman" w:hAnsi="Times New Roman" w:cs="Times New Roman" w:eastAsia="Times New Roman" w:hint="default"/>
        </w:rPr>
        <w:t>85</w:t>
      </w:r>
      <w:r>
        <w:rPr/>
        <w:t>、其他</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5"/>
        <w:rPr>
          <w:rFonts w:ascii="宋体" w:hAnsi="宋体" w:cs="宋体" w:eastAsia="宋体" w:hint="default"/>
          <w:sz w:val="24"/>
          <w:szCs w:val="24"/>
        </w:rPr>
      </w:pPr>
    </w:p>
    <w:p>
      <w:pPr>
        <w:spacing w:line="511" w:lineRule="auto" w:before="0"/>
        <w:ind w:left="153" w:right="8326" w:firstLine="0"/>
        <w:jc w:val="left"/>
        <w:rPr>
          <w:rFonts w:ascii="宋体" w:hAnsi="宋体" w:cs="宋体" w:eastAsia="宋体" w:hint="default"/>
          <w:sz w:val="18"/>
          <w:szCs w:val="18"/>
        </w:rPr>
      </w:pPr>
      <w:bookmarkStart w:name="八、合并范围的变更" w:id="405"/>
      <w:bookmarkEnd w:id="405"/>
      <w:r>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6"/>
      <w:bookmarkEnd w:id="40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b/>
          <w:bCs/>
          <w:spacing w:val="-102"/>
          <w:sz w:val="21"/>
          <w:szCs w:val="21"/>
        </w:rPr>
        <w:t> </w:t>
      </w:r>
      <w:r>
        <w:rPr>
          <w:rFonts w:ascii="宋体" w:hAnsi="宋体" w:cs="宋体" w:eastAsia="宋体" w:hint="default"/>
          <w:sz w:val="18"/>
          <w:szCs w:val="18"/>
        </w:rPr>
        <w:t>无</w:t>
      </w:r>
    </w:p>
    <w:p>
      <w:pPr>
        <w:pStyle w:val="Heading3"/>
        <w:spacing w:line="240" w:lineRule="auto" w:before="145"/>
        <w:ind w:right="0"/>
        <w:jc w:val="left"/>
        <w:rPr>
          <w:b w:val="0"/>
          <w:bCs w:val="0"/>
        </w:rPr>
      </w:pPr>
      <w:bookmarkStart w:name="2、同一控制下企业合并" w:id="407"/>
      <w:bookmarkEnd w:id="40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反向购买" w:id="408"/>
      <w:bookmarkEnd w:id="40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r>
        <w:rPr/>
        <w:pict>
          <v:group style="position:absolute;margin-left:364.220001pt;margin-top:694.269958pt;width:56.45pt;height:28pt;mso-position-horizontal-relative:page;mso-position-vertical-relative:page;z-index:-1057312" coordorigin="7284,13885" coordsize="1129,560">
            <v:group style="position:absolute;left:7284;top:13885;width:1129;height:159" coordorigin="7284,13885" coordsize="1129,159">
              <v:shape style="position:absolute;left:7284;top:13885;width:1129;height:159" coordorigin="7284,13885" coordsize="1129,159" path="m7284,14044l8413,14044,8413,13885,7284,13885,7284,14044xe" filled="true" fillcolor="#ffffff" stroked="false">
                <v:path arrowok="t"/>
                <v:fill type="solid"/>
              </v:shape>
            </v:group>
            <v:group style="position:absolute;left:7296;top:14044;width:2;height:390" coordorigin="7296,14044" coordsize="2,390">
              <v:shape style="position:absolute;left:7296;top:14044;width:2;height:390" coordorigin="7296,14044" coordsize="0,390" path="m7296,14044l7296,14433e" filled="false" stroked="true" strokeweight="1.2pt" strokecolor="#ffffff">
                <v:path arrowok="t"/>
              </v:shape>
            </v:group>
            <v:group style="position:absolute;left:7308;top:14044;width:1081;height:390" coordorigin="7308,14044" coordsize="1081,390">
              <v:shape style="position:absolute;left:7308;top:14044;width:1081;height:390" coordorigin="7308,14044" coordsize="1081,390" path="m7308,14433l8389,14433,8389,14044,7308,14044,7308,14433xe" filled="true" fillcolor="#ffffff" stroked="false">
                <v:path arrowok="t"/>
                <v:fill type="solid"/>
              </v:shape>
            </v:group>
            <w10:wrap type="none"/>
          </v:group>
        </w:pict>
      </w:r>
    </w:p>
    <w:p>
      <w:pPr>
        <w:pStyle w:val="Heading3"/>
        <w:spacing w:line="240" w:lineRule="auto" w:before="36"/>
        <w:ind w:right="0"/>
        <w:jc w:val="left"/>
        <w:rPr>
          <w:b w:val="0"/>
          <w:bCs w:val="0"/>
        </w:rPr>
      </w:pPr>
      <w:bookmarkStart w:name="4、处置子公司" w:id="409"/>
      <w:bookmarkEnd w:id="40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5、其他原因的合并范围变动" w:id="410"/>
      <w:bookmarkEnd w:id="41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说明其他原因导致的合并范围变动（如，新设子公司、清算子公司等）及其相关情况：</w:t>
      </w:r>
    </w:p>
    <w:p>
      <w:pPr>
        <w:pStyle w:val="BodyText"/>
        <w:spacing w:line="240" w:lineRule="auto" w:before="110"/>
        <w:ind w:right="0"/>
        <w:jc w:val="left"/>
      </w:pPr>
      <w:r>
        <w:rPr>
          <w:spacing w:val="-3"/>
        </w:rPr>
        <w:t>（</w:t>
      </w:r>
      <w:r>
        <w:rPr>
          <w:rFonts w:ascii="Times New Roman" w:hAnsi="Times New Roman" w:cs="Times New Roman" w:eastAsia="Times New Roman" w:hint="default"/>
          <w:spacing w:val="-3"/>
        </w:rPr>
        <w:t>1</w:t>
      </w:r>
      <w:r>
        <w:rPr>
          <w:spacing w:val="-3"/>
        </w:rPr>
        <w:t>）本公司于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28</w:t>
      </w:r>
      <w:r>
        <w:rPr>
          <w:spacing w:val="-3"/>
        </w:rPr>
        <w:t>日新设立子公司合纵智豐科技有限公司。</w:t>
      </w:r>
    </w:p>
    <w:p>
      <w:pPr>
        <w:spacing w:line="240" w:lineRule="auto" w:before="13"/>
        <w:rPr>
          <w:rFonts w:ascii="宋体" w:hAnsi="宋体" w:cs="宋体" w:eastAsia="宋体" w:hint="default"/>
          <w:sz w:val="3"/>
          <w:szCs w:val="3"/>
        </w:rPr>
      </w:pPr>
    </w:p>
    <w:tbl>
      <w:tblPr>
        <w:tblW w:w="0" w:type="auto"/>
        <w:jc w:val="left"/>
        <w:tblInd w:w="244" w:type="dxa"/>
        <w:tblLayout w:type="fixed"/>
        <w:tblCellMar>
          <w:top w:w="0" w:type="dxa"/>
          <w:left w:w="0" w:type="dxa"/>
          <w:bottom w:w="0" w:type="dxa"/>
          <w:right w:w="0" w:type="dxa"/>
        </w:tblCellMar>
        <w:tblLook w:val="01E0"/>
      </w:tblPr>
      <w:tblGrid>
        <w:gridCol w:w="2425"/>
        <w:gridCol w:w="2127"/>
        <w:gridCol w:w="1700"/>
        <w:gridCol w:w="2444"/>
      </w:tblGrid>
      <w:tr>
        <w:trPr>
          <w:trHeight w:val="423" w:hRule="exact"/>
        </w:trPr>
        <w:tc>
          <w:tcPr>
            <w:tcW w:w="24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8"/>
              <w:ind w:left="758"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21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8"/>
              <w:ind w:left="3"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7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8"/>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244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8"/>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22"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合纵智豐科技有限公司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宋体" w:hAnsi="宋体" w:cs="宋体" w:eastAsia="宋体" w:hint="default"/>
                <w:sz w:val="18"/>
                <w:szCs w:val="18"/>
              </w:rPr>
              <w:t>万泰国铢</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51.00</w:t>
            </w:r>
          </w:p>
        </w:tc>
      </w:tr>
    </w:tbl>
    <w:p>
      <w:pPr>
        <w:pStyle w:val="BodyText"/>
        <w:spacing w:line="240" w:lineRule="auto" w:before="53"/>
        <w:ind w:right="0"/>
        <w:jc w:val="left"/>
      </w:pPr>
      <w:r>
        <w:rPr>
          <w:spacing w:val="-3"/>
        </w:rPr>
        <w:t>（</w:t>
      </w:r>
      <w:r>
        <w:rPr>
          <w:rFonts w:ascii="Times New Roman" w:hAnsi="Times New Roman" w:cs="Times New Roman" w:eastAsia="Times New Roman" w:hint="default"/>
          <w:spacing w:val="-3"/>
        </w:rPr>
        <w:t>2</w:t>
      </w:r>
      <w:r>
        <w:rPr>
          <w:spacing w:val="-3"/>
        </w:rPr>
        <w:t>）本公司于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9</w:t>
      </w:r>
      <w:r>
        <w:rPr>
          <w:spacing w:val="-3"/>
        </w:rPr>
        <w:t>月</w:t>
      </w:r>
      <w:r>
        <w:rPr>
          <w:rFonts w:ascii="Times New Roman" w:hAnsi="Times New Roman" w:cs="Times New Roman" w:eastAsia="Times New Roman" w:hint="default"/>
          <w:spacing w:val="-3"/>
        </w:rPr>
        <w:t>12</w:t>
      </w:r>
      <w:r>
        <w:rPr>
          <w:spacing w:val="-3"/>
        </w:rPr>
        <w:t>日新设立子公司上海合纵电力物联网科技有限公司。</w:t>
      </w:r>
    </w:p>
    <w:p>
      <w:pPr>
        <w:spacing w:line="240" w:lineRule="auto" w:before="13"/>
        <w:rPr>
          <w:rFonts w:ascii="宋体" w:hAnsi="宋体" w:cs="宋体" w:eastAsia="宋体" w:hint="default"/>
          <w:sz w:val="3"/>
          <w:szCs w:val="3"/>
        </w:rPr>
      </w:pPr>
    </w:p>
    <w:tbl>
      <w:tblPr>
        <w:tblW w:w="0" w:type="auto"/>
        <w:jc w:val="left"/>
        <w:tblInd w:w="244" w:type="dxa"/>
        <w:tblLayout w:type="fixed"/>
        <w:tblCellMar>
          <w:top w:w="0" w:type="dxa"/>
          <w:left w:w="0" w:type="dxa"/>
          <w:bottom w:w="0" w:type="dxa"/>
          <w:right w:w="0" w:type="dxa"/>
        </w:tblCellMar>
        <w:tblLook w:val="01E0"/>
      </w:tblPr>
      <w:tblGrid>
        <w:gridCol w:w="3025"/>
        <w:gridCol w:w="2127"/>
        <w:gridCol w:w="1700"/>
        <w:gridCol w:w="1844"/>
      </w:tblGrid>
      <w:tr>
        <w:trPr>
          <w:trHeight w:val="422" w:hRule="exact"/>
        </w:trPr>
        <w:tc>
          <w:tcPr>
            <w:tcW w:w="3025"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127"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3"/>
              <w:ind w:left="5" w:right="0"/>
              <w:jc w:val="center"/>
              <w:rPr>
                <w:rFonts w:ascii="宋体" w:hAnsi="宋体" w:cs="宋体" w:eastAsia="宋体" w:hint="default"/>
                <w:sz w:val="18"/>
                <w:szCs w:val="18"/>
              </w:rPr>
            </w:pPr>
            <w:r>
              <w:rPr>
                <w:rFonts w:ascii="宋体" w:hAnsi="宋体" w:cs="宋体" w:eastAsia="宋体" w:hint="default"/>
                <w:sz w:val="18"/>
                <w:szCs w:val="18"/>
              </w:rPr>
              <w:t>股权取得方式</w:t>
            </w:r>
          </w:p>
        </w:tc>
        <w:tc>
          <w:tcPr>
            <w:tcW w:w="1700"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844" w:type="dxa"/>
            <w:tcBorders>
              <w:top w:val="single" w:sz="4" w:space="0" w:color="000000"/>
              <w:left w:val="single" w:sz="4" w:space="0" w:color="000000"/>
              <w:bottom w:val="single" w:sz="4" w:space="0" w:color="000000"/>
              <w:right w:val="single" w:sz="4" w:space="0" w:color="000000"/>
            </w:tcBorders>
            <w:shd w:val="clear" w:color="auto" w:fill="DDDDDD"/>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pacing w:val="-3"/>
                <w:sz w:val="18"/>
                <w:szCs w:val="18"/>
              </w:rPr>
              <w:t>持股比例（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p>
        </w:tc>
      </w:tr>
      <w:tr>
        <w:trPr>
          <w:trHeight w:val="423" w:hRule="exact"/>
        </w:trPr>
        <w:tc>
          <w:tcPr>
            <w:tcW w:w="3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pacing w:val="-3"/>
                <w:sz w:val="18"/>
                <w:szCs w:val="18"/>
              </w:rPr>
              <w:t>上海合纵电力物联网科技有限公司</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投资设立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万元人民币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36"/>
        <w:ind w:right="0"/>
        <w:jc w:val="left"/>
        <w:rPr>
          <w:b w:val="0"/>
          <w:bCs w:val="0"/>
        </w:rPr>
      </w:pPr>
      <w:bookmarkStart w:name="6、其他" w:id="411"/>
      <w:bookmarkEnd w:id="411"/>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九、在其他主体中的权益" w:id="412"/>
      <w:bookmarkEnd w:id="412"/>
      <w:r>
        <w:rPr>
          <w:b w:val="0"/>
          <w:bCs w:val="0"/>
        </w:rPr>
      </w:r>
      <w:r>
        <w:rPr/>
        <w:t>九、在其他主体中的权益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在子公司中的权益" w:id="413"/>
      <w:bookmarkEnd w:id="413"/>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414"/>
      <w:bookmarkEnd w:id="41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271"/>
        <w:gridCol w:w="1133"/>
        <w:gridCol w:w="989"/>
        <w:gridCol w:w="1753"/>
        <w:gridCol w:w="266"/>
        <w:gridCol w:w="867"/>
        <w:gridCol w:w="763"/>
        <w:gridCol w:w="1364"/>
      </w:tblGrid>
      <w:tr>
        <w:trPr>
          <w:trHeight w:val="403" w:hRule="exact"/>
        </w:trPr>
        <w:tc>
          <w:tcPr>
            <w:tcW w:w="22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11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8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8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398" w:hRule="exact"/>
        </w:trPr>
        <w:tc>
          <w:tcPr>
            <w:tcW w:w="2271"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89" w:type="dxa"/>
            <w:vMerge/>
            <w:tcBorders>
              <w:left w:val="single" w:sz="4" w:space="0" w:color="000000"/>
              <w:bottom w:val="single" w:sz="4" w:space="0" w:color="000000"/>
              <w:right w:val="single" w:sz="4" w:space="0" w:color="000000"/>
            </w:tcBorders>
            <w:shd w:val="clear" w:color="auto" w:fill="D2D2D2"/>
          </w:tcPr>
          <w:p>
            <w:pPr/>
          </w:p>
        </w:tc>
        <w:tc>
          <w:tcPr>
            <w:tcW w:w="1753" w:type="dxa"/>
            <w:vMerge/>
            <w:tcBorders>
              <w:left w:val="single" w:sz="4" w:space="0" w:color="000000"/>
              <w:bottom w:val="single" w:sz="4" w:space="0" w:color="000000"/>
              <w:right w:val="single" w:sz="4" w:space="0" w:color="000000"/>
            </w:tcBorders>
            <w:shd w:val="clear" w:color="auto" w:fill="D2D2D2"/>
          </w:tcPr>
          <w:p>
            <w:pPr/>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01"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36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8"/>
              <w:ind w:left="24" w:right="70"/>
              <w:jc w:val="left"/>
              <w:rPr>
                <w:rFonts w:ascii="宋体" w:hAnsi="宋体" w:cs="宋体" w:eastAsia="宋体" w:hint="default"/>
                <w:sz w:val="18"/>
                <w:szCs w:val="18"/>
              </w:rPr>
            </w:pPr>
            <w:r>
              <w:rPr>
                <w:rFonts w:ascii="宋体" w:hAnsi="宋体" w:cs="宋体" w:eastAsia="宋体" w:hint="default"/>
                <w:spacing w:val="-3"/>
                <w:sz w:val="18"/>
                <w:szCs w:val="18"/>
              </w:rPr>
              <w:t>北京合纵实科电力科技有限</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电力设备生产销售</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天津合纵电力设备有限公司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输配电设备生产销售</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60"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湖南雅城新材料有限公司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长沙市</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4"/>
              <w:jc w:val="left"/>
              <w:rPr>
                <w:rFonts w:ascii="宋体" w:hAnsi="宋体" w:cs="宋体" w:eastAsia="宋体" w:hint="default"/>
                <w:sz w:val="18"/>
                <w:szCs w:val="18"/>
              </w:rPr>
            </w:pPr>
            <w:r>
              <w:rPr>
                <w:rFonts w:ascii="宋体" w:hAnsi="宋体" w:cs="宋体" w:eastAsia="宋体" w:hint="default"/>
                <w:spacing w:val="-3"/>
                <w:sz w:val="18"/>
                <w:szCs w:val="18"/>
              </w:rPr>
              <w:t>电子新材料的研发、</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制造、销售</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65"/>
              <w:jc w:val="left"/>
              <w:rPr>
                <w:rFonts w:ascii="宋体" w:hAnsi="宋体" w:cs="宋体" w:eastAsia="宋体" w:hint="default"/>
                <w:sz w:val="18"/>
                <w:szCs w:val="18"/>
              </w:rPr>
            </w:pPr>
            <w:r>
              <w:rPr>
                <w:rFonts w:ascii="宋体" w:hAnsi="宋体" w:cs="宋体" w:eastAsia="宋体" w:hint="default"/>
                <w:spacing w:val="-3"/>
                <w:sz w:val="18"/>
                <w:szCs w:val="18"/>
              </w:rPr>
              <w:t>非同一控制下的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企业合并</w:t>
            </w:r>
          </w:p>
        </w:tc>
      </w:tr>
      <w:tr>
        <w:trPr>
          <w:trHeight w:val="71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江苏鹏创电力设计有限公司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94"/>
              <w:jc w:val="left"/>
              <w:rPr>
                <w:rFonts w:ascii="宋体" w:hAnsi="宋体" w:cs="宋体" w:eastAsia="宋体" w:hint="default"/>
                <w:sz w:val="18"/>
                <w:szCs w:val="18"/>
              </w:rPr>
            </w:pPr>
            <w:r>
              <w:rPr>
                <w:rFonts w:ascii="宋体" w:hAnsi="宋体" w:cs="宋体" w:eastAsia="宋体" w:hint="default"/>
                <w:spacing w:val="-3"/>
                <w:sz w:val="18"/>
                <w:szCs w:val="18"/>
              </w:rPr>
              <w:t>电力设计、勘察、测</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量及咨询服务</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460"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3" w:right="65"/>
              <w:jc w:val="left"/>
              <w:rPr>
                <w:rFonts w:ascii="宋体" w:hAnsi="宋体" w:cs="宋体" w:eastAsia="宋体" w:hint="default"/>
                <w:sz w:val="18"/>
                <w:szCs w:val="18"/>
              </w:rPr>
            </w:pPr>
            <w:r>
              <w:rPr>
                <w:rFonts w:ascii="宋体" w:hAnsi="宋体" w:cs="宋体" w:eastAsia="宋体" w:hint="default"/>
                <w:spacing w:val="-3"/>
                <w:sz w:val="18"/>
                <w:szCs w:val="18"/>
              </w:rPr>
              <w:t>非同一控制下的</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企业合并</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印尼合纵电气有限公司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印尼</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电力设备生产销售</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7" w:right="0"/>
              <w:jc w:val="left"/>
              <w:rPr>
                <w:rFonts w:ascii="Times New Roman" w:hAnsi="Times New Roman" w:cs="Times New Roman" w:eastAsia="Times New Roman" w:hint="default"/>
                <w:sz w:val="18"/>
                <w:szCs w:val="18"/>
              </w:rPr>
            </w:pPr>
            <w:r>
              <w:rPr>
                <w:rFonts w:ascii="Times New Roman"/>
                <w:sz w:val="18"/>
              </w:rPr>
              <w:t>51.00%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合纵智豐科技有限公司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泰国</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电力设备生产销售</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47" w:right="0"/>
              <w:jc w:val="left"/>
              <w:rPr>
                <w:rFonts w:ascii="Times New Roman" w:hAnsi="Times New Roman" w:cs="Times New Roman" w:eastAsia="Times New Roman" w:hint="default"/>
                <w:sz w:val="18"/>
                <w:szCs w:val="18"/>
              </w:rPr>
            </w:pPr>
            <w:r>
              <w:rPr>
                <w:rFonts w:ascii="Times New Roman"/>
                <w:sz w:val="18"/>
              </w:rPr>
              <w:t>51.00%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6"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0"/>
              <w:jc w:val="left"/>
              <w:rPr>
                <w:rFonts w:ascii="宋体" w:hAnsi="宋体" w:cs="宋体" w:eastAsia="宋体" w:hint="default"/>
                <w:sz w:val="18"/>
                <w:szCs w:val="18"/>
              </w:rPr>
            </w:pPr>
            <w:r>
              <w:rPr>
                <w:rFonts w:ascii="宋体" w:hAnsi="宋体" w:cs="宋体" w:eastAsia="宋体" w:hint="default"/>
                <w:spacing w:val="-3"/>
                <w:sz w:val="18"/>
                <w:szCs w:val="18"/>
              </w:rPr>
              <w:t>上海合纵电力物联网科技有</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08"/>
              <w:jc w:val="left"/>
              <w:rPr>
                <w:rFonts w:ascii="宋体" w:hAnsi="宋体" w:cs="宋体" w:eastAsia="宋体" w:hint="default"/>
                <w:sz w:val="18"/>
                <w:szCs w:val="18"/>
              </w:rPr>
            </w:pPr>
            <w:r>
              <w:rPr>
                <w:rFonts w:ascii="宋体" w:hAnsi="宋体" w:cs="宋体" w:eastAsia="宋体" w:hint="default"/>
                <w:spacing w:val="-4"/>
                <w:sz w:val="18"/>
                <w:szCs w:val="18"/>
              </w:rPr>
              <w:t>技术开发、技术咨询</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技术服务</w:t>
            </w:r>
          </w:p>
        </w:tc>
        <w:tc>
          <w:tcPr>
            <w:tcW w:w="2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3"/>
              <w:ind w:left="-121" w:right="0"/>
              <w:jc w:val="left"/>
              <w:rPr>
                <w:rFonts w:ascii="宋体" w:hAnsi="宋体" w:cs="宋体" w:eastAsia="宋体" w:hint="default"/>
                <w:sz w:val="18"/>
                <w:szCs w:val="18"/>
              </w:rPr>
            </w:pPr>
            <w:r>
              <w:rPr>
                <w:rFonts w:ascii="宋体" w:hAnsi="宋体" w:cs="宋体" w:eastAsia="宋体" w:hint="default"/>
                <w:w w:val="101"/>
                <w:sz w:val="18"/>
                <w:szCs w:val="18"/>
              </w:rPr>
              <w:t>、</w:t>
            </w:r>
            <w:r>
              <w:rPr>
                <w:rFonts w:ascii="宋体" w:hAnsi="宋体" w:cs="宋体" w:eastAsia="宋体" w:hint="default"/>
                <w:sz w:val="18"/>
                <w:szCs w:val="18"/>
              </w:rPr>
            </w:r>
          </w:p>
        </w:tc>
        <w:tc>
          <w:tcPr>
            <w:tcW w:w="86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199"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b/>
          <w:bCs/>
          <w:sz w:val="21"/>
          <w:szCs w:val="21"/>
        </w:rPr>
      </w:pPr>
    </w:p>
    <w:p>
      <w:pPr>
        <w:pStyle w:val="Heading3"/>
        <w:spacing w:line="240" w:lineRule="auto" w:before="36"/>
        <w:ind w:right="0"/>
        <w:jc w:val="left"/>
        <w:rPr>
          <w:b w:val="0"/>
          <w:bCs w:val="0"/>
        </w:rPr>
      </w:pPr>
      <w:bookmarkStart w:name="（2）重要的非全资子公司" w:id="415"/>
      <w:bookmarkEnd w:id="41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772"/>
        <w:gridCol w:w="1916"/>
        <w:gridCol w:w="1911"/>
        <w:gridCol w:w="1916"/>
      </w:tblGrid>
      <w:tr>
        <w:trPr>
          <w:trHeight w:val="76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8"/>
              <w:ind w:left="772" w:right="46" w:hanging="720"/>
              <w:jc w:val="left"/>
              <w:rPr>
                <w:rFonts w:ascii="宋体" w:hAnsi="宋体" w:cs="宋体" w:eastAsia="宋体" w:hint="default"/>
                <w:sz w:val="18"/>
                <w:szCs w:val="18"/>
              </w:rPr>
            </w:pPr>
            <w:r>
              <w:rPr>
                <w:rFonts w:ascii="宋体" w:hAnsi="宋体" w:cs="宋体" w:eastAsia="宋体" w:hint="default"/>
                <w:spacing w:val="-2"/>
                <w:sz w:val="18"/>
                <w:szCs w:val="18"/>
              </w:rPr>
              <w:t>本期归属于少数股东的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损益</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78"/>
              <w:ind w:left="590" w:right="41" w:hanging="538"/>
              <w:jc w:val="left"/>
              <w:rPr>
                <w:rFonts w:ascii="宋体" w:hAnsi="宋体" w:cs="宋体" w:eastAsia="宋体" w:hint="default"/>
                <w:sz w:val="18"/>
                <w:szCs w:val="18"/>
              </w:rPr>
            </w:pPr>
            <w:r>
              <w:rPr>
                <w:rFonts w:ascii="宋体" w:hAnsi="宋体" w:cs="宋体" w:eastAsia="宋体" w:hint="default"/>
                <w:spacing w:val="-2"/>
                <w:sz w:val="18"/>
                <w:szCs w:val="18"/>
              </w:rPr>
              <w:t>本期向少数股东宣告分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pacing w:val="-2"/>
                <w:sz w:val="18"/>
                <w:szCs w:val="18"/>
              </w:rPr>
              <w:t>期末少数股东权益余额</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印尼合纵电气有限公司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-163,861.40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904,548.65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1"/>
              <w:jc w:val="center"/>
              <w:rPr>
                <w:rFonts w:ascii="宋体" w:hAnsi="宋体" w:cs="宋体" w:eastAsia="宋体" w:hint="default"/>
                <w:sz w:val="18"/>
                <w:szCs w:val="18"/>
              </w:rPr>
            </w:pPr>
            <w:r>
              <w:rPr>
                <w:rFonts w:ascii="宋体" w:hAnsi="宋体" w:cs="宋体" w:eastAsia="宋体" w:hint="default"/>
                <w:sz w:val="18"/>
                <w:szCs w:val="18"/>
              </w:rPr>
              <w:t>合纵智豐科技有限公司</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-287,847.92</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837,941.09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重要非全资子公司的主要财务信息" w:id="416"/>
      <w:bookmarkEnd w:id="41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40"/>
        <w:gridCol w:w="735"/>
        <w:gridCol w:w="734"/>
        <w:gridCol w:w="740"/>
        <w:gridCol w:w="734"/>
        <w:gridCol w:w="735"/>
        <w:gridCol w:w="735"/>
        <w:gridCol w:w="734"/>
        <w:gridCol w:w="735"/>
        <w:gridCol w:w="739"/>
        <w:gridCol w:w="735"/>
        <w:gridCol w:w="739"/>
      </w:tblGrid>
      <w:tr>
        <w:trPr>
          <w:trHeight w:val="401" w:hRule="exact"/>
        </w:trPr>
        <w:tc>
          <w:tcPr>
            <w:tcW w:w="7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24" w:lineRule="auto"/>
              <w:ind w:left="182" w:right="84" w:hanging="87"/>
              <w:jc w:val="left"/>
              <w:rPr>
                <w:rFonts w:ascii="宋体" w:hAnsi="宋体" w:cs="宋体" w:eastAsia="宋体" w:hint="default"/>
                <w:sz w:val="18"/>
                <w:szCs w:val="18"/>
              </w:rPr>
            </w:pPr>
            <w:r>
              <w:rPr>
                <w:rFonts w:ascii="宋体" w:hAnsi="宋体" w:cs="宋体" w:eastAsia="宋体" w:hint="default"/>
                <w:sz w:val="18"/>
                <w:szCs w:val="18"/>
              </w:rPr>
              <w:t>子公司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441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7"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6" w:hRule="exact"/>
        </w:trPr>
        <w:tc>
          <w:tcPr>
            <w:tcW w:w="734" w:type="dxa"/>
            <w:vMerge/>
            <w:tcBorders>
              <w:left w:val="single" w:sz="4" w:space="0" w:color="000000"/>
              <w:bottom w:val="single" w:sz="4" w:space="0" w:color="000000"/>
              <w:right w:val="single" w:sz="4" w:space="0" w:color="000000"/>
            </w:tcBorders>
            <w:shd w:val="clear" w:color="auto" w:fill="D2D2D2"/>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4" w:right="89" w:hanging="178"/>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4" w:hanging="178"/>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83"/>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83"/>
              <w:jc w:val="left"/>
              <w:rPr>
                <w:rFonts w:ascii="宋体" w:hAnsi="宋体" w:cs="宋体" w:eastAsia="宋体" w:hint="default"/>
                <w:sz w:val="18"/>
                <w:szCs w:val="18"/>
              </w:rPr>
            </w:pPr>
            <w:r>
              <w:rPr>
                <w:rFonts w:ascii="宋体" w:hAnsi="宋体" w:cs="宋体" w:eastAsia="宋体" w:hint="default"/>
                <w:sz w:val="18"/>
                <w:szCs w:val="18"/>
              </w:rPr>
              <w:t>流动资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82" w:right="89" w:hanging="92"/>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83"/>
              <w:jc w:val="left"/>
              <w:rPr>
                <w:rFonts w:ascii="宋体" w:hAnsi="宋体" w:cs="宋体" w:eastAsia="宋体" w:hint="default"/>
                <w:sz w:val="18"/>
                <w:szCs w:val="18"/>
              </w:rPr>
            </w:pPr>
            <w:r>
              <w:rPr>
                <w:rFonts w:ascii="宋体" w:hAnsi="宋体" w:cs="宋体" w:eastAsia="宋体" w:hint="default"/>
                <w:sz w:val="18"/>
                <w:szCs w:val="18"/>
              </w:rPr>
              <w:t>资产合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78"/>
              <w:jc w:val="left"/>
              <w:rPr>
                <w:rFonts w:ascii="宋体" w:hAnsi="宋体" w:cs="宋体" w:eastAsia="宋体" w:hint="default"/>
                <w:sz w:val="18"/>
                <w:szCs w:val="18"/>
              </w:rPr>
            </w:pPr>
            <w:r>
              <w:rPr>
                <w:rFonts w:ascii="宋体" w:hAnsi="宋体" w:cs="宋体" w:eastAsia="宋体" w:hint="default"/>
                <w:sz w:val="18"/>
                <w:szCs w:val="18"/>
              </w:rPr>
              <w:t>流动负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182" w:right="84" w:hanging="87"/>
              <w:jc w:val="left"/>
              <w:rPr>
                <w:rFonts w:ascii="宋体" w:hAnsi="宋体" w:cs="宋体" w:eastAsia="宋体" w:hint="default"/>
                <w:sz w:val="18"/>
                <w:szCs w:val="18"/>
              </w:rPr>
            </w:pPr>
            <w:r>
              <w:rPr>
                <w:rFonts w:ascii="宋体" w:hAnsi="宋体" w:cs="宋体" w:eastAsia="宋体" w:hint="default"/>
                <w:sz w:val="18"/>
                <w:szCs w:val="18"/>
              </w:rPr>
              <w:t>非流动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负债</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73" w:right="89" w:hanging="178"/>
              <w:jc w:val="left"/>
              <w:rPr>
                <w:rFonts w:ascii="宋体" w:hAnsi="宋体" w:cs="宋体" w:eastAsia="宋体" w:hint="default"/>
                <w:sz w:val="18"/>
                <w:szCs w:val="18"/>
              </w:rPr>
            </w:pPr>
            <w:r>
              <w:rPr>
                <w:rFonts w:ascii="宋体" w:hAnsi="宋体" w:cs="宋体" w:eastAsia="宋体" w:hint="default"/>
                <w:sz w:val="18"/>
                <w:szCs w:val="18"/>
              </w:rPr>
              <w:t>负债合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w:t>
            </w:r>
          </w:p>
        </w:tc>
      </w:tr>
      <w:tr>
        <w:trPr>
          <w:trHeight w:val="1340"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印尼合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纵电气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19,141,3</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26.06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849,906.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pacing w:val="-5"/>
                <w:sz w:val="18"/>
              </w:rPr>
              <w:t>11</w:t>
            </w:r>
            <w:r>
              <w:rPr>
                <w:rFonts w:ascii="Times New Roman"/>
                <w:sz w:val="18"/>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19,991,2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32.17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18,145,2</w:t>
            </w:r>
          </w:p>
          <w:p>
            <w:pPr>
              <w:pStyle w:val="TableParagraph"/>
              <w:spacing w:line="240" w:lineRule="auto" w:before="105"/>
              <w:ind w:left="302" w:right="0"/>
              <w:jc w:val="left"/>
              <w:rPr>
                <w:rFonts w:ascii="Times New Roman" w:hAnsi="Times New Roman" w:cs="Times New Roman" w:eastAsia="Times New Roman" w:hint="default"/>
                <w:sz w:val="18"/>
                <w:szCs w:val="18"/>
              </w:rPr>
            </w:pPr>
            <w:r>
              <w:rPr>
                <w:rFonts w:ascii="Times New Roman"/>
                <w:sz w:val="18"/>
              </w:rPr>
              <w:t>14.54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18,145,2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14.54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3,210,44</w:t>
            </w:r>
          </w:p>
          <w:p>
            <w:pPr>
              <w:pStyle w:val="TableParagraph"/>
              <w:spacing w:line="240" w:lineRule="auto" w:before="105"/>
              <w:ind w:left="384" w:right="0"/>
              <w:jc w:val="left"/>
              <w:rPr>
                <w:rFonts w:ascii="Times New Roman" w:hAnsi="Times New Roman" w:cs="Times New Roman" w:eastAsia="Times New Roman" w:hint="default"/>
                <w:sz w:val="18"/>
                <w:szCs w:val="18"/>
              </w:rPr>
            </w:pPr>
            <w:r>
              <w:rPr>
                <w:rFonts w:ascii="Times New Roman"/>
                <w:sz w:val="18"/>
              </w:rPr>
              <w:t>8.86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271,197.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62</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3,481,64</w:t>
            </w:r>
          </w:p>
          <w:p>
            <w:pPr>
              <w:pStyle w:val="TableParagraph"/>
              <w:spacing w:line="240" w:lineRule="auto" w:before="105"/>
              <w:ind w:left="383" w:right="0"/>
              <w:jc w:val="left"/>
              <w:rPr>
                <w:rFonts w:ascii="Times New Roman" w:hAnsi="Times New Roman" w:cs="Times New Roman" w:eastAsia="Times New Roman" w:hint="default"/>
                <w:sz w:val="18"/>
                <w:szCs w:val="18"/>
              </w:rPr>
            </w:pPr>
            <w:r>
              <w:rPr>
                <w:rFonts w:ascii="Times New Roman"/>
                <w:sz w:val="18"/>
              </w:rPr>
              <w:t>6.48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2,278,75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89" w:right="0"/>
              <w:jc w:val="left"/>
              <w:rPr>
                <w:rFonts w:ascii="Times New Roman" w:hAnsi="Times New Roman" w:cs="Times New Roman" w:eastAsia="Times New Roman" w:hint="default"/>
                <w:sz w:val="18"/>
                <w:szCs w:val="18"/>
              </w:rPr>
            </w:pPr>
            <w:r>
              <w:rPr>
                <w:rFonts w:ascii="Times New Roman"/>
                <w:sz w:val="18"/>
              </w:rPr>
              <w:t>0.00</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2,278,75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2.56</w:t>
            </w:r>
          </w:p>
        </w:tc>
      </w:tr>
      <w:tr>
        <w:trPr>
          <w:trHeight w:val="1339"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6"/>
              <w:jc w:val="both"/>
              <w:rPr>
                <w:rFonts w:ascii="宋体" w:hAnsi="宋体" w:cs="宋体" w:eastAsia="宋体" w:hint="default"/>
                <w:sz w:val="18"/>
                <w:szCs w:val="18"/>
              </w:rPr>
            </w:pPr>
            <w:r>
              <w:rPr>
                <w:rFonts w:ascii="宋体" w:hAnsi="宋体" w:cs="宋体" w:eastAsia="宋体" w:hint="default"/>
                <w:sz w:val="18"/>
                <w:szCs w:val="18"/>
              </w:rPr>
              <w:t>合纵智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豐科技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1,751,35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137,475.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1,888,83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178,749.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178,749.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4"/>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1"/>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7" w:right="75" w:hanging="361"/>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59" w:right="75"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9"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436" w:right="70" w:hanging="360"/>
              <w:jc w:val="left"/>
              <w:rPr>
                <w:rFonts w:ascii="宋体" w:hAnsi="宋体" w:cs="宋体" w:eastAsia="宋体" w:hint="default"/>
                <w:sz w:val="18"/>
                <w:szCs w:val="18"/>
              </w:rPr>
            </w:pPr>
            <w:r>
              <w:rPr>
                <w:rFonts w:ascii="宋体" w:hAnsi="宋体" w:cs="宋体" w:eastAsia="宋体" w:hint="default"/>
                <w:spacing w:val="-2"/>
                <w:sz w:val="18"/>
                <w:szCs w:val="18"/>
              </w:rPr>
              <w:t>综合收益总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64" w:right="74" w:hanging="183"/>
              <w:jc w:val="left"/>
              <w:rPr>
                <w:rFonts w:ascii="宋体" w:hAnsi="宋体" w:cs="宋体" w:eastAsia="宋体" w:hint="default"/>
                <w:sz w:val="18"/>
                <w:szCs w:val="18"/>
              </w:rPr>
            </w:pPr>
            <w:r>
              <w:rPr>
                <w:rFonts w:ascii="宋体" w:hAnsi="宋体" w:cs="宋体" w:eastAsia="宋体" w:hint="default"/>
                <w:spacing w:val="-2"/>
                <w:sz w:val="18"/>
                <w:szCs w:val="18"/>
              </w:rPr>
              <w:t>经营活动现</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金流量</w:t>
            </w:r>
          </w:p>
        </w:tc>
      </w:tr>
      <w:tr>
        <w:trPr>
          <w:trHeight w:val="711"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23"/>
              <w:jc w:val="left"/>
              <w:rPr>
                <w:rFonts w:ascii="宋体" w:hAnsi="宋体" w:cs="宋体" w:eastAsia="宋体" w:hint="default"/>
                <w:sz w:val="18"/>
                <w:szCs w:val="18"/>
              </w:rPr>
            </w:pPr>
            <w:r>
              <w:rPr>
                <w:rFonts w:ascii="宋体" w:hAnsi="宋体" w:cs="宋体" w:eastAsia="宋体" w:hint="default"/>
                <w:spacing w:val="-2"/>
                <w:sz w:val="18"/>
                <w:szCs w:val="18"/>
              </w:rPr>
              <w:t>印尼合纵电</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气有限公司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17,867,850.0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w w:val="101"/>
                <w:sz w:val="18"/>
              </w:rPr>
              <w:t>0</w:t>
            </w:r>
            <w:r>
              <w:rPr>
                <w:rFonts w:ascii="Times New Roman"/>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-334,411.03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643,123.71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-338,409.51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-1,875,755.27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-1,959,056.08</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-1,406,880.63</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4" w:right="123"/>
              <w:jc w:val="left"/>
              <w:rPr>
                <w:rFonts w:ascii="宋体" w:hAnsi="宋体" w:cs="宋体" w:eastAsia="宋体" w:hint="default"/>
                <w:sz w:val="18"/>
                <w:szCs w:val="18"/>
              </w:rPr>
            </w:pPr>
            <w:r>
              <w:rPr>
                <w:rFonts w:ascii="宋体" w:hAnsi="宋体" w:cs="宋体" w:eastAsia="宋体" w:hint="default"/>
                <w:spacing w:val="-2"/>
                <w:sz w:val="18"/>
                <w:szCs w:val="18"/>
              </w:rPr>
              <w:t>合纵智豐科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技有限公司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-587,444.74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-397,896.14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-511,172.38</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使用企业集团资产和清偿企业集团债务的重大限制" w:id="417"/>
      <w:bookmarkEnd w:id="41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向纳入合并财务报表范围的结构化主体提供的财务支持或其他支持" w:id="418"/>
      <w:bookmarkEnd w:id="41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在子公司的所有者权益份额发生变化且仍控制子公司的交易" w:id="419"/>
      <w:bookmarkEnd w:id="41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在合营安排或联营企业中的权益" w:id="420"/>
      <w:bookmarkEnd w:id="42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重要的合营企业或联营企业" w:id="421"/>
      <w:bookmarkEnd w:id="42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3"/>
        <w:gridCol w:w="1364"/>
        <w:gridCol w:w="1369"/>
        <w:gridCol w:w="1368"/>
        <w:gridCol w:w="1368"/>
        <w:gridCol w:w="1364"/>
        <w:gridCol w:w="1369"/>
      </w:tblGrid>
      <w:tr>
        <w:trPr>
          <w:trHeight w:val="404" w:hRule="exact"/>
        </w:trPr>
        <w:tc>
          <w:tcPr>
            <w:tcW w:w="137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1" w:lineRule="auto"/>
              <w:ind w:left="321" w:right="46" w:hanging="269"/>
              <w:jc w:val="left"/>
              <w:rPr>
                <w:rFonts w:ascii="宋体" w:hAnsi="宋体" w:cs="宋体" w:eastAsia="宋体" w:hint="default"/>
                <w:sz w:val="18"/>
                <w:szCs w:val="18"/>
              </w:rPr>
            </w:pPr>
            <w:r>
              <w:rPr>
                <w:rFonts w:ascii="宋体" w:hAnsi="宋体" w:cs="宋体" w:eastAsia="宋体" w:hint="default"/>
                <w:spacing w:val="-3"/>
                <w:sz w:val="18"/>
                <w:szCs w:val="18"/>
              </w:rPr>
              <w:t>合营企业或联营</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企业名称</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0"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316"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47" w:right="46"/>
              <w:jc w:val="center"/>
              <w:rPr>
                <w:rFonts w:ascii="宋体" w:hAnsi="宋体" w:cs="宋体" w:eastAsia="宋体" w:hint="default"/>
                <w:sz w:val="18"/>
                <w:szCs w:val="18"/>
              </w:rPr>
            </w:pPr>
            <w:r>
              <w:rPr>
                <w:rFonts w:ascii="宋体" w:hAnsi="宋体" w:cs="宋体" w:eastAsia="宋体" w:hint="default"/>
                <w:spacing w:val="-3"/>
                <w:sz w:val="18"/>
                <w:szCs w:val="18"/>
              </w:rPr>
              <w:t>对合营企业或联</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营企业投资的会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计处理方法</w:t>
            </w:r>
          </w:p>
        </w:tc>
      </w:tr>
      <w:tr>
        <w:trPr>
          <w:trHeight w:val="624" w:hRule="exact"/>
        </w:trPr>
        <w:tc>
          <w:tcPr>
            <w:tcW w:w="1373"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10"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北京中能互联创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业投资中心（有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限合伙）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投资与资产管理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17.85%</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北京中能互联电</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力投资中心（有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限合伙）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项目投资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8"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贵州中能互联投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资合伙企业（有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限合伙）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贵阳市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pacing w:val="-3"/>
                <w:sz w:val="18"/>
                <w:szCs w:val="18"/>
              </w:rPr>
              <w:t>投资与资产管理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3"/>
                <w:sz w:val="18"/>
              </w:rPr>
              <w:t>11.64%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pacing w:val="-3"/>
                <w:sz w:val="18"/>
                <w:szCs w:val="18"/>
              </w:rPr>
              <w:t>宁波源纵股权投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资合伙企业（有</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限合伙）</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宁波市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股权投资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r>
        <w:trPr>
          <w:trHeight w:val="1023"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pacing w:val="-3"/>
                <w:sz w:val="18"/>
                <w:szCs w:val="18"/>
              </w:rPr>
              <w:t>天津市茂联科技</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有限公司</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70"/>
              <w:jc w:val="both"/>
              <w:rPr>
                <w:rFonts w:ascii="宋体" w:hAnsi="宋体" w:cs="宋体" w:eastAsia="宋体" w:hint="default"/>
                <w:sz w:val="18"/>
                <w:szCs w:val="18"/>
              </w:rPr>
            </w:pPr>
            <w:r>
              <w:rPr>
                <w:rFonts w:ascii="宋体" w:hAnsi="宋体" w:cs="宋体" w:eastAsia="宋体" w:hint="default"/>
                <w:spacing w:val="-3"/>
                <w:sz w:val="18"/>
                <w:szCs w:val="18"/>
              </w:rPr>
              <w:t>电子新型材料产</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品的研发、制造</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及销售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21.33%</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2）重要合营企业的主要财务信息" w:id="422"/>
      <w:bookmarkEnd w:id="42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重要联营企业的主要财务信息" w:id="423"/>
      <w:bookmarkEnd w:id="42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69"/>
        <w:gridCol w:w="869"/>
        <w:gridCol w:w="872"/>
        <w:gridCol w:w="869"/>
        <w:gridCol w:w="869"/>
        <w:gridCol w:w="879"/>
        <w:gridCol w:w="860"/>
        <w:gridCol w:w="869"/>
        <w:gridCol w:w="869"/>
        <w:gridCol w:w="869"/>
        <w:gridCol w:w="857"/>
      </w:tblGrid>
      <w:tr>
        <w:trPr>
          <w:trHeight w:val="404"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5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3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432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32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317" w:hRule="exact"/>
        </w:trPr>
        <w:tc>
          <w:tcPr>
            <w:tcW w:w="869" w:type="dxa"/>
            <w:vMerge w:val="restart"/>
            <w:tcBorders>
              <w:top w:val="single" w:sz="4" w:space="0" w:color="000000"/>
              <w:left w:val="single" w:sz="4" w:space="0" w:color="000000"/>
              <w:right w:val="single" w:sz="4" w:space="0" w:color="000000"/>
            </w:tcBorders>
            <w:shd w:val="clear" w:color="auto" w:fill="D2D2D2"/>
          </w:tcPr>
          <w:p>
            <w:pP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67" w:right="65"/>
              <w:jc w:val="both"/>
              <w:rPr>
                <w:rFonts w:ascii="宋体" w:hAnsi="宋体" w:cs="宋体" w:eastAsia="宋体" w:hint="default"/>
                <w:sz w:val="18"/>
                <w:szCs w:val="18"/>
              </w:rPr>
            </w:pPr>
            <w:r>
              <w:rPr>
                <w:rFonts w:ascii="宋体" w:hAnsi="宋体" w:cs="宋体" w:eastAsia="宋体" w:hint="default"/>
                <w:sz w:val="18"/>
                <w:szCs w:val="18"/>
              </w:rPr>
              <w:t>北京中能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互联创业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w:t>
            </w:r>
          </w:p>
          <w:p>
            <w:pPr>
              <w:pStyle w:val="TableParagraph"/>
              <w:spacing w:line="324" w:lineRule="auto" w:before="20"/>
              <w:ind w:left="249" w:right="65" w:hanging="183"/>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67" w:right="67"/>
              <w:jc w:val="both"/>
              <w:rPr>
                <w:rFonts w:ascii="宋体" w:hAnsi="宋体" w:cs="宋体" w:eastAsia="宋体" w:hint="default"/>
                <w:sz w:val="18"/>
                <w:szCs w:val="18"/>
              </w:rPr>
            </w:pPr>
            <w:r>
              <w:rPr>
                <w:rFonts w:ascii="宋体" w:hAnsi="宋体" w:cs="宋体" w:eastAsia="宋体" w:hint="default"/>
                <w:sz w:val="18"/>
                <w:szCs w:val="18"/>
              </w:rPr>
              <w:t>北京中能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互联电力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w:t>
            </w:r>
          </w:p>
          <w:p>
            <w:pPr>
              <w:pStyle w:val="TableParagraph"/>
              <w:spacing w:line="324" w:lineRule="auto" w:before="20"/>
              <w:ind w:left="249" w:right="67" w:hanging="183"/>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64" w:right="68"/>
              <w:jc w:val="both"/>
              <w:rPr>
                <w:rFonts w:ascii="宋体" w:hAnsi="宋体" w:cs="宋体" w:eastAsia="宋体" w:hint="default"/>
                <w:sz w:val="18"/>
                <w:szCs w:val="18"/>
              </w:rPr>
            </w:pPr>
            <w:r>
              <w:rPr>
                <w:rFonts w:ascii="宋体" w:hAnsi="宋体" w:cs="宋体" w:eastAsia="宋体" w:hint="default"/>
                <w:sz w:val="18"/>
                <w:szCs w:val="18"/>
              </w:rPr>
              <w:t>贵州中能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互联投资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w:t>
            </w:r>
          </w:p>
          <w:p>
            <w:pPr>
              <w:pStyle w:val="TableParagraph"/>
              <w:spacing w:line="324" w:lineRule="auto" w:before="20"/>
              <w:ind w:left="247" w:right="68" w:hanging="183"/>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64" w:right="67"/>
              <w:jc w:val="both"/>
              <w:rPr>
                <w:rFonts w:ascii="宋体" w:hAnsi="宋体" w:cs="宋体" w:eastAsia="宋体" w:hint="default"/>
                <w:sz w:val="18"/>
                <w:szCs w:val="18"/>
              </w:rPr>
            </w:pPr>
            <w:r>
              <w:rPr>
                <w:rFonts w:ascii="宋体" w:hAnsi="宋体" w:cs="宋体" w:eastAsia="宋体" w:hint="default"/>
                <w:sz w:val="18"/>
                <w:szCs w:val="18"/>
              </w:rPr>
              <w:t>宁波源纵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股权投资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w:t>
            </w:r>
          </w:p>
          <w:p>
            <w:pPr>
              <w:pStyle w:val="TableParagraph"/>
              <w:spacing w:line="324" w:lineRule="auto" w:before="20"/>
              <w:ind w:left="247" w:right="67" w:hanging="183"/>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7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55" w:right="67"/>
              <w:jc w:val="both"/>
              <w:rPr>
                <w:rFonts w:ascii="宋体" w:hAnsi="宋体" w:cs="宋体" w:eastAsia="宋体" w:hint="default"/>
                <w:sz w:val="18"/>
                <w:szCs w:val="18"/>
              </w:rPr>
            </w:pPr>
            <w:r>
              <w:rPr>
                <w:rFonts w:ascii="宋体" w:hAnsi="宋体" w:cs="宋体" w:eastAsia="宋体" w:hint="default"/>
                <w:sz w:val="18"/>
                <w:szCs w:val="18"/>
              </w:rPr>
              <w:t>北京中能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互联创业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w:t>
            </w:r>
          </w:p>
          <w:p>
            <w:pPr>
              <w:pStyle w:val="TableParagraph"/>
              <w:spacing w:line="324" w:lineRule="auto" w:before="20"/>
              <w:ind w:left="237" w:right="67" w:hanging="183"/>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64" w:right="67"/>
              <w:jc w:val="both"/>
              <w:rPr>
                <w:rFonts w:ascii="宋体" w:hAnsi="宋体" w:cs="宋体" w:eastAsia="宋体" w:hint="default"/>
                <w:sz w:val="18"/>
                <w:szCs w:val="18"/>
              </w:rPr>
            </w:pPr>
            <w:r>
              <w:rPr>
                <w:rFonts w:ascii="宋体" w:hAnsi="宋体" w:cs="宋体" w:eastAsia="宋体" w:hint="default"/>
                <w:sz w:val="18"/>
                <w:szCs w:val="18"/>
              </w:rPr>
              <w:t>北京中能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互联电力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投资中心</w:t>
            </w:r>
          </w:p>
          <w:p>
            <w:pPr>
              <w:pStyle w:val="TableParagraph"/>
              <w:spacing w:line="324" w:lineRule="auto" w:before="20"/>
              <w:ind w:left="247" w:right="67" w:hanging="183"/>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64" w:right="68"/>
              <w:jc w:val="both"/>
              <w:rPr>
                <w:rFonts w:ascii="宋体" w:hAnsi="宋体" w:cs="宋体" w:eastAsia="宋体" w:hint="default"/>
                <w:sz w:val="18"/>
                <w:szCs w:val="18"/>
              </w:rPr>
            </w:pPr>
            <w:r>
              <w:rPr>
                <w:rFonts w:ascii="宋体" w:hAnsi="宋体" w:cs="宋体" w:eastAsia="宋体" w:hint="default"/>
                <w:sz w:val="18"/>
                <w:szCs w:val="18"/>
              </w:rPr>
              <w:t>贵州中能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互联投资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w:t>
            </w:r>
          </w:p>
          <w:p>
            <w:pPr>
              <w:pStyle w:val="TableParagraph"/>
              <w:spacing w:line="324" w:lineRule="auto" w:before="20"/>
              <w:ind w:left="247" w:right="68" w:hanging="183"/>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64" w:right="67"/>
              <w:jc w:val="both"/>
              <w:rPr>
                <w:rFonts w:ascii="宋体" w:hAnsi="宋体" w:cs="宋体" w:eastAsia="宋体" w:hint="default"/>
                <w:sz w:val="18"/>
                <w:szCs w:val="18"/>
              </w:rPr>
            </w:pPr>
            <w:r>
              <w:rPr>
                <w:rFonts w:ascii="宋体" w:hAnsi="宋体" w:cs="宋体" w:eastAsia="宋体" w:hint="default"/>
                <w:sz w:val="18"/>
                <w:szCs w:val="18"/>
              </w:rPr>
              <w:t>宁波源纵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股权投资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合伙企业</w:t>
            </w:r>
          </w:p>
          <w:p>
            <w:pPr>
              <w:pStyle w:val="TableParagraph"/>
              <w:spacing w:line="324" w:lineRule="auto" w:before="20"/>
              <w:ind w:left="247" w:right="67" w:hanging="183"/>
              <w:jc w:val="left"/>
              <w:rPr>
                <w:rFonts w:ascii="宋体" w:hAnsi="宋体" w:cs="宋体" w:eastAsia="宋体" w:hint="default"/>
                <w:sz w:val="18"/>
                <w:szCs w:val="18"/>
              </w:rPr>
            </w:pPr>
            <w:r>
              <w:rPr>
                <w:rFonts w:ascii="宋体" w:hAnsi="宋体" w:cs="宋体" w:eastAsia="宋体" w:hint="default"/>
                <w:sz w:val="18"/>
                <w:szCs w:val="18"/>
              </w:rPr>
              <w:t>（有限合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伙）</w:t>
            </w:r>
          </w:p>
        </w:tc>
        <w:tc>
          <w:tcPr>
            <w:tcW w:w="85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12" w:hRule="exact"/>
        </w:trPr>
        <w:tc>
          <w:tcPr>
            <w:tcW w:w="869" w:type="dxa"/>
            <w:vMerge/>
            <w:tcBorders>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64" w:right="77"/>
              <w:jc w:val="both"/>
              <w:rPr>
                <w:rFonts w:ascii="宋体" w:hAnsi="宋体" w:cs="宋体" w:eastAsia="宋体" w:hint="default"/>
                <w:sz w:val="18"/>
                <w:szCs w:val="18"/>
              </w:rPr>
            </w:pPr>
            <w:r>
              <w:rPr>
                <w:rFonts w:ascii="宋体" w:hAnsi="宋体" w:cs="宋体" w:eastAsia="宋体" w:hint="default"/>
                <w:sz w:val="18"/>
                <w:szCs w:val="18"/>
              </w:rPr>
              <w:t>天津市茂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c>
          <w:tcPr>
            <w:tcW w:w="86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5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64" w:right="55"/>
              <w:jc w:val="both"/>
              <w:rPr>
                <w:rFonts w:ascii="宋体" w:hAnsi="宋体" w:cs="宋体" w:eastAsia="宋体" w:hint="default"/>
                <w:sz w:val="18"/>
                <w:szCs w:val="18"/>
              </w:rPr>
            </w:pPr>
            <w:r>
              <w:rPr>
                <w:rFonts w:ascii="宋体" w:hAnsi="宋体" w:cs="宋体" w:eastAsia="宋体" w:hint="default"/>
                <w:sz w:val="18"/>
                <w:szCs w:val="18"/>
              </w:rPr>
              <w:t>天津市茂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联科技有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限公司</w:t>
            </w:r>
          </w:p>
        </w:tc>
      </w:tr>
      <w:tr>
        <w:trPr>
          <w:trHeight w:val="394" w:hRule="exact"/>
        </w:trPr>
        <w:tc>
          <w:tcPr>
            <w:tcW w:w="869" w:type="dxa"/>
            <w:tcBorders>
              <w:top w:val="nil" w:sz="6" w:space="0" w:color="auto"/>
              <w:left w:val="single" w:sz="4" w:space="0" w:color="000000"/>
              <w:bottom w:val="nil" w:sz="6" w:space="0" w:color="auto"/>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9"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57" w:type="dxa"/>
            <w:vMerge/>
            <w:tcBorders>
              <w:left w:val="single" w:sz="4" w:space="0" w:color="000000"/>
              <w:right w:val="single" w:sz="4" w:space="0" w:color="000000"/>
            </w:tcBorders>
            <w:shd w:val="clear" w:color="auto" w:fill="D2D2D2"/>
          </w:tcPr>
          <w:p>
            <w:pPr/>
          </w:p>
        </w:tc>
      </w:tr>
      <w:tr>
        <w:trPr>
          <w:trHeight w:val="312" w:hRule="exact"/>
        </w:trPr>
        <w:tc>
          <w:tcPr>
            <w:tcW w:w="869" w:type="dxa"/>
            <w:vMerge w:val="restart"/>
            <w:tcBorders>
              <w:top w:val="nil" w:sz="6" w:space="0" w:color="auto"/>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2"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79" w:type="dxa"/>
            <w:vMerge/>
            <w:tcBorders>
              <w:left w:val="single" w:sz="4" w:space="0" w:color="000000"/>
              <w:bottom w:val="nil" w:sz="6" w:space="0" w:color="auto"/>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57"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2"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7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0"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5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8" w:hRule="exact"/>
        </w:trPr>
        <w:tc>
          <w:tcPr>
            <w:tcW w:w="869" w:type="dxa"/>
            <w:tcBorders>
              <w:top w:val="single" w:sz="4" w:space="0" w:color="000000"/>
              <w:left w:val="single" w:sz="4" w:space="0" w:color="000000"/>
              <w:bottom w:val="nil" w:sz="6" w:space="0" w:color="auto"/>
              <w:right w:val="single" w:sz="4" w:space="0" w:color="000000"/>
            </w:tcBorders>
            <w:shd w:val="clear" w:color="auto" w:fill="D2D2D2"/>
          </w:tcPr>
          <w:p>
            <w:pPr/>
          </w:p>
        </w:tc>
        <w:tc>
          <w:tcPr>
            <w:tcW w:w="869" w:type="dxa"/>
            <w:vMerge w:val="restart"/>
            <w:tcBorders>
              <w:top w:val="single" w:sz="4" w:space="0" w:color="000000"/>
              <w:left w:val="single" w:sz="10" w:space="0" w:color="D2D2D2"/>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37,383,384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872" w:type="dxa"/>
            <w:vMerge w:val="restart"/>
            <w:tcBorders>
              <w:top w:val="single" w:sz="4" w:space="0" w:color="000000"/>
              <w:left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2,494,811.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826,072.59</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5,544,455.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879" w:type="dxa"/>
            <w:vMerge w:val="restart"/>
            <w:tcBorders>
              <w:top w:val="single" w:sz="4" w:space="0" w:color="000000"/>
              <w:left w:val="single" w:sz="4" w:space="0" w:color="000000"/>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1,741,884,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098.99</w:t>
            </w:r>
          </w:p>
        </w:tc>
        <w:tc>
          <w:tcPr>
            <w:tcW w:w="860"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39,373,745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38,096,571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1,221,943.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61</w:t>
            </w: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16,572,804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.08</w:t>
            </w:r>
          </w:p>
        </w:tc>
        <w:tc>
          <w:tcPr>
            <w:tcW w:w="857" w:type="dxa"/>
            <w:vMerge w:val="restart"/>
            <w:tcBorders>
              <w:top w:val="single" w:sz="4" w:space="0" w:color="000000"/>
              <w:left w:val="single" w:sz="4" w:space="0" w:color="000000"/>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1,542,855,</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557.25</w:t>
            </w:r>
          </w:p>
        </w:tc>
      </w:tr>
      <w:tr>
        <w:trPr>
          <w:trHeight w:val="394" w:hRule="exact"/>
        </w:trPr>
        <w:tc>
          <w:tcPr>
            <w:tcW w:w="8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869" w:type="dxa"/>
            <w:vMerge/>
            <w:tcBorders>
              <w:left w:val="single" w:sz="10" w:space="0" w:color="D2D2D2"/>
              <w:right w:val="single" w:sz="4" w:space="0" w:color="000000"/>
            </w:tcBorders>
          </w:tcPr>
          <w:p>
            <w:pPr/>
          </w:p>
        </w:tc>
        <w:tc>
          <w:tcPr>
            <w:tcW w:w="872"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9" w:type="dxa"/>
            <w:vMerge/>
            <w:tcBorders>
              <w:left w:val="single" w:sz="4" w:space="0" w:color="000000"/>
              <w:right w:val="single" w:sz="4" w:space="0" w:color="000000"/>
            </w:tcBorders>
          </w:tcPr>
          <w:p>
            <w:pPr/>
          </w:p>
        </w:tc>
        <w:tc>
          <w:tcPr>
            <w:tcW w:w="860"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57" w:type="dxa"/>
            <w:vMerge/>
            <w:tcBorders>
              <w:left w:val="single" w:sz="4" w:space="0" w:color="000000"/>
              <w:right w:val="single" w:sz="4" w:space="0" w:color="000000"/>
            </w:tcBorders>
          </w:tcPr>
          <w:p>
            <w:pPr/>
          </w:p>
        </w:tc>
      </w:tr>
      <w:tr>
        <w:trPr>
          <w:trHeight w:val="163" w:hRule="exact"/>
        </w:trPr>
        <w:tc>
          <w:tcPr>
            <w:tcW w:w="869" w:type="dxa"/>
            <w:tcBorders>
              <w:top w:val="nil" w:sz="6" w:space="0" w:color="auto"/>
              <w:left w:val="single" w:sz="4" w:space="0" w:color="000000"/>
              <w:bottom w:val="single" w:sz="4" w:space="0" w:color="000000"/>
              <w:right w:val="single" w:sz="4" w:space="0" w:color="000000"/>
            </w:tcBorders>
            <w:shd w:val="clear" w:color="auto" w:fill="D2D2D2"/>
          </w:tcPr>
          <w:p>
            <w:pPr/>
          </w:p>
        </w:tc>
        <w:tc>
          <w:tcPr>
            <w:tcW w:w="869" w:type="dxa"/>
            <w:vMerge/>
            <w:tcBorders>
              <w:left w:val="single" w:sz="10" w:space="0" w:color="D2D2D2"/>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9" w:type="dxa"/>
            <w:vMerge/>
            <w:tcBorders>
              <w:left w:val="single" w:sz="4" w:space="0" w:color="000000"/>
              <w:bottom w:val="single" w:sz="4" w:space="0" w:color="000000"/>
              <w:right w:val="single" w:sz="4" w:space="0" w:color="000000"/>
            </w:tcBorders>
          </w:tcPr>
          <w:p>
            <w:pPr/>
          </w:p>
        </w:tc>
        <w:tc>
          <w:tcPr>
            <w:tcW w:w="860"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7"/>
          <w:szCs w:val="27"/>
        </w:rPr>
      </w:pPr>
    </w:p>
    <w:tbl>
      <w:tblPr>
        <w:tblW w:w="0" w:type="auto"/>
        <w:jc w:val="left"/>
        <w:tblInd w:w="148" w:type="dxa"/>
        <w:tblLayout w:type="fixed"/>
        <w:tblCellMar>
          <w:top w:w="0" w:type="dxa"/>
          <w:left w:w="0" w:type="dxa"/>
          <w:bottom w:w="0" w:type="dxa"/>
          <w:right w:w="0" w:type="dxa"/>
        </w:tblCellMar>
        <w:tblLook w:val="01E0"/>
      </w:tblPr>
      <w:tblGrid>
        <w:gridCol w:w="869"/>
        <w:gridCol w:w="869"/>
        <w:gridCol w:w="869"/>
        <w:gridCol w:w="869"/>
        <w:gridCol w:w="869"/>
        <w:gridCol w:w="869"/>
        <w:gridCol w:w="869"/>
        <w:gridCol w:w="869"/>
        <w:gridCol w:w="869"/>
        <w:gridCol w:w="869"/>
        <w:gridCol w:w="869"/>
      </w:tblGrid>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非流动资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产</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82,900,000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80,200,000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935,080,29</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2,100,302,</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733.59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80,400,000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46,054,000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80,200,000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908,958,30</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1,896,754,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125.41</w:t>
            </w:r>
          </w:p>
        </w:tc>
      </w:tr>
      <w:tr>
        <w:trPr>
          <w:trHeight w:val="711"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117,783,38</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85,394,811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81,026,072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940,624,75</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3.67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3,842,186,</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832.58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119,773,74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5.51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84,150,571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81,421,943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925,531,10</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3,439,609,</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682.66</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21,752.40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11,433.80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24,021,729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11,014.80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2" w:right="0"/>
              <w:jc w:val="left"/>
              <w:rPr>
                <w:rFonts w:ascii="Times New Roman" w:hAnsi="Times New Roman" w:cs="Times New Roman" w:eastAsia="Times New Roman" w:hint="default"/>
                <w:sz w:val="18"/>
                <w:szCs w:val="18"/>
              </w:rPr>
            </w:pPr>
            <w:r>
              <w:rPr>
                <w:rFonts w:ascii="Times New Roman"/>
                <w:sz w:val="18"/>
              </w:rPr>
              <w:t>1,920,284,</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157.64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19,234.08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48,321,129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329,067.50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1" w:right="0"/>
              <w:jc w:val="left"/>
              <w:rPr>
                <w:rFonts w:ascii="Times New Roman" w:hAnsi="Times New Roman" w:cs="Times New Roman" w:eastAsia="Times New Roman" w:hint="default"/>
                <w:sz w:val="18"/>
                <w:szCs w:val="18"/>
              </w:rPr>
            </w:pPr>
            <w:r>
              <w:rPr>
                <w:rFonts w:ascii="Times New Roman"/>
                <w:sz w:val="18"/>
              </w:rPr>
              <w:t>1,608,683,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248.15</w:t>
            </w:r>
          </w:p>
        </w:tc>
      </w:tr>
      <w:tr>
        <w:trPr>
          <w:trHeight w:val="71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非流动负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债</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224,000,00</w:t>
            </w:r>
          </w:p>
          <w:p>
            <w:pPr>
              <w:pStyle w:val="TableParagraph"/>
              <w:spacing w:line="240" w:lineRule="auto" w:before="110"/>
              <w:ind w:left="518"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384,736,13</w:t>
            </w:r>
          </w:p>
          <w:p>
            <w:pPr>
              <w:pStyle w:val="TableParagraph"/>
              <w:spacing w:line="240" w:lineRule="auto" w:before="110"/>
              <w:ind w:left="518" w:right="0"/>
              <w:jc w:val="left"/>
              <w:rPr>
                <w:rFonts w:ascii="Times New Roman" w:hAnsi="Times New Roman" w:cs="Times New Roman" w:eastAsia="Times New Roman" w:hint="default"/>
                <w:sz w:val="18"/>
                <w:szCs w:val="18"/>
              </w:rPr>
            </w:pPr>
            <w:r>
              <w:rPr>
                <w:rFonts w:ascii="Times New Roman"/>
                <w:sz w:val="18"/>
              </w:rPr>
              <w:t>2.44</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29,500,000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21,752.40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2"/>
                <w:sz w:val="18"/>
              </w:rPr>
              <w:t>11,433.80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24,021,729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3" w:right="0"/>
              <w:jc w:val="left"/>
              <w:rPr>
                <w:rFonts w:ascii="Times New Roman" w:hAnsi="Times New Roman" w:cs="Times New Roman" w:eastAsia="Times New Roman" w:hint="default"/>
                <w:sz w:val="18"/>
                <w:szCs w:val="18"/>
              </w:rPr>
            </w:pPr>
            <w:r>
              <w:rPr>
                <w:rFonts w:ascii="Times New Roman"/>
                <w:sz w:val="18"/>
              </w:rPr>
              <w:t>224,011,01</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4.80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2,305,020,</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290.08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19,234.08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48,321,129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29,829,067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1,608,683,</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248.15</w:t>
            </w:r>
          </w:p>
        </w:tc>
      </w:tr>
      <w:tr>
        <w:trPr>
          <w:trHeight w:val="710"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少数股东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26,258,104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26,328,191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.28</w:t>
            </w:r>
          </w:p>
        </w:tc>
      </w:tr>
      <w:tr>
        <w:trPr>
          <w:trHeight w:val="1028"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08"/>
              <w:jc w:val="both"/>
              <w:rPr>
                <w:rFonts w:ascii="宋体" w:hAnsi="宋体" w:cs="宋体" w:eastAsia="宋体" w:hint="default"/>
                <w:sz w:val="18"/>
                <w:szCs w:val="18"/>
              </w:rPr>
            </w:pPr>
            <w:r>
              <w:rPr>
                <w:rFonts w:ascii="宋体" w:hAnsi="宋体" w:cs="宋体" w:eastAsia="宋体" w:hint="default"/>
                <w:sz w:val="18"/>
                <w:szCs w:val="18"/>
              </w:rPr>
              <w:t>归属于母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公司股东</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117,761,63</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2.47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85,383,378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57,004,342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716,613,73</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8.87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1,510,908,</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437.63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119,752,14</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5.51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84,131,336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33,100,813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695,702,03</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6.58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1,408,222,</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133.11</w:t>
            </w:r>
          </w:p>
        </w:tc>
      </w:tr>
      <w:tr>
        <w:trPr>
          <w:trHeight w:val="1340"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按持股比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例计算的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净资产份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21,021,974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19,886,660</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6,635,305.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98,428,543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322,276,76</w:t>
            </w:r>
          </w:p>
          <w:p>
            <w:pPr>
              <w:pStyle w:val="TableParagraph"/>
              <w:spacing w:line="240" w:lineRule="auto" w:before="110"/>
              <w:ind w:left="518" w:right="0"/>
              <w:jc w:val="left"/>
              <w:rPr>
                <w:rFonts w:ascii="Times New Roman" w:hAnsi="Times New Roman" w:cs="Times New Roman" w:eastAsia="Times New Roman" w:hint="default"/>
                <w:sz w:val="18"/>
                <w:szCs w:val="18"/>
              </w:rPr>
            </w:pPr>
            <w:r>
              <w:rPr>
                <w:rFonts w:ascii="Times New Roman"/>
                <w:sz w:val="18"/>
              </w:rPr>
              <w:t>9.75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23,459,445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19,341,794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3,852,934.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71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92,737,081</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.48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233,624,05</w:t>
            </w:r>
          </w:p>
          <w:p>
            <w:pPr>
              <w:pStyle w:val="TableParagraph"/>
              <w:spacing w:line="240" w:lineRule="auto" w:before="110"/>
              <w:ind w:left="518" w:right="0"/>
              <w:jc w:val="left"/>
              <w:rPr>
                <w:rFonts w:ascii="Times New Roman" w:hAnsi="Times New Roman" w:cs="Times New Roman" w:eastAsia="Times New Roman" w:hint="default"/>
                <w:sz w:val="18"/>
                <w:szCs w:val="18"/>
              </w:rPr>
            </w:pPr>
            <w:r>
              <w:rPr>
                <w:rFonts w:ascii="Times New Roman"/>
                <w:sz w:val="18"/>
              </w:rPr>
              <w:t>1.88</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72,752.24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76,277.88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6,448,839.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2,405,392.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140,268,87</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3.16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838,859.65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530,092.21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9,231,381.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2"/>
                <w:sz w:val="18"/>
              </w:rPr>
              <w:t>6,733,082.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98,514,550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r>
      <w:tr>
        <w:trPr>
          <w:trHeight w:val="711"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140,268,87</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3.16</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98,514,550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72,752.24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76,277.88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6,448,839.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2"/>
                <w:sz w:val="18"/>
              </w:rPr>
              <w:t>2,405,392.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838,859.65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530,092.21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9,231,381.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2"/>
                <w:sz w:val="18"/>
              </w:rPr>
              <w:t>6,733,082.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04</w:t>
            </w: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08"/>
              <w:jc w:val="both"/>
              <w:rPr>
                <w:rFonts w:ascii="宋体" w:hAnsi="宋体" w:cs="宋体" w:eastAsia="宋体" w:hint="default"/>
                <w:sz w:val="18"/>
                <w:szCs w:val="18"/>
              </w:rPr>
            </w:pPr>
            <w:r>
              <w:rPr>
                <w:rFonts w:ascii="宋体" w:hAnsi="宋体" w:cs="宋体" w:eastAsia="宋体" w:hint="default"/>
                <w:sz w:val="18"/>
                <w:szCs w:val="18"/>
              </w:rPr>
              <w:t>对联营企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业权益投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资的账面</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价值</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21,094,727</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19,962,938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13,084,145</w:t>
            </w:r>
          </w:p>
          <w:p>
            <w:pPr>
              <w:pStyle w:val="TableParagraph"/>
              <w:spacing w:line="240" w:lineRule="auto" w:before="110"/>
              <w:ind w:right="18"/>
              <w:jc w:val="right"/>
              <w:rPr>
                <w:rFonts w:ascii="Times New Roman" w:hAnsi="Times New Roman" w:cs="Times New Roman" w:eastAsia="Times New Roman" w:hint="default"/>
                <w:sz w:val="18"/>
                <w:szCs w:val="18"/>
              </w:rPr>
            </w:pPr>
            <w:r>
              <w:rPr>
                <w:rFonts w:ascii="Times New Roman"/>
                <w:sz w:val="18"/>
              </w:rPr>
              <w:t>.44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100,833,93</w:t>
            </w:r>
          </w:p>
          <w:p>
            <w:pPr>
              <w:pStyle w:val="TableParagraph"/>
              <w:spacing w:line="240" w:lineRule="auto" w:before="110"/>
              <w:ind w:left="518" w:right="0"/>
              <w:jc w:val="left"/>
              <w:rPr>
                <w:rFonts w:ascii="Times New Roman" w:hAnsi="Times New Roman" w:cs="Times New Roman" w:eastAsia="Times New Roman" w:hint="default"/>
                <w:sz w:val="18"/>
                <w:szCs w:val="18"/>
              </w:rPr>
            </w:pPr>
            <w:r>
              <w:rPr>
                <w:rFonts w:ascii="Times New Roman"/>
                <w:sz w:val="18"/>
              </w:rPr>
              <w:t>6.19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462,545,64</w:t>
            </w:r>
          </w:p>
          <w:p>
            <w:pPr>
              <w:pStyle w:val="TableParagraph"/>
              <w:spacing w:line="240" w:lineRule="auto" w:before="110"/>
              <w:ind w:left="518" w:right="0"/>
              <w:jc w:val="left"/>
              <w:rPr>
                <w:rFonts w:ascii="Times New Roman" w:hAnsi="Times New Roman" w:cs="Times New Roman" w:eastAsia="Times New Roman" w:hint="default"/>
                <w:sz w:val="18"/>
                <w:szCs w:val="18"/>
              </w:rPr>
            </w:pPr>
            <w:r>
              <w:rPr>
                <w:rFonts w:ascii="Times New Roman"/>
                <w:sz w:val="18"/>
              </w:rPr>
              <w:t>2.90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24,298,304</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19,871,886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13,084,316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.67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99,470,163</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332,138,60</w:t>
            </w:r>
          </w:p>
          <w:p>
            <w:pPr>
              <w:pStyle w:val="TableParagraph"/>
              <w:spacing w:line="240" w:lineRule="auto" w:before="110"/>
              <w:ind w:left="527" w:right="0"/>
              <w:jc w:val="left"/>
              <w:rPr>
                <w:rFonts w:ascii="Times New Roman" w:hAnsi="Times New Roman" w:cs="Times New Roman" w:eastAsia="Times New Roman" w:hint="default"/>
                <w:sz w:val="18"/>
                <w:szCs w:val="18"/>
              </w:rPr>
            </w:pPr>
            <w:r>
              <w:rPr>
                <w:rFonts w:ascii="Times New Roman"/>
                <w:sz w:val="18"/>
              </w:rPr>
              <w:t>2.11</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2" w:right="0"/>
              <w:jc w:val="left"/>
              <w:rPr>
                <w:rFonts w:ascii="Times New Roman" w:hAnsi="Times New Roman" w:cs="Times New Roman" w:eastAsia="Times New Roman" w:hint="default"/>
                <w:sz w:val="18"/>
                <w:szCs w:val="18"/>
              </w:rPr>
            </w:pPr>
            <w:r>
              <w:rPr>
                <w:rFonts w:ascii="Times New Roman"/>
                <w:sz w:val="18"/>
              </w:rPr>
              <w:t>1,968,339,</w:t>
            </w:r>
          </w:p>
          <w:p>
            <w:pPr>
              <w:pStyle w:val="TableParagraph"/>
              <w:spacing w:line="240" w:lineRule="auto" w:before="105"/>
              <w:ind w:left="341" w:right="0"/>
              <w:jc w:val="left"/>
              <w:rPr>
                <w:rFonts w:ascii="Times New Roman" w:hAnsi="Times New Roman" w:cs="Times New Roman" w:eastAsia="Times New Roman" w:hint="default"/>
                <w:sz w:val="18"/>
                <w:szCs w:val="18"/>
              </w:rPr>
            </w:pPr>
            <w:r>
              <w:rPr>
                <w:rFonts w:ascii="Times New Roman"/>
                <w:sz w:val="18"/>
              </w:rPr>
              <w:t>395.59</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1" w:right="0"/>
              <w:jc w:val="left"/>
              <w:rPr>
                <w:rFonts w:ascii="Times New Roman" w:hAnsi="Times New Roman" w:cs="Times New Roman" w:eastAsia="Times New Roman" w:hint="default"/>
                <w:sz w:val="18"/>
                <w:szCs w:val="18"/>
              </w:rPr>
            </w:pPr>
            <w:r>
              <w:rPr>
                <w:rFonts w:ascii="Times New Roman"/>
                <w:sz w:val="18"/>
              </w:rPr>
              <w:t>2,071,744,</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596.78</w:t>
            </w:r>
          </w:p>
        </w:tc>
      </w:tr>
      <w:tr>
        <w:trPr>
          <w:trHeight w:val="711"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56,889.27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309,004.93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-1,471.02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-8,198,133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21,320,226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419,232.89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-1,950.87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-2,701,638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6,454,403.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44</w:t>
            </w:r>
          </w:p>
        </w:tc>
      </w:tr>
      <w:tr>
        <w:trPr>
          <w:trHeight w:val="715"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08"/>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17,795,030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16,196,019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7" w:right="0"/>
              <w:jc w:val="left"/>
              <w:rPr>
                <w:rFonts w:ascii="Times New Roman" w:hAnsi="Times New Roman" w:cs="Times New Roman" w:eastAsia="Times New Roman" w:hint="default"/>
                <w:sz w:val="18"/>
                <w:szCs w:val="18"/>
              </w:rPr>
            </w:pPr>
            <w:r>
              <w:rPr>
                <w:rFonts w:ascii="Times New Roman"/>
                <w:sz w:val="18"/>
              </w:rPr>
              <w:t>-31,741,65</w:t>
            </w:r>
          </w:p>
          <w:p>
            <w:pPr>
              <w:pStyle w:val="TableParagraph"/>
              <w:spacing w:line="240" w:lineRule="auto" w:before="105"/>
              <w:ind w:left="518" w:right="0"/>
              <w:jc w:val="left"/>
              <w:rPr>
                <w:rFonts w:ascii="Times New Roman" w:hAnsi="Times New Roman" w:cs="Times New Roman" w:eastAsia="Times New Roman" w:hint="default"/>
                <w:sz w:val="18"/>
                <w:szCs w:val="18"/>
              </w:rPr>
            </w:pPr>
            <w:r>
              <w:rPr>
                <w:rFonts w:ascii="Times New Roman"/>
                <w:sz w:val="18"/>
              </w:rPr>
              <w:t>5.60</w:t>
            </w:r>
          </w:p>
        </w:tc>
      </w:tr>
      <w:tr>
        <w:trPr>
          <w:trHeight w:val="716" w:hRule="exact"/>
        </w:trPr>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56,889.27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309,004.93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-1,471.02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9,596,896.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37,516,246</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-1,625.37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419,232.89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-1,950.87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-2,701,638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-25,287,26</w:t>
            </w:r>
          </w:p>
          <w:p>
            <w:pPr>
              <w:pStyle w:val="TableParagraph"/>
              <w:spacing w:line="240" w:lineRule="auto" w:before="110"/>
              <w:ind w:left="518" w:right="0"/>
              <w:jc w:val="left"/>
              <w:rPr>
                <w:rFonts w:ascii="Times New Roman" w:hAnsi="Times New Roman" w:cs="Times New Roman" w:eastAsia="Times New Roman" w:hint="default"/>
                <w:sz w:val="18"/>
                <w:szCs w:val="18"/>
              </w:rPr>
            </w:pPr>
            <w:r>
              <w:rPr>
                <w:rFonts w:ascii="Times New Roman"/>
                <w:sz w:val="18"/>
              </w:rPr>
              <w:t>2.16</w:t>
            </w:r>
          </w:p>
        </w:tc>
      </w:tr>
    </w:tbl>
    <w:p>
      <w:pPr>
        <w:spacing w:after="0" w:line="240" w:lineRule="auto"/>
        <w:jc w:val="lef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11"/>
        <w:rPr>
          <w:rFonts w:ascii="Times New Roman" w:hAnsi="Times New Roman" w:cs="Times New Roman" w:eastAsia="Times New Roman" w:hint="default"/>
          <w:sz w:val="23"/>
          <w:szCs w:val="23"/>
        </w:rPr>
      </w:pPr>
    </w:p>
    <w:p>
      <w:pPr>
        <w:pStyle w:val="Heading3"/>
        <w:spacing w:line="240" w:lineRule="auto" w:before="36"/>
        <w:ind w:right="0"/>
        <w:jc w:val="left"/>
        <w:rPr>
          <w:b w:val="0"/>
          <w:bCs w:val="0"/>
        </w:rPr>
      </w:pPr>
      <w:bookmarkStart w:name="（4）不重要的合营企业和联营企业的汇总财务信息" w:id="424"/>
      <w:bookmarkEnd w:id="42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合营企业或联营企业向本公司转移资金的能力存在重大限制的说明" w:id="425"/>
      <w:bookmarkEnd w:id="42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合营企业或联营企业发生的超额亏损" w:id="426"/>
      <w:bookmarkEnd w:id="42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与合营企业投资相关的未确认承诺" w:id="427"/>
      <w:bookmarkEnd w:id="42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8）与合营企业或联营企业投资相关的或有负债" w:id="428"/>
      <w:bookmarkEnd w:id="42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重要的共同经营" w:id="429"/>
      <w:bookmarkEnd w:id="42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在未纳入合并财务报表范围的结构化主体中的权益" w:id="430"/>
      <w:bookmarkEnd w:id="43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其他" w:id="431"/>
      <w:bookmarkEnd w:id="431"/>
      <w:r>
        <w:rPr>
          <w:b w:val="0"/>
          <w:bCs w:val="0"/>
        </w:rPr>
      </w: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十、与金融工具相关的风险" w:id="432"/>
      <w:bookmarkEnd w:id="432"/>
      <w:r>
        <w:rPr>
          <w:b w:val="0"/>
          <w:bCs w:val="0"/>
        </w:rPr>
      </w:r>
      <w:r>
        <w:rPr/>
        <w:t>十、与金融工具相关的风险</w:t>
      </w:r>
      <w:r>
        <w:rPr>
          <w:b w:val="0"/>
          <w:bCs w:val="0"/>
        </w:rPr>
      </w:r>
    </w:p>
    <w:p>
      <w:pPr>
        <w:spacing w:line="240" w:lineRule="auto" w:before="11"/>
        <w:rPr>
          <w:rFonts w:ascii="宋体" w:hAnsi="宋体" w:cs="宋体" w:eastAsia="宋体" w:hint="default"/>
          <w:b/>
          <w:bCs/>
          <w:sz w:val="26"/>
          <w:szCs w:val="26"/>
        </w:rPr>
      </w:pPr>
    </w:p>
    <w:p>
      <w:pPr>
        <w:pStyle w:val="BodyText"/>
        <w:spacing w:line="321" w:lineRule="auto"/>
        <w:ind w:right="0" w:firstLine="427"/>
        <w:jc w:val="left"/>
      </w:pPr>
      <w:r>
        <w:rPr>
          <w:spacing w:val="-2"/>
        </w:rPr>
        <w:t>本公司的主要金融工具包括应收账款、应付账款等。这些金融工具的主要目的在于为本公司的运营融资。本公司具有</w:t>
      </w:r>
      <w:r>
        <w:rPr>
          <w:w w:val="101"/>
        </w:rPr>
        <w:t> </w:t>
      </w:r>
      <w:r>
        <w:rPr>
          <w:spacing w:val="-3"/>
        </w:rPr>
        <w:t>多种因经营而直接产生的其他金融资产和负债，如应收账款和应付账款等。</w:t>
      </w:r>
    </w:p>
    <w:p>
      <w:pPr>
        <w:pStyle w:val="BodyText"/>
        <w:spacing w:line="240" w:lineRule="auto" w:before="54"/>
        <w:ind w:left="580" w:right="0"/>
        <w:jc w:val="left"/>
      </w:pPr>
      <w:r>
        <w:rPr>
          <w:spacing w:val="-3"/>
        </w:rPr>
        <w:t>本公司的金融工具导致的主要风险是信用风险、流动风险及市场风险。</w:t>
      </w:r>
    </w:p>
    <w:p>
      <w:pPr>
        <w:pStyle w:val="BodyText"/>
        <w:spacing w:line="240" w:lineRule="auto" w:before="119"/>
        <w:ind w:left="580" w:right="0"/>
        <w:jc w:val="left"/>
      </w:pPr>
      <w:r>
        <w:rPr>
          <w:rFonts w:ascii="Times New Roman" w:hAnsi="Times New Roman" w:cs="Times New Roman" w:eastAsia="Times New Roman" w:hint="default"/>
        </w:rPr>
        <w:t>1</w:t>
      </w:r>
      <w:r>
        <w:rPr/>
        <w:t>、信用风险</w:t>
      </w:r>
    </w:p>
    <w:p>
      <w:pPr>
        <w:pStyle w:val="BodyText"/>
        <w:spacing w:line="304" w:lineRule="auto" w:before="96"/>
        <w:ind w:right="0" w:firstLine="427"/>
        <w:jc w:val="left"/>
      </w:pPr>
      <w:r>
        <w:rPr>
          <w:spacing w:val="-4"/>
        </w:rPr>
        <w:t>信用风险指金融工具的一方不履行义务，造成另一方发生财务损失的风险，截至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7"/>
        </w:rPr>
        <w:t> </w:t>
      </w:r>
      <w:r>
        <w:rPr>
          <w:spacing w:val="-5"/>
        </w:rPr>
        <w:t>日，可能引起本公司</w:t>
      </w:r>
      <w:r>
        <w:rPr>
          <w:w w:val="101"/>
        </w:rPr>
        <w:t> </w:t>
      </w:r>
      <w:r>
        <w:rPr>
          <w:spacing w:val="-3"/>
        </w:rPr>
        <w:t>财务损失的最大信用风险敞口主要来自于合同另一方未能履行义务而导致本公司金融资产产生的损失。</w:t>
      </w:r>
    </w:p>
    <w:p>
      <w:pPr>
        <w:pStyle w:val="BodyText"/>
        <w:spacing w:line="321" w:lineRule="auto" w:before="61"/>
        <w:ind w:right="0" w:firstLine="427"/>
        <w:jc w:val="left"/>
      </w:pPr>
      <w:r>
        <w:rPr>
          <w:spacing w:val="-2"/>
        </w:rPr>
        <w:t>本公司的交易对象，多为信誉良好的大型公司，同时为降低信用风险，本公司建立了信用审批机制，对所有客户进行</w:t>
      </w:r>
      <w:r>
        <w:rPr>
          <w:w w:val="101"/>
        </w:rPr>
        <w:t> </w:t>
      </w:r>
      <w:r>
        <w:rPr>
          <w:spacing w:val="-6"/>
        </w:rPr>
        <w:t>信用评级。此外，本公司于每个资产负债表日对应收款的回收情况进行审核，以确保就无法回收的款项计提充分的坏账准备。</w:t>
      </w:r>
      <w:r>
        <w:rPr>
          <w:spacing w:val="63"/>
        </w:rPr>
        <w:t> </w:t>
      </w:r>
      <w:r>
        <w:rPr>
          <w:spacing w:val="63"/>
        </w:rPr>
      </w:r>
      <w:r>
        <w:rPr>
          <w:spacing w:val="-3"/>
        </w:rPr>
        <w:t>因此，本公司管理层认为本公司所承担的信用风险已经大为降低。</w:t>
      </w:r>
    </w:p>
    <w:p>
      <w:pPr>
        <w:pStyle w:val="BodyText"/>
        <w:spacing w:line="240" w:lineRule="auto" w:before="58"/>
        <w:ind w:left="580" w:right="0"/>
        <w:jc w:val="left"/>
      </w:pPr>
      <w:r>
        <w:rPr>
          <w:spacing w:val="-3"/>
        </w:rPr>
        <w:t>本公司的流动资金存放在信用评级较高的银行，故流动资金的信用风险较低。</w:t>
      </w:r>
    </w:p>
    <w:p>
      <w:pPr>
        <w:spacing w:after="0" w:line="24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333" w:lineRule="auto" w:before="46"/>
        <w:ind w:left="580" w:right="1037"/>
        <w:jc w:val="left"/>
      </w:pPr>
      <w:r>
        <w:rPr>
          <w:rFonts w:ascii="Times New Roman" w:hAnsi="Times New Roman" w:cs="Times New Roman" w:eastAsia="Times New Roman" w:hint="default"/>
        </w:rPr>
        <w:t>2</w:t>
      </w:r>
      <w:r>
        <w:rPr/>
        <w:t>、流动风险</w:t>
      </w:r>
      <w:r>
        <w:rPr>
          <w:spacing w:val="-87"/>
        </w:rPr>
        <w:t> </w:t>
      </w:r>
      <w:r>
        <w:rPr>
          <w:spacing w:val="-87"/>
        </w:rPr>
      </w:r>
      <w:r>
        <w:rPr>
          <w:spacing w:val="-2"/>
        </w:rPr>
        <w:t>流动风险是指企业在履行以交付现金或其他金融资产的方式结算的义务时发生资金短缺的风险。管理流动风险时，本</w:t>
      </w:r>
    </w:p>
    <w:p>
      <w:pPr>
        <w:pStyle w:val="BodyText"/>
        <w:spacing w:line="348" w:lineRule="auto" w:before="11"/>
        <w:ind w:left="580" w:right="1037" w:hanging="428"/>
        <w:jc w:val="left"/>
      </w:pPr>
      <w:r>
        <w:rPr>
          <w:spacing w:val="-3"/>
        </w:rPr>
        <w:t>公司保持管理层认为充分的现金及现金等价物并对其进行监控，以满足本公司经营需要，并降低现金流量波动的影响。</w:t>
      </w:r>
      <w:r>
        <w:rPr>
          <w:spacing w:val="61"/>
        </w:rPr>
        <w:t> </w:t>
      </w:r>
      <w:r>
        <w:rPr>
          <w:spacing w:val="61"/>
        </w:rPr>
      </w:r>
      <w:r>
        <w:rPr>
          <w:rFonts w:ascii="Times New Roman" w:hAnsi="Times New Roman" w:cs="Times New Roman" w:eastAsia="Times New Roman" w:hint="default"/>
        </w:rPr>
        <w:t>3</w:t>
      </w:r>
      <w:r>
        <w:rPr/>
        <w:t>、市场风险</w:t>
      </w:r>
      <w:r>
        <w:rPr>
          <w:w w:val="101"/>
        </w:rPr>
        <w:t> </w:t>
      </w:r>
      <w:r>
        <w:rPr>
          <w:spacing w:val="-4"/>
        </w:rPr>
        <w:t>市场风险，是指金融工具的公允价值或未来现金流量因市场价格变动而发生波动的风险。市场风险主要包括利率风险、</w:t>
      </w:r>
    </w:p>
    <w:p>
      <w:pPr>
        <w:pStyle w:val="BodyText"/>
        <w:spacing w:line="240" w:lineRule="auto"/>
        <w:ind w:right="0"/>
        <w:jc w:val="left"/>
      </w:pPr>
      <w:r>
        <w:rPr/>
        <w:t>外汇风险。</w:t>
      </w:r>
    </w:p>
    <w:p>
      <w:pPr>
        <w:pStyle w:val="BodyText"/>
        <w:spacing w:line="240" w:lineRule="auto" w:before="115"/>
        <w:ind w:left="580" w:right="0"/>
        <w:jc w:val="left"/>
      </w:pPr>
      <w:r>
        <w:rPr/>
        <w:t>（</w:t>
      </w:r>
      <w:r>
        <w:rPr>
          <w:rFonts w:ascii="Times New Roman" w:hAnsi="Times New Roman" w:cs="Times New Roman" w:eastAsia="Times New Roman" w:hint="default"/>
        </w:rPr>
        <w:t>1</w:t>
      </w:r>
      <w:r>
        <w:rPr/>
        <w:t>）利率风险</w:t>
      </w:r>
    </w:p>
    <w:p>
      <w:pPr>
        <w:pStyle w:val="BodyText"/>
        <w:spacing w:line="240" w:lineRule="auto" w:before="101"/>
        <w:ind w:left="580" w:right="0"/>
        <w:jc w:val="left"/>
      </w:pPr>
      <w:r>
        <w:rPr>
          <w:spacing w:val="-3"/>
        </w:rPr>
        <w:t>截至报告期末，本公司短期借款余额 </w:t>
      </w:r>
      <w:r>
        <w:rPr>
          <w:rFonts w:ascii="Times New Roman" w:hAnsi="Times New Roman" w:cs="Times New Roman" w:eastAsia="Times New Roman" w:hint="default"/>
        </w:rPr>
        <w:t>909,492,953.95 </w:t>
      </w:r>
      <w:r>
        <w:rPr>
          <w:spacing w:val="-4"/>
        </w:rPr>
        <w:t>元，长期借款余额 </w:t>
      </w:r>
      <w:r>
        <w:rPr>
          <w:rFonts w:ascii="Times New Roman" w:hAnsi="Times New Roman" w:cs="Times New Roman" w:eastAsia="Times New Roman" w:hint="default"/>
        </w:rPr>
        <w:t>38,337,706.58 </w:t>
      </w:r>
      <w:r>
        <w:rPr>
          <w:rFonts w:ascii="Times New Roman" w:hAnsi="Times New Roman" w:cs="Times New Roman" w:eastAsia="Times New Roman" w:hint="default"/>
          <w:spacing w:val="22"/>
        </w:rPr>
        <w:t> </w:t>
      </w:r>
      <w:r>
        <w:rPr>
          <w:spacing w:val="-3"/>
        </w:rPr>
        <w:t>元，其中一年内到期的部分余额</w:t>
      </w:r>
    </w:p>
    <w:p>
      <w:pPr>
        <w:pStyle w:val="BodyText"/>
        <w:spacing w:line="240" w:lineRule="auto" w:before="68"/>
        <w:ind w:right="0"/>
        <w:jc w:val="left"/>
      </w:pPr>
      <w:r>
        <w:rPr/>
        <w:t>为 </w:t>
      </w:r>
      <w:r>
        <w:rPr>
          <w:rFonts w:ascii="Times New Roman" w:hAnsi="Times New Roman" w:cs="Times New Roman" w:eastAsia="Times New Roman" w:hint="default"/>
        </w:rPr>
        <w:t>33,016,333.33</w:t>
      </w:r>
      <w:r>
        <w:rPr>
          <w:rFonts w:ascii="Times New Roman" w:hAnsi="Times New Roman" w:cs="Times New Roman" w:eastAsia="Times New Roman" w:hint="default"/>
          <w:spacing w:val="-18"/>
        </w:rPr>
        <w:t> </w:t>
      </w:r>
      <w:r>
        <w:rPr>
          <w:spacing w:val="-3"/>
        </w:rPr>
        <w:t>元，存在利率风险。</w:t>
      </w:r>
    </w:p>
    <w:p>
      <w:pPr>
        <w:pStyle w:val="BodyText"/>
        <w:spacing w:line="240" w:lineRule="auto" w:before="101"/>
        <w:ind w:left="580" w:right="0"/>
        <w:jc w:val="left"/>
      </w:pPr>
      <w:r>
        <w:rPr/>
        <w:t>（</w:t>
      </w:r>
      <w:r>
        <w:rPr>
          <w:rFonts w:ascii="Times New Roman" w:hAnsi="Times New Roman" w:cs="Times New Roman" w:eastAsia="Times New Roman" w:hint="default"/>
        </w:rPr>
        <w:t>2</w:t>
      </w:r>
      <w:r>
        <w:rPr/>
        <w:t>）外汇风险</w:t>
      </w:r>
    </w:p>
    <w:p>
      <w:pPr>
        <w:pStyle w:val="BodyText"/>
        <w:spacing w:line="240" w:lineRule="auto" w:before="101"/>
        <w:ind w:left="580" w:right="0"/>
        <w:jc w:val="left"/>
      </w:pPr>
      <w:r>
        <w:rPr/>
        <w:t>截至</w:t>
      </w:r>
      <w:r>
        <w:rPr>
          <w:spacing w:val="-2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36"/>
        </w:rPr>
        <w:t> </w:t>
      </w:r>
      <w:r>
        <w:rPr>
          <w:rFonts w:ascii="Times New Roman" w:hAnsi="Times New Roman" w:cs="Times New Roman" w:eastAsia="Times New Roman" w:hint="default"/>
        </w:rPr>
        <w:t>12</w:t>
      </w:r>
      <w:r>
        <w:rPr>
          <w:rFonts w:ascii="Times New Roman" w:hAnsi="Times New Roman" w:cs="Times New Roman" w:eastAsia="Times New Roman" w:hint="default"/>
          <w:spacing w:val="16"/>
        </w:rPr>
        <w:t> </w:t>
      </w:r>
      <w:r>
        <w:rPr/>
        <w:t>月</w:t>
      </w:r>
      <w:r>
        <w:rPr>
          <w:spacing w:val="-29"/>
        </w:rPr>
        <w:t> </w:t>
      </w:r>
      <w:r>
        <w:rPr>
          <w:rFonts w:ascii="Times New Roman" w:hAnsi="Times New Roman" w:cs="Times New Roman" w:eastAsia="Times New Roman" w:hint="default"/>
        </w:rPr>
        <w:t>31</w:t>
      </w:r>
      <w:r>
        <w:rPr>
          <w:rFonts w:ascii="Times New Roman" w:hAnsi="Times New Roman" w:cs="Times New Roman" w:eastAsia="Times New Roman" w:hint="default"/>
          <w:spacing w:val="16"/>
        </w:rPr>
        <w:t> </w:t>
      </w:r>
      <w:r>
        <w:rPr>
          <w:spacing w:val="-3"/>
        </w:rPr>
        <w:t>日，本公司结存外币银行存款及短期借款，存在一定的汇率波动风险。</w:t>
      </w:r>
    </w:p>
    <w:p>
      <w:pPr>
        <w:spacing w:line="240" w:lineRule="auto" w:before="4"/>
        <w:rPr>
          <w:rFonts w:ascii="宋体" w:hAnsi="宋体" w:cs="宋体" w:eastAsia="宋体" w:hint="default"/>
          <w:sz w:val="23"/>
          <w:szCs w:val="23"/>
        </w:rPr>
      </w:pPr>
    </w:p>
    <w:p>
      <w:pPr>
        <w:pStyle w:val="Heading2"/>
        <w:spacing w:line="240" w:lineRule="auto"/>
        <w:ind w:right="0"/>
        <w:jc w:val="left"/>
        <w:rPr>
          <w:b w:val="0"/>
          <w:bCs w:val="0"/>
        </w:rPr>
      </w:pPr>
      <w:bookmarkStart w:name="十一、公允价值的披露" w:id="433"/>
      <w:bookmarkEnd w:id="433"/>
      <w:r>
        <w:rPr>
          <w:b w:val="0"/>
          <w:bCs w:val="0"/>
        </w:rPr>
      </w:r>
      <w:r>
        <w:rPr/>
        <w:t>十一、公允价值的披露</w:t>
      </w:r>
      <w:r>
        <w:rPr>
          <w:b w:val="0"/>
          <w:bCs w:val="0"/>
        </w:rPr>
      </w:r>
    </w:p>
    <w:p>
      <w:pPr>
        <w:spacing w:line="240" w:lineRule="auto" w:before="4"/>
        <w:rPr>
          <w:rFonts w:ascii="宋体" w:hAnsi="宋体" w:cs="宋体" w:eastAsia="宋体" w:hint="default"/>
          <w:b/>
          <w:bCs/>
          <w:sz w:val="25"/>
          <w:szCs w:val="25"/>
        </w:rPr>
      </w:pPr>
    </w:p>
    <w:p>
      <w:pPr>
        <w:pStyle w:val="Heading3"/>
        <w:spacing w:line="240" w:lineRule="auto"/>
        <w:ind w:right="0"/>
        <w:jc w:val="left"/>
        <w:rPr>
          <w:b w:val="0"/>
          <w:bCs w:val="0"/>
        </w:rPr>
      </w:pPr>
      <w:bookmarkStart w:name="1、以公允价值计量的资产和负债的期末公允价值" w:id="434"/>
      <w:bookmarkEnd w:id="43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6"/>
        <w:gridCol w:w="1911"/>
        <w:gridCol w:w="1916"/>
      </w:tblGrid>
      <w:tr>
        <w:trPr>
          <w:trHeight w:val="401"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9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4"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835" w:right="99" w:hanging="720"/>
              <w:jc w:val="left"/>
              <w:rPr>
                <w:rFonts w:ascii="宋体" w:hAnsi="宋体" w:cs="宋体" w:eastAsia="宋体" w:hint="default"/>
                <w:sz w:val="18"/>
                <w:szCs w:val="18"/>
              </w:rPr>
            </w:pPr>
            <w:r>
              <w:rPr>
                <w:rFonts w:ascii="宋体" w:hAnsi="宋体" w:cs="宋体" w:eastAsia="宋体" w:hint="default"/>
                <w:spacing w:val="-3"/>
                <w:sz w:val="18"/>
                <w:szCs w:val="18"/>
              </w:rPr>
              <w:t>第一层次公允价值计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3"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2"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49"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c>
          <w:tcPr>
            <w:tcW w:w="1911" w:type="dxa"/>
            <w:vMerge/>
            <w:tcBorders>
              <w:left w:val="single" w:sz="4" w:space="0" w:color="000000"/>
              <w:bottom w:val="nil" w:sz="6" w:space="0" w:color="auto"/>
              <w:right w:val="single" w:sz="4" w:space="0" w:color="000000"/>
            </w:tcBorders>
            <w:shd w:val="clear" w:color="auto" w:fill="D2D2D2"/>
          </w:tcPr>
          <w:p>
            <w:pPr/>
          </w:p>
        </w:tc>
        <w:tc>
          <w:tcPr>
            <w:tcW w:w="1916"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49"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一、持续的公允价值计量</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（一）交易性金融资产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21,880,877.59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21,880,877.59</w:t>
            </w:r>
          </w:p>
        </w:tc>
      </w:tr>
      <w:tr>
        <w:trPr>
          <w:trHeight w:val="102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以公允价值计量且其变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动计入当期损益的金融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）衍生金融资产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指定以公允价值计量且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其变动计入当期损益的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金融资产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）债务工具投资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（二）其他债权投资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6"/>
                <w:sz w:val="18"/>
                <w:szCs w:val="18"/>
              </w:rPr>
              <w:t>（三）其他权益工具投资</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2,000,000.00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6" w:right="0"/>
              <w:jc w:val="left"/>
              <w:rPr>
                <w:rFonts w:ascii="Times New Roman" w:hAnsi="Times New Roman" w:cs="Times New Roman" w:eastAsia="Times New Roman" w:hint="default"/>
                <w:sz w:val="18"/>
                <w:szCs w:val="18"/>
              </w:rPr>
            </w:pPr>
            <w:r>
              <w:rPr>
                <w:rFonts w:ascii="Times New Roman"/>
                <w:sz w:val="18"/>
              </w:rPr>
              <w:t>2,000,000.00</w:t>
            </w: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1" w:right="0"/>
              <w:jc w:val="left"/>
              <w:rPr>
                <w:rFonts w:ascii="宋体" w:hAnsi="宋体" w:cs="宋体" w:eastAsia="宋体" w:hint="default"/>
                <w:sz w:val="18"/>
                <w:szCs w:val="18"/>
              </w:rPr>
            </w:pPr>
            <w:r>
              <w:rPr>
                <w:rFonts w:ascii="宋体" w:hAnsi="宋体" w:cs="宋体" w:eastAsia="宋体" w:hint="default"/>
                <w:spacing w:val="-3"/>
                <w:sz w:val="18"/>
                <w:szCs w:val="18"/>
              </w:rPr>
              <w:t>（四）投资性房地产</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出租用的土地使用权</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4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993"/>
        <w:gridCol w:w="1839"/>
        <w:gridCol w:w="1916"/>
        <w:gridCol w:w="1911"/>
        <w:gridCol w:w="1916"/>
      </w:tblGrid>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持有并准备增值后转让</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的土地使用权</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（五）生物资产</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消耗性生物资产</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生产性生物资产</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27,839,926.00</w:t>
            </w: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27,839,926.00</w:t>
            </w:r>
          </w:p>
        </w:tc>
      </w:tr>
      <w:tr>
        <w:trPr>
          <w:trHeight w:val="711"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3"/>
              <w:ind w:left="24" w:right="151"/>
              <w:jc w:val="left"/>
              <w:rPr>
                <w:rFonts w:ascii="宋体" w:hAnsi="宋体" w:cs="宋体" w:eastAsia="宋体" w:hint="default"/>
                <w:sz w:val="18"/>
                <w:szCs w:val="18"/>
              </w:rPr>
            </w:pPr>
            <w:r>
              <w:rPr>
                <w:rFonts w:ascii="宋体" w:hAnsi="宋体" w:cs="宋体" w:eastAsia="宋体" w:hint="default"/>
                <w:spacing w:val="-3"/>
                <w:sz w:val="18"/>
                <w:szCs w:val="18"/>
              </w:rPr>
              <w:t>持续以公允价值计量的</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资产总额</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27,839,926.00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23,880,877.59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45" w:right="0"/>
              <w:jc w:val="left"/>
              <w:rPr>
                <w:rFonts w:ascii="Times New Roman" w:hAnsi="Times New Roman" w:cs="Times New Roman" w:eastAsia="Times New Roman" w:hint="default"/>
                <w:sz w:val="18"/>
                <w:szCs w:val="18"/>
              </w:rPr>
            </w:pPr>
            <w:r>
              <w:rPr>
                <w:rFonts w:ascii="Times New Roman"/>
                <w:sz w:val="18"/>
              </w:rPr>
              <w:t>51,720,803.59</w:t>
            </w: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（六）交易性金融负债</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6"/>
                <w:sz w:val="18"/>
                <w:szCs w:val="18"/>
              </w:rPr>
              <w:t>其中：发行的交易性债券</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pacing w:val="-3"/>
                <w:sz w:val="18"/>
                <w:szCs w:val="18"/>
              </w:rPr>
              <w:t>衍生金融负债</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9"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566" w:right="0"/>
              <w:jc w:val="left"/>
              <w:rPr>
                <w:rFonts w:ascii="宋体" w:hAnsi="宋体" w:cs="宋体" w:eastAsia="宋体" w:hint="default"/>
                <w:sz w:val="18"/>
                <w:szCs w:val="18"/>
              </w:rPr>
            </w:pPr>
            <w:r>
              <w:rPr>
                <w:rFonts w:ascii="宋体" w:hAnsi="宋体" w:cs="宋体" w:eastAsia="宋体" w:hint="default"/>
                <w:spacing w:val="-5"/>
                <w:sz w:val="18"/>
                <w:szCs w:val="18"/>
              </w:rPr>
              <w:t>其他</w:t>
            </w:r>
            <w:r>
              <w:rPr>
                <w:rFonts w:ascii="宋体" w:hAnsi="宋体" w:cs="宋体" w:eastAsia="宋体" w:hint="default"/>
                <w:sz w:val="18"/>
                <w:szCs w:val="18"/>
              </w:rPr>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8"/>
              <w:ind w:left="24" w:right="12"/>
              <w:jc w:val="left"/>
              <w:rPr>
                <w:rFonts w:ascii="宋体" w:hAnsi="宋体" w:cs="宋体" w:eastAsia="宋体" w:hint="default"/>
                <w:sz w:val="18"/>
                <w:szCs w:val="18"/>
              </w:rPr>
            </w:pPr>
            <w:r>
              <w:rPr>
                <w:rFonts w:ascii="宋体" w:hAnsi="宋体" w:cs="宋体" w:eastAsia="宋体" w:hint="default"/>
                <w:spacing w:val="-6"/>
                <w:sz w:val="18"/>
                <w:szCs w:val="18"/>
              </w:rPr>
              <w:t>（七）指定为以公允价值</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计量且变动计入当期损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益的金融负债</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4" w:right="151"/>
              <w:jc w:val="left"/>
              <w:rPr>
                <w:rFonts w:ascii="宋体" w:hAnsi="宋体" w:cs="宋体" w:eastAsia="宋体" w:hint="default"/>
                <w:sz w:val="18"/>
                <w:szCs w:val="18"/>
              </w:rPr>
            </w:pPr>
            <w:r>
              <w:rPr>
                <w:rFonts w:ascii="宋体" w:hAnsi="宋体" w:cs="宋体" w:eastAsia="宋体" w:hint="default"/>
                <w:spacing w:val="-2"/>
                <w:sz w:val="18"/>
                <w:szCs w:val="18"/>
              </w:rPr>
              <w:t>持续以公允价值计量的</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负债总额</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158" w:hRule="exact"/>
        </w:trPr>
        <w:tc>
          <w:tcPr>
            <w:tcW w:w="19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4" w:right="12"/>
              <w:jc w:val="left"/>
              <w:rPr>
                <w:rFonts w:ascii="宋体" w:hAnsi="宋体" w:cs="宋体" w:eastAsia="宋体" w:hint="default"/>
                <w:sz w:val="18"/>
                <w:szCs w:val="18"/>
              </w:rPr>
            </w:pPr>
            <w:r>
              <w:rPr>
                <w:rFonts w:ascii="宋体" w:hAnsi="宋体" w:cs="宋体" w:eastAsia="宋体" w:hint="default"/>
                <w:spacing w:val="-6"/>
                <w:sz w:val="18"/>
                <w:szCs w:val="18"/>
              </w:rPr>
              <w:t>二、非持续的公允价值计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量</w:t>
            </w:r>
          </w:p>
        </w:tc>
        <w:tc>
          <w:tcPr>
            <w:tcW w:w="18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93" w:type="dxa"/>
            <w:vMerge/>
            <w:tcBorders>
              <w:left w:val="single" w:sz="4" w:space="0" w:color="000000"/>
              <w:right w:val="single" w:sz="4" w:space="0" w:color="000000"/>
            </w:tcBorders>
            <w:shd w:val="clear" w:color="auto" w:fill="D2D2D2"/>
          </w:tcPr>
          <w:p>
            <w:pPr/>
          </w:p>
        </w:tc>
        <w:tc>
          <w:tcPr>
            <w:tcW w:w="18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3"/>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9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893" w:right="0"/>
              <w:jc w:val="left"/>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r>
      <w:tr>
        <w:trPr>
          <w:trHeight w:val="158" w:hRule="exact"/>
        </w:trPr>
        <w:tc>
          <w:tcPr>
            <w:tcW w:w="1993" w:type="dxa"/>
            <w:vMerge/>
            <w:tcBorders>
              <w:left w:val="single" w:sz="4" w:space="0" w:color="000000"/>
              <w:bottom w:val="single" w:sz="4" w:space="0" w:color="000000"/>
              <w:right w:val="single" w:sz="4" w:space="0" w:color="000000"/>
            </w:tcBorders>
            <w:shd w:val="clear" w:color="auto" w:fill="D2D2D2"/>
          </w:tcPr>
          <w:p>
            <w:pPr/>
          </w:p>
        </w:tc>
        <w:tc>
          <w:tcPr>
            <w:tcW w:w="18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pacing w:val="-3"/>
                <w:sz w:val="18"/>
                <w:szCs w:val="18"/>
              </w:rPr>
              <w:t>（一）持有待售资产</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93"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1"/>
              <w:jc w:val="left"/>
              <w:rPr>
                <w:rFonts w:ascii="宋体" w:hAnsi="宋体" w:cs="宋体" w:eastAsia="宋体" w:hint="default"/>
                <w:sz w:val="18"/>
                <w:szCs w:val="18"/>
              </w:rPr>
            </w:pPr>
            <w:r>
              <w:rPr>
                <w:rFonts w:ascii="宋体" w:hAnsi="宋体" w:cs="宋体" w:eastAsia="宋体" w:hint="default"/>
                <w:spacing w:val="-2"/>
                <w:sz w:val="18"/>
                <w:szCs w:val="18"/>
              </w:rPr>
              <w:t>非持续以公允价值计量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的资产总额</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93" w:type="dxa"/>
            <w:tcBorders>
              <w:top w:val="single" w:sz="4" w:space="0" w:color="000000"/>
              <w:left w:val="single" w:sz="4" w:space="0" w:color="000000"/>
              <w:bottom w:val="single" w:sz="4" w:space="0" w:color="000000"/>
              <w:right w:val="single" w:sz="4" w:space="0" w:color="000000"/>
            </w:tcBorders>
          </w:tcPr>
          <w:p>
            <w:pPr/>
          </w:p>
        </w:tc>
        <w:tc>
          <w:tcPr>
            <w:tcW w:w="1839"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9"/>
              <w:ind w:left="24" w:right="151"/>
              <w:jc w:val="left"/>
              <w:rPr>
                <w:rFonts w:ascii="宋体" w:hAnsi="宋体" w:cs="宋体" w:eastAsia="宋体" w:hint="default"/>
                <w:sz w:val="18"/>
                <w:szCs w:val="18"/>
              </w:rPr>
            </w:pPr>
            <w:r>
              <w:rPr>
                <w:rFonts w:ascii="宋体" w:hAnsi="宋体" w:cs="宋体" w:eastAsia="宋体" w:hint="default"/>
                <w:spacing w:val="-2"/>
                <w:sz w:val="18"/>
                <w:szCs w:val="18"/>
              </w:rPr>
              <w:t>非持续以公允价值计量</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的负债总额</w:t>
            </w:r>
          </w:p>
        </w:tc>
        <w:tc>
          <w:tcPr>
            <w:tcW w:w="1839" w:type="dxa"/>
            <w:tcBorders>
              <w:top w:val="single" w:sz="4" w:space="0" w:color="000000"/>
              <w:left w:val="single" w:sz="10"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持续和非持续第一层次公允价值计量项目市价的确定依据" w:id="435"/>
      <w:bookmarkEnd w:id="43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3、持续和非持续第二层次公允价值计量项目，采用的估值技术和重要参数的定性及定量信" w:id="436"/>
      <w:bookmarkEnd w:id="43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4"/>
        <w:rPr>
          <w:rFonts w:ascii="宋体" w:hAnsi="宋体" w:cs="宋体" w:eastAsia="宋体" w:hint="default"/>
          <w:b/>
          <w:bCs/>
          <w:sz w:val="26"/>
          <w:szCs w:val="26"/>
        </w:rPr>
      </w:pPr>
    </w:p>
    <w:p>
      <w:pPr>
        <w:pStyle w:val="BodyText"/>
        <w:spacing w:line="321" w:lineRule="auto"/>
        <w:ind w:right="0" w:firstLine="427"/>
        <w:jc w:val="left"/>
      </w:pPr>
      <w:r>
        <w:rPr>
          <w:spacing w:val="-2"/>
        </w:rPr>
        <w:t>本公司第二层次公允价值计量项目系应收款项融资，构成为银行承兑票据，其剩余期限较短，账面价值与公允价值相</w:t>
      </w:r>
      <w:r>
        <w:rPr>
          <w:w w:val="101"/>
        </w:rPr>
        <w:t> </w:t>
      </w:r>
      <w:r>
        <w:rPr>
          <w:spacing w:val="-3"/>
        </w:rPr>
        <w:t>近，公司按账面价值作为公允价值的合理估计对其进行计量。</w:t>
      </w:r>
    </w:p>
    <w:p>
      <w:pPr>
        <w:spacing w:after="0" w:line="321"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4、持续和非持续第三层次公允价值计量项目，采用的估值技术和重要参数的定性及定量信" w:id="437"/>
      <w:bookmarkEnd w:id="43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22" w:firstLine="427"/>
        <w:jc w:val="both"/>
      </w:pPr>
      <w:r>
        <w:rPr>
          <w:spacing w:val="-2"/>
        </w:rPr>
        <w:t>本公司第三层次公允价值计量项目系交易性金融资产、其他权益工具投资，交易性金融资产构成为结构性存款及理财</w:t>
      </w:r>
      <w:r>
        <w:rPr>
          <w:w w:val="101"/>
        </w:rPr>
        <w:t> </w:t>
      </w:r>
      <w:r>
        <w:rPr>
          <w:spacing w:val="-4"/>
        </w:rPr>
        <w:t>产品，以预期收益率预测未来现金流量，不可观察估计值是预期收益率，其预计回收本金期限较短，账面价值与公允价值相</w:t>
      </w:r>
      <w:r>
        <w:rPr>
          <w:spacing w:val="40"/>
        </w:rPr>
        <w:t> </w:t>
      </w:r>
      <w:r>
        <w:rPr>
          <w:spacing w:val="40"/>
        </w:rPr>
      </w:r>
      <w:r>
        <w:rPr>
          <w:spacing w:val="-4"/>
        </w:rPr>
        <w:t>近，公司按账面价值作为公允价值的合理估计对其进行计量，其他权益工具投资构成为本报告期内新增的非交易性权益工具</w:t>
      </w:r>
      <w:r>
        <w:rPr>
          <w:spacing w:val="38"/>
        </w:rPr>
        <w:t> </w:t>
      </w:r>
      <w:r>
        <w:rPr>
          <w:spacing w:val="38"/>
        </w:rPr>
      </w:r>
      <w:r>
        <w:rPr>
          <w:spacing w:val="-4"/>
        </w:rPr>
        <w:t>投资，被投资企业的经营环境、经营情况、财务状况未发生重大变化，公司按投资成本作为公允价值的合理估计对其进行计</w:t>
      </w:r>
      <w:r>
        <w:rPr>
          <w:spacing w:val="40"/>
        </w:rPr>
        <w:t> </w:t>
      </w:r>
      <w:r>
        <w:rPr>
          <w:spacing w:val="40"/>
        </w:rPr>
      </w:r>
      <w:r>
        <w:rPr/>
        <w:t>量。</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bookmarkStart w:name="5、持续的第三层次公允价值计量项目，期初与期末账面价值间的调节信息及不可观察参数" w:id="438"/>
      <w:bookmarkEnd w:id="43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6、持续的公允价值计量项目，本期内发生各层级之间转换的，转换的原因及确定转换时点" w:id="439"/>
      <w:bookmarkEnd w:id="43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不适用</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7、本期内发生的估值技术变更及变更原因" w:id="440"/>
      <w:bookmarkEnd w:id="44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8、不以公允价值计量的金融资产和金融负债的公允价值情况" w:id="441"/>
      <w:bookmarkEnd w:id="44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不适用</w:t>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9、其他" w:id="442"/>
      <w:bookmarkEnd w:id="442"/>
      <w:r>
        <w:rPr>
          <w:b w:val="0"/>
          <w:bCs w:val="0"/>
        </w:rPr>
      </w:r>
      <w:r>
        <w:rPr>
          <w:rFonts w:ascii="Times New Roman" w:hAnsi="Times New Roman" w:cs="Times New Roman" w:eastAsia="Times New Roman" w:hint="default"/>
        </w:rPr>
        <w:t>9</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二、关联方及关联交易" w:id="443"/>
      <w:bookmarkEnd w:id="443"/>
      <w:r>
        <w:rPr>
          <w:b w:val="0"/>
          <w:bCs w:val="0"/>
        </w:rPr>
      </w:r>
      <w:r>
        <w:rPr/>
        <w:t>十二、关联方及关联交易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444"/>
      <w:bookmarkEnd w:id="44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spacing w:line="544" w:lineRule="auto" w:before="118"/>
        <w:ind w:left="153" w:right="4202" w:firstLine="0"/>
        <w:jc w:val="left"/>
        <w:rPr>
          <w:rFonts w:ascii="宋体" w:hAnsi="宋体" w:cs="宋体" w:eastAsia="宋体" w:hint="default"/>
          <w:sz w:val="21"/>
          <w:szCs w:val="21"/>
        </w:rPr>
      </w:pPr>
      <w:bookmarkStart w:name="2、本企业的子公司情况" w:id="445"/>
      <w:bookmarkEnd w:id="445"/>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spacing w:val="-102"/>
          <w:sz w:val="21"/>
          <w:szCs w:val="21"/>
        </w:rPr>
        <w:t> </w:t>
      </w:r>
      <w:r>
        <w:rPr>
          <w:rFonts w:ascii="宋体" w:hAnsi="宋体" w:cs="宋体" w:eastAsia="宋体" w:hint="default"/>
          <w:spacing w:val="-3"/>
          <w:sz w:val="18"/>
          <w:szCs w:val="18"/>
        </w:rPr>
        <w:t>本企业子公司的情况详见附注七、</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、在子公司中的权益。</w:t>
      </w:r>
      <w:r>
        <w:rPr>
          <w:rFonts w:ascii="宋体" w:hAnsi="宋体" w:cs="宋体" w:eastAsia="宋体" w:hint="default"/>
          <w:spacing w:val="-11"/>
          <w:sz w:val="18"/>
          <w:szCs w:val="18"/>
        </w:rPr>
        <w:t> </w:t>
      </w:r>
      <w:r>
        <w:rPr>
          <w:rFonts w:ascii="宋体" w:hAnsi="宋体" w:cs="宋体" w:eastAsia="宋体" w:hint="default"/>
          <w:spacing w:val="-11"/>
          <w:sz w:val="18"/>
          <w:szCs w:val="18"/>
        </w:rPr>
      </w:r>
      <w:bookmarkStart w:name="3、本企业合营和联营企业情况" w:id="446"/>
      <w:bookmarkEnd w:id="446"/>
      <w:r>
        <w:rPr>
          <w:rFonts w:ascii="宋体" w:hAnsi="宋体" w:cs="宋体" w:eastAsia="宋体" w:hint="default"/>
          <w:spacing w:val="-11"/>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8"/>
        <w:ind w:right="0"/>
        <w:jc w:val="left"/>
      </w:pPr>
      <w:r>
        <w:rPr>
          <w:spacing w:val="-3"/>
        </w:rPr>
        <w:t>本企业重要的合营或联营企业详见附注七、</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w:t>
      </w:r>
      <w:r>
        <w:rPr>
          <w:spacing w:val="-3"/>
        </w:rPr>
        <w:t>在合营安排或联营企业中的权益</w:t>
      </w:r>
      <w:r>
        <w:rPr>
          <w:rFonts w:ascii="Times New Roman" w:hAnsi="Times New Roman" w:cs="Times New Roman" w:eastAsia="Times New Roman" w:hint="default"/>
          <w:spacing w:val="-3"/>
        </w:rPr>
        <w:t>”</w:t>
      </w:r>
      <w:r>
        <w:rPr>
          <w:spacing w:val="-3"/>
        </w:rPr>
        <w:t>。</w:t>
      </w:r>
      <w:r>
        <w:rPr>
          <w:spacing w:val="22"/>
        </w:rPr>
        <w:t> </w:t>
      </w:r>
      <w:r>
        <w:rPr>
          <w:spacing w:val="-3"/>
        </w:rPr>
        <w:t>本期与本公司发生关联方交易，或前期与本公司发生关联方交易形成余额的其他合营或联营企业情况如下：</w:t>
      </w:r>
    </w:p>
    <w:p>
      <w:pPr>
        <w:spacing w:line="240" w:lineRule="auto" w:before="0"/>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79" w:right="0"/>
              <w:jc w:val="left"/>
              <w:rPr>
                <w:rFonts w:ascii="宋体" w:hAnsi="宋体" w:cs="宋体" w:eastAsia="宋体" w:hint="default"/>
                <w:sz w:val="18"/>
                <w:szCs w:val="18"/>
              </w:rPr>
            </w:pPr>
            <w:r>
              <w:rPr>
                <w:rFonts w:ascii="宋体" w:hAnsi="宋体" w:cs="宋体" w:eastAsia="宋体" w:hint="default"/>
                <w:spacing w:val="-3"/>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4、其他关联方情况" w:id="447"/>
      <w:bookmarkEnd w:id="44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397" w:right="0"/>
              <w:jc w:val="left"/>
              <w:rPr>
                <w:rFonts w:ascii="宋体" w:hAnsi="宋体" w:cs="宋体" w:eastAsia="宋体" w:hint="default"/>
                <w:sz w:val="18"/>
                <w:szCs w:val="18"/>
              </w:rPr>
            </w:pPr>
            <w:r>
              <w:rPr>
                <w:rFonts w:ascii="宋体" w:hAnsi="宋体" w:cs="宋体" w:eastAsia="宋体" w:hint="default"/>
                <w:spacing w:val="-3"/>
                <w:sz w:val="18"/>
                <w:szCs w:val="18"/>
              </w:rPr>
              <w:t>其他关联方与本企业关系</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韦强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韩国良</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董事、副总经理</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张仁增</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董事、行政后勤中心总监</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何昀</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董事、营销总部副总监</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高星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董事、总经理助理</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张为华</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刘卫东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张金鑫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王维平</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郭言娜</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张全中</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职工代表监事、柱上事业部总经理</w:t>
            </w:r>
          </w:p>
        </w:tc>
      </w:tr>
      <w:tr>
        <w:trPr>
          <w:trHeight w:val="399"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张晓屹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张舒</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5、关联交易情况" w:id="448"/>
      <w:bookmarkEnd w:id="44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1）购销商品、提供和接受劳务的关联交易" w:id="449"/>
      <w:bookmarkEnd w:id="44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spacing w:val="-3"/>
        </w:rPr>
        <w:t>采购商品</w:t>
      </w:r>
      <w:r>
        <w:rPr>
          <w:rFonts w:ascii="Times New Roman" w:hAnsi="Times New Roman" w:cs="Times New Roman" w:eastAsia="Times New Roman" w:hint="default"/>
          <w:spacing w:val="-3"/>
        </w:rPr>
        <w:t>/</w:t>
      </w:r>
      <w:r>
        <w:rPr>
          <w:spacing w:val="-3"/>
        </w:rPr>
        <w:t>接受劳务情况表</w:t>
      </w:r>
    </w:p>
    <w:p>
      <w:pPr>
        <w:pStyle w:val="BodyText"/>
        <w:spacing w:line="240" w:lineRule="auto" w:before="101"/>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5"/>
        <w:gridCol w:w="1705"/>
        <w:gridCol w:w="1709"/>
        <w:gridCol w:w="1709"/>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pacing w:val="-3"/>
                <w:sz w:val="18"/>
                <w:szCs w:val="18"/>
              </w:rPr>
              <w:t>获批的交易额度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1"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60"/>
              <w:jc w:val="left"/>
              <w:rPr>
                <w:rFonts w:ascii="宋体" w:hAnsi="宋体" w:cs="宋体" w:eastAsia="宋体" w:hint="default"/>
                <w:sz w:val="18"/>
                <w:szCs w:val="18"/>
              </w:rPr>
            </w:pPr>
            <w:r>
              <w:rPr>
                <w:rFonts w:ascii="宋体" w:hAnsi="宋体" w:cs="宋体" w:eastAsia="宋体" w:hint="default"/>
                <w:spacing w:val="-2"/>
                <w:sz w:val="18"/>
                <w:szCs w:val="18"/>
              </w:rPr>
              <w:t>天津市茂联科技有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84" w:right="0"/>
              <w:jc w:val="left"/>
              <w:rPr>
                <w:rFonts w:ascii="Times New Roman" w:hAnsi="Times New Roman" w:cs="Times New Roman" w:eastAsia="Times New Roman" w:hint="default"/>
                <w:sz w:val="18"/>
                <w:szCs w:val="18"/>
              </w:rPr>
            </w:pPr>
            <w:r>
              <w:rPr>
                <w:rFonts w:ascii="Times New Roman"/>
                <w:sz w:val="18"/>
              </w:rPr>
              <w:t>18,268,470.62</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52" w:right="0"/>
              <w:jc w:val="left"/>
              <w:rPr>
                <w:rFonts w:ascii="Times New Roman" w:hAnsi="Times New Roman" w:cs="Times New Roman" w:eastAsia="Times New Roman" w:hint="default"/>
                <w:sz w:val="18"/>
                <w:szCs w:val="18"/>
              </w:rPr>
            </w:pPr>
            <w:r>
              <w:rPr>
                <w:rFonts w:ascii="Times New Roman"/>
                <w:sz w:val="18"/>
              </w:rPr>
              <w:t>140,000,000.00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30" w:right="0"/>
              <w:jc w:val="left"/>
              <w:rPr>
                <w:rFonts w:ascii="Times New Roman" w:hAnsi="Times New Roman" w:cs="Times New Roman" w:eastAsia="Times New Roman" w:hint="default"/>
                <w:sz w:val="18"/>
                <w:szCs w:val="18"/>
              </w:rPr>
            </w:pPr>
            <w:r>
              <w:rPr>
                <w:rFonts w:ascii="Times New Roman"/>
                <w:sz w:val="18"/>
              </w:rPr>
              <w:t>4,672,000.00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关联受托管理/承包及委托管理/出包情况" w:id="450"/>
      <w:bookmarkEnd w:id="45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关联租赁情况" w:id="451"/>
      <w:bookmarkEnd w:id="45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关联担保情况" w:id="452"/>
      <w:bookmarkEnd w:id="45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t>本公司作为担保方</w:t>
      </w:r>
    </w:p>
    <w:p>
      <w:pPr>
        <w:spacing w:after="0" w:line="240" w:lineRule="auto"/>
        <w:jc w:val="left"/>
        <w:sectPr>
          <w:pgSz w:w="11910" w:h="16840"/>
          <w:pgMar w:header="871" w:footer="979" w:top="1100" w:bottom="1160" w:left="980" w:right="0"/>
        </w:sectPr>
      </w:pPr>
    </w:p>
    <w:p>
      <w:pPr>
        <w:spacing w:line="240" w:lineRule="auto" w:before="3"/>
        <w:rPr>
          <w:rFonts w:ascii="宋体" w:hAnsi="宋体" w:cs="宋体" w:eastAsia="宋体" w:hint="default"/>
          <w:sz w:val="22"/>
          <w:szCs w:val="22"/>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71"/>
        <w:gridCol w:w="1700"/>
        <w:gridCol w:w="1916"/>
        <w:gridCol w:w="1911"/>
        <w:gridCol w:w="1916"/>
      </w:tblGrid>
      <w:tr>
        <w:trPr>
          <w:trHeight w:val="403" w:hRule="exact"/>
        </w:trPr>
        <w:tc>
          <w:tcPr>
            <w:tcW w:w="2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8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398"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r>
        <w:trPr>
          <w:trHeight w:val="40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430,000,000.00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3"/>
        <w:ind w:right="0"/>
        <w:jc w:val="left"/>
      </w:pPr>
      <w:r>
        <w:rPr>
          <w:spacing w:val="-3"/>
        </w:rPr>
        <w:t>本公司作为被担保方</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83"/>
        <w:gridCol w:w="1916"/>
        <w:gridCol w:w="1911"/>
      </w:tblGrid>
      <w:tr>
        <w:trPr>
          <w:trHeight w:val="398"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90"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37"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刘泽刚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45" w:right="0"/>
              <w:jc w:val="left"/>
              <w:rPr>
                <w:rFonts w:ascii="Times New Roman" w:hAnsi="Times New Roman" w:cs="Times New Roman" w:eastAsia="Times New Roman" w:hint="default"/>
                <w:sz w:val="18"/>
                <w:szCs w:val="18"/>
              </w:rPr>
            </w:pPr>
            <w:r>
              <w:rPr>
                <w:rFonts w:ascii="Times New Roman"/>
                <w:sz w:val="18"/>
              </w:rPr>
              <w:t>50,000,000.00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w w:val="101"/>
                <w:sz w:val="18"/>
                <w:szCs w:val="18"/>
              </w:rPr>
              <w:t>否</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关联方资金拆借" w:id="453"/>
      <w:bookmarkEnd w:id="45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6）关联方资产转让、债务重组情况" w:id="454"/>
      <w:bookmarkEnd w:id="45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7）关键管理人员报酬" w:id="455"/>
      <w:bookmarkEnd w:id="45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5,442,300.00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5,401,600.00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8）其他关联交易" w:id="456"/>
      <w:bookmarkEnd w:id="45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6、关联方应收应付款项" w:id="457"/>
      <w:bookmarkEnd w:id="45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58"/>
      <w:bookmarkEnd w:id="45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2094"/>
        <w:gridCol w:w="1416"/>
        <w:gridCol w:w="1421"/>
        <w:gridCol w:w="1594"/>
        <w:gridCol w:w="1383"/>
      </w:tblGrid>
      <w:tr>
        <w:trPr>
          <w:trHeight w:val="398" w:hRule="exact"/>
        </w:trPr>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83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594" w:type="dxa"/>
            <w:vMerge/>
            <w:tcBorders>
              <w:left w:val="single" w:sz="4" w:space="0" w:color="000000"/>
              <w:bottom w:val="single" w:sz="4" w:space="0" w:color="000000"/>
              <w:right w:val="single" w:sz="4" w:space="0" w:color="000000"/>
            </w:tcBorders>
            <w:shd w:val="clear" w:color="auto" w:fill="D2D2D2"/>
          </w:tcPr>
          <w:p>
            <w:pPr/>
          </w:p>
        </w:tc>
        <w:tc>
          <w:tcPr>
            <w:tcW w:w="2094"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4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141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6" w:right="0"/>
              <w:jc w:val="left"/>
              <w:rPr>
                <w:rFonts w:ascii="Times New Roman" w:hAnsi="Times New Roman" w:cs="Times New Roman" w:eastAsia="Times New Roman" w:hint="default"/>
                <w:sz w:val="18"/>
                <w:szCs w:val="18"/>
              </w:rPr>
            </w:pPr>
            <w:r>
              <w:rPr>
                <w:rFonts w:ascii="Times New Roman"/>
                <w:sz w:val="18"/>
              </w:rPr>
              <w:t>135,174,059.31</w:t>
            </w:r>
          </w:p>
        </w:tc>
        <w:tc>
          <w:tcPr>
            <w:tcW w:w="138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2）应付项目" w:id="459"/>
      <w:bookmarkEnd w:id="45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6"/>
        <w:gridCol w:w="2391"/>
        <w:gridCol w:w="2391"/>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65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pacing w:val="-3"/>
                <w:sz w:val="18"/>
                <w:szCs w:val="18"/>
              </w:rPr>
              <w:t>天津市茂联科技有限公司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550" w:right="0"/>
              <w:jc w:val="left"/>
              <w:rPr>
                <w:rFonts w:ascii="Times New Roman" w:hAnsi="Times New Roman" w:cs="Times New Roman" w:eastAsia="Times New Roman" w:hint="default"/>
                <w:sz w:val="18"/>
                <w:szCs w:val="18"/>
              </w:rPr>
            </w:pPr>
            <w:r>
              <w:rPr>
                <w:rFonts w:ascii="Times New Roman"/>
                <w:sz w:val="18"/>
              </w:rPr>
              <w:t>239,573.31</w:t>
            </w: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7、关联方承诺" w:id="460"/>
      <w:bookmarkEnd w:id="46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8、其他" w:id="461"/>
      <w:bookmarkEnd w:id="461"/>
      <w:r>
        <w:rPr>
          <w:b w:val="0"/>
          <w:bCs w:val="0"/>
        </w:rPr>
      </w:r>
      <w:r>
        <w:rPr>
          <w:rFonts w:ascii="Times New Roman" w:hAnsi="Times New Roman" w:cs="Times New Roman" w:eastAsia="Times New Roman" w:hint="default"/>
        </w:rPr>
        <w:t>8</w:t>
      </w:r>
      <w:r>
        <w:rPr/>
        <w:t>、其他</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5"/>
        <w:rPr>
          <w:rFonts w:ascii="宋体" w:hAnsi="宋体" w:cs="宋体" w:eastAsia="宋体" w:hint="default"/>
          <w:sz w:val="24"/>
          <w:szCs w:val="24"/>
        </w:rPr>
      </w:pPr>
    </w:p>
    <w:p>
      <w:pPr>
        <w:pStyle w:val="Heading2"/>
        <w:spacing w:line="240" w:lineRule="auto"/>
        <w:ind w:right="0"/>
        <w:jc w:val="left"/>
        <w:rPr>
          <w:b w:val="0"/>
          <w:bCs w:val="0"/>
        </w:rPr>
      </w:pPr>
      <w:bookmarkStart w:name="十三、股份支付" w:id="462"/>
      <w:bookmarkEnd w:id="462"/>
      <w:r>
        <w:rPr>
          <w:b w:val="0"/>
          <w:bCs w:val="0"/>
        </w:rPr>
      </w:r>
      <w:r>
        <w:rPr/>
        <w:t>十三、股份支付</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463"/>
      <w:bookmarkEnd w:id="46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5455"/>
        <w:gridCol w:w="4115"/>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公司本期授予的各项权益工具总额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17,903,200.00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公司本期行权的各项权益工具总额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公司本期失效的各项权益工具总额</w:t>
            </w:r>
          </w:p>
        </w:tc>
        <w:tc>
          <w:tcPr>
            <w:tcW w:w="4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7"/>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4"/>
        <w:ind w:right="0"/>
        <w:jc w:val="both"/>
      </w:pPr>
      <w:r>
        <w:rPr/>
        <w:t>其他说明</w:t>
      </w:r>
    </w:p>
    <w:p>
      <w:pPr>
        <w:pStyle w:val="BodyText"/>
        <w:spacing w:line="240" w:lineRule="auto" w:before="115"/>
        <w:ind w:left="580" w:right="0"/>
        <w:jc w:val="left"/>
      </w:pPr>
      <w:r>
        <w:rPr/>
        <w:t>根据公司于</w:t>
      </w:r>
      <w:r>
        <w:rPr>
          <w:spacing w:val="-2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34"/>
        </w:rPr>
        <w:t> </w:t>
      </w:r>
      <w:r>
        <w:rPr>
          <w:rFonts w:ascii="Times New Roman" w:hAnsi="Times New Roman" w:cs="Times New Roman" w:eastAsia="Times New Roman" w:hint="default"/>
        </w:rPr>
        <w:t>9</w:t>
      </w:r>
      <w:r>
        <w:rPr>
          <w:rFonts w:ascii="Times New Roman" w:hAnsi="Times New Roman" w:cs="Times New Roman" w:eastAsia="Times New Roman" w:hint="default"/>
          <w:spacing w:val="17"/>
        </w:rPr>
        <w:t> </w:t>
      </w:r>
      <w:r>
        <w:rPr/>
        <w:t>月</w:t>
      </w:r>
      <w:r>
        <w:rPr>
          <w:spacing w:val="-28"/>
        </w:rPr>
        <w:t> </w:t>
      </w:r>
      <w:r>
        <w:rPr>
          <w:rFonts w:ascii="Times New Roman" w:hAnsi="Times New Roman" w:cs="Times New Roman" w:eastAsia="Times New Roman" w:hint="default"/>
          <w:spacing w:val="-3"/>
        </w:rPr>
        <w:t>23</w:t>
      </w:r>
      <w:r>
        <w:rPr>
          <w:rFonts w:ascii="Times New Roman" w:hAnsi="Times New Roman" w:cs="Times New Roman" w:eastAsia="Times New Roman" w:hint="default"/>
          <w:spacing w:val="17"/>
        </w:rPr>
        <w:t> </w:t>
      </w:r>
      <w:r>
        <w:rPr>
          <w:spacing w:val="-3"/>
        </w:rPr>
        <w:t>日召开的第十一次临时股东大会审议通过的《关于</w:t>
      </w:r>
      <w:r>
        <w:rPr>
          <w:rFonts w:ascii="Times New Roman" w:hAnsi="Times New Roman" w:cs="Times New Roman" w:eastAsia="Times New Roman" w:hint="default"/>
          <w:spacing w:val="-3"/>
        </w:rPr>
        <w:t>&lt;</w:t>
      </w:r>
      <w:r>
        <w:rPr>
          <w:spacing w:val="-3"/>
        </w:rPr>
        <w:t>北京合纵科技股份有限公司</w:t>
      </w:r>
      <w:r>
        <w:rPr>
          <w:spacing w:val="-2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5"/>
        </w:rPr>
        <w:t>年限</w:t>
      </w:r>
      <w:r>
        <w:rPr/>
      </w:r>
    </w:p>
    <w:p>
      <w:pPr>
        <w:pStyle w:val="BodyText"/>
        <w:spacing w:line="240" w:lineRule="auto" w:before="63"/>
        <w:ind w:right="0"/>
        <w:jc w:val="both"/>
      </w:pPr>
      <w:r>
        <w:rPr>
          <w:w w:val="101"/>
        </w:rPr>
        <w:t>制</w:t>
      </w:r>
      <w:r>
        <w:rPr>
          <w:spacing w:val="-5"/>
          <w:w w:val="101"/>
        </w:rPr>
        <w:t>性</w:t>
      </w:r>
      <w:r>
        <w:rPr>
          <w:w w:val="101"/>
        </w:rPr>
        <w:t>股</w:t>
      </w:r>
      <w:r>
        <w:rPr>
          <w:spacing w:val="-5"/>
          <w:w w:val="101"/>
        </w:rPr>
        <w:t>票</w:t>
      </w:r>
      <w:r>
        <w:rPr>
          <w:w w:val="101"/>
        </w:rPr>
        <w:t>激</w:t>
      </w:r>
      <w:r>
        <w:rPr>
          <w:spacing w:val="-5"/>
          <w:w w:val="101"/>
        </w:rPr>
        <w:t>励</w:t>
      </w:r>
      <w:r>
        <w:rPr>
          <w:w w:val="101"/>
        </w:rPr>
        <w:t>计</w:t>
      </w:r>
      <w:r>
        <w:rPr>
          <w:spacing w:val="-10"/>
          <w:w w:val="101"/>
        </w:rPr>
        <w:t>划</w:t>
      </w:r>
      <w:r>
        <w:rPr>
          <w:w w:val="101"/>
        </w:rPr>
        <w:t>（</w:t>
      </w:r>
      <w:r>
        <w:rPr>
          <w:spacing w:val="-5"/>
          <w:w w:val="101"/>
        </w:rPr>
        <w:t>草</w:t>
      </w:r>
      <w:r>
        <w:rPr>
          <w:w w:val="101"/>
        </w:rPr>
        <w:t>案</w:t>
      </w:r>
      <w:r>
        <w:rPr>
          <w:spacing w:val="-5"/>
          <w:w w:val="101"/>
        </w:rPr>
        <w:t>）</w:t>
      </w:r>
      <w:r>
        <w:rPr>
          <w:rFonts w:ascii="Times New Roman" w:hAnsi="Times New Roman" w:cs="Times New Roman" w:eastAsia="Times New Roman" w:hint="default"/>
          <w:spacing w:val="-7"/>
          <w:w w:val="101"/>
        </w:rPr>
        <w:t>&gt;</w:t>
      </w:r>
      <w:r>
        <w:rPr>
          <w:w w:val="101"/>
        </w:rPr>
        <w:t>及</w:t>
      </w:r>
      <w:r>
        <w:rPr>
          <w:spacing w:val="-5"/>
          <w:w w:val="101"/>
        </w:rPr>
        <w:t>其</w:t>
      </w:r>
      <w:r>
        <w:rPr>
          <w:w w:val="101"/>
        </w:rPr>
        <w:t>摘</w:t>
      </w:r>
      <w:r>
        <w:rPr>
          <w:spacing w:val="-5"/>
          <w:w w:val="101"/>
        </w:rPr>
        <w:t>要</w:t>
      </w:r>
      <w:r>
        <w:rPr>
          <w:w w:val="101"/>
        </w:rPr>
        <w:t>的</w:t>
      </w:r>
      <w:r>
        <w:rPr>
          <w:spacing w:val="-5"/>
          <w:w w:val="101"/>
        </w:rPr>
        <w:t>议</w:t>
      </w:r>
      <w:r>
        <w:rPr>
          <w:w w:val="101"/>
        </w:rPr>
        <w:t>案</w:t>
      </w:r>
      <w:r>
        <w:rPr>
          <w:spacing w:val="-92"/>
          <w:w w:val="101"/>
        </w:rPr>
        <w:t>》</w:t>
      </w:r>
      <w:r>
        <w:rPr>
          <w:spacing w:val="-101"/>
          <w:w w:val="101"/>
        </w:rPr>
        <w:t>、</w:t>
      </w:r>
      <w:r>
        <w:rPr>
          <w:w w:val="101"/>
        </w:rPr>
        <w:t>《</w:t>
      </w:r>
      <w:r>
        <w:rPr>
          <w:spacing w:val="-5"/>
          <w:w w:val="101"/>
        </w:rPr>
        <w:t>关</w:t>
      </w:r>
      <w:r>
        <w:rPr>
          <w:w w:val="101"/>
        </w:rPr>
        <w:t>于</w:t>
      </w:r>
      <w:r>
        <w:rPr>
          <w:rFonts w:ascii="Times New Roman" w:hAnsi="Times New Roman" w:cs="Times New Roman" w:eastAsia="Times New Roman" w:hint="default"/>
          <w:spacing w:val="-3"/>
          <w:w w:val="101"/>
        </w:rPr>
        <w:t>&lt;</w:t>
      </w:r>
      <w:r>
        <w:rPr>
          <w:w w:val="101"/>
        </w:rPr>
        <w:t>北</w:t>
      </w:r>
      <w:r>
        <w:rPr>
          <w:spacing w:val="-5"/>
          <w:w w:val="101"/>
        </w:rPr>
        <w:t>京合</w:t>
      </w:r>
      <w:r>
        <w:rPr>
          <w:w w:val="101"/>
        </w:rPr>
        <w:t>纵</w:t>
      </w:r>
      <w:r>
        <w:rPr>
          <w:spacing w:val="-5"/>
          <w:w w:val="101"/>
        </w:rPr>
        <w:t>科</w:t>
      </w:r>
      <w:r>
        <w:rPr>
          <w:w w:val="101"/>
        </w:rPr>
        <w:t>技</w:t>
      </w:r>
      <w:r>
        <w:rPr>
          <w:spacing w:val="-5"/>
          <w:w w:val="101"/>
        </w:rPr>
        <w:t>股</w:t>
      </w:r>
      <w:r>
        <w:rPr>
          <w:w w:val="101"/>
        </w:rPr>
        <w:t>份</w:t>
      </w:r>
      <w:r>
        <w:rPr>
          <w:spacing w:val="-5"/>
          <w:w w:val="101"/>
        </w:rPr>
        <w:t>有</w:t>
      </w:r>
      <w:r>
        <w:rPr>
          <w:w w:val="101"/>
        </w:rPr>
        <w:t>限公司</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019</w:t>
      </w:r>
      <w:r>
        <w:rPr>
          <w:rFonts w:ascii="Times New Roman" w:hAnsi="Times New Roman" w:cs="Times New Roman" w:eastAsia="Times New Roman" w:hint="default"/>
          <w:spacing w:val="-2"/>
        </w:rPr>
        <w:t> </w:t>
      </w:r>
      <w:r>
        <w:rPr>
          <w:spacing w:val="-5"/>
          <w:w w:val="101"/>
        </w:rPr>
        <w:t>年</w:t>
      </w:r>
      <w:r>
        <w:rPr>
          <w:w w:val="101"/>
        </w:rPr>
        <w:t>限</w:t>
      </w:r>
      <w:r>
        <w:rPr>
          <w:spacing w:val="-5"/>
          <w:w w:val="101"/>
        </w:rPr>
        <w:t>制</w:t>
      </w:r>
      <w:r>
        <w:rPr>
          <w:w w:val="101"/>
        </w:rPr>
        <w:t>性</w:t>
      </w:r>
      <w:r>
        <w:rPr>
          <w:spacing w:val="-5"/>
          <w:w w:val="101"/>
        </w:rPr>
        <w:t>股</w:t>
      </w:r>
      <w:r>
        <w:rPr>
          <w:w w:val="101"/>
        </w:rPr>
        <w:t>票</w:t>
      </w:r>
      <w:r>
        <w:rPr>
          <w:spacing w:val="-5"/>
          <w:w w:val="101"/>
        </w:rPr>
        <w:t>激</w:t>
      </w:r>
      <w:r>
        <w:rPr>
          <w:w w:val="101"/>
        </w:rPr>
        <w:t>励</w:t>
      </w:r>
      <w:r>
        <w:rPr>
          <w:spacing w:val="-5"/>
          <w:w w:val="101"/>
        </w:rPr>
        <w:t>计</w:t>
      </w:r>
      <w:r>
        <w:rPr>
          <w:w w:val="101"/>
        </w:rPr>
        <w:t>划</w:t>
      </w:r>
      <w:r>
        <w:rPr>
          <w:spacing w:val="-5"/>
          <w:w w:val="101"/>
        </w:rPr>
        <w:t>实</w:t>
      </w:r>
      <w:r>
        <w:rPr>
          <w:w w:val="101"/>
        </w:rPr>
        <w:t>施</w:t>
      </w:r>
      <w:r>
        <w:rPr>
          <w:spacing w:val="-5"/>
          <w:w w:val="101"/>
        </w:rPr>
        <w:t>方</w:t>
      </w:r>
      <w:r>
        <w:rPr>
          <w:w w:val="101"/>
        </w:rPr>
        <w:t>案考</w:t>
      </w:r>
      <w:r>
        <w:rPr/>
      </w:r>
    </w:p>
    <w:p>
      <w:pPr>
        <w:pStyle w:val="BodyText"/>
        <w:spacing w:line="240" w:lineRule="auto" w:before="63"/>
        <w:ind w:right="0"/>
        <w:jc w:val="both"/>
      </w:pPr>
      <w:r>
        <w:rPr>
          <w:w w:val="101"/>
        </w:rPr>
        <w:t>核</w:t>
      </w:r>
      <w:r>
        <w:rPr>
          <w:spacing w:val="-5"/>
          <w:w w:val="101"/>
        </w:rPr>
        <w:t>管</w:t>
      </w:r>
      <w:r>
        <w:rPr>
          <w:w w:val="101"/>
        </w:rPr>
        <w:t>理</w:t>
      </w:r>
      <w:r>
        <w:rPr>
          <w:spacing w:val="-5"/>
          <w:w w:val="101"/>
        </w:rPr>
        <w:t>办</w:t>
      </w:r>
      <w:r>
        <w:rPr>
          <w:w w:val="101"/>
        </w:rPr>
        <w:t>法</w:t>
      </w:r>
      <w:r>
        <w:rPr>
          <w:rFonts w:ascii="Times New Roman" w:hAnsi="Times New Roman" w:cs="Times New Roman" w:eastAsia="Times New Roman" w:hint="default"/>
          <w:spacing w:val="-3"/>
          <w:w w:val="101"/>
        </w:rPr>
        <w:t>&gt;</w:t>
      </w:r>
      <w:r>
        <w:rPr>
          <w:w w:val="101"/>
        </w:rPr>
        <w:t>的</w:t>
      </w:r>
      <w:r>
        <w:rPr>
          <w:spacing w:val="-5"/>
          <w:w w:val="101"/>
        </w:rPr>
        <w:t>议案</w:t>
      </w:r>
      <w:r>
        <w:rPr>
          <w:w w:val="101"/>
        </w:rPr>
        <w:t>》</w:t>
      </w:r>
      <w:r>
        <w:rPr>
          <w:spacing w:val="-5"/>
          <w:w w:val="101"/>
        </w:rPr>
        <w:t>以</w:t>
      </w:r>
      <w:r>
        <w:rPr>
          <w:w w:val="101"/>
        </w:rPr>
        <w:t>及</w:t>
      </w:r>
      <w:r>
        <w:rPr>
          <w:spacing w:val="-5"/>
          <w:w w:val="101"/>
        </w:rPr>
        <w:t>《</w:t>
      </w:r>
      <w:r>
        <w:rPr>
          <w:w w:val="101"/>
        </w:rPr>
        <w:t>关</w:t>
      </w:r>
      <w:r>
        <w:rPr>
          <w:spacing w:val="-5"/>
          <w:w w:val="101"/>
        </w:rPr>
        <w:t>于</w:t>
      </w:r>
      <w:r>
        <w:rPr>
          <w:w w:val="101"/>
        </w:rPr>
        <w:t>提</w:t>
      </w:r>
      <w:r>
        <w:rPr>
          <w:spacing w:val="-5"/>
          <w:w w:val="101"/>
        </w:rPr>
        <w:t>请</w:t>
      </w:r>
      <w:r>
        <w:rPr>
          <w:w w:val="101"/>
        </w:rPr>
        <w:t>股</w:t>
      </w:r>
      <w:r>
        <w:rPr>
          <w:spacing w:val="-5"/>
          <w:w w:val="101"/>
        </w:rPr>
        <w:t>东</w:t>
      </w:r>
      <w:r>
        <w:rPr>
          <w:w w:val="101"/>
        </w:rPr>
        <w:t>大</w:t>
      </w:r>
      <w:r>
        <w:rPr>
          <w:spacing w:val="-5"/>
          <w:w w:val="101"/>
        </w:rPr>
        <w:t>会</w:t>
      </w:r>
      <w:r>
        <w:rPr>
          <w:w w:val="101"/>
        </w:rPr>
        <w:t>授</w:t>
      </w:r>
      <w:r>
        <w:rPr>
          <w:spacing w:val="-5"/>
          <w:w w:val="101"/>
        </w:rPr>
        <w:t>权</w:t>
      </w:r>
      <w:r>
        <w:rPr>
          <w:w w:val="101"/>
        </w:rPr>
        <w:t>董</w:t>
      </w:r>
      <w:r>
        <w:rPr>
          <w:spacing w:val="-5"/>
          <w:w w:val="101"/>
        </w:rPr>
        <w:t>事</w:t>
      </w:r>
      <w:r>
        <w:rPr>
          <w:w w:val="101"/>
        </w:rPr>
        <w:t>会</w:t>
      </w:r>
      <w:r>
        <w:rPr>
          <w:spacing w:val="-5"/>
          <w:w w:val="101"/>
        </w:rPr>
        <w:t>办</w:t>
      </w:r>
      <w:r>
        <w:rPr>
          <w:w w:val="101"/>
        </w:rPr>
        <w:t>理公司</w:t>
      </w:r>
      <w:r>
        <w:rPr>
          <w:spacing w:val="-47"/>
        </w:rPr>
        <w:t> </w:t>
      </w:r>
      <w:r>
        <w:rPr>
          <w:rFonts w:ascii="Times New Roman" w:hAnsi="Times New Roman" w:cs="Times New Roman" w:eastAsia="Times New Roman" w:hint="default"/>
          <w:spacing w:val="-5"/>
          <w:w w:val="101"/>
        </w:rPr>
        <w:t>2</w:t>
      </w:r>
      <w:r>
        <w:rPr>
          <w:rFonts w:ascii="Times New Roman" w:hAnsi="Times New Roman" w:cs="Times New Roman" w:eastAsia="Times New Roman" w:hint="default"/>
          <w:w w:val="101"/>
        </w:rPr>
        <w:t>019</w:t>
      </w:r>
      <w:r>
        <w:rPr>
          <w:rFonts w:ascii="Times New Roman" w:hAnsi="Times New Roman" w:cs="Times New Roman" w:eastAsia="Times New Roman" w:hint="default"/>
          <w:spacing w:val="-2"/>
        </w:rPr>
        <w:t> </w:t>
      </w:r>
      <w:r>
        <w:rPr>
          <w:spacing w:val="-5"/>
          <w:w w:val="101"/>
        </w:rPr>
        <w:t>年</w:t>
      </w:r>
      <w:r>
        <w:rPr>
          <w:w w:val="101"/>
        </w:rPr>
        <w:t>限</w:t>
      </w:r>
      <w:r>
        <w:rPr>
          <w:spacing w:val="-5"/>
          <w:w w:val="101"/>
        </w:rPr>
        <w:t>制</w:t>
      </w:r>
      <w:r>
        <w:rPr>
          <w:w w:val="101"/>
        </w:rPr>
        <w:t>性</w:t>
      </w:r>
      <w:r>
        <w:rPr>
          <w:spacing w:val="-5"/>
          <w:w w:val="101"/>
        </w:rPr>
        <w:t>股</w:t>
      </w:r>
      <w:r>
        <w:rPr>
          <w:w w:val="101"/>
        </w:rPr>
        <w:t>票</w:t>
      </w:r>
      <w:r>
        <w:rPr>
          <w:spacing w:val="-5"/>
          <w:w w:val="101"/>
        </w:rPr>
        <w:t>激</w:t>
      </w:r>
      <w:r>
        <w:rPr>
          <w:w w:val="101"/>
        </w:rPr>
        <w:t>励</w:t>
      </w:r>
      <w:r>
        <w:rPr>
          <w:spacing w:val="-5"/>
          <w:w w:val="101"/>
        </w:rPr>
        <w:t>计</w:t>
      </w:r>
      <w:r>
        <w:rPr>
          <w:w w:val="101"/>
        </w:rPr>
        <w:t>划</w:t>
      </w:r>
      <w:r>
        <w:rPr>
          <w:spacing w:val="-5"/>
          <w:w w:val="101"/>
        </w:rPr>
        <w:t>有</w:t>
      </w:r>
      <w:r>
        <w:rPr>
          <w:w w:val="101"/>
        </w:rPr>
        <w:t>关</w:t>
      </w:r>
      <w:r>
        <w:rPr>
          <w:spacing w:val="-5"/>
          <w:w w:val="101"/>
        </w:rPr>
        <w:t>事</w:t>
      </w:r>
      <w:r>
        <w:rPr>
          <w:w w:val="101"/>
        </w:rPr>
        <w:t>项</w:t>
      </w:r>
      <w:r>
        <w:rPr>
          <w:spacing w:val="-5"/>
          <w:w w:val="101"/>
        </w:rPr>
        <w:t>的</w:t>
      </w:r>
      <w:r>
        <w:rPr>
          <w:w w:val="101"/>
        </w:rPr>
        <w:t>议</w:t>
      </w:r>
      <w:r>
        <w:rPr>
          <w:spacing w:val="-5"/>
          <w:w w:val="101"/>
        </w:rPr>
        <w:t>案</w:t>
      </w:r>
      <w:r>
        <w:rPr>
          <w:spacing w:val="-92"/>
          <w:w w:val="101"/>
        </w:rPr>
        <w:t>》</w:t>
      </w:r>
      <w:r>
        <w:rPr>
          <w:spacing w:val="-5"/>
          <w:w w:val="101"/>
        </w:rPr>
        <w:t>，</w:t>
      </w:r>
      <w:r>
        <w:rPr>
          <w:w w:val="101"/>
        </w:rPr>
        <w:t>公</w:t>
      </w:r>
      <w:r>
        <w:rPr>
          <w:spacing w:val="-5"/>
          <w:w w:val="101"/>
        </w:rPr>
        <w:t>司</w:t>
      </w:r>
      <w:r>
        <w:rPr>
          <w:w w:val="101"/>
        </w:rPr>
        <w:t>以</w:t>
      </w:r>
      <w:r>
        <w:rPr/>
      </w:r>
    </w:p>
    <w:p>
      <w:pPr>
        <w:pStyle w:val="BodyText"/>
        <w:spacing w:line="240" w:lineRule="auto" w:before="63"/>
        <w:ind w:right="0"/>
        <w:jc w:val="both"/>
      </w:pPr>
      <w:r>
        <w:rPr>
          <w:rFonts w:ascii="Times New Roman" w:hAnsi="Times New Roman" w:cs="Times New Roman" w:eastAsia="Times New Roman" w:hint="default"/>
        </w:rPr>
        <w:t>4.67 </w:t>
      </w:r>
      <w:r>
        <w:rPr/>
        <w:t>元</w:t>
      </w:r>
      <w:r>
        <w:rPr>
          <w:rFonts w:ascii="Times New Roman" w:hAnsi="Times New Roman" w:cs="Times New Roman" w:eastAsia="Times New Roman" w:hint="default"/>
        </w:rPr>
        <w:t>/</w:t>
      </w:r>
      <w:r>
        <w:rPr/>
        <w:t>股的价格向 </w:t>
      </w:r>
      <w:r>
        <w:rPr>
          <w:rFonts w:ascii="Times New Roman" w:hAnsi="Times New Roman" w:cs="Times New Roman" w:eastAsia="Times New Roman" w:hint="default"/>
        </w:rPr>
        <w:t>132 </w:t>
      </w:r>
      <w:r>
        <w:rPr>
          <w:spacing w:val="-3"/>
        </w:rPr>
        <w:t>名股权激励对象授予不超过 </w:t>
      </w:r>
      <w:r>
        <w:rPr>
          <w:rFonts w:ascii="Times New Roman" w:hAnsi="Times New Roman" w:cs="Times New Roman" w:eastAsia="Times New Roman" w:hint="default"/>
        </w:rPr>
        <w:t>1600</w:t>
      </w:r>
      <w:r>
        <w:rPr>
          <w:rFonts w:ascii="Times New Roman" w:hAnsi="Times New Roman" w:cs="Times New Roman" w:eastAsia="Times New Roman" w:hint="default"/>
          <w:spacing w:val="22"/>
        </w:rPr>
        <w:t> </w:t>
      </w:r>
      <w:r>
        <w:rPr>
          <w:spacing w:val="-4"/>
        </w:rPr>
        <w:t>万股限制性股票。由于上述限制性股票激励计划公告当日至激励对</w:t>
      </w:r>
    </w:p>
    <w:p>
      <w:pPr>
        <w:pStyle w:val="BodyText"/>
        <w:spacing w:line="240" w:lineRule="auto" w:before="63"/>
        <w:ind w:right="0"/>
        <w:jc w:val="both"/>
      </w:pPr>
      <w:r>
        <w:rPr>
          <w:spacing w:val="-3"/>
        </w:rPr>
        <w:t>象完成限制性股票股份登记期间，公司发生资本公积金转增股本事项（</w:t>
      </w:r>
      <w:r>
        <w:rPr>
          <w:rFonts w:ascii="Times New Roman" w:hAnsi="Times New Roman" w:cs="Times New Roman" w:eastAsia="Times New Roman" w:hint="default"/>
          <w:spacing w:val="-3"/>
        </w:rPr>
        <w:t>2019  </w:t>
      </w:r>
      <w:r>
        <w:rPr/>
        <w:t>年 </w:t>
      </w:r>
      <w:r>
        <w:rPr>
          <w:rFonts w:ascii="Times New Roman" w:hAnsi="Times New Roman" w:cs="Times New Roman" w:eastAsia="Times New Roman" w:hint="default"/>
        </w:rPr>
        <w:t>9  </w:t>
      </w:r>
      <w:r>
        <w:rPr/>
        <w:t>月 </w:t>
      </w:r>
      <w:r>
        <w:rPr>
          <w:rFonts w:ascii="Times New Roman" w:hAnsi="Times New Roman" w:cs="Times New Roman" w:eastAsia="Times New Roman" w:hint="default"/>
        </w:rPr>
        <w:t>25  </w:t>
      </w:r>
      <w:r>
        <w:rPr/>
        <w:t>日，公司以总股本 </w:t>
      </w:r>
      <w:r>
        <w:rPr>
          <w:rFonts w:ascii="Times New Roman" w:hAnsi="Times New Roman" w:cs="Times New Roman" w:eastAsia="Times New Roman" w:hint="default"/>
        </w:rPr>
        <w:t>582,194,642 </w:t>
      </w:r>
      <w:r>
        <w:rPr>
          <w:rFonts w:ascii="Times New Roman" w:hAnsi="Times New Roman" w:cs="Times New Roman" w:eastAsia="Times New Roman" w:hint="default"/>
          <w:spacing w:val="23"/>
        </w:rPr>
        <w:t> </w:t>
      </w:r>
      <w:r>
        <w:rPr/>
        <w:t>股</w:t>
      </w:r>
    </w:p>
    <w:p>
      <w:pPr>
        <w:pStyle w:val="BodyText"/>
        <w:spacing w:line="240" w:lineRule="auto" w:before="63"/>
        <w:ind w:right="0"/>
        <w:jc w:val="both"/>
      </w:pPr>
      <w:r>
        <w:rPr>
          <w:w w:val="101"/>
        </w:rPr>
        <w:t>为</w:t>
      </w:r>
      <w:r>
        <w:rPr>
          <w:spacing w:val="-5"/>
          <w:w w:val="101"/>
        </w:rPr>
        <w:t>基</w:t>
      </w:r>
      <w:r>
        <w:rPr>
          <w:w w:val="101"/>
        </w:rPr>
        <w:t>数</w:t>
      </w:r>
      <w:r>
        <w:rPr>
          <w:spacing w:val="-5"/>
          <w:w w:val="101"/>
        </w:rPr>
        <w:t>，</w:t>
      </w:r>
      <w:r>
        <w:rPr>
          <w:w w:val="101"/>
        </w:rPr>
        <w:t>向</w:t>
      </w:r>
      <w:r>
        <w:rPr>
          <w:spacing w:val="-5"/>
          <w:w w:val="101"/>
        </w:rPr>
        <w:t>全</w:t>
      </w:r>
      <w:r>
        <w:rPr>
          <w:w w:val="101"/>
        </w:rPr>
        <w:t>体</w:t>
      </w:r>
      <w:r>
        <w:rPr>
          <w:spacing w:val="-5"/>
          <w:w w:val="101"/>
        </w:rPr>
        <w:t>股</w:t>
      </w:r>
      <w:r>
        <w:rPr>
          <w:w w:val="101"/>
        </w:rPr>
        <w:t>东</w:t>
      </w:r>
      <w:r>
        <w:rPr>
          <w:spacing w:val="-5"/>
          <w:w w:val="101"/>
        </w:rPr>
        <w:t>进</w:t>
      </w:r>
      <w:r>
        <w:rPr>
          <w:w w:val="101"/>
        </w:rPr>
        <w:t>行</w:t>
      </w:r>
      <w:r>
        <w:rPr>
          <w:spacing w:val="-5"/>
          <w:w w:val="101"/>
        </w:rPr>
        <w:t>资</w:t>
      </w:r>
      <w:r>
        <w:rPr>
          <w:w w:val="101"/>
        </w:rPr>
        <w:t>本</w:t>
      </w:r>
      <w:r>
        <w:rPr>
          <w:spacing w:val="-5"/>
          <w:w w:val="101"/>
        </w:rPr>
        <w:t>公</w:t>
      </w:r>
      <w:r>
        <w:rPr>
          <w:w w:val="101"/>
        </w:rPr>
        <w:t>积</w:t>
      </w:r>
      <w:r>
        <w:rPr>
          <w:spacing w:val="-5"/>
          <w:w w:val="101"/>
        </w:rPr>
        <w:t>金</w:t>
      </w:r>
      <w:r>
        <w:rPr>
          <w:w w:val="101"/>
        </w:rPr>
        <w:t>转</w:t>
      </w:r>
      <w:r>
        <w:rPr>
          <w:spacing w:val="-5"/>
          <w:w w:val="101"/>
        </w:rPr>
        <w:t>增</w:t>
      </w:r>
      <w:r>
        <w:rPr>
          <w:w w:val="101"/>
        </w:rPr>
        <w:t>股</w:t>
      </w:r>
      <w:r>
        <w:rPr>
          <w:spacing w:val="-5"/>
          <w:w w:val="101"/>
        </w:rPr>
        <w:t>本</w:t>
      </w:r>
      <w:r>
        <w:rPr>
          <w:w w:val="101"/>
        </w:rPr>
        <w:t>，每</w:t>
      </w:r>
      <w:r>
        <w:rPr>
          <w:spacing w:val="-42"/>
        </w:rPr>
        <w:t> </w:t>
      </w:r>
      <w:r>
        <w:rPr>
          <w:rFonts w:ascii="Times New Roman" w:hAnsi="Times New Roman" w:cs="Times New Roman" w:eastAsia="Times New Roman" w:hint="default"/>
          <w:w w:val="101"/>
        </w:rPr>
        <w:t>10</w:t>
      </w:r>
      <w:r>
        <w:rPr>
          <w:rFonts w:ascii="Times New Roman" w:hAnsi="Times New Roman" w:cs="Times New Roman" w:eastAsia="Times New Roman" w:hint="default"/>
          <w:spacing w:val="-2"/>
        </w:rPr>
        <w:t> </w:t>
      </w:r>
      <w:r>
        <w:rPr>
          <w:w w:val="101"/>
        </w:rPr>
        <w:t>股</w:t>
      </w:r>
      <w:r>
        <w:rPr>
          <w:spacing w:val="-5"/>
          <w:w w:val="101"/>
        </w:rPr>
        <w:t>转</w:t>
      </w:r>
      <w:r>
        <w:rPr>
          <w:w w:val="101"/>
        </w:rPr>
        <w:t>增</w:t>
      </w:r>
      <w:r>
        <w:rPr>
          <w:spacing w:val="-4"/>
        </w:rPr>
        <w:t> </w:t>
      </w:r>
      <w:r>
        <w:rPr>
          <w:rFonts w:ascii="Times New Roman" w:hAnsi="Times New Roman" w:cs="Times New Roman" w:eastAsia="Times New Roman" w:hint="default"/>
          <w:w w:val="101"/>
        </w:rPr>
        <w:t>4</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spacing w:val="-5"/>
          <w:w w:val="101"/>
        </w:rPr>
        <w:t>股</w:t>
      </w:r>
      <w:r>
        <w:rPr>
          <w:w w:val="101"/>
        </w:rPr>
        <w:t>。</w:t>
      </w:r>
      <w:r>
        <w:rPr>
          <w:spacing w:val="-5"/>
          <w:w w:val="101"/>
        </w:rPr>
        <w:t>公</w:t>
      </w:r>
      <w:r>
        <w:rPr>
          <w:w w:val="101"/>
        </w:rPr>
        <w:t>司</w:t>
      </w:r>
      <w:r>
        <w:rPr>
          <w:spacing w:val="-5"/>
          <w:w w:val="101"/>
        </w:rPr>
        <w:t>总</w:t>
      </w:r>
      <w:r>
        <w:rPr>
          <w:w w:val="101"/>
        </w:rPr>
        <w:t>股</w:t>
      </w:r>
      <w:r>
        <w:rPr>
          <w:spacing w:val="-5"/>
          <w:w w:val="101"/>
        </w:rPr>
        <w:t>本</w:t>
      </w:r>
      <w:r>
        <w:rPr>
          <w:w w:val="101"/>
        </w:rPr>
        <w:t>由</w:t>
      </w:r>
      <w:r>
        <w:rPr>
          <w:spacing w:val="1"/>
        </w:rPr>
        <w:t> </w:t>
      </w:r>
      <w:r>
        <w:rPr>
          <w:rFonts w:ascii="Times New Roman" w:hAnsi="Times New Roman" w:cs="Times New Roman" w:eastAsia="Times New Roman" w:hint="default"/>
          <w:w w:val="101"/>
        </w:rPr>
        <w:t>5</w:t>
      </w:r>
      <w:r>
        <w:rPr>
          <w:rFonts w:ascii="Times New Roman" w:hAnsi="Times New Roman" w:cs="Times New Roman" w:eastAsia="Times New Roman" w:hint="default"/>
          <w:spacing w:val="-5"/>
          <w:w w:val="101"/>
        </w:rPr>
        <w:t>8</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9</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642</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spacing w:val="-5"/>
          <w:w w:val="101"/>
        </w:rPr>
        <w:t>股</w:t>
      </w:r>
      <w:r>
        <w:rPr>
          <w:w w:val="101"/>
        </w:rPr>
        <w:t>增至</w:t>
      </w:r>
      <w:r>
        <w:rPr>
          <w:spacing w:val="-4"/>
        </w:rPr>
        <w:t> </w:t>
      </w:r>
      <w:r>
        <w:rPr>
          <w:rFonts w:ascii="Times New Roman" w:hAnsi="Times New Roman" w:cs="Times New Roman" w:eastAsia="Times New Roman" w:hint="default"/>
          <w:w w:val="101"/>
        </w:rPr>
        <w:t>81</w:t>
      </w:r>
      <w:r>
        <w:rPr>
          <w:rFonts w:ascii="Times New Roman" w:hAnsi="Times New Roman" w:cs="Times New Roman" w:eastAsia="Times New Roman" w:hint="default"/>
          <w:spacing w:val="-5"/>
          <w:w w:val="101"/>
        </w:rPr>
        <w:t>5</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7</w:t>
      </w:r>
      <w:r>
        <w:rPr>
          <w:rFonts w:ascii="Times New Roman" w:hAnsi="Times New Roman" w:cs="Times New Roman" w:eastAsia="Times New Roman" w:hint="default"/>
          <w:w w:val="101"/>
        </w:rPr>
        <w:t>2</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spacing w:val="-5"/>
          <w:w w:val="101"/>
        </w:rPr>
        <w:t>4</w:t>
      </w:r>
      <w:r>
        <w:rPr>
          <w:rFonts w:ascii="Times New Roman" w:hAnsi="Times New Roman" w:cs="Times New Roman" w:eastAsia="Times New Roman" w:hint="default"/>
          <w:w w:val="101"/>
        </w:rPr>
        <w:t>98</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w w:val="101"/>
        </w:rPr>
        <w:t>股</w:t>
      </w:r>
      <w:r>
        <w:rPr>
          <w:spacing w:val="-92"/>
          <w:w w:val="101"/>
        </w:rPr>
        <w:t>）</w:t>
      </w:r>
      <w:r>
        <w:rPr>
          <w:w w:val="101"/>
        </w:rPr>
        <w:t>，</w:t>
      </w:r>
      <w:r>
        <w:rPr/>
      </w:r>
    </w:p>
    <w:p>
      <w:pPr>
        <w:pStyle w:val="BodyText"/>
        <w:spacing w:line="240" w:lineRule="auto" w:before="67"/>
        <w:ind w:right="0"/>
        <w:jc w:val="both"/>
      </w:pPr>
      <w:r>
        <w:rPr/>
        <w:t>限制性股票授予价格由</w:t>
      </w:r>
      <w:r>
        <w:rPr>
          <w:spacing w:val="-45"/>
        </w:rPr>
        <w:t> </w:t>
      </w:r>
      <w:r>
        <w:rPr>
          <w:rFonts w:ascii="Times New Roman" w:hAnsi="Times New Roman" w:cs="Times New Roman" w:eastAsia="Times New Roman" w:hint="default"/>
        </w:rPr>
        <w:t>4.67 </w:t>
      </w:r>
      <w:r>
        <w:rPr/>
        <w:t>元</w:t>
      </w:r>
      <w:r>
        <w:rPr>
          <w:rFonts w:ascii="Times New Roman" w:hAnsi="Times New Roman" w:cs="Times New Roman" w:eastAsia="Times New Roman" w:hint="default"/>
        </w:rPr>
        <w:t>/</w:t>
      </w:r>
      <w:r>
        <w:rPr/>
        <w:t>股调整为</w:t>
      </w:r>
      <w:r>
        <w:rPr>
          <w:spacing w:val="-50"/>
        </w:rPr>
        <w:t> </w:t>
      </w:r>
      <w:r>
        <w:rPr>
          <w:rFonts w:ascii="Times New Roman" w:hAnsi="Times New Roman" w:cs="Times New Roman" w:eastAsia="Times New Roman" w:hint="default"/>
        </w:rPr>
        <w:t>3.3357 </w:t>
      </w:r>
      <w:r>
        <w:rPr>
          <w:rFonts w:ascii="Times New Roman" w:hAnsi="Times New Roman" w:cs="Times New Roman" w:eastAsia="Times New Roman" w:hint="default"/>
          <w:spacing w:val="1"/>
        </w:rPr>
        <w:t> </w:t>
      </w:r>
      <w:r>
        <w:rPr>
          <w:spacing w:val="-3"/>
        </w:rPr>
        <w:t>元</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11"/>
        </w:rPr>
        <w:t> </w:t>
      </w:r>
      <w:r>
        <w:rPr>
          <w:spacing w:val="-3"/>
        </w:rPr>
        <w:t>股，授予数量由</w:t>
      </w:r>
      <w:r>
        <w:rPr>
          <w:spacing w:val="6"/>
        </w:rPr>
        <w:t> </w:t>
      </w:r>
      <w:r>
        <w:rPr>
          <w:rFonts w:ascii="Times New Roman" w:hAnsi="Times New Roman" w:cs="Times New Roman" w:eastAsia="Times New Roman" w:hint="default"/>
        </w:rPr>
        <w:t>1600 </w:t>
      </w:r>
      <w:r>
        <w:rPr>
          <w:rFonts w:ascii="Times New Roman" w:hAnsi="Times New Roman" w:cs="Times New Roman" w:eastAsia="Times New Roman" w:hint="default"/>
          <w:spacing w:val="1"/>
        </w:rPr>
        <w:t> </w:t>
      </w:r>
      <w:r>
        <w:rPr/>
        <w:t>万股调整为</w:t>
      </w:r>
      <w:r>
        <w:rPr>
          <w:spacing w:val="6"/>
        </w:rPr>
        <w:t> </w:t>
      </w:r>
      <w:r>
        <w:rPr>
          <w:rFonts w:ascii="Times New Roman" w:hAnsi="Times New Roman" w:cs="Times New Roman" w:eastAsia="Times New Roman" w:hint="default"/>
        </w:rPr>
        <w:t>2240 </w:t>
      </w:r>
      <w:r>
        <w:rPr>
          <w:rFonts w:ascii="Times New Roman" w:hAnsi="Times New Roman" w:cs="Times New Roman" w:eastAsia="Times New Roman" w:hint="default"/>
          <w:spacing w:val="1"/>
        </w:rPr>
        <w:t> </w:t>
      </w:r>
      <w:r>
        <w:rPr/>
        <w:t>万股。</w:t>
      </w:r>
    </w:p>
    <w:p>
      <w:pPr>
        <w:pStyle w:val="BodyText"/>
        <w:spacing w:line="240" w:lineRule="auto" w:before="96"/>
        <w:ind w:left="580" w:right="0"/>
        <w:jc w:val="left"/>
        <w:rPr>
          <w:rFonts w:ascii="Times New Roman" w:hAnsi="Times New Roman" w:cs="Times New Roman" w:eastAsia="Times New Roman" w:hint="default"/>
        </w:rPr>
      </w:pP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5"/>
        </w:rPr>
        <w:t>11   </w:t>
      </w:r>
      <w:r>
        <w:rPr/>
        <w:t>月 </w:t>
      </w:r>
      <w:r>
        <w:rPr>
          <w:rFonts w:ascii="Times New Roman" w:hAnsi="Times New Roman" w:cs="Times New Roman" w:eastAsia="Times New Roman" w:hint="default"/>
        </w:rPr>
        <w:t>27  </w:t>
      </w:r>
      <w:r>
        <w:rPr>
          <w:spacing w:val="-3"/>
        </w:rPr>
        <w:t>日公司召开第五届董事会第十九次会议、第五届监事会第九次会议审议通过了《关于调整公司</w:t>
      </w:r>
      <w:r>
        <w:rPr>
          <w:spacing w:val="-46"/>
        </w:rPr>
        <w:t> </w:t>
      </w:r>
      <w:r>
        <w:rPr>
          <w:rFonts w:ascii="Times New Roman" w:hAnsi="Times New Roman" w:cs="Times New Roman" w:eastAsia="Times New Roman" w:hint="default"/>
        </w:rPr>
        <w:t>2019</w:t>
      </w:r>
    </w:p>
    <w:p>
      <w:pPr>
        <w:pStyle w:val="BodyText"/>
        <w:spacing w:line="302" w:lineRule="auto" w:before="63"/>
        <w:ind w:right="1122"/>
        <w:jc w:val="both"/>
      </w:pPr>
      <w:r>
        <w:rPr>
          <w:spacing w:val="-10"/>
          <w:w w:val="101"/>
        </w:rPr>
        <w:t>年限制性股票激励计划相关事项的议案》、《关于向公司</w:t>
      </w:r>
      <w:r>
        <w:rPr>
          <w:spacing w:val="12"/>
          <w:w w:val="101"/>
        </w:rPr>
        <w:t> </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6"/>
          <w:w w:val="101"/>
        </w:rPr>
        <w:t> </w:t>
      </w:r>
      <w:r>
        <w:rPr>
          <w:spacing w:val="-6"/>
          <w:w w:val="101"/>
        </w:rPr>
        <w:t>限制性股票激励计划激励对象首次授予限制性股票的议案》，</w:t>
      </w:r>
      <w:r>
        <w:rPr>
          <w:spacing w:val="-89"/>
          <w:w w:val="101"/>
        </w:rPr>
        <w:t> </w:t>
      </w:r>
      <w:r>
        <w:rPr>
          <w:spacing w:val="-89"/>
          <w:w w:val="101"/>
        </w:rPr>
      </w:r>
      <w:r>
        <w:rPr>
          <w:spacing w:val="-2"/>
          <w:w w:val="101"/>
        </w:rPr>
        <w:t>根据公司《</w:t>
      </w:r>
      <w:r>
        <w:rPr>
          <w:rFonts w:ascii="Times New Roman" w:hAnsi="Times New Roman" w:cs="Times New Roman" w:eastAsia="Times New Roman" w:hint="default"/>
          <w:spacing w:val="-2"/>
          <w:w w:val="101"/>
        </w:rPr>
        <w:t>2019</w:t>
      </w:r>
      <w:r>
        <w:rPr>
          <w:rFonts w:ascii="Times New Roman" w:hAnsi="Times New Roman" w:cs="Times New Roman" w:eastAsia="Times New Roman" w:hint="default"/>
          <w:spacing w:val="3"/>
          <w:w w:val="101"/>
        </w:rPr>
        <w:t> </w:t>
      </w:r>
      <w:r>
        <w:rPr>
          <w:spacing w:val="-7"/>
          <w:w w:val="101"/>
        </w:rPr>
        <w:t>年限制性股票激励计划（草案）》的规定及公司</w:t>
      </w:r>
      <w:r>
        <w:rPr>
          <w:spacing w:val="-37"/>
          <w:w w:val="101"/>
        </w:rPr>
        <w:t> </w:t>
      </w:r>
      <w:r>
        <w:rPr>
          <w:rFonts w:ascii="Times New Roman" w:hAnsi="Times New Roman" w:cs="Times New Roman" w:eastAsia="Times New Roman" w:hint="default"/>
          <w:w w:val="101"/>
        </w:rPr>
        <w:t>2019</w:t>
      </w:r>
      <w:r>
        <w:rPr>
          <w:rFonts w:ascii="Times New Roman" w:hAnsi="Times New Roman" w:cs="Times New Roman" w:eastAsia="Times New Roman" w:hint="default"/>
          <w:spacing w:val="7"/>
          <w:w w:val="101"/>
        </w:rPr>
        <w:t> </w:t>
      </w:r>
      <w:r>
        <w:rPr>
          <w:spacing w:val="-3"/>
          <w:w w:val="101"/>
        </w:rPr>
        <w:t>年第十一次临时股东大会的授权，董事会确定公司限</w:t>
      </w:r>
      <w:r>
        <w:rPr>
          <w:spacing w:val="-89"/>
          <w:w w:val="101"/>
        </w:rPr>
        <w:t> </w:t>
      </w:r>
      <w:r>
        <w:rPr>
          <w:spacing w:val="-89"/>
          <w:w w:val="101"/>
        </w:rPr>
      </w:r>
      <w:r>
        <w:rPr/>
        <w:t>制性股票以</w:t>
      </w:r>
      <w:r>
        <w:rPr>
          <w:spacing w:val="-31"/>
        </w:rPr>
        <w:t> </w:t>
      </w:r>
      <w:r>
        <w:rPr>
          <w:rFonts w:ascii="Times New Roman" w:hAnsi="Times New Roman" w:cs="Times New Roman" w:eastAsia="Times New Roman" w:hint="default"/>
          <w:spacing w:val="-3"/>
        </w:rPr>
        <w:t>2019</w:t>
      </w:r>
      <w:r>
        <w:rPr>
          <w:rFonts w:ascii="Times New Roman" w:hAnsi="Times New Roman" w:cs="Times New Roman" w:eastAsia="Times New Roman" w:hint="default"/>
          <w:spacing w:val="7"/>
        </w:rPr>
        <w:t> </w:t>
      </w:r>
      <w:r>
        <w:rPr/>
        <w:t>年</w:t>
      </w:r>
      <w:r>
        <w:rPr>
          <w:spacing w:val="-32"/>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9"/>
        </w:rPr>
        <w:t> </w:t>
      </w:r>
      <w:r>
        <w:rPr/>
        <w:t>月</w:t>
      </w:r>
      <w:r>
        <w:rPr>
          <w:spacing w:val="-31"/>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spacing w:val="-3"/>
        </w:rPr>
        <w:t>日为首次授予日，以</w:t>
      </w:r>
      <w:r>
        <w:rPr>
          <w:spacing w:val="-31"/>
        </w:rPr>
        <w:t> </w:t>
      </w:r>
      <w:r>
        <w:rPr>
          <w:rFonts w:ascii="Times New Roman" w:hAnsi="Times New Roman" w:cs="Times New Roman" w:eastAsia="Times New Roman" w:hint="default"/>
        </w:rPr>
        <w:t>3.3357</w:t>
      </w:r>
      <w:r>
        <w:rPr>
          <w:rFonts w:ascii="Times New Roman" w:hAnsi="Times New Roman" w:cs="Times New Roman" w:eastAsia="Times New Roman" w:hint="default"/>
          <w:spacing w:val="9"/>
        </w:rPr>
        <w:t> </w:t>
      </w:r>
      <w:r>
        <w:rPr/>
        <w:t>元</w:t>
      </w:r>
      <w:r>
        <w:rPr>
          <w:rFonts w:ascii="Times New Roman" w:hAnsi="Times New Roman" w:cs="Times New Roman" w:eastAsia="Times New Roman" w:hint="default"/>
        </w:rPr>
        <w:t>/</w:t>
      </w:r>
      <w:r>
        <w:rPr/>
        <w:t>股的价格向</w:t>
      </w:r>
      <w:r>
        <w:rPr>
          <w:spacing w:val="-32"/>
        </w:rPr>
        <w:t> </w:t>
      </w:r>
      <w:r>
        <w:rPr>
          <w:rFonts w:ascii="Times New Roman" w:hAnsi="Times New Roman" w:cs="Times New Roman" w:eastAsia="Times New Roman" w:hint="default"/>
        </w:rPr>
        <w:t>121</w:t>
      </w:r>
      <w:r>
        <w:rPr>
          <w:rFonts w:ascii="Times New Roman" w:hAnsi="Times New Roman" w:cs="Times New Roman" w:eastAsia="Times New Roman" w:hint="default"/>
          <w:spacing w:val="9"/>
        </w:rPr>
        <w:t> </w:t>
      </w:r>
      <w:r>
        <w:rPr>
          <w:spacing w:val="-3"/>
        </w:rPr>
        <w:t>名符合授予条件激励对象授予</w:t>
      </w:r>
      <w:r>
        <w:rPr>
          <w:spacing w:val="-36"/>
        </w:rPr>
        <w:t> </w:t>
      </w:r>
      <w:r>
        <w:rPr>
          <w:rFonts w:ascii="Times New Roman" w:hAnsi="Times New Roman" w:cs="Times New Roman" w:eastAsia="Times New Roman" w:hint="default"/>
        </w:rPr>
        <w:t>1790.32</w:t>
      </w:r>
      <w:r>
        <w:rPr>
          <w:rFonts w:ascii="Times New Roman" w:hAnsi="Times New Roman" w:cs="Times New Roman" w:eastAsia="Times New Roman" w:hint="default"/>
          <w:spacing w:val="6"/>
        </w:rPr>
        <w:t> </w:t>
      </w:r>
      <w:r>
        <w:rPr/>
        <w:t>万股限</w:t>
      </w:r>
      <w:r>
        <w:rPr>
          <w:spacing w:val="-88"/>
        </w:rPr>
        <w:t> </w:t>
      </w:r>
      <w:r>
        <w:rPr>
          <w:spacing w:val="-88"/>
        </w:rPr>
      </w:r>
      <w:r>
        <w:rPr/>
        <w:t>制性股票。</w:t>
      </w:r>
    </w:p>
    <w:p>
      <w:pPr>
        <w:spacing w:line="240" w:lineRule="auto" w:before="1"/>
        <w:rPr>
          <w:rFonts w:ascii="宋体" w:hAnsi="宋体" w:cs="宋体" w:eastAsia="宋体" w:hint="default"/>
          <w:sz w:val="23"/>
          <w:szCs w:val="23"/>
        </w:rPr>
      </w:pPr>
    </w:p>
    <w:p>
      <w:pPr>
        <w:pStyle w:val="Heading3"/>
        <w:spacing w:line="240" w:lineRule="auto"/>
        <w:ind w:right="0"/>
        <w:jc w:val="both"/>
        <w:rPr>
          <w:b w:val="0"/>
          <w:bCs w:val="0"/>
        </w:rPr>
      </w:pPr>
      <w:bookmarkStart w:name="2、以权益结算的股份支付情况" w:id="464"/>
      <w:bookmarkEnd w:id="46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1"/>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根据授予日股票价格及授予成本价格确定</w:t>
            </w:r>
          </w:p>
        </w:tc>
      </w:tr>
    </w:tbl>
    <w:p>
      <w:pPr>
        <w:spacing w:after="0" w:line="240" w:lineRule="auto"/>
        <w:jc w:val="left"/>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984"/>
        <w:gridCol w:w="4585"/>
      </w:tblGrid>
      <w:tr>
        <w:trPr>
          <w:trHeight w:val="715"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3"/>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7"/>
              <w:jc w:val="left"/>
              <w:rPr>
                <w:rFonts w:ascii="宋体" w:hAnsi="宋体" w:cs="宋体" w:eastAsia="宋体" w:hint="default"/>
                <w:sz w:val="18"/>
                <w:szCs w:val="18"/>
              </w:rPr>
            </w:pPr>
            <w:r>
              <w:rPr>
                <w:rFonts w:ascii="宋体" w:hAnsi="宋体" w:cs="宋体" w:eastAsia="宋体" w:hint="default"/>
                <w:spacing w:val="-3"/>
                <w:sz w:val="18"/>
                <w:szCs w:val="18"/>
              </w:rPr>
              <w:t>根据最新取得的可行权和可解锁人数变动、业绩指标完成</w:t>
            </w:r>
            <w:r>
              <w:rPr>
                <w:rFonts w:ascii="宋体" w:hAnsi="宋体" w:cs="宋体" w:eastAsia="宋体" w:hint="default"/>
                <w:spacing w:val="-15"/>
                <w:sz w:val="18"/>
                <w:szCs w:val="18"/>
              </w:rPr>
              <w:t> </w:t>
            </w:r>
            <w:r>
              <w:rPr>
                <w:rFonts w:ascii="宋体" w:hAnsi="宋体" w:cs="宋体" w:eastAsia="宋体" w:hint="default"/>
                <w:spacing w:val="-15"/>
                <w:sz w:val="18"/>
                <w:szCs w:val="18"/>
              </w:rPr>
            </w:r>
            <w:r>
              <w:rPr>
                <w:rFonts w:ascii="宋体" w:hAnsi="宋体" w:cs="宋体" w:eastAsia="宋体" w:hint="default"/>
                <w:spacing w:val="-3"/>
                <w:sz w:val="18"/>
                <w:szCs w:val="18"/>
              </w:rPr>
              <w:t>情况等后续信息，修正预计可行权的股票数量</w:t>
            </w:r>
          </w:p>
        </w:tc>
      </w:tr>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本期估计与上期估计有重大差异的原因</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w w:val="101"/>
                <w:sz w:val="18"/>
                <w:szCs w:val="18"/>
              </w:rPr>
              <w:t>无</w:t>
            </w:r>
            <w:r>
              <w:rPr>
                <w:rFonts w:ascii="宋体" w:hAnsi="宋体" w:cs="宋体" w:eastAsia="宋体" w:hint="default"/>
                <w:sz w:val="18"/>
                <w:szCs w:val="18"/>
              </w:rPr>
            </w:r>
          </w:p>
        </w:tc>
      </w:tr>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pacing w:val="-3"/>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24" w:right="0"/>
              <w:jc w:val="left"/>
              <w:rPr>
                <w:rFonts w:ascii="Times New Roman" w:hAnsi="Times New Roman" w:cs="Times New Roman" w:eastAsia="Times New Roman" w:hint="default"/>
                <w:sz w:val="18"/>
                <w:szCs w:val="18"/>
              </w:rPr>
            </w:pPr>
            <w:r>
              <w:rPr>
                <w:rFonts w:ascii="Times New Roman"/>
                <w:sz w:val="18"/>
              </w:rPr>
              <w:t>4,086,845.52</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4,086,845.52</w:t>
            </w:r>
          </w:p>
        </w:tc>
      </w:tr>
    </w:tbl>
    <w:p>
      <w:pPr>
        <w:pStyle w:val="BodyText"/>
        <w:spacing w:line="240" w:lineRule="auto" w:before="53"/>
        <w:ind w:right="0"/>
        <w:jc w:val="left"/>
      </w:pPr>
      <w:r>
        <w:rPr/>
        <w:t>其他说明</w:t>
      </w:r>
    </w:p>
    <w:p>
      <w:pPr>
        <w:pStyle w:val="BodyText"/>
        <w:spacing w:line="240" w:lineRule="auto" w:before="119"/>
        <w:ind w:right="0"/>
        <w:jc w:val="left"/>
      </w:pPr>
      <w:r>
        <w:rPr>
          <w:spacing w:val="-3"/>
        </w:rPr>
        <w:t>本期以股份支付换取的职工服务金额为 </w:t>
      </w:r>
      <w:r>
        <w:rPr>
          <w:rFonts w:ascii="Times New Roman" w:hAnsi="Times New Roman" w:cs="Times New Roman" w:eastAsia="Times New Roman" w:hint="default"/>
        </w:rPr>
        <w:t>4,086,845.52</w:t>
      </w:r>
      <w:r>
        <w:rPr>
          <w:rFonts w:ascii="Times New Roman" w:hAnsi="Times New Roman" w:cs="Times New Roman" w:eastAsia="Times New Roman" w:hint="default"/>
          <w:spacing w:val="10"/>
        </w:rPr>
        <w:t> </w:t>
      </w:r>
      <w:r>
        <w:rPr/>
        <w:t>元。</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3、以现金结算的股份支付情况" w:id="465"/>
      <w:bookmarkEnd w:id="46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1"/>
        <w:rPr>
          <w:rFonts w:ascii="宋体" w:hAnsi="宋体" w:cs="宋体" w:eastAsia="宋体" w:hint="default"/>
          <w:b/>
          <w:bCs/>
          <w:sz w:val="27"/>
          <w:szCs w:val="27"/>
        </w:rPr>
      </w:pPr>
    </w:p>
    <w:p>
      <w:pPr>
        <w:spacing w:line="542" w:lineRule="auto" w:before="0"/>
        <w:ind w:left="153" w:right="7905"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适用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w:t>
      </w:r>
      <w:r>
        <w:rPr>
          <w:rFonts w:ascii="宋体" w:hAnsi="宋体" w:cs="宋体" w:eastAsia="宋体" w:hint="default"/>
          <w:spacing w:val="-78"/>
          <w:sz w:val="18"/>
          <w:szCs w:val="18"/>
        </w:rPr>
        <w:t> </w:t>
      </w:r>
      <w:r>
        <w:rPr>
          <w:rFonts w:ascii="宋体" w:hAnsi="宋体" w:cs="宋体" w:eastAsia="宋体" w:hint="default"/>
          <w:spacing w:val="-78"/>
          <w:sz w:val="18"/>
          <w:szCs w:val="18"/>
        </w:rPr>
      </w:r>
      <w:bookmarkStart w:name="4、股份支付的修改、终止情况" w:id="466"/>
      <w:bookmarkEnd w:id="466"/>
      <w:r>
        <w:rPr>
          <w:rFonts w:ascii="宋体" w:hAnsi="宋体" w:cs="宋体" w:eastAsia="宋体" w:hint="default"/>
          <w:spacing w:val="-78"/>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、股份支付的修改、终止情况</w:t>
      </w:r>
      <w:r>
        <w:rPr>
          <w:rFonts w:ascii="宋体" w:hAnsi="宋体" w:cs="宋体" w:eastAsia="宋体" w:hint="default"/>
          <w:b/>
          <w:bCs/>
          <w:spacing w:val="-101"/>
          <w:sz w:val="21"/>
          <w:szCs w:val="21"/>
        </w:rPr>
        <w:t> </w:t>
      </w:r>
      <w:r>
        <w:rPr>
          <w:rFonts w:ascii="宋体" w:hAnsi="宋体" w:cs="宋体" w:eastAsia="宋体" w:hint="default"/>
          <w:sz w:val="18"/>
          <w:szCs w:val="18"/>
        </w:rPr>
        <w:t>无</w:t>
      </w:r>
    </w:p>
    <w:p>
      <w:pPr>
        <w:pStyle w:val="Heading3"/>
        <w:spacing w:line="240" w:lineRule="auto" w:before="126"/>
        <w:ind w:right="0"/>
        <w:jc w:val="left"/>
        <w:rPr>
          <w:b w:val="0"/>
          <w:bCs w:val="0"/>
        </w:rPr>
      </w:pPr>
      <w:bookmarkStart w:name="5、其他" w:id="467"/>
      <w:bookmarkEnd w:id="467"/>
      <w:r>
        <w:rPr>
          <w:b w:val="0"/>
          <w:bCs w:val="0"/>
        </w:rPr>
      </w:r>
      <w:r>
        <w:rPr>
          <w:rFonts w:ascii="Times New Roman" w:hAnsi="Times New Roman" w:cs="Times New Roman" w:eastAsia="Times New Roman" w:hint="default"/>
        </w:rPr>
        <w:t>5</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四、承诺及或有事项" w:id="468"/>
      <w:bookmarkEnd w:id="468"/>
      <w:r>
        <w:rPr>
          <w:b w:val="0"/>
          <w:bCs w:val="0"/>
        </w:rPr>
      </w:r>
      <w:r>
        <w:rPr/>
        <w:t>十四、承诺及或有事项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469"/>
      <w:bookmarkEnd w:id="46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spacing w:val="-3"/>
        </w:rPr>
        <w:t>资产负债表日存在的重要承诺</w:t>
      </w:r>
    </w:p>
    <w:p>
      <w:pPr>
        <w:pStyle w:val="BodyText"/>
        <w:spacing w:line="240" w:lineRule="auto" w:before="115"/>
        <w:ind w:right="0"/>
        <w:jc w:val="left"/>
      </w:pPr>
      <w:r>
        <w:rPr/>
        <w:t>截至</w:t>
      </w:r>
      <w:r>
        <w:rPr>
          <w:spacing w:val="-3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1"/>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w:t>
      </w:r>
      <w:r>
        <w:rPr>
          <w:spacing w:val="-3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spacing w:val="-3"/>
        </w:rPr>
        <w:t>日，本公司无需要披露的承诺及或有事项。</w:t>
      </w:r>
    </w:p>
    <w:p>
      <w:pPr>
        <w:spacing w:line="240" w:lineRule="auto" w:before="3"/>
        <w:rPr>
          <w:rFonts w:ascii="宋体" w:hAnsi="宋体" w:cs="宋体" w:eastAsia="宋体" w:hint="default"/>
          <w:sz w:val="25"/>
          <w:szCs w:val="25"/>
        </w:rPr>
      </w:pPr>
    </w:p>
    <w:p>
      <w:pPr>
        <w:pStyle w:val="Heading3"/>
        <w:spacing w:line="240" w:lineRule="auto"/>
        <w:ind w:right="0"/>
        <w:jc w:val="left"/>
        <w:rPr>
          <w:b w:val="0"/>
          <w:bCs w:val="0"/>
        </w:rPr>
      </w:pPr>
      <w:bookmarkStart w:name="2、或有事项" w:id="470"/>
      <w:bookmarkEnd w:id="47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3、其他" w:id="471"/>
      <w:bookmarkEnd w:id="471"/>
      <w:r>
        <w:rPr>
          <w:b w:val="0"/>
          <w:bCs w:val="0"/>
        </w:rPr>
      </w:r>
      <w:r>
        <w:rPr>
          <w:rFonts w:ascii="Times New Roman" w:hAnsi="Times New Roman" w:cs="Times New Roman" w:eastAsia="Times New Roman" w:hint="default"/>
        </w:rPr>
        <w:t>3</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10"/>
        <w:rPr>
          <w:rFonts w:ascii="宋体" w:hAnsi="宋体" w:cs="宋体" w:eastAsia="宋体" w:hint="default"/>
          <w:sz w:val="24"/>
          <w:szCs w:val="24"/>
        </w:rPr>
      </w:pPr>
    </w:p>
    <w:p>
      <w:pPr>
        <w:pStyle w:val="Heading2"/>
        <w:spacing w:line="240" w:lineRule="auto"/>
        <w:ind w:right="0"/>
        <w:jc w:val="left"/>
        <w:rPr>
          <w:b w:val="0"/>
          <w:bCs w:val="0"/>
        </w:rPr>
      </w:pPr>
      <w:bookmarkStart w:name="十五、资产负债表日后事项" w:id="472"/>
      <w:bookmarkEnd w:id="472"/>
      <w:r>
        <w:rPr>
          <w:b w:val="0"/>
          <w:bCs w:val="0"/>
        </w:rPr>
      </w:r>
      <w:r>
        <w:rPr/>
        <w:t>十五、资产负债表日后事项</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重要的非调整事项" w:id="473"/>
      <w:bookmarkEnd w:id="473"/>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05"/>
        <w:gridCol w:w="5260"/>
        <w:gridCol w:w="1407"/>
        <w:gridCol w:w="1136"/>
      </w:tblGrid>
      <w:tr>
        <w:trPr>
          <w:trHeight w:val="159" w:hRule="exact"/>
        </w:trPr>
        <w:tc>
          <w:tcPr>
            <w:tcW w:w="1405" w:type="dxa"/>
            <w:tcBorders>
              <w:top w:val="single" w:sz="4" w:space="0" w:color="000000"/>
              <w:left w:val="single" w:sz="4" w:space="0" w:color="000000"/>
              <w:bottom w:val="nil" w:sz="6" w:space="0" w:color="auto"/>
              <w:right w:val="single" w:sz="4" w:space="0" w:color="000000"/>
            </w:tcBorders>
            <w:shd w:val="clear" w:color="auto" w:fill="D2D2D2"/>
          </w:tcPr>
          <w:p>
            <w:pPr/>
          </w:p>
        </w:tc>
        <w:tc>
          <w:tcPr>
            <w:tcW w:w="52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64" w:right="67"/>
              <w:jc w:val="left"/>
              <w:rPr>
                <w:rFonts w:ascii="宋体" w:hAnsi="宋体" w:cs="宋体" w:eastAsia="宋体" w:hint="default"/>
                <w:sz w:val="18"/>
                <w:szCs w:val="18"/>
              </w:rPr>
            </w:pPr>
            <w:r>
              <w:rPr>
                <w:rFonts w:ascii="宋体" w:hAnsi="宋体" w:cs="宋体" w:eastAsia="宋体" w:hint="default"/>
                <w:spacing w:val="-3"/>
                <w:sz w:val="18"/>
                <w:szCs w:val="18"/>
              </w:rPr>
              <w:t>对财务状况和经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营成果的影响数</w:t>
            </w:r>
          </w:p>
        </w:tc>
        <w:tc>
          <w:tcPr>
            <w:tcW w:w="11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4"/>
              <w:ind w:left="112" w:right="108"/>
              <w:jc w:val="left"/>
              <w:rPr>
                <w:rFonts w:ascii="宋体" w:hAnsi="宋体" w:cs="宋体" w:eastAsia="宋体" w:hint="default"/>
                <w:sz w:val="18"/>
                <w:szCs w:val="18"/>
              </w:rPr>
            </w:pPr>
            <w:r>
              <w:rPr>
                <w:rFonts w:ascii="宋体" w:hAnsi="宋体" w:cs="宋体" w:eastAsia="宋体" w:hint="default"/>
                <w:spacing w:val="-2"/>
                <w:sz w:val="18"/>
                <w:szCs w:val="18"/>
              </w:rPr>
              <w:t>无法估计影</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响数的原因</w:t>
            </w:r>
          </w:p>
        </w:tc>
      </w:tr>
      <w:tr>
        <w:trPr>
          <w:trHeight w:val="394" w:hRule="exact"/>
        </w:trPr>
        <w:tc>
          <w:tcPr>
            <w:tcW w:w="14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52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6"/>
              <w:jc w:val="center"/>
              <w:rPr>
                <w:rFonts w:ascii="宋体" w:hAnsi="宋体" w:cs="宋体" w:eastAsia="宋体" w:hint="default"/>
                <w:sz w:val="18"/>
                <w:szCs w:val="18"/>
              </w:rPr>
            </w:pPr>
            <w:r>
              <w:rPr>
                <w:rFonts w:ascii="宋体" w:hAnsi="宋体" w:cs="宋体" w:eastAsia="宋体" w:hint="default"/>
                <w:sz w:val="18"/>
                <w:szCs w:val="18"/>
              </w:rPr>
              <w:t>内容</w:t>
            </w:r>
          </w:p>
        </w:tc>
        <w:tc>
          <w:tcPr>
            <w:tcW w:w="1407" w:type="dxa"/>
            <w:vMerge/>
            <w:tcBorders>
              <w:left w:val="single" w:sz="4" w:space="0" w:color="000000"/>
              <w:right w:val="single" w:sz="4" w:space="0" w:color="000000"/>
            </w:tcBorders>
            <w:shd w:val="clear" w:color="auto" w:fill="D2D2D2"/>
          </w:tcPr>
          <w:p>
            <w:pPr/>
          </w:p>
        </w:tc>
        <w:tc>
          <w:tcPr>
            <w:tcW w:w="1136" w:type="dxa"/>
            <w:vMerge/>
            <w:tcBorders>
              <w:left w:val="single" w:sz="4" w:space="0" w:color="000000"/>
              <w:right w:val="single" w:sz="4" w:space="0" w:color="000000"/>
            </w:tcBorders>
            <w:shd w:val="clear" w:color="auto" w:fill="D2D2D2"/>
          </w:tcPr>
          <w:p>
            <w:pPr/>
          </w:p>
        </w:tc>
      </w:tr>
      <w:tr>
        <w:trPr>
          <w:trHeight w:val="163" w:hRule="exact"/>
        </w:trPr>
        <w:tc>
          <w:tcPr>
            <w:tcW w:w="1405" w:type="dxa"/>
            <w:tcBorders>
              <w:top w:val="nil" w:sz="6" w:space="0" w:color="auto"/>
              <w:left w:val="single" w:sz="4" w:space="0" w:color="000000"/>
              <w:bottom w:val="single" w:sz="4" w:space="0" w:color="000000"/>
              <w:right w:val="single" w:sz="4" w:space="0" w:color="000000"/>
            </w:tcBorders>
            <w:shd w:val="clear" w:color="auto" w:fill="D2D2D2"/>
          </w:tcPr>
          <w:p>
            <w:pPr/>
          </w:p>
        </w:tc>
        <w:tc>
          <w:tcPr>
            <w:tcW w:w="52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7" w:type="dxa"/>
            <w:vMerge/>
            <w:tcBorders>
              <w:left w:val="single" w:sz="4" w:space="0" w:color="000000"/>
              <w:bottom w:val="single" w:sz="4" w:space="0" w:color="000000"/>
              <w:right w:val="single" w:sz="4" w:space="0" w:color="000000"/>
            </w:tcBorders>
            <w:shd w:val="clear" w:color="auto" w:fill="D2D2D2"/>
          </w:tcPr>
          <w:p>
            <w:pPr/>
          </w:p>
        </w:tc>
        <w:tc>
          <w:tcPr>
            <w:tcW w:w="1136"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重要的对外投资</w:t>
            </w:r>
          </w:p>
        </w:tc>
        <w:tc>
          <w:tcPr>
            <w:tcW w:w="52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73"/>
              <w:ind w:right="13"/>
              <w:jc w:val="center"/>
              <w:rPr>
                <w:rFonts w:ascii="宋体" w:hAnsi="宋体" w:cs="宋体" w:eastAsia="宋体" w:hint="default"/>
                <w:sz w:val="18"/>
                <w:szCs w:val="18"/>
              </w:rPr>
            </w:pPr>
            <w:r>
              <w:rPr>
                <w:rFonts w:ascii="宋体" w:hAnsi="宋体" w:cs="宋体" w:eastAsia="宋体" w:hint="default"/>
                <w:spacing w:val="-4"/>
                <w:sz w:val="18"/>
                <w:szCs w:val="18"/>
              </w:rPr>
              <w:t>本公司之子公司江苏鹏创电力设计有限公司业绩承诺期结束，根据</w:t>
            </w:r>
          </w:p>
        </w:tc>
        <w:tc>
          <w:tcPr>
            <w:tcW w:w="1407"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417"/>
        <w:gridCol w:w="5248"/>
        <w:gridCol w:w="1417"/>
        <w:gridCol w:w="1138"/>
      </w:tblGrid>
      <w:tr>
        <w:trPr>
          <w:trHeight w:val="316" w:hRule="exact"/>
        </w:trPr>
        <w:tc>
          <w:tcPr>
            <w:tcW w:w="1417" w:type="dxa"/>
            <w:vMerge w:val="restart"/>
            <w:tcBorders>
              <w:top w:val="single" w:sz="4" w:space="0" w:color="000000"/>
              <w:left w:val="single" w:sz="4" w:space="0" w:color="000000"/>
              <w:right w:val="single" w:sz="4" w:space="0" w:color="000000"/>
            </w:tcBorders>
            <w:shd w:val="clear" w:color="auto" w:fill="D2D2D2"/>
          </w:tcPr>
          <w:p>
            <w:pPr/>
          </w:p>
        </w:tc>
        <w:tc>
          <w:tcPr>
            <w:tcW w:w="524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3"/>
                <w:sz w:val="18"/>
                <w:szCs w:val="18"/>
              </w:rPr>
              <w:t>双方签订的发行股份及支付现金购买资产协议中的业绩承诺和补</w:t>
            </w:r>
          </w:p>
        </w:tc>
        <w:tc>
          <w:tcPr>
            <w:tcW w:w="1417" w:type="dxa"/>
            <w:vMerge w:val="restart"/>
            <w:tcBorders>
              <w:top w:val="single" w:sz="4" w:space="0" w:color="000000"/>
              <w:left w:val="single" w:sz="4" w:space="0" w:color="000000"/>
              <w:right w:val="single" w:sz="4" w:space="0" w:color="000000"/>
            </w:tcBorders>
          </w:tcPr>
          <w:p>
            <w:pPr/>
          </w:p>
        </w:tc>
        <w:tc>
          <w:tcPr>
            <w:tcW w:w="1138" w:type="dxa"/>
            <w:vMerge w:val="restart"/>
            <w:tcBorders>
              <w:top w:val="single" w:sz="4" w:space="0" w:color="000000"/>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5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4"/>
                <w:sz w:val="18"/>
                <w:szCs w:val="18"/>
              </w:rPr>
              <w:t>偿条款，当江苏鹏创电力设计有限公司在业绩承诺期内累计实现的</w:t>
            </w:r>
          </w:p>
        </w:tc>
        <w:tc>
          <w:tcPr>
            <w:tcW w:w="1417"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r>
      <w:tr>
        <w:trPr>
          <w:trHeight w:val="317" w:hRule="exact"/>
        </w:trPr>
        <w:tc>
          <w:tcPr>
            <w:tcW w:w="1417" w:type="dxa"/>
            <w:vMerge/>
            <w:tcBorders>
              <w:left w:val="single" w:sz="4" w:space="0" w:color="000000"/>
              <w:right w:val="single" w:sz="4" w:space="0" w:color="000000"/>
            </w:tcBorders>
            <w:shd w:val="clear" w:color="auto" w:fill="D2D2D2"/>
          </w:tcPr>
          <w:p>
            <w:pPr/>
          </w:p>
        </w:tc>
        <w:tc>
          <w:tcPr>
            <w:tcW w:w="5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扣除非经常性损益的净利润低于承诺期承诺净利润的</w:t>
            </w:r>
            <w:r>
              <w:rPr>
                <w:rFonts w:ascii="宋体" w:hAnsi="宋体" w:cs="宋体" w:eastAsia="宋体" w:hint="default"/>
                <w:spacing w:val="44"/>
                <w:sz w:val="18"/>
                <w:szCs w:val="18"/>
              </w:rPr>
              <w:t> </w:t>
            </w:r>
            <w:r>
              <w:rPr>
                <w:rFonts w:ascii="Times New Roman" w:hAnsi="Times New Roman" w:cs="Times New Roman" w:eastAsia="Times New Roman" w:hint="default"/>
                <w:spacing w:val="-9"/>
                <w:sz w:val="18"/>
                <w:szCs w:val="18"/>
              </w:rPr>
              <w:t>95%</w:t>
            </w:r>
            <w:r>
              <w:rPr>
                <w:rFonts w:ascii="宋体" w:hAnsi="宋体" w:cs="宋体" w:eastAsia="宋体" w:hint="default"/>
                <w:spacing w:val="-9"/>
                <w:sz w:val="18"/>
                <w:szCs w:val="18"/>
              </w:rPr>
              <w:t>，按照条</w:t>
            </w:r>
          </w:p>
        </w:tc>
        <w:tc>
          <w:tcPr>
            <w:tcW w:w="1417"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52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4"/>
                <w:sz w:val="18"/>
                <w:szCs w:val="18"/>
              </w:rPr>
              <w:t>款约定江苏鹏创电力设计有限公司向本公司支付补偿，当江苏鹏创</w:t>
            </w:r>
          </w:p>
        </w:tc>
        <w:tc>
          <w:tcPr>
            <w:tcW w:w="1417"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r>
      <w:tr>
        <w:trPr>
          <w:trHeight w:val="312" w:hRule="exact"/>
        </w:trPr>
        <w:tc>
          <w:tcPr>
            <w:tcW w:w="1417" w:type="dxa"/>
            <w:vMerge/>
            <w:tcBorders>
              <w:left w:val="single" w:sz="4" w:space="0" w:color="000000"/>
              <w:right w:val="single" w:sz="4" w:space="0" w:color="000000"/>
            </w:tcBorders>
            <w:shd w:val="clear" w:color="auto" w:fill="D2D2D2"/>
          </w:tcPr>
          <w:p>
            <w:pPr/>
          </w:p>
        </w:tc>
        <w:tc>
          <w:tcPr>
            <w:tcW w:w="5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pacing w:val="-3"/>
                <w:sz w:val="18"/>
                <w:szCs w:val="18"/>
              </w:rPr>
              <w:t>电力设计有限公司在业绩承诺期内累计实现的扣除非经常性损益</w:t>
            </w:r>
          </w:p>
        </w:tc>
        <w:tc>
          <w:tcPr>
            <w:tcW w:w="1417"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r>
      <w:tr>
        <w:trPr>
          <w:trHeight w:val="317" w:hRule="exact"/>
        </w:trPr>
        <w:tc>
          <w:tcPr>
            <w:tcW w:w="1417" w:type="dxa"/>
            <w:vMerge/>
            <w:tcBorders>
              <w:left w:val="single" w:sz="4" w:space="0" w:color="000000"/>
              <w:right w:val="single" w:sz="4" w:space="0" w:color="000000"/>
            </w:tcBorders>
            <w:shd w:val="clear" w:color="auto" w:fill="D2D2D2"/>
          </w:tcPr>
          <w:p>
            <w:pPr/>
          </w:p>
        </w:tc>
        <w:tc>
          <w:tcPr>
            <w:tcW w:w="5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的净利润高于承诺期承诺净利润的</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105%</w:t>
            </w:r>
            <w:r>
              <w:rPr>
                <w:rFonts w:ascii="宋体" w:hAnsi="宋体" w:cs="宋体" w:eastAsia="宋体" w:hint="default"/>
                <w:spacing w:val="-3"/>
                <w:sz w:val="18"/>
                <w:szCs w:val="18"/>
              </w:rPr>
              <w:t>，按照条款约定本公司将</w:t>
            </w:r>
          </w:p>
        </w:tc>
        <w:tc>
          <w:tcPr>
            <w:tcW w:w="1417"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r>
      <w:tr>
        <w:trPr>
          <w:trHeight w:val="307" w:hRule="exact"/>
        </w:trPr>
        <w:tc>
          <w:tcPr>
            <w:tcW w:w="1417" w:type="dxa"/>
            <w:vMerge/>
            <w:tcBorders>
              <w:left w:val="single" w:sz="4" w:space="0" w:color="000000"/>
              <w:right w:val="single" w:sz="4" w:space="0" w:color="000000"/>
            </w:tcBorders>
            <w:shd w:val="clear" w:color="auto" w:fill="D2D2D2"/>
          </w:tcPr>
          <w:p>
            <w:pPr/>
          </w:p>
        </w:tc>
        <w:tc>
          <w:tcPr>
            <w:tcW w:w="52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超出承诺净利润部分以现金的方式对江苏鹏创管理层及骨干员工</w:t>
            </w:r>
          </w:p>
        </w:tc>
        <w:tc>
          <w:tcPr>
            <w:tcW w:w="1417"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r>
      <w:tr>
        <w:trPr>
          <w:trHeight w:val="317" w:hRule="exact"/>
        </w:trPr>
        <w:tc>
          <w:tcPr>
            <w:tcW w:w="1417" w:type="dxa"/>
            <w:vMerge/>
            <w:tcBorders>
              <w:left w:val="single" w:sz="4" w:space="0" w:color="000000"/>
              <w:right w:val="single" w:sz="4" w:space="0" w:color="000000"/>
            </w:tcBorders>
            <w:shd w:val="clear" w:color="auto" w:fill="D2D2D2"/>
          </w:tcPr>
          <w:p>
            <w:pPr/>
          </w:p>
        </w:tc>
        <w:tc>
          <w:tcPr>
            <w:tcW w:w="524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进行业绩奖励</w:t>
            </w:r>
            <w:r>
              <w:rPr>
                <w:rFonts w:ascii="宋体" w:hAnsi="宋体" w:cs="宋体" w:eastAsia="宋体" w:hint="default"/>
                <w:spacing w:val="69"/>
                <w:sz w:val="18"/>
                <w:szCs w:val="18"/>
              </w:rPr>
              <w:t>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江苏鹏创电力设计有限公司业绩承诺期内累计实现</w:t>
            </w:r>
          </w:p>
        </w:tc>
        <w:tc>
          <w:tcPr>
            <w:tcW w:w="1417"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r>
      <w:tr>
        <w:trPr>
          <w:trHeight w:val="315" w:hRule="exact"/>
        </w:trPr>
        <w:tc>
          <w:tcPr>
            <w:tcW w:w="1417" w:type="dxa"/>
            <w:vMerge/>
            <w:tcBorders>
              <w:left w:val="single" w:sz="4" w:space="0" w:color="000000"/>
              <w:right w:val="single" w:sz="4" w:space="0" w:color="000000"/>
            </w:tcBorders>
            <w:shd w:val="clear" w:color="auto" w:fill="D2D2D2"/>
          </w:tcPr>
          <w:p>
            <w:pPr/>
          </w:p>
        </w:tc>
        <w:tc>
          <w:tcPr>
            <w:tcW w:w="524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pacing w:val="-3"/>
                <w:sz w:val="18"/>
                <w:szCs w:val="18"/>
              </w:rPr>
              <w:t>的扣除非经常性损益的净利润为承诺期承诺净利润的</w:t>
            </w:r>
            <w:r>
              <w:rPr>
                <w:rFonts w:ascii="宋体" w:hAnsi="宋体" w:cs="宋体" w:eastAsia="宋体" w:hint="default"/>
                <w:spacing w:val="24"/>
                <w:sz w:val="18"/>
                <w:szCs w:val="18"/>
              </w:rPr>
              <w:t> </w:t>
            </w:r>
            <w:r>
              <w:rPr>
                <w:rFonts w:ascii="Times New Roman" w:hAnsi="Times New Roman" w:cs="Times New Roman" w:eastAsia="Times New Roman" w:hint="default"/>
                <w:sz w:val="18"/>
                <w:szCs w:val="18"/>
              </w:rPr>
              <w:t>96.22%</w:t>
            </w:r>
            <w:r>
              <w:rPr>
                <w:rFonts w:ascii="宋体" w:hAnsi="宋体" w:cs="宋体" w:eastAsia="宋体" w:hint="default"/>
                <w:sz w:val="18"/>
                <w:szCs w:val="18"/>
              </w:rPr>
              <w:t>，未</w:t>
            </w:r>
          </w:p>
        </w:tc>
        <w:tc>
          <w:tcPr>
            <w:tcW w:w="1417" w:type="dxa"/>
            <w:vMerge/>
            <w:tcBorders>
              <w:left w:val="single" w:sz="4" w:space="0" w:color="000000"/>
              <w:right w:val="single" w:sz="4" w:space="0" w:color="000000"/>
            </w:tcBorders>
          </w:tcPr>
          <w:p>
            <w:pPr/>
          </w:p>
        </w:tc>
        <w:tc>
          <w:tcPr>
            <w:tcW w:w="1138" w:type="dxa"/>
            <w:vMerge/>
            <w:tcBorders>
              <w:left w:val="single" w:sz="4" w:space="0" w:color="000000"/>
              <w:right w:val="single" w:sz="4" w:space="0" w:color="000000"/>
            </w:tcBorders>
          </w:tcPr>
          <w:p>
            <w:pPr/>
          </w:p>
        </w:tc>
      </w:tr>
      <w:tr>
        <w:trPr>
          <w:trHeight w:val="349" w:hRule="exact"/>
        </w:trPr>
        <w:tc>
          <w:tcPr>
            <w:tcW w:w="1417" w:type="dxa"/>
            <w:vMerge/>
            <w:tcBorders>
              <w:left w:val="single" w:sz="4" w:space="0" w:color="000000"/>
              <w:bottom w:val="single" w:sz="4" w:space="0" w:color="000000"/>
              <w:right w:val="single" w:sz="4" w:space="0" w:color="000000"/>
            </w:tcBorders>
            <w:shd w:val="clear" w:color="auto" w:fill="D2D2D2"/>
          </w:tcPr>
          <w:p>
            <w:pPr/>
          </w:p>
        </w:tc>
        <w:tc>
          <w:tcPr>
            <w:tcW w:w="52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pacing w:val="-3"/>
                <w:sz w:val="18"/>
                <w:szCs w:val="18"/>
              </w:rPr>
              <w:t>触发上述补偿或奖励条款。</w:t>
            </w:r>
          </w:p>
        </w:tc>
        <w:tc>
          <w:tcPr>
            <w:tcW w:w="1417" w:type="dxa"/>
            <w:vMerge/>
            <w:tcBorders>
              <w:left w:val="single" w:sz="4" w:space="0" w:color="000000"/>
              <w:bottom w:val="single" w:sz="4" w:space="0" w:color="000000"/>
              <w:right w:val="single" w:sz="4" w:space="0" w:color="000000"/>
            </w:tcBorders>
          </w:tcPr>
          <w:p>
            <w:pPr/>
          </w:p>
        </w:tc>
        <w:tc>
          <w:tcPr>
            <w:tcW w:w="1138" w:type="dxa"/>
            <w:vMerge/>
            <w:tcBorders>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利润分配情况" w:id="474"/>
      <w:bookmarkEnd w:id="474"/>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984"/>
        <w:gridCol w:w="4235"/>
      </w:tblGrid>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拟分配的利润或股利</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13,327,611.17</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经审议批准宣告发放的利润或股利</w:t>
            </w:r>
          </w:p>
        </w:tc>
        <w:tc>
          <w:tcPr>
            <w:tcW w:w="4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13,327,611.17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销售退回" w:id="475"/>
      <w:bookmarkEnd w:id="475"/>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其他资产负债表日后事项说明" w:id="476"/>
      <w:bookmarkEnd w:id="476"/>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14" w:lineRule="auto"/>
        <w:ind w:right="1123" w:firstLine="427"/>
        <w:jc w:val="both"/>
      </w:pPr>
      <w:r>
        <w:rPr>
          <w:spacing w:val="-3"/>
        </w:rPr>
        <w:t>由于新型冠状病毒感染的肺炎疫情自 </w:t>
      </w:r>
      <w:r>
        <w:rPr>
          <w:rFonts w:ascii="Times New Roman" w:hAnsi="Times New Roman" w:cs="Times New Roman" w:eastAsia="Times New Roman" w:hint="default"/>
        </w:rPr>
        <w:t>2020 </w:t>
      </w:r>
      <w:r>
        <w:rPr/>
        <w:t>年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5"/>
        </w:rPr>
        <w:t>月爆发以来，在全国范围内持续进行。本公司将切实贯彻落实国家关于</w:t>
      </w:r>
      <w:r>
        <w:rPr>
          <w:w w:val="101"/>
        </w:rPr>
        <w:t> </w:t>
      </w:r>
      <w:r>
        <w:rPr>
          <w:spacing w:val="-4"/>
        </w:rPr>
        <w:t>此次疫情防控工作的各项要求，强化对疫情防控工作的支持。本次新型冠状病毒疫情对本公司整体经营的影响相对较小，生</w:t>
      </w:r>
      <w:r>
        <w:rPr>
          <w:spacing w:val="43"/>
        </w:rPr>
        <w:t> </w:t>
      </w:r>
      <w:r>
        <w:rPr>
          <w:spacing w:val="43"/>
        </w:rPr>
      </w:r>
      <w:r>
        <w:rPr>
          <w:spacing w:val="-4"/>
        </w:rPr>
        <w:t>产、销售、管理等各项工作已陆续开展，公司将继续密切关注新冠病毒疫情发展情况，积极应对此次疫情可能对公司财务状</w:t>
      </w:r>
      <w:r>
        <w:rPr>
          <w:spacing w:val="40"/>
        </w:rPr>
        <w:t> </w:t>
      </w:r>
      <w:r>
        <w:rPr>
          <w:spacing w:val="40"/>
        </w:rPr>
      </w:r>
      <w:r>
        <w:rPr>
          <w:spacing w:val="-3"/>
        </w:rPr>
        <w:t>况、经营成果等方面造成的影响。</w:t>
      </w:r>
    </w:p>
    <w:p>
      <w:pPr>
        <w:spacing w:line="240" w:lineRule="auto" w:before="1"/>
        <w:rPr>
          <w:rFonts w:ascii="宋体" w:hAnsi="宋体" w:cs="宋体" w:eastAsia="宋体" w:hint="default"/>
          <w:sz w:val="20"/>
          <w:szCs w:val="20"/>
        </w:rPr>
      </w:pPr>
    </w:p>
    <w:p>
      <w:pPr>
        <w:spacing w:line="511" w:lineRule="auto" w:before="0"/>
        <w:ind w:left="153" w:right="8588" w:firstLine="0"/>
        <w:jc w:val="left"/>
        <w:rPr>
          <w:rFonts w:ascii="宋体" w:hAnsi="宋体" w:cs="宋体" w:eastAsia="宋体" w:hint="default"/>
          <w:sz w:val="18"/>
          <w:szCs w:val="18"/>
        </w:rPr>
      </w:pPr>
      <w:bookmarkStart w:name="十六、其他重要事项" w:id="477"/>
      <w:bookmarkEnd w:id="477"/>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8"/>
      <w:bookmarkEnd w:id="47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spacing w:val="-102"/>
          <w:sz w:val="21"/>
          <w:szCs w:val="21"/>
        </w:rPr>
        <w:t> </w:t>
      </w:r>
      <w:r>
        <w:rPr>
          <w:rFonts w:ascii="宋体" w:hAnsi="宋体" w:cs="宋体" w:eastAsia="宋体" w:hint="default"/>
          <w:sz w:val="18"/>
          <w:szCs w:val="18"/>
        </w:rPr>
        <w:t>无</w:t>
      </w:r>
    </w:p>
    <w:p>
      <w:pPr>
        <w:pStyle w:val="Heading3"/>
        <w:spacing w:line="240" w:lineRule="auto" w:before="145"/>
        <w:ind w:right="0"/>
        <w:jc w:val="left"/>
        <w:rPr>
          <w:b w:val="0"/>
          <w:bCs w:val="0"/>
        </w:rPr>
      </w:pPr>
      <w:bookmarkStart w:name="2、债务重组" w:id="479"/>
      <w:bookmarkEnd w:id="479"/>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80" w:right="0"/>
        <w:jc w:val="left"/>
      </w:pPr>
      <w:r>
        <w:rPr>
          <w:rFonts w:ascii="Times New Roman" w:hAnsi="Times New Roman" w:cs="Times New Roman" w:eastAsia="Times New Roman" w:hint="default"/>
        </w:rPr>
        <w:t>2019   </w:t>
      </w:r>
      <w:r>
        <w:rPr/>
        <w:t>年 </w:t>
      </w:r>
      <w:r>
        <w:rPr>
          <w:rFonts w:ascii="Times New Roman" w:hAnsi="Times New Roman" w:cs="Times New Roman" w:eastAsia="Times New Roman" w:hint="default"/>
          <w:spacing w:val="-3"/>
        </w:rPr>
        <w:t>12  </w:t>
      </w:r>
      <w:r>
        <w:rPr>
          <w:rFonts w:ascii="Times New Roman" w:hAnsi="Times New Roman" w:cs="Times New Roman" w:eastAsia="Times New Roman" w:hint="default"/>
          <w:spacing w:val="1"/>
        </w:rPr>
        <w:t> </w:t>
      </w:r>
      <w:r>
        <w:rPr>
          <w:spacing w:val="-3"/>
        </w:rPr>
        <w:t>月，本公司之全资子公司北京合纵实科电力科技有限公司与广东纬德信息科技股份有限公司双方协商一致</w:t>
      </w:r>
    </w:p>
    <w:p>
      <w:pPr>
        <w:pStyle w:val="BodyText"/>
        <w:spacing w:line="240" w:lineRule="auto" w:before="63"/>
        <w:ind w:right="0"/>
        <w:jc w:val="left"/>
      </w:pPr>
      <w:r>
        <w:rPr>
          <w:spacing w:val="-3"/>
        </w:rPr>
        <w:t>达成协议，就北京合纵实科电力科技有限公司应付广东纬德信息科技股份有限公司的货款 </w:t>
      </w:r>
      <w:r>
        <w:rPr>
          <w:rFonts w:ascii="Times New Roman" w:hAnsi="Times New Roman" w:cs="Times New Roman" w:eastAsia="Times New Roman" w:hint="default"/>
        </w:rPr>
        <w:t>1,751,698.00 </w:t>
      </w:r>
      <w:r>
        <w:rPr>
          <w:rFonts w:ascii="Times New Roman" w:hAnsi="Times New Roman" w:cs="Times New Roman" w:eastAsia="Times New Roman" w:hint="default"/>
          <w:spacing w:val="32"/>
        </w:rPr>
        <w:t> </w:t>
      </w:r>
      <w:r>
        <w:rPr>
          <w:spacing w:val="-5"/>
        </w:rPr>
        <w:t>元，广东纬德信息科</w:t>
      </w:r>
    </w:p>
    <w:p>
      <w:pPr>
        <w:pStyle w:val="BodyText"/>
        <w:spacing w:line="240" w:lineRule="auto" w:before="63"/>
        <w:ind w:right="0"/>
        <w:jc w:val="left"/>
      </w:pPr>
      <w:r>
        <w:rPr>
          <w:w w:val="101"/>
        </w:rPr>
        <w:t>技</w:t>
      </w:r>
      <w:r>
        <w:rPr>
          <w:spacing w:val="-5"/>
          <w:w w:val="101"/>
        </w:rPr>
        <w:t>股</w:t>
      </w:r>
      <w:r>
        <w:rPr>
          <w:w w:val="101"/>
        </w:rPr>
        <w:t>份</w:t>
      </w:r>
      <w:r>
        <w:rPr>
          <w:spacing w:val="-5"/>
          <w:w w:val="101"/>
        </w:rPr>
        <w:t>有</w:t>
      </w:r>
      <w:r>
        <w:rPr>
          <w:w w:val="101"/>
        </w:rPr>
        <w:t>限</w:t>
      </w:r>
      <w:r>
        <w:rPr>
          <w:spacing w:val="-5"/>
          <w:w w:val="101"/>
        </w:rPr>
        <w:t>公</w:t>
      </w:r>
      <w:r>
        <w:rPr>
          <w:w w:val="101"/>
        </w:rPr>
        <w:t>司让利</w:t>
      </w:r>
      <w:r>
        <w:rPr>
          <w:spacing w:val="-47"/>
        </w:rPr>
        <w:t> </w:t>
      </w:r>
      <w:r>
        <w:rPr>
          <w:rFonts w:ascii="Times New Roman" w:hAnsi="Times New Roman" w:cs="Times New Roman" w:eastAsia="Times New Roman" w:hint="default"/>
          <w:spacing w:val="-5"/>
          <w:w w:val="101"/>
        </w:rPr>
        <w:t>1</w:t>
      </w:r>
      <w:r>
        <w:rPr>
          <w:rFonts w:ascii="Times New Roman" w:hAnsi="Times New Roman" w:cs="Times New Roman" w:eastAsia="Times New Roman" w:hint="default"/>
          <w:w w:val="101"/>
        </w:rPr>
        <w:t>0</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w:t>
      </w:r>
      <w:r>
        <w:rPr>
          <w:rFonts w:ascii="Times New Roman" w:hAnsi="Times New Roman" w:cs="Times New Roman" w:eastAsia="Times New Roman" w:hint="default"/>
          <w:spacing w:val="-5"/>
          <w:w w:val="101"/>
        </w:rPr>
        <w:t>0</w:t>
      </w:r>
      <w:r>
        <w:rPr>
          <w:rFonts w:ascii="Times New Roman" w:hAnsi="Times New Roman" w:cs="Times New Roman" w:eastAsia="Times New Roman" w:hint="default"/>
          <w:spacing w:val="2"/>
          <w:w w:val="101"/>
        </w:rPr>
        <w:t>.</w:t>
      </w:r>
      <w:r>
        <w:rPr>
          <w:rFonts w:ascii="Times New Roman" w:hAnsi="Times New Roman" w:cs="Times New Roman" w:eastAsia="Times New Roman" w:hint="default"/>
          <w:w w:val="101"/>
        </w:rPr>
        <w:t>00</w:t>
      </w:r>
      <w:r>
        <w:rPr>
          <w:rFonts w:ascii="Times New Roman" w:hAnsi="Times New Roman" w:cs="Times New Roman" w:eastAsia="Times New Roman" w:hint="default"/>
          <w:spacing w:val="-6"/>
        </w:rPr>
        <w:t> </w:t>
      </w:r>
      <w:r>
        <w:rPr>
          <w:w w:val="101"/>
        </w:rPr>
        <w:t>元</w:t>
      </w:r>
      <w:r>
        <w:rPr>
          <w:spacing w:val="-92"/>
          <w:w w:val="101"/>
        </w:rPr>
        <w:t>，</w:t>
      </w:r>
      <w:r>
        <w:rPr>
          <w:w w:val="101"/>
        </w:rPr>
        <w:t>北</w:t>
      </w:r>
      <w:r>
        <w:rPr>
          <w:spacing w:val="-5"/>
          <w:w w:val="101"/>
        </w:rPr>
        <w:t>京</w:t>
      </w:r>
      <w:r>
        <w:rPr>
          <w:w w:val="101"/>
        </w:rPr>
        <w:t>合</w:t>
      </w:r>
      <w:r>
        <w:rPr>
          <w:spacing w:val="-5"/>
          <w:w w:val="101"/>
        </w:rPr>
        <w:t>纵</w:t>
      </w:r>
      <w:r>
        <w:rPr>
          <w:w w:val="101"/>
        </w:rPr>
        <w:t>实</w:t>
      </w:r>
      <w:r>
        <w:rPr>
          <w:spacing w:val="-5"/>
          <w:w w:val="101"/>
        </w:rPr>
        <w:t>科</w:t>
      </w:r>
      <w:r>
        <w:rPr>
          <w:w w:val="101"/>
        </w:rPr>
        <w:t>电</w:t>
      </w:r>
      <w:r>
        <w:rPr>
          <w:spacing w:val="-5"/>
          <w:w w:val="101"/>
        </w:rPr>
        <w:t>力</w:t>
      </w:r>
      <w:r>
        <w:rPr>
          <w:w w:val="101"/>
        </w:rPr>
        <w:t>科</w:t>
      </w:r>
      <w:r>
        <w:rPr>
          <w:spacing w:val="-5"/>
          <w:w w:val="101"/>
        </w:rPr>
        <w:t>技有</w:t>
      </w:r>
      <w:r>
        <w:rPr>
          <w:w w:val="101"/>
        </w:rPr>
        <w:t>限</w:t>
      </w:r>
      <w:r>
        <w:rPr>
          <w:spacing w:val="-5"/>
          <w:w w:val="101"/>
        </w:rPr>
        <w:t>公</w:t>
      </w:r>
      <w:r>
        <w:rPr>
          <w:w w:val="101"/>
        </w:rPr>
        <w:t>司</w:t>
      </w:r>
      <w:r>
        <w:rPr>
          <w:spacing w:val="-5"/>
          <w:w w:val="101"/>
        </w:rPr>
        <w:t>按</w:t>
      </w:r>
      <w:r>
        <w:rPr>
          <w:w w:val="101"/>
        </w:rPr>
        <w:t>照</w:t>
      </w:r>
      <w:r>
        <w:rPr>
          <w:spacing w:val="-5"/>
          <w:w w:val="101"/>
        </w:rPr>
        <w:t>协</w:t>
      </w:r>
      <w:r>
        <w:rPr>
          <w:w w:val="101"/>
        </w:rPr>
        <w:t>议</w:t>
      </w:r>
      <w:r>
        <w:rPr>
          <w:spacing w:val="-5"/>
          <w:w w:val="101"/>
        </w:rPr>
        <w:t>约</w:t>
      </w:r>
      <w:r>
        <w:rPr>
          <w:w w:val="101"/>
        </w:rPr>
        <w:t>定</w:t>
      </w:r>
      <w:r>
        <w:rPr>
          <w:spacing w:val="-5"/>
          <w:w w:val="101"/>
        </w:rPr>
        <w:t>将</w:t>
      </w:r>
      <w:r>
        <w:rPr>
          <w:w w:val="101"/>
        </w:rPr>
        <w:t>让</w:t>
      </w:r>
      <w:r>
        <w:rPr>
          <w:spacing w:val="-5"/>
          <w:w w:val="101"/>
        </w:rPr>
        <w:t>利</w:t>
      </w:r>
      <w:r>
        <w:rPr>
          <w:w w:val="101"/>
        </w:rPr>
        <w:t>后</w:t>
      </w:r>
      <w:r>
        <w:rPr>
          <w:spacing w:val="-5"/>
          <w:w w:val="101"/>
        </w:rPr>
        <w:t>货</w:t>
      </w:r>
      <w:r>
        <w:rPr>
          <w:w w:val="101"/>
        </w:rPr>
        <w:t>款</w:t>
      </w:r>
      <w:r>
        <w:rPr>
          <w:spacing w:val="-5"/>
          <w:w w:val="101"/>
        </w:rPr>
        <w:t>一</w:t>
      </w:r>
      <w:r>
        <w:rPr>
          <w:w w:val="101"/>
        </w:rPr>
        <w:t>次</w:t>
      </w:r>
      <w:r>
        <w:rPr>
          <w:spacing w:val="-5"/>
          <w:w w:val="101"/>
        </w:rPr>
        <w:t>性</w:t>
      </w:r>
      <w:r>
        <w:rPr>
          <w:w w:val="101"/>
        </w:rPr>
        <w:t>支</w:t>
      </w:r>
      <w:r>
        <w:rPr>
          <w:spacing w:val="-5"/>
          <w:w w:val="101"/>
        </w:rPr>
        <w:t>付</w:t>
      </w:r>
      <w:r>
        <w:rPr>
          <w:spacing w:val="-87"/>
          <w:w w:val="101"/>
        </w:rPr>
        <w:t>，</w:t>
      </w:r>
      <w:r>
        <w:rPr>
          <w:spacing w:val="-5"/>
          <w:w w:val="101"/>
        </w:rPr>
        <w:t>本</w:t>
      </w:r>
      <w:r>
        <w:rPr>
          <w:w w:val="101"/>
        </w:rPr>
        <w:t>次</w:t>
      </w:r>
      <w:r>
        <w:rPr>
          <w:spacing w:val="-5"/>
          <w:w w:val="101"/>
        </w:rPr>
        <w:t>债</w:t>
      </w:r>
      <w:r>
        <w:rPr>
          <w:w w:val="101"/>
        </w:rPr>
        <w:t>务</w:t>
      </w:r>
      <w:r>
        <w:rPr>
          <w:spacing w:val="-5"/>
          <w:w w:val="101"/>
        </w:rPr>
        <w:t>重</w:t>
      </w:r>
      <w:r>
        <w:rPr>
          <w:w w:val="101"/>
        </w:rPr>
        <w:t>组，</w:t>
      </w:r>
      <w:r>
        <w:rPr/>
      </w:r>
    </w:p>
    <w:p>
      <w:pPr>
        <w:pStyle w:val="BodyText"/>
        <w:spacing w:line="240" w:lineRule="auto" w:before="67"/>
        <w:ind w:right="0"/>
        <w:jc w:val="left"/>
      </w:pPr>
      <w:r>
        <w:rPr/>
        <w:t>本公司确认债务重组利得</w:t>
      </w:r>
      <w:r>
        <w:rPr>
          <w:spacing w:val="-42"/>
        </w:rPr>
        <w:t> </w:t>
      </w:r>
      <w:r>
        <w:rPr>
          <w:rFonts w:ascii="Times New Roman" w:hAnsi="Times New Roman" w:cs="Times New Roman" w:eastAsia="Times New Roman" w:hint="default"/>
        </w:rPr>
        <w:t>100,000.00</w:t>
      </w:r>
      <w:r>
        <w:rPr>
          <w:rFonts w:ascii="Times New Roman" w:hAnsi="Times New Roman" w:cs="Times New Roman" w:eastAsia="Times New Roman" w:hint="default"/>
          <w:spacing w:val="-2"/>
        </w:rPr>
        <w:t> </w:t>
      </w:r>
      <w:r>
        <w:rPr/>
        <w:t>元。</w:t>
      </w:r>
    </w:p>
    <w:p>
      <w:pPr>
        <w:spacing w:line="240" w:lineRule="auto" w:before="4"/>
        <w:rPr>
          <w:rFonts w:ascii="宋体" w:hAnsi="宋体" w:cs="宋体" w:eastAsia="宋体" w:hint="default"/>
          <w:sz w:val="25"/>
          <w:szCs w:val="25"/>
        </w:rPr>
      </w:pPr>
    </w:p>
    <w:p>
      <w:pPr>
        <w:pStyle w:val="Heading3"/>
        <w:spacing w:line="240" w:lineRule="auto"/>
        <w:ind w:right="0"/>
        <w:jc w:val="left"/>
        <w:rPr>
          <w:b w:val="0"/>
          <w:bCs w:val="0"/>
        </w:rPr>
      </w:pPr>
      <w:bookmarkStart w:name="3、资产置换" w:id="480"/>
      <w:bookmarkEnd w:id="480"/>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4、年金计划" w:id="481"/>
      <w:bookmarkEnd w:id="48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终止经营" w:id="482"/>
      <w:bookmarkEnd w:id="48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分部信息" w:id="483"/>
      <w:bookmarkEnd w:id="48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spacing w:val="-3"/>
        </w:rPr>
        <w:t>本公司对原有子公司和收购子公司进行集中管理，未按照分部模式进行运营管理，无分部报告。</w:t>
      </w:r>
    </w:p>
    <w:p>
      <w:pPr>
        <w:spacing w:line="240" w:lineRule="auto" w:before="8"/>
        <w:rPr>
          <w:rFonts w:ascii="宋体" w:hAnsi="宋体" w:cs="宋体" w:eastAsia="宋体" w:hint="default"/>
          <w:sz w:val="26"/>
          <w:szCs w:val="26"/>
        </w:rPr>
      </w:pPr>
    </w:p>
    <w:p>
      <w:pPr>
        <w:pStyle w:val="Heading3"/>
        <w:spacing w:line="240" w:lineRule="auto"/>
        <w:ind w:right="0"/>
        <w:jc w:val="left"/>
        <w:rPr>
          <w:b w:val="0"/>
          <w:bCs w:val="0"/>
        </w:rPr>
      </w:pPr>
      <w:bookmarkStart w:name="7、其他对投资者决策有影响的重要交易和事项" w:id="484"/>
      <w:bookmarkEnd w:id="484"/>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8、其他" w:id="485"/>
      <w:bookmarkEnd w:id="485"/>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外币折算：</w:t>
      </w:r>
    </w:p>
    <w:p>
      <w:pPr>
        <w:pStyle w:val="BodyText"/>
        <w:spacing w:line="240" w:lineRule="auto" w:before="115"/>
        <w:ind w:right="0"/>
        <w:jc w:val="left"/>
      </w:pPr>
      <w:r>
        <w:rPr/>
        <w:t>（</w:t>
      </w:r>
      <w:r>
        <w:rPr>
          <w:rFonts w:ascii="Times New Roman" w:hAnsi="Times New Roman" w:cs="Times New Roman" w:eastAsia="Times New Roman" w:hint="default"/>
        </w:rPr>
        <w:t>1</w:t>
      </w:r>
      <w:r>
        <w:rPr/>
        <w:t>）计入当期损益的汇兑差额</w:t>
      </w:r>
      <w:r>
        <w:rPr>
          <w:spacing w:val="-45"/>
        </w:rPr>
        <w:t> </w:t>
      </w:r>
      <w:r>
        <w:rPr>
          <w:rFonts w:ascii="Times New Roman" w:hAnsi="Times New Roman" w:cs="Times New Roman" w:eastAsia="Times New Roman" w:hint="default"/>
        </w:rPr>
        <w:t>1,499,194.70</w:t>
      </w:r>
      <w:r>
        <w:rPr>
          <w:rFonts w:ascii="Times New Roman" w:hAnsi="Times New Roman" w:cs="Times New Roman" w:eastAsia="Times New Roman" w:hint="default"/>
          <w:spacing w:val="2"/>
        </w:rPr>
        <w:t> </w:t>
      </w:r>
      <w:r>
        <w:rPr/>
        <w:t>元。</w:t>
      </w:r>
    </w:p>
    <w:p>
      <w:pPr>
        <w:pStyle w:val="BodyText"/>
        <w:spacing w:line="240" w:lineRule="auto" w:before="106"/>
        <w:ind w:right="0"/>
        <w:jc w:val="left"/>
      </w:pPr>
      <w:r>
        <w:rPr>
          <w:spacing w:val="-3"/>
        </w:rPr>
        <w:t>（</w:t>
      </w:r>
      <w:r>
        <w:rPr>
          <w:rFonts w:ascii="Times New Roman" w:hAnsi="Times New Roman" w:cs="Times New Roman" w:eastAsia="Times New Roman" w:hint="default"/>
          <w:spacing w:val="-3"/>
        </w:rPr>
        <w:t>2</w:t>
      </w:r>
      <w:r>
        <w:rPr>
          <w:spacing w:val="-3"/>
        </w:rPr>
        <w:t>）本期无处置境外经营对外币财务报表折算差额的影响。</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十七、母公司财务报表主要项目注释" w:id="486"/>
      <w:bookmarkEnd w:id="486"/>
      <w:r>
        <w:rPr>
          <w:b w:val="0"/>
          <w:bCs w:val="0"/>
        </w:rPr>
      </w:r>
      <w:r>
        <w:rPr/>
        <w:t>十七、母公司财务报表主要项目注释</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应收账款" w:id="487"/>
      <w:bookmarkEnd w:id="487"/>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488"/>
      <w:bookmarkEnd w:id="488"/>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394" w:hRule="exact"/>
        </w:trPr>
        <w:tc>
          <w:tcPr>
            <w:tcW w:w="1637" w:type="dxa"/>
            <w:vMerge w:val="restart"/>
            <w:tcBorders>
              <w:top w:val="single" w:sz="4" w:space="0" w:color="000000"/>
              <w:left w:val="single" w:sz="4" w:space="0" w:color="000000"/>
              <w:right w:val="single" w:sz="4" w:space="0" w:color="000000"/>
            </w:tcBorders>
            <w:shd w:val="clear" w:color="auto" w:fill="D2D2D2"/>
          </w:tcPr>
          <w:p>
            <w:pPr/>
          </w:p>
        </w:tc>
        <w:tc>
          <w:tcPr>
            <w:tcW w:w="38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6"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9" w:hRule="exact"/>
        </w:trPr>
        <w:tc>
          <w:tcPr>
            <w:tcW w:w="1637" w:type="dxa"/>
            <w:vMerge/>
            <w:tcBorders>
              <w:left w:val="single" w:sz="4" w:space="0" w:color="000000"/>
              <w:bottom w:val="nil" w:sz="6" w:space="0" w:color="auto"/>
              <w:right w:val="single" w:sz="4" w:space="0" w:color="000000"/>
            </w:tcBorders>
            <w:shd w:val="clear" w:color="auto" w:fill="D2D2D2"/>
          </w:tcPr>
          <w:p>
            <w:pPr/>
          </w:p>
        </w:tc>
        <w:tc>
          <w:tcPr>
            <w:tcW w:w="15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7" w:type="dxa"/>
            <w:vMerge w:val="restart"/>
            <w:tcBorders>
              <w:top w:val="single" w:sz="4" w:space="0" w:color="000000"/>
              <w:left w:val="single" w:sz="4" w:space="0" w:color="000000"/>
              <w:right w:val="single" w:sz="4" w:space="0" w:color="000000"/>
            </w:tcBorders>
            <w:shd w:val="clear" w:color="auto" w:fill="D2D2D2"/>
          </w:tcPr>
          <w:p>
            <w:pPr/>
          </w:p>
        </w:tc>
        <w:tc>
          <w:tcPr>
            <w:tcW w:w="1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9"/>
              <w:ind w:left="42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2" w:type="dxa"/>
            <w:gridSpan w:val="2"/>
            <w:vMerge/>
            <w:tcBorders>
              <w:left w:val="single" w:sz="4" w:space="0" w:color="000000"/>
              <w:bottom w:val="single" w:sz="4" w:space="0" w:color="000000"/>
              <w:right w:val="single" w:sz="4" w:space="0" w:color="000000"/>
            </w:tcBorders>
            <w:shd w:val="clear" w:color="auto" w:fill="D2D2D2"/>
          </w:tcPr>
          <w:p>
            <w:pPr/>
          </w:p>
        </w:tc>
        <w:tc>
          <w:tcPr>
            <w:tcW w:w="1527" w:type="dxa"/>
            <w:gridSpan w:val="2"/>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1575" w:type="dxa"/>
            <w:gridSpan w:val="2"/>
            <w:vMerge/>
            <w:tcBorders>
              <w:left w:val="single" w:sz="4" w:space="0" w:color="000000"/>
              <w:bottom w:val="single" w:sz="4" w:space="0" w:color="000000"/>
              <w:right w:val="single" w:sz="4" w:space="0" w:color="000000"/>
            </w:tcBorders>
            <w:shd w:val="clear" w:color="auto" w:fill="D2D2D2"/>
          </w:tcPr>
          <w:p>
            <w:pPr/>
          </w:p>
        </w:tc>
        <w:tc>
          <w:tcPr>
            <w:tcW w:w="1590"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37" w:type="dxa"/>
            <w:vMerge/>
            <w:tcBorders>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8"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4" w:type="dxa"/>
            <w:vMerge w:val="restart"/>
            <w:tcBorders>
              <w:top w:val="single" w:sz="4" w:space="0" w:color="000000"/>
              <w:left w:val="single" w:sz="4" w:space="0" w:color="000000"/>
              <w:right w:val="single" w:sz="4" w:space="0" w:color="000000"/>
            </w:tcBorders>
            <w:shd w:val="clear" w:color="auto" w:fill="D2D2D2"/>
          </w:tcPr>
          <w:p>
            <w:pPr>
              <w:pStyle w:val="TableParagraph"/>
              <w:spacing w:line="321" w:lineRule="auto" w:before="53"/>
              <w:ind w:left="287" w:right="103" w:hanging="183"/>
              <w:jc w:val="left"/>
              <w:rPr>
                <w:rFonts w:ascii="宋体" w:hAnsi="宋体" w:cs="宋体" w:eastAsia="宋体" w:hint="default"/>
                <w:sz w:val="18"/>
                <w:szCs w:val="18"/>
              </w:rPr>
            </w:pPr>
            <w:r>
              <w:rPr>
                <w:rFonts w:ascii="宋体" w:hAnsi="宋体" w:cs="宋体" w:eastAsia="宋体" w:hint="default"/>
                <w:sz w:val="18"/>
                <w:szCs w:val="18"/>
              </w:rPr>
              <w:t>计提比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例</w:t>
            </w:r>
          </w:p>
        </w:tc>
        <w:tc>
          <w:tcPr>
            <w:tcW w:w="78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7" w:type="dxa"/>
            <w:vMerge w:val="restart"/>
            <w:tcBorders>
              <w:top w:val="single" w:sz="4" w:space="0" w:color="FFFFFF"/>
              <w:left w:val="single" w:sz="4" w:space="0" w:color="000000"/>
              <w:right w:val="single" w:sz="4" w:space="0" w:color="000000"/>
            </w:tcBorders>
            <w:shd w:val="clear" w:color="auto" w:fill="D2D2D2"/>
          </w:tcPr>
          <w:p>
            <w:pP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8"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51"/>
              <w:ind w:left="19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vMerge/>
            <w:tcBorders>
              <w:left w:val="single" w:sz="4" w:space="0" w:color="000000"/>
              <w:right w:val="single" w:sz="4" w:space="0" w:color="000000"/>
            </w:tcBorders>
            <w:shd w:val="clear" w:color="auto" w:fill="D2D2D2"/>
          </w:tcPr>
          <w:p>
            <w:pPr/>
          </w:p>
        </w:tc>
        <w:tc>
          <w:tcPr>
            <w:tcW w:w="787" w:type="dxa"/>
            <w:vMerge/>
            <w:tcBorders>
              <w:left w:val="single" w:sz="4" w:space="0" w:color="000000"/>
              <w:bottom w:val="nil" w:sz="6" w:space="0" w:color="auto"/>
              <w:right w:val="single" w:sz="4" w:space="0" w:color="000000"/>
            </w:tcBorders>
            <w:shd w:val="clear" w:color="auto" w:fill="D2D2D2"/>
          </w:tcPr>
          <w:p>
            <w:pPr/>
          </w:p>
        </w:tc>
        <w:tc>
          <w:tcPr>
            <w:tcW w:w="7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1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left="28"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97" w:hRule="exact"/>
        </w:trPr>
        <w:tc>
          <w:tcPr>
            <w:tcW w:w="1637" w:type="dxa"/>
            <w:vMerge/>
            <w:tcBorders>
              <w:left w:val="single" w:sz="4" w:space="0" w:color="000000"/>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58"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bottom w:val="nil" w:sz="6" w:space="0" w:color="auto"/>
              <w:right w:val="single" w:sz="4" w:space="0" w:color="000000"/>
            </w:tcBorders>
            <w:shd w:val="clear" w:color="auto" w:fill="D2D2D2"/>
          </w:tcPr>
          <w:p>
            <w:pPr/>
          </w:p>
        </w:tc>
        <w:tc>
          <w:tcPr>
            <w:tcW w:w="764" w:type="dxa"/>
            <w:vMerge/>
            <w:tcBorders>
              <w:left w:val="single" w:sz="4" w:space="0" w:color="000000"/>
              <w:right w:val="single" w:sz="4" w:space="0" w:color="000000"/>
            </w:tcBorders>
            <w:shd w:val="clear" w:color="auto" w:fill="D2D2D2"/>
          </w:tcPr>
          <w:p>
            <w:pPr/>
          </w:p>
        </w:tc>
        <w:tc>
          <w:tcPr>
            <w:tcW w:w="787" w:type="dxa"/>
            <w:vMerge w:val="restart"/>
            <w:tcBorders>
              <w:top w:val="nil" w:sz="6" w:space="0" w:color="auto"/>
              <w:left w:val="single" w:sz="4" w:space="0" w:color="000000"/>
              <w:right w:val="single" w:sz="4" w:space="0" w:color="000000"/>
            </w:tcBorders>
            <w:shd w:val="clear" w:color="auto" w:fill="D2D2D2"/>
          </w:tcPr>
          <w:p>
            <w:pPr/>
          </w:p>
        </w:tc>
        <w:tc>
          <w:tcPr>
            <w:tcW w:w="77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3" w:hRule="exact"/>
        </w:trPr>
        <w:tc>
          <w:tcPr>
            <w:tcW w:w="1637" w:type="dxa"/>
            <w:vMerge/>
            <w:tcBorders>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58"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4"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56"/>
              <w:jc w:val="left"/>
              <w:rPr>
                <w:rFonts w:ascii="宋体" w:hAnsi="宋体" w:cs="宋体" w:eastAsia="宋体" w:hint="default"/>
                <w:sz w:val="18"/>
                <w:szCs w:val="18"/>
              </w:rPr>
            </w:pPr>
            <w:r>
              <w:rPr>
                <w:rFonts w:ascii="宋体" w:hAnsi="宋体" w:cs="宋体" w:eastAsia="宋体" w:hint="default"/>
                <w:spacing w:val="-2"/>
                <w:sz w:val="18"/>
                <w:szCs w:val="18"/>
              </w:rPr>
              <w:t>按单项计提坏账准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73,052,41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4.87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18,814,57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1.84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5"/>
              <w:jc w:val="right"/>
              <w:rPr>
                <w:rFonts w:ascii="Times New Roman" w:hAnsi="Times New Roman" w:cs="Times New Roman" w:eastAsia="Times New Roman" w:hint="default"/>
                <w:sz w:val="18"/>
                <w:szCs w:val="18"/>
              </w:rPr>
            </w:pPr>
            <w:r>
              <w:rPr>
                <w:rFonts w:ascii="Times New Roman"/>
                <w:spacing w:val="-1"/>
                <w:sz w:val="18"/>
              </w:rPr>
              <w:t>54,237,843.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03</w:t>
            </w:r>
          </w:p>
        </w:tc>
      </w:tr>
      <w:tr>
        <w:trPr>
          <w:trHeight w:val="398"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156"/>
              <w:jc w:val="both"/>
              <w:rPr>
                <w:rFonts w:ascii="宋体" w:hAnsi="宋体" w:cs="宋体" w:eastAsia="宋体" w:hint="default"/>
                <w:sz w:val="18"/>
                <w:szCs w:val="18"/>
              </w:rPr>
            </w:pPr>
            <w:r>
              <w:rPr>
                <w:rFonts w:ascii="宋体" w:hAnsi="宋体" w:cs="宋体" w:eastAsia="宋体" w:hint="default"/>
                <w:spacing w:val="-2"/>
                <w:sz w:val="18"/>
                <w:szCs w:val="18"/>
              </w:rPr>
              <w:t>按信用风险特征组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合计提坏账准备的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应收账款</w:t>
            </w:r>
          </w:p>
        </w:tc>
        <w:tc>
          <w:tcPr>
            <w:tcW w:w="764"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4"/>
              <w:ind w:left="24" w:right="156"/>
              <w:jc w:val="left"/>
              <w:rPr>
                <w:rFonts w:ascii="宋体" w:hAnsi="宋体" w:cs="宋体" w:eastAsia="宋体" w:hint="default"/>
                <w:sz w:val="18"/>
                <w:szCs w:val="18"/>
              </w:rPr>
            </w:pPr>
            <w:r>
              <w:rPr>
                <w:rFonts w:ascii="宋体" w:hAnsi="宋体" w:cs="宋体" w:eastAsia="宋体" w:hint="default"/>
                <w:spacing w:val="-2"/>
                <w:sz w:val="18"/>
                <w:szCs w:val="18"/>
              </w:rPr>
              <w:t>按组合计提坏账准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备的应收账款</w:t>
            </w:r>
          </w:p>
        </w:tc>
        <w:tc>
          <w:tcPr>
            <w:tcW w:w="7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1,105,48</w:t>
            </w:r>
          </w:p>
          <w:p>
            <w:pPr>
              <w:pStyle w:val="TableParagraph"/>
              <w:spacing w:line="240" w:lineRule="auto" w:before="110"/>
              <w:ind w:left="88" w:right="0"/>
              <w:jc w:val="left"/>
              <w:rPr>
                <w:rFonts w:ascii="Times New Roman" w:hAnsi="Times New Roman" w:cs="Times New Roman" w:eastAsia="Times New Roman" w:hint="default"/>
                <w:sz w:val="18"/>
                <w:szCs w:val="18"/>
              </w:rPr>
            </w:pPr>
            <w:r>
              <w:rPr>
                <w:rFonts w:ascii="Times New Roman"/>
                <w:sz w:val="18"/>
              </w:rPr>
              <w:t>6,891.29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102,494,</w:t>
            </w:r>
          </w:p>
          <w:p>
            <w:pPr>
              <w:pStyle w:val="TableParagraph"/>
              <w:spacing w:line="240" w:lineRule="auto" w:before="110"/>
              <w:ind w:left="216" w:right="0"/>
              <w:jc w:val="center"/>
              <w:rPr>
                <w:rFonts w:ascii="Times New Roman" w:hAnsi="Times New Roman" w:cs="Times New Roman" w:eastAsia="Times New Roman" w:hint="default"/>
                <w:sz w:val="18"/>
                <w:szCs w:val="18"/>
              </w:rPr>
            </w:pPr>
            <w:r>
              <w:rPr>
                <w:rFonts w:ascii="Times New Roman"/>
                <w:sz w:val="18"/>
              </w:rPr>
              <w:t>184.35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9.27%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1,002,992</w:t>
            </w:r>
          </w:p>
          <w:p>
            <w:pPr>
              <w:pStyle w:val="TableParagraph"/>
              <w:spacing w:line="240" w:lineRule="auto" w:before="110"/>
              <w:ind w:left="206" w:right="0"/>
              <w:jc w:val="center"/>
              <w:rPr>
                <w:rFonts w:ascii="Times New Roman" w:hAnsi="Times New Roman" w:cs="Times New Roman" w:eastAsia="Times New Roman" w:hint="default"/>
                <w:sz w:val="18"/>
                <w:szCs w:val="18"/>
              </w:rPr>
            </w:pPr>
            <w:r>
              <w:rPr>
                <w:rFonts w:ascii="Times New Roman"/>
                <w:sz w:val="18"/>
              </w:rPr>
              <w:t>,706.94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1,067,690</w:t>
            </w:r>
          </w:p>
          <w:p>
            <w:pPr>
              <w:pStyle w:val="TableParagraph"/>
              <w:spacing w:line="240" w:lineRule="auto" w:before="110"/>
              <w:ind w:left="186" w:right="0"/>
              <w:jc w:val="center"/>
              <w:rPr>
                <w:rFonts w:ascii="Times New Roman" w:hAnsi="Times New Roman" w:cs="Times New Roman" w:eastAsia="Times New Roman" w:hint="default"/>
                <w:sz w:val="18"/>
                <w:szCs w:val="18"/>
              </w:rPr>
            </w:pPr>
            <w:r>
              <w:rPr>
                <w:rFonts w:ascii="Times New Roman"/>
                <w:sz w:val="18"/>
              </w:rPr>
              <w:t>,637.37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78,599,10</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9.52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989,091,52</w:t>
            </w:r>
          </w:p>
          <w:p>
            <w:pPr>
              <w:pStyle w:val="TableParagraph"/>
              <w:spacing w:line="240" w:lineRule="auto" w:before="110"/>
              <w:ind w:left="585" w:right="0"/>
              <w:jc w:val="left"/>
              <w:rPr>
                <w:rFonts w:ascii="Times New Roman" w:hAnsi="Times New Roman" w:cs="Times New Roman" w:eastAsia="Times New Roman" w:hint="default"/>
                <w:sz w:val="18"/>
                <w:szCs w:val="18"/>
              </w:rPr>
            </w:pPr>
            <w:r>
              <w:rPr>
                <w:rFonts w:ascii="Times New Roman"/>
                <w:sz w:val="18"/>
              </w:rPr>
              <w:t>7.85</w:t>
            </w:r>
          </w:p>
        </w:tc>
      </w:tr>
      <w:tr>
        <w:trPr>
          <w:trHeight w:val="403"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1637"/>
        <w:gridCol w:w="764"/>
        <w:gridCol w:w="758"/>
        <w:gridCol w:w="764"/>
        <w:gridCol w:w="764"/>
        <w:gridCol w:w="787"/>
        <w:gridCol w:w="778"/>
        <w:gridCol w:w="797"/>
        <w:gridCol w:w="797"/>
        <w:gridCol w:w="792"/>
        <w:gridCol w:w="931"/>
      </w:tblGrid>
      <w:tr>
        <w:trPr>
          <w:trHeight w:val="715" w:hRule="exact"/>
        </w:trPr>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1,105,48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6,891.29</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8" w:right="0"/>
              <w:jc w:val="center"/>
              <w:rPr>
                <w:rFonts w:ascii="Times New Roman" w:hAnsi="Times New Roman" w:cs="Times New Roman" w:eastAsia="Times New Roman" w:hint="default"/>
                <w:sz w:val="18"/>
                <w:szCs w:val="18"/>
              </w:rPr>
            </w:pPr>
            <w:r>
              <w:rPr>
                <w:rFonts w:ascii="Times New Roman"/>
                <w:sz w:val="18"/>
              </w:rPr>
              <w:t>102,494,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184.35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9.27%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center"/>
              <w:rPr>
                <w:rFonts w:ascii="Times New Roman" w:hAnsi="Times New Roman" w:cs="Times New Roman" w:eastAsia="Times New Roman" w:hint="default"/>
                <w:sz w:val="18"/>
                <w:szCs w:val="18"/>
              </w:rPr>
            </w:pPr>
            <w:r>
              <w:rPr>
                <w:rFonts w:ascii="Times New Roman"/>
                <w:sz w:val="18"/>
              </w:rPr>
              <w:t>1,002,992</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,706.94</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sz w:val="18"/>
              </w:rPr>
              <w:t>1,140,743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,052.24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97,413,68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1.36</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8.54%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1,043,329,3</w:t>
            </w:r>
          </w:p>
          <w:p>
            <w:pPr>
              <w:pStyle w:val="TableParagraph"/>
              <w:spacing w:line="240" w:lineRule="auto" w:before="105"/>
              <w:ind w:left="499" w:right="0"/>
              <w:jc w:val="left"/>
              <w:rPr>
                <w:rFonts w:ascii="Times New Roman" w:hAnsi="Times New Roman" w:cs="Times New Roman" w:eastAsia="Times New Roman" w:hint="default"/>
                <w:sz w:val="18"/>
                <w:szCs w:val="18"/>
              </w:rPr>
            </w:pPr>
            <w:r>
              <w:rPr>
                <w:rFonts w:ascii="Times New Roman"/>
                <w:sz w:val="18"/>
              </w:rPr>
              <w:t>70.88</w:t>
            </w:r>
          </w:p>
        </w:tc>
      </w:tr>
    </w:tbl>
    <w:p>
      <w:pPr>
        <w:pStyle w:val="BodyText"/>
        <w:spacing w:line="240" w:lineRule="auto" w:before="53"/>
        <w:ind w:right="0"/>
        <w:jc w:val="left"/>
      </w:pPr>
      <w:r>
        <w:rPr>
          <w:spacing w:val="-3"/>
        </w:rPr>
        <w:t>如是按照预期信用损失一般模型计提应收账款坏账准备，请参照其他应收款的披露方式披露坏账准备的相关信息：</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2783" w:right="3756"/>
        <w:jc w:val="center"/>
      </w:pPr>
      <w:r>
        <w:rPr/>
        <w:t>按账龄披露</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700,530,241.38</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241,837,915.11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134,087,662.23</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29,031,072.57</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21,670,437.79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5,032,362.27</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2,328,272.51</w:t>
            </w:r>
          </w:p>
        </w:tc>
      </w:tr>
      <w:tr>
        <w:trPr>
          <w:trHeight w:val="401"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8"/>
              <w:ind w:right="13"/>
              <w:jc w:val="right"/>
              <w:rPr>
                <w:rFonts w:ascii="Times New Roman" w:hAnsi="Times New Roman" w:cs="Times New Roman" w:eastAsia="Times New Roman" w:hint="default"/>
                <w:sz w:val="18"/>
                <w:szCs w:val="18"/>
              </w:rPr>
            </w:pPr>
            <w:r>
              <w:rPr>
                <w:rFonts w:ascii="Times New Roman"/>
                <w:spacing w:val="-2"/>
                <w:sz w:val="18"/>
              </w:rPr>
              <w:t>1,105,486,891.29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本期计提、收回或转回的坏账准备情况" w:id="489"/>
      <w:bookmarkEnd w:id="489"/>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1"/>
        <w:gridCol w:w="1368"/>
        <w:gridCol w:w="1369"/>
        <w:gridCol w:w="1364"/>
        <w:gridCol w:w="1368"/>
        <w:gridCol w:w="1052"/>
        <w:gridCol w:w="1368"/>
      </w:tblGrid>
      <w:tr>
        <w:trPr>
          <w:trHeight w:val="404" w:hRule="exact"/>
        </w:trPr>
        <w:tc>
          <w:tcPr>
            <w:tcW w:w="15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61"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4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55"/>
              <w:jc w:val="center"/>
              <w:rPr>
                <w:rFonts w:ascii="宋体" w:hAnsi="宋体" w:cs="宋体" w:eastAsia="宋体" w:hint="default"/>
                <w:sz w:val="18"/>
                <w:szCs w:val="18"/>
              </w:rPr>
            </w:pPr>
            <w:r>
              <w:rPr>
                <w:rFonts w:ascii="宋体" w:hAnsi="宋体" w:cs="宋体" w:eastAsia="宋体" w:hint="default"/>
                <w:sz w:val="18"/>
                <w:szCs w:val="18"/>
              </w:rPr>
              <w:t>应收账款坏账准备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97,413,681.36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5,080,502.99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102,494,184.35</w:t>
            </w:r>
          </w:p>
        </w:tc>
      </w:tr>
      <w:tr>
        <w:trPr>
          <w:trHeight w:val="398" w:hRule="exact"/>
        </w:trPr>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97,413,681.36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5,080,502.99</w:t>
            </w:r>
          </w:p>
        </w:tc>
        <w:tc>
          <w:tcPr>
            <w:tcW w:w="1364"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05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102,494,184.35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实际核销的应收账款情况" w:id="490"/>
      <w:bookmarkEnd w:id="490"/>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4）按欠款方归集的期末余额前五名的应收账款情况" w:id="491"/>
      <w:bookmarkEnd w:id="491"/>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82" w:type="dxa"/>
        <w:tblLayout w:type="fixed"/>
        <w:tblCellMar>
          <w:top w:w="0" w:type="dxa"/>
          <w:left w:w="0" w:type="dxa"/>
          <w:bottom w:w="0" w:type="dxa"/>
          <w:right w:w="0" w:type="dxa"/>
        </w:tblCellMar>
        <w:tblLook w:val="01E0"/>
      </w:tblPr>
      <w:tblGrid>
        <w:gridCol w:w="2396"/>
        <w:gridCol w:w="2391"/>
        <w:gridCol w:w="2391"/>
        <w:gridCol w:w="2396"/>
      </w:tblGrid>
      <w:tr>
        <w:trPr>
          <w:trHeight w:val="715"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921" w:right="104" w:hanging="812"/>
              <w:jc w:val="left"/>
              <w:rPr>
                <w:rFonts w:ascii="宋体" w:hAnsi="宋体" w:cs="宋体" w:eastAsia="宋体" w:hint="default"/>
                <w:sz w:val="18"/>
                <w:szCs w:val="18"/>
              </w:rPr>
            </w:pPr>
            <w:r>
              <w:rPr>
                <w:rFonts w:ascii="宋体" w:hAnsi="宋体" w:cs="宋体" w:eastAsia="宋体" w:hint="default"/>
                <w:spacing w:val="-3"/>
                <w:sz w:val="18"/>
                <w:szCs w:val="18"/>
              </w:rPr>
              <w:t>占应收账款期末余额合计数</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的比例</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66,309,400.93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6.00%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3,905,244.17</w:t>
            </w:r>
          </w:p>
        </w:tc>
      </w:tr>
      <w:tr>
        <w:trPr>
          <w:trHeight w:val="399"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53,408,284.09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4.83%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2,670,414.20</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40,655,421.87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3.68%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3,683,368.96</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38,586,827.49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3.49%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7,717,365.50</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82" w:type="dxa"/>
        <w:tblLayout w:type="fixed"/>
        <w:tblCellMar>
          <w:top w:w="0" w:type="dxa"/>
          <w:left w:w="0" w:type="dxa"/>
          <w:bottom w:w="0" w:type="dxa"/>
          <w:right w:w="0" w:type="dxa"/>
        </w:tblCellMar>
        <w:tblLook w:val="01E0"/>
      </w:tblPr>
      <w:tblGrid>
        <w:gridCol w:w="2396"/>
        <w:gridCol w:w="2391"/>
        <w:gridCol w:w="2391"/>
        <w:gridCol w:w="2396"/>
      </w:tblGrid>
      <w:tr>
        <w:trPr>
          <w:trHeight w:val="40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34,465,587.38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425" w:right="0"/>
              <w:jc w:val="left"/>
              <w:rPr>
                <w:rFonts w:ascii="Times New Roman" w:hAnsi="Times New Roman" w:cs="Times New Roman" w:eastAsia="Times New Roman" w:hint="default"/>
                <w:sz w:val="18"/>
                <w:szCs w:val="18"/>
              </w:rPr>
            </w:pPr>
            <w:r>
              <w:rPr>
                <w:rFonts w:ascii="Times New Roman"/>
                <w:sz w:val="18"/>
              </w:rPr>
              <w:t>6,893,117.48</w:t>
            </w:r>
          </w:p>
        </w:tc>
      </w:tr>
      <w:tr>
        <w:trPr>
          <w:trHeight w:val="403" w:hRule="exact"/>
        </w:trPr>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233,425,521.76</w:t>
            </w:r>
          </w:p>
        </w:tc>
        <w:tc>
          <w:tcPr>
            <w:tcW w:w="239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6"/>
              <w:ind w:right="2"/>
              <w:jc w:val="right"/>
              <w:rPr>
                <w:rFonts w:ascii="Times New Roman" w:hAnsi="Times New Roman" w:cs="Times New Roman" w:eastAsia="Times New Roman" w:hint="default"/>
                <w:sz w:val="18"/>
                <w:szCs w:val="18"/>
              </w:rPr>
            </w:pPr>
            <w:r>
              <w:rPr>
                <w:rFonts w:ascii="Times New Roman"/>
                <w:spacing w:val="-1"/>
                <w:sz w:val="18"/>
              </w:rPr>
              <w:t>21.12%</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5）因金融资产转移而终止确认的应收账款" w:id="492"/>
      <w:bookmarkEnd w:id="492"/>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6）转移应收账款且继续涉入形成的资产、负债金额" w:id="493"/>
      <w:bookmarkEnd w:id="493"/>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2、其他应收款" w:id="494"/>
      <w:bookmarkEnd w:id="494"/>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94" w:type="dxa"/>
        <w:tblLayout w:type="fixed"/>
        <w:tblCellMar>
          <w:top w:w="0" w:type="dxa"/>
          <w:left w:w="0" w:type="dxa"/>
          <w:bottom w:w="0" w:type="dxa"/>
          <w:right w:w="0" w:type="dxa"/>
        </w:tblCellMar>
        <w:tblLook w:val="01E0"/>
      </w:tblPr>
      <w:tblGrid>
        <w:gridCol w:w="3167"/>
        <w:gridCol w:w="3203"/>
        <w:gridCol w:w="3194"/>
      </w:tblGrid>
      <w:tr>
        <w:trPr>
          <w:trHeight w:val="398"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1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183,000,000.00</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55,589,904.84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327,703,970.06</w:t>
            </w:r>
          </w:p>
        </w:tc>
      </w:tr>
      <w:tr>
        <w:trPr>
          <w:trHeight w:val="404"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238,589,904.84</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367,703,970.06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1）应收利息" w:id="495"/>
      <w:bookmarkEnd w:id="495"/>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2）应收股利" w:id="496"/>
      <w:bookmarkEnd w:id="496"/>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股利分类" w:id="497"/>
      <w:bookmarkEnd w:id="497"/>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9"/>
        <w:gridCol w:w="3193"/>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8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北京合纵实科电力科技有限公司</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403"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183,000,000.00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2）重要的账龄超过1年的应收股利" w:id="498"/>
      <w:bookmarkEnd w:id="498"/>
      <w:r>
        <w:rPr>
          <w:b w:val="0"/>
          <w:bCs w:val="0"/>
        </w:rPr>
      </w:r>
      <w:r>
        <w:rPr>
          <w:rFonts w:ascii="Times New Roman" w:hAnsi="Times New Roman" w:cs="Times New Roman" w:eastAsia="Times New Roman" w:hint="default"/>
        </w:rPr>
        <w:t>2</w:t>
      </w:r>
      <w:r>
        <w:rPr/>
        <w:t>）重要的账龄超过</w:t>
      </w:r>
      <w:r>
        <w:rPr>
          <w:spacing w:val="-50"/>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3）坏账准备计提情况" w:id="499"/>
      <w:bookmarkEnd w:id="499"/>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after="0" w:line="240" w:lineRule="auto"/>
        <w:jc w:val="left"/>
        <w:sectPr>
          <w:pgSz w:w="11910" w:h="16840"/>
          <w:pgMar w:header="871" w:footer="979" w:top="1100" w:bottom="1160" w:left="980" w:right="0"/>
        </w:sectPr>
      </w:pPr>
    </w:p>
    <w:p>
      <w:pPr>
        <w:spacing w:line="240" w:lineRule="auto" w:before="9"/>
        <w:rPr>
          <w:rFonts w:ascii="宋体" w:hAnsi="宋体" w:cs="宋体" w:eastAsia="宋体" w:hint="default"/>
          <w:sz w:val="20"/>
          <w:szCs w:val="20"/>
        </w:rPr>
      </w:pPr>
    </w:p>
    <w:p>
      <w:pPr>
        <w:pStyle w:val="Heading3"/>
        <w:spacing w:line="240" w:lineRule="auto" w:before="36"/>
        <w:ind w:right="0"/>
        <w:jc w:val="left"/>
        <w:rPr>
          <w:b w:val="0"/>
          <w:bCs w:val="0"/>
        </w:rPr>
      </w:pPr>
      <w:bookmarkStart w:name="（3）其他应收款" w:id="500"/>
      <w:bookmarkEnd w:id="500"/>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按款项性质分类情况" w:id="501"/>
      <w:bookmarkEnd w:id="501"/>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3"/>
        <w:gridCol w:w="3193"/>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款项性质</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合并范围内关联方往来款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38,933,773.56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308,425,983.91</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投标、履约保证金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9,043,166.02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13,381,304.85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2,896,374.28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2,679,563.77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76,737.84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272,136.66</w:t>
            </w:r>
          </w:p>
        </w:tc>
      </w:tr>
      <w:tr>
        <w:trPr>
          <w:trHeight w:val="398"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5,788,650.11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4,255,977.33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56,738,701.81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329,014,966.52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Heading3"/>
        <w:spacing w:line="240" w:lineRule="auto" w:before="36"/>
        <w:ind w:right="0"/>
        <w:jc w:val="left"/>
        <w:rPr>
          <w:b w:val="0"/>
          <w:bCs w:val="0"/>
        </w:rPr>
      </w:pPr>
      <w:bookmarkStart w:name="2）坏账准备计提情况" w:id="502"/>
      <w:bookmarkEnd w:id="502"/>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6"/>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19" w:type="dxa"/>
        <w:tblLayout w:type="fixed"/>
        <w:tblCellMar>
          <w:top w:w="0" w:type="dxa"/>
          <w:left w:w="0" w:type="dxa"/>
          <w:bottom w:w="0" w:type="dxa"/>
          <w:right w:w="0" w:type="dxa"/>
        </w:tblCellMar>
        <w:tblLook w:val="01E0"/>
      </w:tblPr>
      <w:tblGrid>
        <w:gridCol w:w="1916"/>
        <w:gridCol w:w="1652"/>
        <w:gridCol w:w="2098"/>
        <w:gridCol w:w="2103"/>
        <w:gridCol w:w="1805"/>
      </w:tblGrid>
      <w:tr>
        <w:trPr>
          <w:trHeight w:val="404"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6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552" w:right="51" w:hanging="50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w:t>
            </w:r>
            <w:r>
              <w:rPr>
                <w:rFonts w:ascii="宋体" w:hAnsi="宋体" w:cs="宋体" w:eastAsia="宋体" w:hint="default"/>
                <w:w w:val="101"/>
                <w:sz w:val="18"/>
                <w:szCs w:val="18"/>
              </w:rPr>
              <w:t> </w:t>
            </w:r>
            <w:r>
              <w:rPr>
                <w:rFonts w:ascii="宋体" w:hAnsi="宋体" w:cs="宋体" w:eastAsia="宋体" w:hint="default"/>
                <w:sz w:val="18"/>
                <w:szCs w:val="18"/>
              </w:rPr>
              <w:t>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left="3"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未发生信用减值</w:t>
            </w:r>
            <w:r>
              <w:rPr>
                <w:rFonts w:ascii="Times New Roman" w:hAnsi="Times New Roman" w:cs="Times New Roman" w:eastAsia="Times New Roman" w:hint="default"/>
                <w:spacing w:val="-3"/>
                <w:sz w:val="18"/>
                <w:szCs w:val="18"/>
              </w:rPr>
              <w:t>)</w:t>
            </w:r>
          </w:p>
        </w:tc>
        <w:tc>
          <w:tcPr>
            <w:tcW w:w="2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pacing w:val="-3"/>
                <w:sz w:val="18"/>
                <w:szCs w:val="18"/>
              </w:rPr>
              <w:t>整个存续期预期信用损失</w:t>
            </w:r>
          </w:p>
          <w:p>
            <w:pPr>
              <w:pStyle w:val="TableParagraph"/>
              <w:spacing w:line="240" w:lineRule="auto" w:before="76"/>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已发生信用减值</w:t>
            </w:r>
            <w:r>
              <w:rPr>
                <w:rFonts w:ascii="Times New Roman" w:hAnsi="Times New Roman" w:cs="Times New Roman" w:eastAsia="Times New Roman" w:hint="default"/>
                <w:spacing w:val="-3"/>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1,310,996.46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1,310,996.46</w:t>
            </w:r>
          </w:p>
        </w:tc>
      </w:tr>
      <w:tr>
        <w:trPr>
          <w:trHeight w:val="163"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04" w:lineRule="auto" w:before="53"/>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日余额在</w:t>
            </w:r>
            <w:r>
              <w:rPr>
                <w:rFonts w:ascii="宋体" w:hAnsi="宋体" w:cs="宋体" w:eastAsia="宋体" w:hint="default"/>
                <w:w w:val="101"/>
                <w:sz w:val="18"/>
                <w:szCs w:val="18"/>
              </w:rPr>
              <w:t> </w:t>
            </w:r>
            <w:r>
              <w:rPr>
                <w:rFonts w:ascii="宋体" w:hAnsi="宋体" w:cs="宋体" w:eastAsia="宋体" w:hint="default"/>
                <w:sz w:val="18"/>
                <w:szCs w:val="18"/>
              </w:rPr>
              <w:t>本期</w:t>
            </w:r>
          </w:p>
        </w:tc>
        <w:tc>
          <w:tcPr>
            <w:tcW w:w="1652" w:type="dxa"/>
            <w:tcBorders>
              <w:top w:val="single" w:sz="4" w:space="0" w:color="000000"/>
              <w:left w:val="single" w:sz="4" w:space="0" w:color="000000"/>
              <w:bottom w:val="nil" w:sz="6" w:space="0" w:color="auto"/>
              <w:right w:val="single" w:sz="4" w:space="0" w:color="000000"/>
            </w:tcBorders>
            <w:shd w:val="clear" w:color="auto" w:fill="D2D2D2"/>
          </w:tcPr>
          <w:p>
            <w:pPr/>
          </w:p>
        </w:tc>
        <w:tc>
          <w:tcPr>
            <w:tcW w:w="20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1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16" w:type="dxa"/>
            <w:vMerge/>
            <w:tcBorders>
              <w:left w:val="single" w:sz="4" w:space="0" w:color="000000"/>
              <w:right w:val="single" w:sz="4" w:space="0" w:color="000000"/>
            </w:tcBorders>
            <w:shd w:val="clear" w:color="auto" w:fill="D2D2D2"/>
          </w:tcPr>
          <w:p>
            <w:pPr/>
          </w:p>
        </w:tc>
        <w:tc>
          <w:tcPr>
            <w:tcW w:w="16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58"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nil" w:sz="6" w:space="0" w:color="auto"/>
              <w:left w:val="single" w:sz="4" w:space="0" w:color="000000"/>
              <w:bottom w:val="single" w:sz="4" w:space="0" w:color="000000"/>
              <w:right w:val="single" w:sz="4" w:space="0" w:color="000000"/>
            </w:tcBorders>
            <w:shd w:val="clear" w:color="auto" w:fill="D2D2D2"/>
          </w:tcPr>
          <w:p>
            <w:pPr/>
          </w:p>
        </w:tc>
        <w:tc>
          <w:tcPr>
            <w:tcW w:w="2098" w:type="dxa"/>
            <w:tcBorders>
              <w:top w:val="nil" w:sz="6" w:space="0" w:color="auto"/>
              <w:left w:val="single" w:sz="4" w:space="0" w:color="000000"/>
              <w:bottom w:val="single" w:sz="4" w:space="0" w:color="000000"/>
              <w:right w:val="single" w:sz="4" w:space="0" w:color="000000"/>
            </w:tcBorders>
            <w:shd w:val="clear" w:color="auto" w:fill="D2D2D2"/>
          </w:tcPr>
          <w:p>
            <w:pPr/>
          </w:p>
        </w:tc>
        <w:tc>
          <w:tcPr>
            <w:tcW w:w="210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6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162,199.49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162,199.49</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日余额</w:t>
            </w:r>
          </w:p>
        </w:tc>
        <w:tc>
          <w:tcPr>
            <w:tcW w:w="16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1,148,796.97</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3"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1,148,796.97</w:t>
            </w:r>
          </w:p>
        </w:tc>
      </w:tr>
    </w:tbl>
    <w:p>
      <w:pPr>
        <w:pStyle w:val="BodyText"/>
        <w:spacing w:line="240" w:lineRule="auto" w:before="53"/>
        <w:ind w:right="0"/>
        <w:jc w:val="left"/>
      </w:pPr>
      <w:r>
        <w:rPr>
          <w:spacing w:val="-3"/>
        </w:rPr>
        <w:t>损失准备本期变动金额重大的账面余额变动情况</w:t>
      </w:r>
    </w:p>
    <w:p>
      <w:pPr>
        <w:pStyle w:val="BodyText"/>
        <w:spacing w:line="240" w:lineRule="auto" w:before="115"/>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p>
      <w:pPr>
        <w:pStyle w:val="BodyText"/>
        <w:spacing w:line="240" w:lineRule="auto" w:before="46"/>
        <w:ind w:left="2783" w:right="3756"/>
        <w:jc w:val="center"/>
      </w:pPr>
      <w:r>
        <w:rPr/>
        <w:t>按账龄披露</w:t>
      </w:r>
    </w:p>
    <w:p>
      <w:pPr>
        <w:pStyle w:val="BodyText"/>
        <w:spacing w:line="240" w:lineRule="auto" w:before="119"/>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4"/>
        <w:gridCol w:w="4794"/>
      </w:tblGrid>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6"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w:t>
            </w:r>
            <w:r>
              <w:rPr>
                <w:rFonts w:ascii="宋体" w:hAnsi="宋体" w:cs="宋体" w:eastAsia="宋体" w:hint="default"/>
                <w:sz w:val="18"/>
                <w:szCs w:val="18"/>
              </w:rPr>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53,649,215.91</w:t>
            </w:r>
          </w:p>
        </w:tc>
      </w:tr>
      <w:tr>
        <w:trPr>
          <w:trHeight w:val="398"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2,681,039.39</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197,674.47</w:t>
            </w:r>
          </w:p>
        </w:tc>
      </w:tr>
      <w:tr>
        <w:trPr>
          <w:trHeight w:val="404"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年以上</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210,772.04</w:t>
            </w:r>
          </w:p>
        </w:tc>
      </w:tr>
      <w:tr>
        <w:trPr>
          <w:trHeight w:val="403" w:hRule="exact"/>
        </w:trPr>
        <w:tc>
          <w:tcPr>
            <w:tcW w:w="4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210,772.04</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4788"/>
        <w:gridCol w:w="4782"/>
      </w:tblGrid>
      <w:tr>
        <w:trPr>
          <w:trHeight w:val="403" w:hRule="exact"/>
        </w:trPr>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56,738,701.81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本期计提、收回或转回的坏账准备情况" w:id="503"/>
      <w:bookmarkEnd w:id="503"/>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spacing w:val="-3"/>
        </w:rPr>
        <w:t>本期计提坏账准备情况：</w:t>
      </w:r>
    </w:p>
    <w:p>
      <w:pPr>
        <w:pStyle w:val="BodyText"/>
        <w:spacing w:line="240" w:lineRule="auto" w:before="115"/>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844"/>
        <w:gridCol w:w="1085"/>
        <w:gridCol w:w="1335"/>
        <w:gridCol w:w="1450"/>
        <w:gridCol w:w="1200"/>
        <w:gridCol w:w="1345"/>
        <w:gridCol w:w="1575"/>
      </w:tblGrid>
      <w:tr>
        <w:trPr>
          <w:trHeight w:val="403"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9"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1085" w:type="dxa"/>
            <w:vMerge/>
            <w:tcBorders>
              <w:left w:val="single" w:sz="4" w:space="0" w:color="000000"/>
              <w:bottom w:val="single" w:sz="4" w:space="0" w:color="000000"/>
              <w:right w:val="single" w:sz="4" w:space="0" w:color="000000"/>
            </w:tcBorders>
            <w:shd w:val="clear" w:color="auto" w:fill="D2D2D2"/>
          </w:tcPr>
          <w:p>
            <w:pP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3"/>
                <w:sz w:val="18"/>
                <w:szCs w:val="18"/>
              </w:rPr>
              <w:t>其他应收款坏账准备</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1,310,996.46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162,199.49</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1,148,796.97</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1,310,996.46</w:t>
            </w:r>
          </w:p>
        </w:tc>
        <w:tc>
          <w:tcPr>
            <w:tcW w:w="1335"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162,199.49</w:t>
            </w:r>
          </w:p>
        </w:tc>
        <w:tc>
          <w:tcPr>
            <w:tcW w:w="120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1,148,796.97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4）本期实际核销的其他应收款情况" w:id="504"/>
      <w:bookmarkEnd w:id="504"/>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5）按欠款方归集的期末余额前五名的其他应收款情况" w:id="505"/>
      <w:bookmarkEnd w:id="505"/>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1"/>
        <w:gridCol w:w="1556"/>
        <w:gridCol w:w="1613"/>
        <w:gridCol w:w="1618"/>
      </w:tblGrid>
      <w:tr>
        <w:trPr>
          <w:trHeight w:val="710"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81" w:right="75"/>
              <w:jc w:val="left"/>
              <w:rPr>
                <w:rFonts w:ascii="宋体" w:hAnsi="宋体" w:cs="宋体" w:eastAsia="宋体" w:hint="default"/>
                <w:sz w:val="18"/>
                <w:szCs w:val="18"/>
              </w:rPr>
            </w:pPr>
            <w:r>
              <w:rPr>
                <w:rFonts w:ascii="宋体" w:hAnsi="宋体" w:cs="宋体" w:eastAsia="宋体" w:hint="default"/>
                <w:spacing w:val="-2"/>
                <w:sz w:val="18"/>
                <w:szCs w:val="18"/>
              </w:rPr>
              <w:t>占其他应收款期末</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余额合计数的比例</w:t>
            </w:r>
          </w:p>
        </w:tc>
        <w:tc>
          <w:tcPr>
            <w:tcW w:w="16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8"/>
              <w:ind w:left="23" w:right="70"/>
              <w:jc w:val="left"/>
              <w:rPr>
                <w:rFonts w:ascii="宋体" w:hAnsi="宋体" w:cs="宋体" w:eastAsia="宋体" w:hint="default"/>
                <w:sz w:val="18"/>
                <w:szCs w:val="18"/>
              </w:rPr>
            </w:pPr>
            <w:r>
              <w:rPr>
                <w:rFonts w:ascii="宋体" w:hAnsi="宋体" w:cs="宋体" w:eastAsia="宋体" w:hint="default"/>
                <w:spacing w:val="-2"/>
                <w:sz w:val="18"/>
                <w:szCs w:val="18"/>
              </w:rPr>
              <w:t>合并范围内关联方</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往来款</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38,913,773.56</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68.58%</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1,657,660.00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2.92%</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82,883.00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744,871.97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1.31%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37,243.60</w:t>
            </w:r>
          </w:p>
        </w:tc>
      </w:tr>
      <w:tr>
        <w:trPr>
          <w:trHeight w:val="398"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履约保证金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699,175.00</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1.23%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69,917.50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675,862.17</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年以内</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4"/>
              <w:jc w:val="right"/>
              <w:rPr>
                <w:rFonts w:ascii="Times New Roman" w:hAnsi="Times New Roman" w:cs="Times New Roman" w:eastAsia="Times New Roman" w:hint="default"/>
                <w:sz w:val="18"/>
                <w:szCs w:val="18"/>
              </w:rPr>
            </w:pPr>
            <w:r>
              <w:rPr>
                <w:rFonts w:ascii="Times New Roman"/>
                <w:spacing w:val="-1"/>
                <w:sz w:val="18"/>
              </w:rPr>
              <w:t>1.19%</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33,793.11</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2"/>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42,691,342.70</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8"/>
              <w:jc w:val="center"/>
              <w:rPr>
                <w:rFonts w:ascii="Times New Roman" w:hAnsi="Times New Roman" w:cs="Times New Roman" w:eastAsia="Times New Roman" w:hint="default"/>
                <w:sz w:val="18"/>
                <w:szCs w:val="18"/>
              </w:rPr>
            </w:pPr>
            <w:r>
              <w:rPr>
                <w:rFonts w:ascii="Times New Roman"/>
                <w:spacing w:val="-4"/>
                <w:sz w:val="18"/>
              </w:rPr>
              <w:t>--</w:t>
            </w:r>
            <w:r>
              <w:rPr>
                <w:rFonts w:ascii="Times New Roman"/>
                <w:sz w:val="18"/>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75.23%</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223,837.21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6）涉及政府补助的应收款项" w:id="506"/>
      <w:bookmarkEnd w:id="506"/>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7）因金融资产转移而终止确认的其他应收款" w:id="507"/>
      <w:bookmarkEnd w:id="507"/>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bookmarkStart w:name="8）转移其他应收款且继续涉入形成的资产、负债金额" w:id="508"/>
      <w:bookmarkEnd w:id="508"/>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left="173" w:right="0"/>
        <w:jc w:val="left"/>
        <w:rPr>
          <w:b w:val="0"/>
          <w:bCs w:val="0"/>
        </w:rPr>
      </w:pPr>
      <w:bookmarkStart w:name="3、长期股权投资" w:id="509"/>
      <w:bookmarkEnd w:id="50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214" w:type="dxa"/>
        <w:tblLayout w:type="fixed"/>
        <w:tblCellMar>
          <w:top w:w="0" w:type="dxa"/>
          <w:left w:w="0" w:type="dxa"/>
          <w:bottom w:w="0" w:type="dxa"/>
          <w:right w:w="0" w:type="dxa"/>
        </w:tblCellMar>
        <w:tblLook w:val="01E0"/>
      </w:tblPr>
      <w:tblGrid>
        <w:gridCol w:w="1345"/>
        <w:gridCol w:w="1380"/>
        <w:gridCol w:w="1369"/>
        <w:gridCol w:w="1364"/>
        <w:gridCol w:w="1368"/>
        <w:gridCol w:w="1369"/>
        <w:gridCol w:w="1369"/>
      </w:tblGrid>
      <w:tr>
        <w:trPr>
          <w:trHeight w:val="207" w:hRule="exact"/>
        </w:trPr>
        <w:tc>
          <w:tcPr>
            <w:tcW w:w="1345"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5" w:type="dxa"/>
            <w:vMerge/>
            <w:tcBorders>
              <w:left w:val="single" w:sz="4" w:space="0" w:color="000000"/>
              <w:bottom w:val="nil" w:sz="6" w:space="0" w:color="auto"/>
              <w:right w:val="single" w:sz="4" w:space="0" w:color="000000"/>
            </w:tcBorders>
            <w:shd w:val="clear" w:color="auto" w:fill="D2D2D2"/>
          </w:tcPr>
          <w:p>
            <w:pPr/>
          </w:p>
        </w:tc>
        <w:tc>
          <w:tcPr>
            <w:tcW w:w="13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5"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4"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 w:right="0"/>
              <w:jc w:val="center"/>
              <w:rPr>
                <w:rFonts w:ascii="Times New Roman" w:hAnsi="Times New Roman" w:cs="Times New Roman" w:eastAsia="Times New Roman" w:hint="default"/>
                <w:sz w:val="18"/>
                <w:szCs w:val="18"/>
              </w:rPr>
            </w:pPr>
            <w:r>
              <w:rPr>
                <w:rFonts w:ascii="Times New Roman"/>
                <w:sz w:val="18"/>
              </w:rPr>
              <w:t>1,306,854,648.58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1,306,854,648.58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1,118,286,431.78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1,118,286,431.78</w:t>
            </w:r>
          </w:p>
        </w:tc>
      </w:tr>
      <w:tr>
        <w:trPr>
          <w:trHeight w:val="716"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1" w:lineRule="auto" w:before="53"/>
              <w:ind w:left="12" w:right="59"/>
              <w:jc w:val="left"/>
              <w:rPr>
                <w:rFonts w:ascii="宋体" w:hAnsi="宋体" w:cs="宋体" w:eastAsia="宋体" w:hint="default"/>
                <w:sz w:val="18"/>
                <w:szCs w:val="18"/>
              </w:rPr>
            </w:pPr>
            <w:r>
              <w:rPr>
                <w:rFonts w:ascii="宋体" w:hAnsi="宋体" w:cs="宋体" w:eastAsia="宋体" w:hint="default"/>
                <w:spacing w:val="-3"/>
                <w:sz w:val="18"/>
                <w:szCs w:val="18"/>
              </w:rPr>
              <w:t>对联营、合营企</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业投资</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617,521,390.36</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617,521,390.36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488,863,273.83</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488,863,273.83</w:t>
            </w:r>
          </w:p>
        </w:tc>
      </w:tr>
      <w:tr>
        <w:trPr>
          <w:trHeight w:val="403" w:hRule="exact"/>
        </w:trPr>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left="56" w:right="0"/>
              <w:jc w:val="center"/>
              <w:rPr>
                <w:rFonts w:ascii="Times New Roman" w:hAnsi="Times New Roman" w:cs="Times New Roman" w:eastAsia="Times New Roman" w:hint="default"/>
                <w:sz w:val="18"/>
                <w:szCs w:val="18"/>
              </w:rPr>
            </w:pPr>
            <w:r>
              <w:rPr>
                <w:rFonts w:ascii="Times New Roman"/>
                <w:sz w:val="18"/>
              </w:rPr>
              <w:t>1,924,376,038.94</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1,924,376,038.94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1,607,149,705.61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1,607,149,705.61</w:t>
            </w:r>
          </w:p>
        </w:tc>
      </w:tr>
    </w:tbl>
    <w:p>
      <w:pPr>
        <w:spacing w:line="240" w:lineRule="auto" w:before="3"/>
        <w:rPr>
          <w:rFonts w:ascii="宋体" w:hAnsi="宋体" w:cs="宋体" w:eastAsia="宋体" w:hint="default"/>
          <w:sz w:val="19"/>
          <w:szCs w:val="19"/>
        </w:rPr>
      </w:pPr>
    </w:p>
    <w:p>
      <w:pPr>
        <w:pStyle w:val="Heading3"/>
        <w:spacing w:line="240" w:lineRule="auto" w:before="36"/>
        <w:ind w:left="173" w:right="0"/>
        <w:jc w:val="left"/>
        <w:rPr>
          <w:b w:val="0"/>
          <w:bCs w:val="0"/>
        </w:rPr>
      </w:pPr>
      <w:bookmarkStart w:name="（1）对子公司投资" w:id="510"/>
      <w:bookmarkEnd w:id="51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0"/>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508"/>
        <w:gridCol w:w="1311"/>
        <w:gridCol w:w="1282"/>
        <w:gridCol w:w="1167"/>
        <w:gridCol w:w="1253"/>
        <w:gridCol w:w="898"/>
        <w:gridCol w:w="1388"/>
        <w:gridCol w:w="941"/>
      </w:tblGrid>
      <w:tr>
        <w:trPr>
          <w:trHeight w:val="398" w:hRule="exact"/>
        </w:trPr>
        <w:tc>
          <w:tcPr>
            <w:tcW w:w="15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11"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441" w:right="79" w:hanging="36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期初余额</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账面</w:t>
            </w:r>
            <w:r>
              <w:rPr>
                <w:rFonts w:ascii="宋体" w:hAnsi="宋体" w:cs="宋体" w:eastAsia="宋体" w:hint="default"/>
                <w:spacing w:val="-73"/>
                <w:sz w:val="18"/>
                <w:szCs w:val="18"/>
              </w:rPr>
              <w:t> </w:t>
            </w:r>
            <w:r>
              <w:rPr>
                <w:rFonts w:ascii="宋体" w:hAnsi="宋体" w:cs="宋体" w:eastAsia="宋体" w:hint="default"/>
                <w:sz w:val="18"/>
                <w:szCs w:val="18"/>
              </w:rPr>
              <w:t>价值</w:t>
            </w:r>
            <w:r>
              <w:rPr>
                <w:rFonts w:ascii="Times New Roman" w:hAnsi="Times New Roman" w:cs="Times New Roman" w:eastAsia="Times New Roman" w:hint="default"/>
                <w:sz w:val="18"/>
                <w:szCs w:val="18"/>
              </w:rPr>
              <w:t>)</w:t>
            </w:r>
          </w:p>
        </w:tc>
        <w:tc>
          <w:tcPr>
            <w:tcW w:w="46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88"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571" w:right="22" w:hanging="543"/>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账面价</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9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5" w:right="99"/>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403" w:hRule="exact"/>
        </w:trPr>
        <w:tc>
          <w:tcPr>
            <w:tcW w:w="1508" w:type="dxa"/>
            <w:vMerge/>
            <w:tcBorders>
              <w:left w:val="single" w:sz="4" w:space="0" w:color="000000"/>
              <w:bottom w:val="single" w:sz="4" w:space="0" w:color="000000"/>
              <w:right w:val="single" w:sz="4" w:space="0" w:color="000000"/>
            </w:tcBorders>
            <w:shd w:val="clear" w:color="auto" w:fill="D2D2D2"/>
          </w:tcPr>
          <w:p>
            <w:pPr/>
          </w:p>
        </w:tc>
        <w:tc>
          <w:tcPr>
            <w:tcW w:w="1311" w:type="dxa"/>
            <w:vMerge/>
            <w:tcBorders>
              <w:left w:val="single" w:sz="4" w:space="0" w:color="000000"/>
              <w:bottom w:val="single" w:sz="4" w:space="0" w:color="000000"/>
              <w:right w:val="single" w:sz="4" w:space="0" w:color="000000"/>
            </w:tcBorders>
            <w:shd w:val="clear" w:color="auto" w:fill="D2D2D2"/>
          </w:tcPr>
          <w:p>
            <w:pP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16"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1"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8" w:type="dxa"/>
            <w:vMerge/>
            <w:tcBorders>
              <w:left w:val="single" w:sz="4" w:space="0" w:color="000000"/>
              <w:bottom w:val="single" w:sz="4" w:space="0" w:color="000000"/>
              <w:right w:val="single" w:sz="4" w:space="0" w:color="000000"/>
            </w:tcBorders>
            <w:shd w:val="clear" w:color="auto" w:fill="D2D2D2"/>
          </w:tcPr>
          <w:p>
            <w:pPr/>
          </w:p>
        </w:tc>
        <w:tc>
          <w:tcPr>
            <w:tcW w:w="94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2"/>
                <w:sz w:val="18"/>
                <w:szCs w:val="18"/>
              </w:rPr>
              <w:t>北京合纵实科电力</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科技有限公司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270,173,837.28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234,894.55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270,408,731.83</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27"/>
              <w:jc w:val="left"/>
              <w:rPr>
                <w:rFonts w:ascii="宋体" w:hAnsi="宋体" w:cs="宋体" w:eastAsia="宋体" w:hint="default"/>
                <w:sz w:val="18"/>
                <w:szCs w:val="18"/>
              </w:rPr>
            </w:pPr>
            <w:r>
              <w:rPr>
                <w:rFonts w:ascii="宋体" w:hAnsi="宋体" w:cs="宋体" w:eastAsia="宋体" w:hint="default"/>
                <w:spacing w:val="-2"/>
                <w:sz w:val="18"/>
                <w:szCs w:val="18"/>
              </w:rPr>
              <w:t>天津合纵电力设备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180,884.78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80,180,884.78</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2"/>
                <w:sz w:val="18"/>
                <w:szCs w:val="18"/>
              </w:rPr>
              <w:t>湖南雅城新材料有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578,500,000.00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184,553,739.01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763,053,739.01</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53"/>
              <w:ind w:left="24" w:right="27"/>
              <w:jc w:val="left"/>
              <w:rPr>
                <w:rFonts w:ascii="宋体" w:hAnsi="宋体" w:cs="宋体" w:eastAsia="宋体" w:hint="default"/>
                <w:sz w:val="18"/>
                <w:szCs w:val="18"/>
              </w:rPr>
            </w:pPr>
            <w:r>
              <w:rPr>
                <w:rFonts w:ascii="宋体" w:hAnsi="宋体" w:cs="宋体" w:eastAsia="宋体" w:hint="default"/>
                <w:spacing w:val="-2"/>
                <w:sz w:val="18"/>
                <w:szCs w:val="18"/>
              </w:rPr>
              <w:t>江苏鹏创电力设计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有限公司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188,000,000.00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515,170.08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188,515,170.08</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2"/>
                <w:sz w:val="18"/>
                <w:szCs w:val="18"/>
              </w:rPr>
              <w:t>印尼合纵电气股份</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1,612,594.50</w:t>
            </w:r>
          </w:p>
        </w:tc>
        <w:tc>
          <w:tcPr>
            <w:tcW w:w="1282"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1,612,594.50</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7"/>
              <w:jc w:val="left"/>
              <w:rPr>
                <w:rFonts w:ascii="宋体" w:hAnsi="宋体" w:cs="宋体" w:eastAsia="宋体" w:hint="default"/>
                <w:sz w:val="18"/>
                <w:szCs w:val="18"/>
              </w:rPr>
            </w:pPr>
            <w:r>
              <w:rPr>
                <w:rFonts w:ascii="宋体" w:hAnsi="宋体" w:cs="宋体" w:eastAsia="宋体" w:hint="default"/>
                <w:spacing w:val="-2"/>
                <w:sz w:val="18"/>
                <w:szCs w:val="18"/>
              </w:rPr>
              <w:t>合纵智豐科技有限</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公司</w:t>
            </w:r>
          </w:p>
        </w:tc>
        <w:tc>
          <w:tcPr>
            <w:tcW w:w="131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1,083,528.38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1,083,528.38</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27"/>
              <w:jc w:val="left"/>
              <w:rPr>
                <w:rFonts w:ascii="宋体" w:hAnsi="宋体" w:cs="宋体" w:eastAsia="宋体" w:hint="default"/>
                <w:sz w:val="18"/>
                <w:szCs w:val="18"/>
              </w:rPr>
            </w:pPr>
            <w:r>
              <w:rPr>
                <w:rFonts w:ascii="宋体" w:hAnsi="宋体" w:cs="宋体" w:eastAsia="宋体" w:hint="default"/>
                <w:spacing w:val="-2"/>
                <w:sz w:val="18"/>
                <w:szCs w:val="18"/>
              </w:rPr>
              <w:t>上海合纵电力物联</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网科技有限公司</w:t>
            </w:r>
          </w:p>
        </w:tc>
        <w:tc>
          <w:tcPr>
            <w:tcW w:w="1311"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2,000,000.00</w:t>
            </w:r>
          </w:p>
        </w:tc>
        <w:tc>
          <w:tcPr>
            <w:tcW w:w="9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1,118,286,431.78</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188,568,216.80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53" w:type="dxa"/>
            <w:tcBorders>
              <w:top w:val="single" w:sz="4" w:space="0" w:color="000000"/>
              <w:left w:val="single" w:sz="4" w:space="0" w:color="000000"/>
              <w:bottom w:val="single" w:sz="4" w:space="0" w:color="000000"/>
              <w:right w:val="single" w:sz="4" w:space="0" w:color="000000"/>
            </w:tcBorders>
          </w:tcPr>
          <w:p>
            <w:pPr/>
          </w:p>
        </w:tc>
        <w:tc>
          <w:tcPr>
            <w:tcW w:w="8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1,306,854,648.58</w:t>
            </w:r>
          </w:p>
        </w:tc>
        <w:tc>
          <w:tcPr>
            <w:tcW w:w="9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left="173" w:right="0"/>
        <w:jc w:val="left"/>
        <w:rPr>
          <w:b w:val="0"/>
          <w:bCs w:val="0"/>
        </w:rPr>
      </w:pPr>
      <w:bookmarkStart w:name="（2）对联营、合营企业投资" w:id="511"/>
      <w:bookmarkEnd w:id="51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13"/>
        <w:rPr>
          <w:rFonts w:ascii="宋体" w:hAnsi="宋体" w:cs="宋体" w:eastAsia="宋体" w:hint="default"/>
          <w:sz w:val="7"/>
          <w:szCs w:val="7"/>
        </w:rPr>
      </w:pPr>
    </w:p>
    <w:tbl>
      <w:tblPr>
        <w:tblW w:w="0" w:type="auto"/>
        <w:jc w:val="left"/>
        <w:tblInd w:w="16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6"/>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期初余额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63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9" w:lineRule="auto"/>
              <w:ind w:left="33" w:right="27"/>
              <w:jc w:val="center"/>
              <w:rPr>
                <w:rFonts w:ascii="Times New Roman" w:hAnsi="Times New Roman" w:cs="Times New Roman" w:eastAsia="Times New Roman" w:hint="default"/>
                <w:sz w:val="18"/>
                <w:szCs w:val="18"/>
              </w:rPr>
            </w:pPr>
            <w:r>
              <w:rPr>
                <w:rFonts w:ascii="宋体" w:hAnsi="宋体" w:cs="宋体" w:eastAsia="宋体" w:hint="default"/>
                <w:spacing w:val="-2"/>
                <w:sz w:val="18"/>
                <w:szCs w:val="18"/>
              </w:rPr>
              <w:t>期末余额</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101"/>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24" w:lineRule="auto"/>
              <w:ind w:left="33" w:right="26"/>
              <w:jc w:val="left"/>
              <w:rPr>
                <w:rFonts w:ascii="宋体" w:hAnsi="宋体" w:cs="宋体" w:eastAsia="宋体" w:hint="default"/>
                <w:sz w:val="18"/>
                <w:szCs w:val="18"/>
              </w:rPr>
            </w:pPr>
            <w:r>
              <w:rPr>
                <w:rFonts w:ascii="宋体" w:hAnsi="宋体" w:cs="宋体" w:eastAsia="宋体" w:hint="default"/>
                <w:sz w:val="18"/>
                <w:szCs w:val="18"/>
              </w:rPr>
              <w:t>减值准备</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33" w:right="27"/>
              <w:jc w:val="both"/>
              <w:rPr>
                <w:rFonts w:ascii="宋体" w:hAnsi="宋体" w:cs="宋体" w:eastAsia="宋体" w:hint="default"/>
                <w:sz w:val="18"/>
                <w:szCs w:val="18"/>
              </w:rPr>
            </w:pPr>
            <w:r>
              <w:rPr>
                <w:rFonts w:ascii="宋体" w:hAnsi="宋体" w:cs="宋体" w:eastAsia="宋体" w:hint="default"/>
                <w:sz w:val="18"/>
                <w:szCs w:val="18"/>
              </w:rPr>
              <w:t>权益法下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确认的投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资损益</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收益调整</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15" w:right="26" w:hanging="183"/>
              <w:jc w:val="left"/>
              <w:rPr>
                <w:rFonts w:ascii="宋体" w:hAnsi="宋体" w:cs="宋体" w:eastAsia="宋体" w:hint="default"/>
                <w:sz w:val="18"/>
                <w:szCs w:val="18"/>
              </w:rPr>
            </w:pPr>
            <w:r>
              <w:rPr>
                <w:rFonts w:ascii="宋体" w:hAnsi="宋体" w:cs="宋体" w:eastAsia="宋体" w:hint="default"/>
                <w:sz w:val="18"/>
                <w:szCs w:val="18"/>
              </w:rPr>
              <w:t>其他权益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33" w:right="27"/>
              <w:jc w:val="both"/>
              <w:rPr>
                <w:rFonts w:ascii="宋体" w:hAnsi="宋体" w:cs="宋体" w:eastAsia="宋体" w:hint="default"/>
                <w:sz w:val="18"/>
                <w:szCs w:val="18"/>
              </w:rPr>
            </w:pPr>
            <w:r>
              <w:rPr>
                <w:rFonts w:ascii="宋体" w:hAnsi="宋体" w:cs="宋体" w:eastAsia="宋体" w:hint="default"/>
                <w:sz w:val="18"/>
                <w:szCs w:val="18"/>
              </w:rPr>
              <w:t>宣告发放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现金股利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或利润</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6" w:lineRule="auto"/>
              <w:ind w:left="215" w:right="27" w:hanging="183"/>
              <w:jc w:val="left"/>
              <w:rPr>
                <w:rFonts w:ascii="宋体" w:hAnsi="宋体" w:cs="宋体" w:eastAsia="宋体" w:hint="default"/>
                <w:sz w:val="18"/>
                <w:szCs w:val="18"/>
              </w:rPr>
            </w:pPr>
            <w:r>
              <w:rPr>
                <w:rFonts w:ascii="宋体" w:hAnsi="宋体" w:cs="宋体" w:eastAsia="宋体" w:hint="default"/>
                <w:sz w:val="18"/>
                <w:szCs w:val="18"/>
              </w:rPr>
              <w:t>计提减值</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准备</w:t>
            </w:r>
          </w:p>
        </w:tc>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1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center"/>
        <w:rPr>
          <w:rFonts w:ascii="宋体" w:hAnsi="宋体" w:cs="宋体" w:eastAsia="宋体" w:hint="default"/>
          <w:sz w:val="18"/>
          <w:szCs w:val="18"/>
        </w:rPr>
        <w:sectPr>
          <w:pgSz w:w="11910" w:h="16840"/>
          <w:pgMar w:header="871" w:footer="979" w:top="1100" w:bottom="1160" w:left="960" w:right="0"/>
        </w:sectPr>
      </w:pPr>
    </w:p>
    <w:p>
      <w:pPr>
        <w:spacing w:line="240" w:lineRule="auto" w:before="8"/>
        <w:rPr>
          <w:rFonts w:ascii="宋体" w:hAnsi="宋体" w:cs="宋体" w:eastAsia="宋体" w:hint="default"/>
          <w:sz w:val="24"/>
          <w:szCs w:val="24"/>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957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64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6" w:firstLine="9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北京中</w:t>
            </w:r>
            <w:r>
              <w:rPr>
                <w:rFonts w:ascii="宋体" w:hAnsi="宋体" w:cs="宋体" w:eastAsia="宋体" w:hint="default"/>
                <w:w w:val="101"/>
                <w:sz w:val="18"/>
                <w:szCs w:val="18"/>
              </w:rPr>
              <w:t> </w:t>
            </w:r>
            <w:r>
              <w:rPr>
                <w:rFonts w:ascii="宋体" w:hAnsi="宋体" w:cs="宋体" w:eastAsia="宋体" w:hint="default"/>
                <w:sz w:val="18"/>
                <w:szCs w:val="18"/>
              </w:rPr>
              <w:t>能互联创</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业投资中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24,298,30</w:t>
            </w:r>
          </w:p>
          <w:p>
            <w:pPr>
              <w:pStyle w:val="TableParagraph"/>
              <w:spacing w:line="240" w:lineRule="auto" w:before="110"/>
              <w:ind w:left="446" w:right="0"/>
              <w:jc w:val="left"/>
              <w:rPr>
                <w:rFonts w:ascii="Times New Roman" w:hAnsi="Times New Roman" w:cs="Times New Roman" w:eastAsia="Times New Roman" w:hint="default"/>
                <w:sz w:val="18"/>
                <w:szCs w:val="18"/>
              </w:rPr>
            </w:pPr>
            <w:r>
              <w:rPr>
                <w:rFonts w:ascii="Times New Roman"/>
                <w:sz w:val="18"/>
              </w:rPr>
              <w:t>4.96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3,218,975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2"/>
                <w:sz w:val="18"/>
              </w:rPr>
              <w:t>11,123.00</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4,274.22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21,094,72</w:t>
            </w:r>
          </w:p>
          <w:p>
            <w:pPr>
              <w:pStyle w:val="TableParagraph"/>
              <w:spacing w:line="240" w:lineRule="auto" w:before="110"/>
              <w:ind w:left="451" w:right="0"/>
              <w:jc w:val="left"/>
              <w:rPr>
                <w:rFonts w:ascii="Times New Roman" w:hAnsi="Times New Roman" w:cs="Times New Roman" w:eastAsia="Times New Roman" w:hint="default"/>
                <w:sz w:val="18"/>
                <w:szCs w:val="18"/>
              </w:rPr>
            </w:pPr>
            <w:r>
              <w:rPr>
                <w:rFonts w:ascii="Times New Roman"/>
                <w:sz w:val="18"/>
              </w:rPr>
              <w:t>7.14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8"/>
              <w:ind w:left="24" w:right="36" w:firstLine="9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北京中</w:t>
            </w:r>
            <w:r>
              <w:rPr>
                <w:rFonts w:ascii="宋体" w:hAnsi="宋体" w:cs="宋体" w:eastAsia="宋体" w:hint="default"/>
                <w:w w:val="101"/>
                <w:sz w:val="18"/>
                <w:szCs w:val="18"/>
              </w:rPr>
              <w:t> </w:t>
            </w:r>
            <w:r>
              <w:rPr>
                <w:rFonts w:ascii="宋体" w:hAnsi="宋体" w:cs="宋体" w:eastAsia="宋体" w:hint="default"/>
                <w:sz w:val="18"/>
                <w:szCs w:val="18"/>
              </w:rPr>
              <w:t>能互联电</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力投资中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19,871,88</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6.57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89,824.76</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1,227.36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19,962,93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6" w:firstLine="91"/>
              <w:jc w:val="left"/>
              <w:rPr>
                <w:rFonts w:ascii="Times New Roman" w:hAnsi="Times New Roman" w:cs="Times New Roman" w:eastAsia="Times New Roman" w:hint="default"/>
                <w:sz w:val="18"/>
                <w:szCs w:val="18"/>
              </w:rPr>
            </w:pPr>
            <w:r>
              <w:rPr>
                <w:rFonts w:ascii="宋体" w:hAnsi="宋体" w:cs="宋体" w:eastAsia="宋体" w:hint="default"/>
                <w:sz w:val="18"/>
                <w:szCs w:val="18"/>
              </w:rPr>
              <w:t>贵州中</w:t>
            </w:r>
            <w:r>
              <w:rPr>
                <w:rFonts w:ascii="宋体" w:hAnsi="宋体" w:cs="宋体" w:eastAsia="宋体" w:hint="default"/>
                <w:w w:val="101"/>
                <w:sz w:val="18"/>
                <w:szCs w:val="18"/>
              </w:rPr>
              <w:t> </w:t>
            </w:r>
            <w:r>
              <w:rPr>
                <w:rFonts w:ascii="宋体" w:hAnsi="宋体" w:cs="宋体" w:eastAsia="宋体" w:hint="default"/>
                <w:sz w:val="18"/>
                <w:szCs w:val="18"/>
              </w:rPr>
              <w:t>能互联投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资合伙企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13,084,31</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6.67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-171.23</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13,084,14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5.44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36" w:firstLine="91"/>
              <w:jc w:val="left"/>
              <w:rPr>
                <w:rFonts w:ascii="Times New Roman" w:hAnsi="Times New Roman" w:cs="Times New Roman" w:eastAsia="Times New Roman" w:hint="default"/>
                <w:sz w:val="18"/>
                <w:szCs w:val="18"/>
              </w:rPr>
            </w:pPr>
            <w:r>
              <w:rPr>
                <w:rFonts w:ascii="宋体" w:hAnsi="宋体" w:cs="宋体" w:eastAsia="宋体" w:hint="default"/>
                <w:sz w:val="18"/>
                <w:szCs w:val="18"/>
              </w:rPr>
              <w:t>宁波源</w:t>
            </w:r>
            <w:r>
              <w:rPr>
                <w:rFonts w:ascii="宋体" w:hAnsi="宋体" w:cs="宋体" w:eastAsia="宋体" w:hint="default"/>
                <w:w w:val="101"/>
                <w:sz w:val="18"/>
                <w:szCs w:val="18"/>
              </w:rPr>
              <w:t> </w:t>
            </w:r>
            <w:r>
              <w:rPr>
                <w:rFonts w:ascii="宋体" w:hAnsi="宋体" w:cs="宋体" w:eastAsia="宋体" w:hint="default"/>
                <w:sz w:val="18"/>
                <w:szCs w:val="18"/>
              </w:rPr>
              <w:t>纵股权投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资合伙企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w:t>
            </w:r>
            <w:r>
              <w:rPr>
                <w:rFonts w:ascii="宋体" w:hAnsi="宋体" w:cs="宋体" w:eastAsia="宋体" w:hint="default"/>
                <w:spacing w:val="-86"/>
                <w:sz w:val="18"/>
                <w:szCs w:val="18"/>
              </w:rPr>
              <w:t> </w:t>
            </w: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99,470,16</w:t>
            </w:r>
          </w:p>
          <w:p>
            <w:pPr>
              <w:pStyle w:val="TableParagraph"/>
              <w:spacing w:line="240" w:lineRule="auto" w:before="105"/>
              <w:ind w:left="446" w:right="0"/>
              <w:jc w:val="left"/>
              <w:rPr>
                <w:rFonts w:ascii="Times New Roman" w:hAnsi="Times New Roman" w:cs="Times New Roman" w:eastAsia="Times New Roman" w:hint="default"/>
                <w:sz w:val="18"/>
                <w:szCs w:val="18"/>
              </w:rPr>
            </w:pPr>
            <w:r>
              <w:rPr>
                <w:rFonts w:ascii="Times New Roman"/>
                <w:sz w:val="18"/>
              </w:rPr>
              <w:t>3.52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-1,143,80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8.62</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2,482,773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24,807.78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100,833,9</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36.19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36" w:firstLine="91"/>
              <w:jc w:val="left"/>
              <w:rPr>
                <w:rFonts w:ascii="宋体" w:hAnsi="宋体" w:cs="宋体" w:eastAsia="宋体" w:hint="default"/>
                <w:sz w:val="18"/>
                <w:szCs w:val="18"/>
              </w:rPr>
            </w:pPr>
            <w:r>
              <w:rPr>
                <w:rFonts w:ascii="宋体" w:hAnsi="宋体" w:cs="宋体" w:eastAsia="宋体" w:hint="default"/>
                <w:sz w:val="18"/>
                <w:szCs w:val="18"/>
              </w:rPr>
              <w:t>天津市</w:t>
            </w:r>
            <w:r>
              <w:rPr>
                <w:rFonts w:ascii="宋体" w:hAnsi="宋体" w:cs="宋体" w:eastAsia="宋体" w:hint="default"/>
                <w:w w:val="101"/>
                <w:sz w:val="18"/>
                <w:szCs w:val="18"/>
              </w:rPr>
              <w:t> </w:t>
            </w:r>
            <w:r>
              <w:rPr>
                <w:rFonts w:ascii="宋体" w:hAnsi="宋体" w:cs="宋体" w:eastAsia="宋体" w:hint="default"/>
                <w:sz w:val="18"/>
                <w:szCs w:val="18"/>
              </w:rPr>
              <w:t>茂联科技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332,138,6</w:t>
            </w:r>
          </w:p>
          <w:p>
            <w:pPr>
              <w:pStyle w:val="TableParagraph"/>
              <w:spacing w:line="240" w:lineRule="auto" w:before="110"/>
              <w:ind w:left="364" w:right="0"/>
              <w:jc w:val="left"/>
              <w:rPr>
                <w:rFonts w:ascii="Times New Roman" w:hAnsi="Times New Roman" w:cs="Times New Roman" w:eastAsia="Times New Roman" w:hint="default"/>
                <w:sz w:val="18"/>
                <w:szCs w:val="18"/>
              </w:rPr>
            </w:pPr>
            <w:r>
              <w:rPr>
                <w:rFonts w:ascii="Times New Roman"/>
                <w:sz w:val="18"/>
              </w:rPr>
              <w:t>02.11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121,000,0</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4,640,215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.44</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4,766,825</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462,545,6</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42.90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488,863,2</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73.83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 w:right="0"/>
              <w:jc w:val="left"/>
              <w:rPr>
                <w:rFonts w:ascii="Times New Roman" w:hAnsi="Times New Roman" w:cs="Times New Roman" w:eastAsia="Times New Roman" w:hint="default"/>
                <w:sz w:val="18"/>
                <w:szCs w:val="18"/>
              </w:rPr>
            </w:pPr>
            <w:r>
              <w:rPr>
                <w:rFonts w:ascii="Times New Roman"/>
                <w:sz w:val="18"/>
              </w:rPr>
              <w:t>121,000,0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
              <w:jc w:val="right"/>
              <w:rPr>
                <w:rFonts w:ascii="Times New Roman" w:hAnsi="Times New Roman" w:cs="Times New Roman" w:eastAsia="Times New Roman" w:hint="default"/>
                <w:sz w:val="18"/>
                <w:szCs w:val="18"/>
              </w:rPr>
            </w:pPr>
            <w:r>
              <w:rPr>
                <w:rFonts w:ascii="Times New Roman"/>
                <w:spacing w:val="-1"/>
                <w:sz w:val="18"/>
              </w:rPr>
              <w:t>3,218,975</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1"/>
                <w:sz w:val="18"/>
              </w:rPr>
              <w:t>3,597,183</w:t>
            </w:r>
          </w:p>
          <w:p>
            <w:pPr>
              <w:pStyle w:val="TableParagraph"/>
              <w:spacing w:line="240" w:lineRule="auto" w:before="105"/>
              <w:ind w:right="12"/>
              <w:jc w:val="right"/>
              <w:rPr>
                <w:rFonts w:ascii="Times New Roman" w:hAnsi="Times New Roman" w:cs="Times New Roman" w:eastAsia="Times New Roman" w:hint="default"/>
                <w:sz w:val="18"/>
                <w:szCs w:val="18"/>
              </w:rPr>
            </w:pPr>
            <w:r>
              <w:rPr>
                <w:rFonts w:ascii="Times New Roman"/>
                <w:sz w:val="18"/>
              </w:rPr>
              <w:t>.35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7,249,598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30,309.36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 w:right="0"/>
              <w:jc w:val="left"/>
              <w:rPr>
                <w:rFonts w:ascii="Times New Roman" w:hAnsi="Times New Roman" w:cs="Times New Roman" w:eastAsia="Times New Roman" w:hint="default"/>
                <w:sz w:val="18"/>
                <w:szCs w:val="18"/>
              </w:rPr>
            </w:pPr>
            <w:r>
              <w:rPr>
                <w:rFonts w:ascii="Times New Roman"/>
                <w:sz w:val="18"/>
              </w:rPr>
              <w:t>617,521,3</w:t>
            </w:r>
          </w:p>
          <w:p>
            <w:pPr>
              <w:pStyle w:val="TableParagraph"/>
              <w:spacing w:line="240" w:lineRule="auto" w:before="105"/>
              <w:ind w:left="365" w:right="0"/>
              <w:jc w:val="left"/>
              <w:rPr>
                <w:rFonts w:ascii="Times New Roman" w:hAnsi="Times New Roman" w:cs="Times New Roman" w:eastAsia="Times New Roman" w:hint="default"/>
                <w:sz w:val="18"/>
                <w:szCs w:val="18"/>
              </w:rPr>
            </w:pPr>
            <w:r>
              <w:rPr>
                <w:rFonts w:ascii="Times New Roman"/>
                <w:sz w:val="18"/>
              </w:rPr>
              <w:t>90.36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488,863,2</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73.83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121,000,0</w:t>
            </w:r>
          </w:p>
          <w:p>
            <w:pPr>
              <w:pStyle w:val="TableParagraph"/>
              <w:spacing w:line="240" w:lineRule="auto" w:before="110"/>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3,218,975</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3,597,183</w:t>
            </w:r>
          </w:p>
          <w:p>
            <w:pPr>
              <w:pStyle w:val="TableParagraph"/>
              <w:spacing w:line="240" w:lineRule="auto" w:before="110"/>
              <w:ind w:right="12"/>
              <w:jc w:val="right"/>
              <w:rPr>
                <w:rFonts w:ascii="Times New Roman" w:hAnsi="Times New Roman" w:cs="Times New Roman" w:eastAsia="Times New Roman" w:hint="default"/>
                <w:sz w:val="18"/>
                <w:szCs w:val="18"/>
              </w:rPr>
            </w:pPr>
            <w:r>
              <w:rPr>
                <w:rFonts w:ascii="Times New Roman"/>
                <w:sz w:val="18"/>
              </w:rPr>
              <w:t>.35</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7,249,598</w:t>
            </w: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30,309.36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617,521,3</w:t>
            </w:r>
          </w:p>
          <w:p>
            <w:pPr>
              <w:pStyle w:val="TableParagraph"/>
              <w:spacing w:line="240" w:lineRule="auto" w:before="110"/>
              <w:ind w:left="365" w:right="0"/>
              <w:jc w:val="left"/>
              <w:rPr>
                <w:rFonts w:ascii="Times New Roman" w:hAnsi="Times New Roman" w:cs="Times New Roman" w:eastAsia="Times New Roman" w:hint="default"/>
                <w:sz w:val="18"/>
                <w:szCs w:val="18"/>
              </w:rPr>
            </w:pPr>
            <w:r>
              <w:rPr>
                <w:rFonts w:ascii="Times New Roman"/>
                <w:sz w:val="18"/>
              </w:rPr>
              <w:t>90.36</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bookmarkStart w:name="（3）其他说明" w:id="512"/>
      <w:bookmarkEnd w:id="51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5"/>
        <w:rPr>
          <w:rFonts w:ascii="宋体" w:hAnsi="宋体" w:cs="宋体" w:eastAsia="宋体" w:hint="default"/>
          <w:b/>
          <w:bCs/>
          <w:sz w:val="24"/>
          <w:szCs w:val="24"/>
        </w:rPr>
      </w:pPr>
    </w:p>
    <w:p>
      <w:pPr>
        <w:pStyle w:val="Heading3"/>
        <w:spacing w:line="240" w:lineRule="auto"/>
        <w:ind w:right="0"/>
        <w:jc w:val="left"/>
        <w:rPr>
          <w:b w:val="0"/>
          <w:bCs w:val="0"/>
        </w:rPr>
      </w:pPr>
      <w:bookmarkStart w:name="4、营业收入和营业成本" w:id="513"/>
      <w:bookmarkEnd w:id="51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7"/>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6"/>
        <w:gridCol w:w="1911"/>
        <w:gridCol w:w="1916"/>
      </w:tblGrid>
      <w:tr>
        <w:trPr>
          <w:trHeight w:val="206"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2" w:type="dxa"/>
            <w:gridSpan w:val="2"/>
            <w:vMerge/>
            <w:tcBorders>
              <w:left w:val="single" w:sz="4" w:space="0" w:color="000000"/>
              <w:bottom w:val="single" w:sz="4" w:space="0" w:color="000000"/>
              <w:right w:val="single" w:sz="4" w:space="0" w:color="000000"/>
            </w:tcBorders>
            <w:shd w:val="clear" w:color="auto" w:fill="D2D2D2"/>
          </w:tcPr>
          <w:p>
            <w:pPr/>
          </w:p>
        </w:tc>
        <w:tc>
          <w:tcPr>
            <w:tcW w:w="382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7"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1"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1,088,208,123.11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900,127,827.71</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1,490,896,253.72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1,332,347,351.52</w:t>
            </w:r>
          </w:p>
        </w:tc>
      </w:tr>
      <w:tr>
        <w:trPr>
          <w:trHeight w:val="399"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1,291,538.04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1,201,213.07</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2"/>
                <w:sz w:val="18"/>
              </w:rPr>
              <w:t>32,657,116.42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1,244,476.36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8"/>
                <w:szCs w:val="18"/>
              </w:rPr>
            </w:pPr>
            <w:r>
              <w:rPr>
                <w:rFonts w:ascii="Times New Roman"/>
                <w:spacing w:val="-2"/>
                <w:sz w:val="18"/>
              </w:rPr>
              <w:t>1,089,499,661.15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1"/>
                <w:sz w:val="18"/>
              </w:rPr>
              <w:t>901,329,040.78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3"/>
              <w:jc w:val="right"/>
              <w:rPr>
                <w:rFonts w:ascii="Times New Roman" w:hAnsi="Times New Roman" w:cs="Times New Roman" w:eastAsia="Times New Roman" w:hint="default"/>
                <w:sz w:val="18"/>
                <w:szCs w:val="18"/>
              </w:rPr>
            </w:pPr>
            <w:r>
              <w:rPr>
                <w:rFonts w:ascii="Times New Roman"/>
                <w:spacing w:val="-2"/>
                <w:sz w:val="18"/>
              </w:rPr>
              <w:t>1,523,553,370.14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7"/>
              <w:jc w:val="right"/>
              <w:rPr>
                <w:rFonts w:ascii="Times New Roman" w:hAnsi="Times New Roman" w:cs="Times New Roman" w:eastAsia="Times New Roman" w:hint="default"/>
                <w:sz w:val="18"/>
                <w:szCs w:val="18"/>
              </w:rPr>
            </w:pPr>
            <w:r>
              <w:rPr>
                <w:rFonts w:ascii="Times New Roman"/>
                <w:spacing w:val="-2"/>
                <w:sz w:val="18"/>
              </w:rPr>
              <w:t>1,333,591,827.88</w:t>
            </w:r>
          </w:p>
        </w:tc>
      </w:tr>
    </w:tbl>
    <w:p>
      <w:pPr>
        <w:spacing w:after="0" w:line="240" w:lineRule="auto"/>
        <w:jc w:val="right"/>
        <w:rPr>
          <w:rFonts w:ascii="Times New Roman" w:hAnsi="Times New Roman" w:cs="Times New Roman" w:eastAsia="Times New Roman" w:hint="default"/>
          <w:sz w:val="18"/>
          <w:szCs w:val="18"/>
        </w:rPr>
        <w:sectPr>
          <w:pgSz w:w="11910" w:h="16840"/>
          <w:pgMar w:header="871" w:footer="979" w:top="1100" w:bottom="1160" w:left="980" w:right="0"/>
        </w:sectPr>
      </w:pPr>
    </w:p>
    <w:p>
      <w:pPr>
        <w:spacing w:line="240" w:lineRule="auto" w:before="0"/>
        <w:rPr>
          <w:rFonts w:ascii="宋体" w:hAnsi="宋体" w:cs="宋体" w:eastAsia="宋体" w:hint="default"/>
          <w:sz w:val="21"/>
          <w:szCs w:val="21"/>
        </w:rPr>
      </w:pPr>
    </w:p>
    <w:p>
      <w:pPr>
        <w:pStyle w:val="Heading3"/>
        <w:spacing w:line="240" w:lineRule="auto" w:before="36"/>
        <w:ind w:right="0"/>
        <w:jc w:val="left"/>
        <w:rPr>
          <w:b w:val="0"/>
          <w:bCs w:val="0"/>
        </w:rPr>
      </w:pPr>
      <w:bookmarkStart w:name="5、投资收益" w:id="514"/>
      <w:bookmarkEnd w:id="51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70"/>
        <w:gridCol w:w="3188"/>
      </w:tblGrid>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成本法核算的长期股权投资收益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183,000,000.00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40,000,000.00</w:t>
            </w:r>
          </w:p>
        </w:tc>
      </w:tr>
      <w:tr>
        <w:trPr>
          <w:trHeight w:val="398"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权益法核算的长期股权投资收益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3,597,183.35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354,035.15</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处置长期股权投资产生的投资收益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47,693.96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1,509,046.16</w:t>
            </w:r>
          </w:p>
        </w:tc>
      </w:tr>
      <w:tr>
        <w:trPr>
          <w:trHeight w:val="404"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交易性金融资产在持有期间的投资收益</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2,452,810.90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1,962,630.14</w:t>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3"/>
              <w:jc w:val="right"/>
              <w:rPr>
                <w:rFonts w:ascii="Times New Roman" w:hAnsi="Times New Roman" w:cs="Times New Roman" w:eastAsia="Times New Roman" w:hint="default"/>
                <w:sz w:val="18"/>
                <w:szCs w:val="18"/>
              </w:rPr>
            </w:pPr>
            <w:r>
              <w:rPr>
                <w:rFonts w:ascii="Times New Roman"/>
                <w:spacing w:val="-1"/>
                <w:sz w:val="18"/>
              </w:rPr>
              <w:t>189,097,688.21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2"/>
                <w:sz w:val="18"/>
              </w:rPr>
              <w:t>43,825,711.45</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36"/>
        <w:ind w:right="0"/>
        <w:jc w:val="left"/>
        <w:rPr>
          <w:b w:val="0"/>
          <w:bCs w:val="0"/>
        </w:rPr>
      </w:pPr>
      <w:bookmarkStart w:name="6、其他" w:id="515"/>
      <w:bookmarkEnd w:id="515"/>
      <w:r>
        <w:rPr>
          <w:b w:val="0"/>
          <w:bCs w:val="0"/>
        </w:rPr>
      </w:r>
      <w:r>
        <w:rPr>
          <w:rFonts w:ascii="Times New Roman" w:hAnsi="Times New Roman" w:cs="Times New Roman" w:eastAsia="Times New Roman" w:hint="default"/>
        </w:rPr>
        <w:t>6</w:t>
      </w:r>
      <w:r>
        <w:rPr/>
        <w:t>、其他</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4"/>
          <w:szCs w:val="24"/>
        </w:rPr>
      </w:pPr>
    </w:p>
    <w:p>
      <w:pPr>
        <w:pStyle w:val="Heading2"/>
        <w:spacing w:line="240" w:lineRule="auto"/>
        <w:ind w:right="0"/>
        <w:jc w:val="left"/>
        <w:rPr>
          <w:b w:val="0"/>
          <w:bCs w:val="0"/>
        </w:rPr>
      </w:pPr>
      <w:bookmarkStart w:name="十八、补充资料" w:id="516"/>
      <w:bookmarkEnd w:id="516"/>
      <w:r>
        <w:rPr>
          <w:b w:val="0"/>
          <w:bCs w:val="0"/>
        </w:rPr>
      </w:r>
      <w:r>
        <w:rPr/>
        <w:t>十八、补充资料</w:t>
      </w:r>
      <w:r>
        <w:rPr>
          <w:b w:val="0"/>
          <w:bCs w:val="0"/>
        </w:rPr>
      </w:r>
    </w:p>
    <w:p>
      <w:pPr>
        <w:spacing w:line="240" w:lineRule="auto" w:before="3"/>
        <w:rPr>
          <w:rFonts w:ascii="宋体" w:hAnsi="宋体" w:cs="宋体" w:eastAsia="宋体" w:hint="default"/>
          <w:b/>
          <w:bCs/>
          <w:sz w:val="25"/>
          <w:szCs w:val="25"/>
        </w:rPr>
      </w:pPr>
    </w:p>
    <w:p>
      <w:pPr>
        <w:pStyle w:val="Heading3"/>
        <w:spacing w:line="240" w:lineRule="auto"/>
        <w:ind w:right="0"/>
        <w:jc w:val="left"/>
        <w:rPr>
          <w:b w:val="0"/>
          <w:bCs w:val="0"/>
        </w:rPr>
      </w:pPr>
      <w:bookmarkStart w:name="1、当期非经常性损益明细表" w:id="517"/>
      <w:bookmarkEnd w:id="51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pStyle w:val="BodyText"/>
        <w:spacing w:line="240" w:lineRule="auto" w:before="106"/>
        <w:ind w:left="0" w:right="1122"/>
        <w:jc w:val="right"/>
      </w:pPr>
      <w:r>
        <w:rPr/>
        <w:t>单位：</w:t>
      </w:r>
      <w:r>
        <w:rPr>
          <w:spacing w:val="5"/>
        </w:rPr>
        <w:t> </w:t>
      </w:r>
      <w:r>
        <w:rPr/>
        <w:t>元</w:t>
      </w:r>
    </w:p>
    <w:p>
      <w:pPr>
        <w:spacing w:line="240" w:lineRule="auto" w:before="8"/>
        <w:rPr>
          <w:rFonts w:ascii="宋体" w:hAnsi="宋体" w:cs="宋体" w:eastAsia="宋体" w:hint="default"/>
          <w:sz w:val="7"/>
          <w:szCs w:val="7"/>
        </w:rPr>
      </w:pPr>
    </w:p>
    <w:tbl>
      <w:tblPr>
        <w:tblW w:w="0" w:type="auto"/>
        <w:jc w:val="left"/>
        <w:tblInd w:w="390" w:type="dxa"/>
        <w:tblLayout w:type="fixed"/>
        <w:tblCellMar>
          <w:top w:w="0" w:type="dxa"/>
          <w:left w:w="0" w:type="dxa"/>
          <w:bottom w:w="0" w:type="dxa"/>
          <w:right w:w="0" w:type="dxa"/>
        </w:tblCellMar>
        <w:tblLook w:val="01E0"/>
      </w:tblPr>
      <w:tblGrid>
        <w:gridCol w:w="6096"/>
        <w:gridCol w:w="3073"/>
      </w:tblGrid>
      <w:tr>
        <w:trPr>
          <w:trHeight w:val="40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9"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1" w:right="0"/>
              <w:jc w:val="left"/>
              <w:rPr>
                <w:rFonts w:ascii="宋体" w:hAnsi="宋体" w:cs="宋体" w:eastAsia="宋体" w:hint="default"/>
                <w:sz w:val="18"/>
                <w:szCs w:val="18"/>
              </w:rPr>
            </w:pPr>
            <w:r>
              <w:rPr>
                <w:rFonts w:ascii="宋体" w:hAnsi="宋体" w:cs="宋体" w:eastAsia="宋体" w:hint="default"/>
                <w:spacing w:val="-3"/>
                <w:sz w:val="18"/>
                <w:szCs w:val="18"/>
              </w:rPr>
              <w:t>非流动资产处置损益</w:t>
            </w:r>
          </w:p>
        </w:tc>
        <w:tc>
          <w:tcPr>
            <w:tcW w:w="30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154,600.95</w:t>
            </w:r>
          </w:p>
        </w:tc>
      </w:tr>
      <w:tr>
        <w:trPr>
          <w:trHeight w:val="71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1" w:right="4"/>
              <w:jc w:val="left"/>
              <w:rPr>
                <w:rFonts w:ascii="宋体" w:hAnsi="宋体" w:cs="宋体" w:eastAsia="宋体" w:hint="default"/>
                <w:sz w:val="18"/>
                <w:szCs w:val="18"/>
              </w:rPr>
            </w:pPr>
            <w:r>
              <w:rPr>
                <w:rFonts w:ascii="宋体" w:hAnsi="宋体" w:cs="宋体" w:eastAsia="宋体" w:hint="default"/>
                <w:spacing w:val="-5"/>
                <w:sz w:val="18"/>
                <w:szCs w:val="18"/>
              </w:rPr>
              <w:t>计入当期损益的政府补助（与企业业务密切相关，按照国家统一标准定额或定</w:t>
            </w:r>
            <w:r>
              <w:rPr>
                <w:rFonts w:ascii="宋体" w:hAnsi="宋体" w:cs="宋体" w:eastAsia="宋体" w:hint="default"/>
                <w:spacing w:val="23"/>
                <w:sz w:val="18"/>
                <w:szCs w:val="18"/>
              </w:rPr>
              <w:t> </w:t>
            </w:r>
            <w:r>
              <w:rPr>
                <w:rFonts w:ascii="宋体" w:hAnsi="宋体" w:cs="宋体" w:eastAsia="宋体" w:hint="default"/>
                <w:spacing w:val="23"/>
                <w:sz w:val="18"/>
                <w:szCs w:val="18"/>
              </w:rPr>
            </w:r>
            <w:r>
              <w:rPr>
                <w:rFonts w:ascii="宋体" w:hAnsi="宋体" w:cs="宋体" w:eastAsia="宋体" w:hint="default"/>
                <w:spacing w:val="-3"/>
                <w:sz w:val="18"/>
                <w:szCs w:val="18"/>
              </w:rPr>
              <w:t>量享受的政府补助除外）</w:t>
            </w:r>
          </w:p>
        </w:tc>
        <w:tc>
          <w:tcPr>
            <w:tcW w:w="30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2"/>
                <w:sz w:val="18"/>
              </w:rPr>
              <w:t>11,032,667.16</w:t>
            </w:r>
          </w:p>
        </w:tc>
      </w:tr>
      <w:tr>
        <w:trPr>
          <w:trHeight w:val="40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委托他人投资或管理资产的损益</w:t>
            </w:r>
          </w:p>
        </w:tc>
        <w:tc>
          <w:tcPr>
            <w:tcW w:w="30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2,644,004.17</w:t>
            </w:r>
          </w:p>
        </w:tc>
      </w:tr>
      <w:tr>
        <w:trPr>
          <w:trHeight w:val="404"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1"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除上述各项之外的其他营业外收入和支出</w:t>
            </w:r>
          </w:p>
        </w:tc>
        <w:tc>
          <w:tcPr>
            <w:tcW w:w="30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119,279.05</w:t>
            </w:r>
          </w:p>
        </w:tc>
      </w:tr>
      <w:tr>
        <w:trPr>
          <w:trHeight w:val="401"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8"/>
              <w:ind w:right="12"/>
              <w:jc w:val="right"/>
              <w:rPr>
                <w:rFonts w:ascii="Times New Roman" w:hAnsi="Times New Roman" w:cs="Times New Roman" w:eastAsia="Times New Roman" w:hint="default"/>
                <w:sz w:val="18"/>
                <w:szCs w:val="18"/>
              </w:rPr>
            </w:pPr>
            <w:r>
              <w:rPr>
                <w:rFonts w:ascii="Times New Roman"/>
                <w:spacing w:val="-1"/>
                <w:sz w:val="18"/>
              </w:rPr>
              <w:t>2,126,252.30</w:t>
            </w:r>
          </w:p>
        </w:tc>
      </w:tr>
      <w:tr>
        <w:trPr>
          <w:trHeight w:val="40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pacing w:val="-3"/>
                <w:sz w:val="18"/>
                <w:szCs w:val="18"/>
              </w:rPr>
              <w:t>少数股东权益影响额</w:t>
            </w:r>
          </w:p>
        </w:tc>
        <w:tc>
          <w:tcPr>
            <w:tcW w:w="30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1"/>
                <w:sz w:val="18"/>
              </w:rPr>
              <w:t>-19.40</w:t>
            </w:r>
          </w:p>
        </w:tc>
      </w:tr>
      <w:tr>
        <w:trPr>
          <w:trHeight w:val="403" w:hRule="exact"/>
        </w:trPr>
        <w:tc>
          <w:tcPr>
            <w:tcW w:w="6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pacing w:val="-2"/>
                <w:sz w:val="18"/>
              </w:rPr>
              <w:t>11,924,318.43</w:t>
            </w:r>
          </w:p>
        </w:tc>
      </w:tr>
    </w:tbl>
    <w:p>
      <w:pPr>
        <w:pStyle w:val="BodyText"/>
        <w:spacing w:line="240" w:lineRule="auto" w:before="54"/>
        <w:ind w:right="0"/>
        <w:jc w:val="left"/>
      </w:pPr>
      <w:r>
        <w:rPr>
          <w:w w:val="101"/>
        </w:rPr>
        <w:t>对</w:t>
      </w:r>
      <w:r>
        <w:rPr>
          <w:spacing w:val="-5"/>
          <w:w w:val="101"/>
        </w:rPr>
        <w:t>公</w:t>
      </w:r>
      <w:r>
        <w:rPr>
          <w:w w:val="101"/>
        </w:rPr>
        <w:t>司</w:t>
      </w:r>
      <w:r>
        <w:rPr>
          <w:spacing w:val="-5"/>
          <w:w w:val="101"/>
        </w:rPr>
        <w:t>根</w:t>
      </w:r>
      <w:r>
        <w:rPr>
          <w:spacing w:val="-68"/>
          <w:w w:val="101"/>
        </w:rPr>
        <w:t>据</w:t>
      </w:r>
      <w:r>
        <w:rPr>
          <w:w w:val="101"/>
        </w:rPr>
        <w:t>《</w:t>
      </w:r>
      <w:r>
        <w:rPr>
          <w:spacing w:val="-5"/>
          <w:w w:val="101"/>
        </w:rPr>
        <w:t>公</w:t>
      </w:r>
      <w:r>
        <w:rPr>
          <w:w w:val="101"/>
        </w:rPr>
        <w:t>开</w:t>
      </w:r>
      <w:r>
        <w:rPr>
          <w:spacing w:val="-5"/>
          <w:w w:val="101"/>
        </w:rPr>
        <w:t>发</w:t>
      </w:r>
      <w:r>
        <w:rPr>
          <w:w w:val="101"/>
        </w:rPr>
        <w:t>行</w:t>
      </w:r>
      <w:r>
        <w:rPr>
          <w:spacing w:val="-5"/>
          <w:w w:val="101"/>
        </w:rPr>
        <w:t>证</w:t>
      </w:r>
      <w:r>
        <w:rPr>
          <w:w w:val="101"/>
        </w:rPr>
        <w:t>券</w:t>
      </w:r>
      <w:r>
        <w:rPr>
          <w:spacing w:val="-5"/>
          <w:w w:val="101"/>
        </w:rPr>
        <w:t>的</w:t>
      </w:r>
      <w:r>
        <w:rPr>
          <w:w w:val="101"/>
        </w:rPr>
        <w:t>公</w:t>
      </w:r>
      <w:r>
        <w:rPr>
          <w:spacing w:val="-5"/>
          <w:w w:val="101"/>
        </w:rPr>
        <w:t>司</w:t>
      </w:r>
      <w:r>
        <w:rPr>
          <w:w w:val="101"/>
        </w:rPr>
        <w:t>信</w:t>
      </w:r>
      <w:r>
        <w:rPr>
          <w:spacing w:val="-5"/>
          <w:w w:val="101"/>
        </w:rPr>
        <w:t>息</w:t>
      </w:r>
      <w:r>
        <w:rPr>
          <w:w w:val="101"/>
        </w:rPr>
        <w:t>披</w:t>
      </w:r>
      <w:r>
        <w:rPr>
          <w:spacing w:val="-5"/>
          <w:w w:val="101"/>
        </w:rPr>
        <w:t>露</w:t>
      </w:r>
      <w:r>
        <w:rPr>
          <w:w w:val="101"/>
        </w:rPr>
        <w:t>解</w:t>
      </w:r>
      <w:r>
        <w:rPr>
          <w:spacing w:val="-5"/>
          <w:w w:val="101"/>
        </w:rPr>
        <w:t>释</w:t>
      </w:r>
      <w:r>
        <w:rPr>
          <w:w w:val="101"/>
        </w:rPr>
        <w:t>性</w:t>
      </w:r>
      <w:r>
        <w:rPr>
          <w:spacing w:val="-5"/>
          <w:w w:val="101"/>
        </w:rPr>
        <w:t>公</w:t>
      </w:r>
      <w:r>
        <w:rPr>
          <w:w w:val="101"/>
        </w:rPr>
        <w:t>告第</w:t>
      </w:r>
      <w:r>
        <w:rPr>
          <w:spacing w:val="-46"/>
        </w:rPr>
        <w:t> </w:t>
      </w:r>
      <w:r>
        <w:rPr>
          <w:rFonts w:ascii="Times New Roman" w:hAnsi="Times New Roman" w:cs="Times New Roman" w:eastAsia="Times New Roman" w:hint="default"/>
          <w:w w:val="101"/>
        </w:rPr>
        <w:t>1</w:t>
      </w:r>
      <w:r>
        <w:rPr>
          <w:rFonts w:ascii="Times New Roman" w:hAnsi="Times New Roman" w:cs="Times New Roman" w:eastAsia="Times New Roman" w:hint="default"/>
          <w:spacing w:val="-2"/>
        </w:rPr>
        <w:t> </w:t>
      </w:r>
      <w:r>
        <w:rPr>
          <w:spacing w:val="-5"/>
          <w:w w:val="101"/>
        </w:rPr>
        <w:t>号</w:t>
      </w:r>
      <w:r>
        <w:rPr>
          <w:rFonts w:ascii="Times New Roman" w:hAnsi="Times New Roman" w:cs="Times New Roman" w:eastAsia="Times New Roman" w:hint="default"/>
          <w:w w:val="101"/>
        </w:rPr>
        <w:t>—</w:t>
      </w:r>
      <w:r>
        <w:rPr>
          <w:rFonts w:ascii="Times New Roman" w:hAnsi="Times New Roman" w:cs="Times New Roman" w:eastAsia="Times New Roman" w:hint="default"/>
          <w:spacing w:val="-5"/>
          <w:w w:val="101"/>
        </w:rPr>
        <w:t>—</w:t>
      </w:r>
      <w:r>
        <w:rPr>
          <w:w w:val="101"/>
        </w:rPr>
        <w:t>非</w:t>
      </w:r>
      <w:r>
        <w:rPr>
          <w:spacing w:val="-5"/>
          <w:w w:val="101"/>
        </w:rPr>
        <w:t>经</w:t>
      </w:r>
      <w:r>
        <w:rPr>
          <w:w w:val="101"/>
        </w:rPr>
        <w:t>常</w:t>
      </w:r>
      <w:r>
        <w:rPr>
          <w:spacing w:val="-5"/>
          <w:w w:val="101"/>
        </w:rPr>
        <w:t>性</w:t>
      </w:r>
      <w:r>
        <w:rPr>
          <w:w w:val="101"/>
        </w:rPr>
        <w:t>损益</w:t>
      </w:r>
      <w:r>
        <w:rPr>
          <w:spacing w:val="-73"/>
          <w:w w:val="101"/>
        </w:rPr>
        <w:t>》</w:t>
      </w:r>
      <w:r>
        <w:rPr>
          <w:w w:val="101"/>
        </w:rPr>
        <w:t>定</w:t>
      </w:r>
      <w:r>
        <w:rPr>
          <w:spacing w:val="-5"/>
          <w:w w:val="101"/>
        </w:rPr>
        <w:t>义</w:t>
      </w:r>
      <w:r>
        <w:rPr>
          <w:w w:val="101"/>
        </w:rPr>
        <w:t>界</w:t>
      </w:r>
      <w:r>
        <w:rPr>
          <w:spacing w:val="-5"/>
          <w:w w:val="101"/>
        </w:rPr>
        <w:t>定</w:t>
      </w:r>
      <w:r>
        <w:rPr>
          <w:w w:val="101"/>
        </w:rPr>
        <w:t>的</w:t>
      </w:r>
      <w:r>
        <w:rPr>
          <w:spacing w:val="-5"/>
          <w:w w:val="101"/>
        </w:rPr>
        <w:t>非</w:t>
      </w:r>
      <w:r>
        <w:rPr>
          <w:w w:val="101"/>
        </w:rPr>
        <w:t>经</w:t>
      </w:r>
      <w:r>
        <w:rPr>
          <w:spacing w:val="-5"/>
          <w:w w:val="101"/>
        </w:rPr>
        <w:t>常</w:t>
      </w:r>
      <w:r>
        <w:rPr>
          <w:w w:val="101"/>
        </w:rPr>
        <w:t>性</w:t>
      </w:r>
      <w:r>
        <w:rPr>
          <w:spacing w:val="-5"/>
          <w:w w:val="101"/>
        </w:rPr>
        <w:t>损</w:t>
      </w:r>
      <w:r>
        <w:rPr>
          <w:w w:val="101"/>
        </w:rPr>
        <w:t>益</w:t>
      </w:r>
      <w:r>
        <w:rPr>
          <w:spacing w:val="-5"/>
          <w:w w:val="101"/>
        </w:rPr>
        <w:t>项</w:t>
      </w:r>
      <w:r>
        <w:rPr>
          <w:w w:val="101"/>
        </w:rPr>
        <w:t>目</w:t>
      </w:r>
      <w:r>
        <w:rPr>
          <w:spacing w:val="-68"/>
          <w:w w:val="101"/>
        </w:rPr>
        <w:t>，</w:t>
      </w:r>
      <w:r>
        <w:rPr>
          <w:spacing w:val="-5"/>
          <w:w w:val="101"/>
        </w:rPr>
        <w:t>以</w:t>
      </w:r>
      <w:r>
        <w:rPr>
          <w:w w:val="101"/>
        </w:rPr>
        <w:t>及</w:t>
      </w:r>
      <w:r>
        <w:rPr>
          <w:spacing w:val="-73"/>
          <w:w w:val="101"/>
        </w:rPr>
        <w:t>把</w:t>
      </w:r>
      <w:r>
        <w:rPr>
          <w:w w:val="101"/>
        </w:rPr>
        <w:t>《公</w:t>
      </w:r>
      <w:r>
        <w:rPr/>
      </w:r>
    </w:p>
    <w:p>
      <w:pPr>
        <w:pStyle w:val="BodyText"/>
        <w:spacing w:line="304" w:lineRule="auto" w:before="58"/>
        <w:ind w:right="1037"/>
        <w:jc w:val="left"/>
      </w:pPr>
      <w:r>
        <w:rPr>
          <w:spacing w:val="-3"/>
        </w:rPr>
        <w:t>开发行证券的公司信息披露解释性公告第 </w:t>
      </w:r>
      <w:r>
        <w:rPr>
          <w:rFonts w:ascii="Times New Roman" w:hAnsi="Times New Roman" w:cs="Times New Roman" w:eastAsia="Times New Roman" w:hint="default"/>
        </w:rPr>
        <w:t>1 </w:t>
      </w:r>
      <w:r>
        <w:rPr>
          <w:spacing w:val="-5"/>
        </w:rPr>
        <w:t>号</w:t>
      </w:r>
      <w:r>
        <w:rPr>
          <w:rFonts w:ascii="Times New Roman" w:hAnsi="Times New Roman" w:cs="Times New Roman" w:eastAsia="Times New Roman" w:hint="default"/>
          <w:spacing w:val="-5"/>
        </w:rPr>
        <w:t>——</w:t>
      </w:r>
      <w:r>
        <w:rPr>
          <w:spacing w:val="-5"/>
        </w:rPr>
        <w:t>非经常性损益》中列举的非经常性损益项目界定为经常性损益的项目，应</w:t>
      </w:r>
      <w:r>
        <w:rPr>
          <w:spacing w:val="-35"/>
        </w:rPr>
        <w:t> </w:t>
      </w:r>
      <w:r>
        <w:rPr>
          <w:spacing w:val="-35"/>
        </w:rPr>
      </w:r>
      <w:r>
        <w:rPr/>
        <w:t>说明原因。</w:t>
      </w:r>
    </w:p>
    <w:p>
      <w:pPr>
        <w:pStyle w:val="BodyText"/>
        <w:spacing w:line="240" w:lineRule="auto" w:before="66"/>
        <w:ind w:right="0"/>
        <w:jc w:val="left"/>
      </w:pPr>
      <w:r>
        <w:rPr>
          <w:rFonts w:ascii="Times New Roman" w:hAnsi="Times New Roman" w:cs="Times New Roman" w:eastAsia="Times New Roman" w:hint="default"/>
        </w:rPr>
        <w:t>□  </w:t>
      </w:r>
      <w:r>
        <w:rPr>
          <w:spacing w:val="-3"/>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t>不适用</w:t>
      </w:r>
    </w:p>
    <w:p>
      <w:pPr>
        <w:spacing w:line="240" w:lineRule="auto" w:before="8"/>
        <w:rPr>
          <w:rFonts w:ascii="宋体" w:hAnsi="宋体" w:cs="宋体" w:eastAsia="宋体" w:hint="default"/>
          <w:sz w:val="25"/>
          <w:szCs w:val="25"/>
        </w:rPr>
      </w:pPr>
    </w:p>
    <w:p>
      <w:pPr>
        <w:pStyle w:val="Heading3"/>
        <w:spacing w:line="240" w:lineRule="auto"/>
        <w:ind w:right="0"/>
        <w:jc w:val="left"/>
        <w:rPr>
          <w:b w:val="0"/>
          <w:bCs w:val="0"/>
        </w:rPr>
      </w:pPr>
      <w:bookmarkStart w:name="2、净资产收益率及每股收益" w:id="518"/>
      <w:bookmarkEnd w:id="51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5"/>
        <w:gridCol w:w="3078"/>
        <w:gridCol w:w="3827"/>
      </w:tblGrid>
      <w:tr>
        <w:trPr>
          <w:trHeight w:val="403" w:hRule="exact"/>
        </w:trPr>
        <w:tc>
          <w:tcPr>
            <w:tcW w:w="2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878"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34" w:right="0"/>
              <w:jc w:val="left"/>
              <w:rPr>
                <w:rFonts w:ascii="宋体" w:hAnsi="宋体" w:cs="宋体" w:eastAsia="宋体" w:hint="default"/>
                <w:sz w:val="18"/>
                <w:szCs w:val="18"/>
              </w:rPr>
            </w:pPr>
            <w:r>
              <w:rPr>
                <w:rFonts w:ascii="宋体" w:hAnsi="宋体" w:cs="宋体" w:eastAsia="宋体" w:hint="default"/>
                <w:spacing w:val="-3"/>
                <w:sz w:val="18"/>
                <w:szCs w:val="18"/>
              </w:rPr>
              <w:t>加权平均净资产收益率</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bl>
    <w:p>
      <w:pPr>
        <w:spacing w:after="0" w:line="240" w:lineRule="auto"/>
        <w:jc w:val="center"/>
        <w:rPr>
          <w:rFonts w:ascii="宋体" w:hAnsi="宋体" w:cs="宋体" w:eastAsia="宋体" w:hint="default"/>
          <w:sz w:val="18"/>
          <w:szCs w:val="18"/>
        </w:rPr>
        <w:sectPr>
          <w:pgSz w:w="11910" w:h="16840"/>
          <w:pgMar w:header="871" w:footer="979" w:top="1100" w:bottom="1160" w:left="980" w:right="0"/>
        </w:sectPr>
      </w:pPr>
    </w:p>
    <w:p>
      <w:pPr>
        <w:spacing w:line="240" w:lineRule="auto" w:before="8"/>
        <w:rPr>
          <w:rFonts w:ascii="宋体" w:hAnsi="宋体" w:cs="宋体" w:eastAsia="宋体" w:hint="default"/>
          <w:b/>
          <w:bCs/>
          <w:sz w:val="24"/>
          <w:szCs w:val="24"/>
        </w:rPr>
      </w:pPr>
    </w:p>
    <w:tbl>
      <w:tblPr>
        <w:tblW w:w="0" w:type="auto"/>
        <w:jc w:val="left"/>
        <w:tblInd w:w="160" w:type="dxa"/>
        <w:tblLayout w:type="fixed"/>
        <w:tblCellMar>
          <w:top w:w="0" w:type="dxa"/>
          <w:left w:w="0" w:type="dxa"/>
          <w:bottom w:w="0" w:type="dxa"/>
          <w:right w:w="0" w:type="dxa"/>
        </w:tblCellMar>
        <w:tblLook w:val="01E0"/>
      </w:tblPr>
      <w:tblGrid>
        <w:gridCol w:w="2641"/>
        <w:gridCol w:w="3090"/>
        <w:gridCol w:w="1916"/>
        <w:gridCol w:w="1911"/>
      </w:tblGrid>
      <w:tr>
        <w:trPr>
          <w:trHeight w:val="403" w:hRule="exact"/>
        </w:trPr>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6"/>
              <w:jc w:val="right"/>
              <w:rPr>
                <w:rFonts w:ascii="宋体" w:hAnsi="宋体" w:cs="宋体" w:eastAsia="宋体" w:hint="default"/>
                <w:sz w:val="18"/>
                <w:szCs w:val="18"/>
              </w:rPr>
            </w:pPr>
            <w:r>
              <w:rPr>
                <w:rFonts w:ascii="宋体" w:hAnsi="宋体" w:cs="宋体" w:eastAsia="宋体" w:hint="default"/>
                <w:spacing w:val="-3"/>
                <w:sz w:val="18"/>
                <w:szCs w:val="18"/>
              </w:rPr>
              <w:t>基本每股收益（元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pacing w:val="-3"/>
                <w:sz w:val="18"/>
                <w:szCs w:val="18"/>
              </w:rPr>
              <w:t>稀释每股收益（元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股）</w:t>
            </w:r>
            <w:r>
              <w:rPr>
                <w:rFonts w:ascii="宋体" w:hAnsi="宋体" w:cs="宋体" w:eastAsia="宋体" w:hint="default"/>
                <w:sz w:val="18"/>
                <w:szCs w:val="18"/>
              </w:rPr>
            </w:r>
          </w:p>
        </w:tc>
      </w:tr>
      <w:tr>
        <w:trPr>
          <w:trHeight w:val="398" w:hRule="exact"/>
        </w:trPr>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pacing w:val="-3"/>
                <w:sz w:val="18"/>
                <w:szCs w:val="18"/>
              </w:rPr>
              <w:t>归属于公司普通股股东的净利润</w:t>
            </w:r>
          </w:p>
        </w:tc>
        <w:tc>
          <w:tcPr>
            <w:tcW w:w="3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14"/>
              <w:jc w:val="right"/>
              <w:rPr>
                <w:rFonts w:ascii="Times New Roman" w:hAnsi="Times New Roman" w:cs="Times New Roman" w:eastAsia="Times New Roman" w:hint="default"/>
                <w:sz w:val="18"/>
                <w:szCs w:val="18"/>
              </w:rPr>
            </w:pPr>
            <w:r>
              <w:rPr>
                <w:rFonts w:ascii="Times New Roman"/>
                <w:spacing w:val="-1"/>
                <w:sz w:val="18"/>
              </w:rPr>
              <w:t>3.18%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0.08</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2"/>
              <w:jc w:val="right"/>
              <w:rPr>
                <w:rFonts w:ascii="Times New Roman" w:hAnsi="Times New Roman" w:cs="Times New Roman" w:eastAsia="Times New Roman" w:hint="default"/>
                <w:sz w:val="18"/>
                <w:szCs w:val="18"/>
              </w:rPr>
            </w:pPr>
            <w:r>
              <w:rPr>
                <w:rFonts w:ascii="Times New Roman"/>
                <w:sz w:val="18"/>
              </w:rPr>
              <w:t>0.08</w:t>
            </w:r>
          </w:p>
        </w:tc>
      </w:tr>
      <w:tr>
        <w:trPr>
          <w:trHeight w:val="716" w:hRule="exact"/>
        </w:trPr>
        <w:tc>
          <w:tcPr>
            <w:tcW w:w="2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8"/>
              <w:ind w:left="11" w:right="92"/>
              <w:jc w:val="left"/>
              <w:rPr>
                <w:rFonts w:ascii="宋体" w:hAnsi="宋体" w:cs="宋体" w:eastAsia="宋体" w:hint="default"/>
                <w:sz w:val="18"/>
                <w:szCs w:val="18"/>
              </w:rPr>
            </w:pPr>
            <w:r>
              <w:rPr>
                <w:rFonts w:ascii="宋体" w:hAnsi="宋体" w:cs="宋体" w:eastAsia="宋体" w:hint="default"/>
                <w:spacing w:val="-3"/>
                <w:sz w:val="18"/>
                <w:szCs w:val="18"/>
              </w:rPr>
              <w:t>扣除非经常性损益后归属于公司</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3"/>
                <w:sz w:val="18"/>
                <w:szCs w:val="18"/>
              </w:rPr>
              <w:t>普通股股东的净利润</w:t>
            </w:r>
          </w:p>
        </w:tc>
        <w:tc>
          <w:tcPr>
            <w:tcW w:w="30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pacing w:val="-1"/>
                <w:sz w:val="18"/>
              </w:rPr>
              <w:t>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0.06</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0.06</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bookmarkStart w:name="3、境内外会计准则下会计数据差异" w:id="519"/>
      <w:bookmarkEnd w:id="51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line="240" w:lineRule="auto" w:before="4"/>
        <w:rPr>
          <w:rFonts w:ascii="宋体" w:hAnsi="宋体" w:cs="宋体" w:eastAsia="宋体" w:hint="default"/>
          <w:sz w:val="26"/>
          <w:szCs w:val="26"/>
        </w:rPr>
      </w:pPr>
    </w:p>
    <w:p>
      <w:pPr>
        <w:pStyle w:val="Heading3"/>
        <w:spacing w:line="240" w:lineRule="auto"/>
        <w:ind w:right="0"/>
        <w:jc w:val="left"/>
        <w:rPr>
          <w:b w:val="0"/>
          <w:bCs w:val="0"/>
        </w:rPr>
      </w:pPr>
      <w:bookmarkStart w:name="4、其他" w:id="520"/>
      <w:bookmarkEnd w:id="520"/>
      <w:r>
        <w:rPr>
          <w:b w:val="0"/>
          <w:bCs w:val="0"/>
        </w:rPr>
      </w:r>
      <w:r>
        <w:rPr>
          <w:rFonts w:ascii="Times New Roman" w:hAnsi="Times New Roman" w:cs="Times New Roman" w:eastAsia="Times New Roman" w:hint="default"/>
        </w:rPr>
        <w:t>4</w:t>
      </w:r>
      <w:r>
        <w:rPr/>
        <w:t>、其他</w:t>
      </w:r>
      <w:r>
        <w:rPr>
          <w:b w:val="0"/>
          <w:bCs w:val="0"/>
        </w:rPr>
      </w:r>
    </w:p>
    <w:p>
      <w:pPr>
        <w:spacing w:line="240" w:lineRule="auto" w:before="1"/>
        <w:rPr>
          <w:rFonts w:ascii="宋体" w:hAnsi="宋体" w:cs="宋体" w:eastAsia="宋体" w:hint="default"/>
          <w:b/>
          <w:bCs/>
          <w:sz w:val="27"/>
          <w:szCs w:val="27"/>
        </w:rPr>
      </w:pPr>
    </w:p>
    <w:p>
      <w:pPr>
        <w:pStyle w:val="BodyText"/>
        <w:spacing w:line="240" w:lineRule="auto"/>
        <w:ind w:right="0"/>
        <w:jc w:val="left"/>
      </w:pPr>
      <w:r>
        <w:rPr>
          <w:w w:val="101"/>
        </w:rPr>
        <w:t>无</w:t>
      </w:r>
      <w:r>
        <w:rPr/>
      </w:r>
    </w:p>
    <w:p>
      <w:pPr>
        <w:spacing w:after="0" w:line="240" w:lineRule="auto"/>
        <w:jc w:val="left"/>
        <w:sectPr>
          <w:pgSz w:w="11910" w:h="16840"/>
          <w:pgMar w:header="871"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Heading1"/>
        <w:spacing w:line="240" w:lineRule="auto"/>
        <w:ind w:left="3365" w:right="0"/>
        <w:jc w:val="left"/>
        <w:rPr>
          <w:b w:val="0"/>
          <w:bCs w:val="0"/>
        </w:rPr>
      </w:pPr>
      <w:bookmarkStart w:name="_TOC_250000" w:id="521"/>
      <w:bookmarkStart w:name="第十三节备查文件目录" w:id="522"/>
      <w:r>
        <w:rPr>
          <w:b w:val="0"/>
          <w:bCs w:val="0"/>
        </w:rPr>
      </w:r>
      <w:r>
        <w:rPr/>
        <w:t>第十三节备查文件目录</w:t>
      </w:r>
      <w:bookmarkEnd w:id="521"/>
      <w:r>
        <w:rPr>
          <w:b w:val="0"/>
          <w:bCs w:val="0"/>
        </w:rPr>
      </w:r>
    </w:p>
    <w:p>
      <w:pPr>
        <w:spacing w:line="240" w:lineRule="auto" w:before="12"/>
        <w:rPr>
          <w:rFonts w:ascii="宋体" w:hAnsi="宋体" w:cs="宋体" w:eastAsia="宋体" w:hint="default"/>
          <w:b/>
          <w:bCs/>
          <w:sz w:val="42"/>
          <w:szCs w:val="42"/>
        </w:rPr>
      </w:pPr>
    </w:p>
    <w:p>
      <w:pPr>
        <w:pStyle w:val="BodyText"/>
        <w:spacing w:line="240" w:lineRule="auto"/>
        <w:ind w:right="0"/>
        <w:jc w:val="left"/>
      </w:pPr>
      <w:r>
        <w:rPr>
          <w:spacing w:val="-3"/>
        </w:rPr>
        <w:t>（一）载有法定代表人签名的</w:t>
      </w:r>
      <w:r>
        <w:rPr>
          <w:rFonts w:ascii="Times New Roman" w:hAnsi="Times New Roman" w:cs="Times New Roman" w:eastAsia="Times New Roman" w:hint="default"/>
          <w:spacing w:val="-3"/>
        </w:rPr>
        <w:t>2019</w:t>
      </w:r>
      <w:r>
        <w:rPr>
          <w:spacing w:val="-3"/>
        </w:rPr>
        <w:t>年年度报告文本；</w:t>
      </w:r>
    </w:p>
    <w:p>
      <w:pPr>
        <w:pStyle w:val="BodyText"/>
        <w:spacing w:line="240" w:lineRule="auto" w:before="101"/>
        <w:ind w:right="0"/>
        <w:jc w:val="left"/>
      </w:pPr>
      <w:r>
        <w:rPr>
          <w:spacing w:val="-3"/>
        </w:rPr>
        <w:t>（二）载有公司负责人、主管会计工作负责人、会计机构负责人（会计主管人员）签名并盖章的财务报表；</w:t>
      </w:r>
    </w:p>
    <w:p>
      <w:pPr>
        <w:pStyle w:val="BodyText"/>
        <w:spacing w:line="240" w:lineRule="auto" w:before="115"/>
        <w:ind w:right="0"/>
        <w:jc w:val="left"/>
      </w:pPr>
      <w:r>
        <w:rPr>
          <w:spacing w:val="-3"/>
        </w:rPr>
        <w:t>（三）载有会计师事务所盖章、注册会计师签名并盖章的审计报告原件；</w:t>
      </w:r>
    </w:p>
    <w:p>
      <w:pPr>
        <w:pStyle w:val="BodyText"/>
        <w:spacing w:line="240" w:lineRule="auto" w:before="119"/>
        <w:ind w:right="0"/>
        <w:jc w:val="left"/>
      </w:pPr>
      <w:r>
        <w:rPr>
          <w:spacing w:val="-3"/>
        </w:rPr>
        <w:t>（四）报告期内在中国证监会指定网站上公开披露过的所有公司文件的正本及公告的原稿；</w:t>
      </w:r>
    </w:p>
    <w:p>
      <w:pPr>
        <w:pStyle w:val="BodyText"/>
        <w:spacing w:line="357" w:lineRule="auto" w:before="115"/>
        <w:ind w:right="6287"/>
        <w:jc w:val="left"/>
      </w:pPr>
      <w:r>
        <w:rPr/>
        <w:t>（五）其他有关资料。</w:t>
      </w:r>
      <w:r>
        <w:rPr>
          <w:spacing w:val="-86"/>
        </w:rPr>
        <w:t> </w:t>
      </w:r>
      <w:r>
        <w:rPr>
          <w:spacing w:val="-86"/>
        </w:rPr>
      </w:r>
      <w:r>
        <w:rPr>
          <w:spacing w:val="-3"/>
        </w:rPr>
        <w:t>以上备查文件的备置地点：公司董事会办公室。</w:t>
      </w:r>
    </w:p>
    <w:sectPr>
      <w:pgSz w:w="11910" w:h="16840"/>
      <w:pgMar w:header="871" w:footer="979" w:top="110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58104" type="#_x0000_t75" stroked="false">
          <v:imagedata r:id="rId1" o:title=""/>
        </v:shape>
      </w:pict>
    </w:r>
    <w:r>
      <w:rPr/>
      <w:pict>
        <v:shape style="position:absolute;margin-left:533.190002pt;margin-top:795.661377pt;width:6.6pt;height:11.15pt;mso-position-horizontal-relative:page;mso-position-vertical-relative:page;z-index:-1058080"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w w:val="101"/>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58056" type="#_x0000_t75" stroked="false">
          <v:imagedata r:id="rId1" o:title=""/>
        </v:shape>
      </w:pict>
    </w:r>
    <w:r>
      <w:rPr/>
      <w:pict>
        <v:shape style="position:absolute;margin-left:527.869995pt;margin-top:781.957336pt;width:13.15pt;height:11.15pt;mso-position-horizontal-relative:page;mso-position-vertical-relative:page;z-index:-1058032"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57960" type="#_x0000_t75" stroked="false">
          <v:imagedata r:id="rId1" o:title=""/>
        </v:shape>
      </w:pict>
    </w:r>
    <w:r>
      <w:rPr/>
      <w:pict>
        <v:shape style="position:absolute;margin-left:499.549988pt;margin-top:781.957336pt;width:13.15pt;height:11.15pt;mso-position-horizontal-relative:page;mso-position-vertical-relative:page;z-index:-105793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42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57864" type="#_x0000_t75" stroked="false">
          <v:imagedata r:id="rId1" o:title=""/>
        </v:shape>
      </w:pict>
    </w:r>
    <w:r>
      <w:rPr/>
      <w:pict>
        <v:shape style="position:absolute;margin-left:527.869995pt;margin-top:781.957336pt;width:13.15pt;height:11.15pt;mso-position-horizontal-relative:page;mso-position-vertical-relative:page;z-index:-1057840"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49</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57816" type="#_x0000_t75" stroked="false">
          <v:imagedata r:id="rId1" o:title=""/>
        </v:shape>
      </w:pict>
    </w:r>
    <w:r>
      <w:rPr/>
      <w:pict>
        <v:shape style="position:absolute;margin-left:524.309998pt;margin-top:781.957336pt;width:15.7pt;height:11.15pt;mso-position-horizontal-relative:page;mso-position-vertical-relative:page;z-index:-1057792" type="#_x0000_t202" filled="false" stroked="false">
          <v:textbox inset="0,0,0,0">
            <w:txbxContent>
              <w:p>
                <w:pPr>
                  <w:pStyle w:val="BodyText"/>
                  <w:spacing w:line="206"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57768" type="#_x0000_t75" stroked="false">
          <v:imagedata r:id="rId1" o:title=""/>
        </v:shape>
      </w:pict>
    </w:r>
    <w:r>
      <w:rPr/>
      <w:pict>
        <v:shape style="position:absolute;margin-left:523.309998pt;margin-top:781.957336pt;width:17.7pt;height:11.15pt;mso-position-horizontal-relative:page;mso-position-vertical-relative:page;z-index:-1057744"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574707pt;margin-top:806.72052pt;width:59.493346pt;height:26.794713pt;mso-position-horizontal-relative:page;mso-position-vertical-relative:page;z-index:-1057720" type="#_x0000_t75" stroked="false">
          <v:imagedata r:id="rId1" o:title=""/>
        </v:shape>
      </w:pict>
    </w:r>
    <w:r>
      <w:rPr/>
      <w:pict>
        <v:shape style="position:absolute;margin-left:523.309998pt;margin-top:781.957336pt;width:17.7pt;height:11.15pt;mso-position-horizontal-relative:page;mso-position-vertical-relative:page;z-index:-1057696" type="#_x0000_t202" filled="false" stroked="false">
          <v:textbox inset="0,0,0,0">
            <w:txbxContent>
              <w:p>
                <w:pPr>
                  <w:pStyle w:val="BodyText"/>
                  <w:spacing w:line="206" w:lineRule="exact"/>
                  <w:ind w:left="40" w:right="0"/>
                  <w:jc w:val="left"/>
                  <w:rPr>
                    <w:rFonts w:ascii="Times New Roman" w:hAnsi="Times New Roman" w:cs="Times New Roman" w:eastAsia="Times New Roman" w:hint="default"/>
                  </w:rPr>
                </w:pPr>
                <w:r>
                  <w:rPr>
                    <w:rFonts w:ascii="Times New Roman"/>
                    <w:w w:val="101"/>
                  </w:rPr>
                </w:r>
                <w:r>
                  <w:rPr/>
                  <w:fldChar w:fldCharType="begin"/>
                </w:r>
                <w:r>
                  <w:rPr>
                    <w:rFonts w:ascii="Times New Roman"/>
                  </w:rPr>
                  <w:instrText> PAGE </w:instrText>
                </w:r>
                <w:r>
                  <w:rPr/>
                  <w:fldChar w:fldCharType="separate"/>
                </w:r>
                <w:r>
                  <w:rPr/>
                  <w:t>123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3999pt;margin-top:36.062485pt;width:195.8pt;height:11.65pt;mso-position-horizontal-relative:page;mso-position-vertical-relative:page;z-index:-1058128" type="#_x0000_t202" filled="false" stroked="false">
          <v:textbox inset="0,0,0,0">
            <w:txbxContent>
              <w:p>
                <w:pPr>
                  <w:pStyle w:val="BodyText"/>
                  <w:spacing w:line="216" w:lineRule="exact"/>
                  <w:ind w:left="20" w:right="0"/>
                  <w:jc w:val="left"/>
                </w:pPr>
                <w:r>
                  <w:rPr>
                    <w:spacing w:val="-3"/>
                  </w:rPr>
                  <w:t>北京合纵科技股份有限公司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56.65pt;height:.1pt;mso-position-horizontal-relative:page;mso-position-vertical-relative:page;z-index:-1058008" coordorigin="1104,1112" coordsize="9133,2">
          <v:shape style="position:absolute;left:1104;top:1112;width:9133;height:2" coordorigin="1104,1112" coordsize="9133,0" path="m1104,1112l10237,1112e" filled="false" stroked="true" strokeweight=".72pt" strokecolor="#000000">
            <v:path arrowok="t"/>
          </v:shape>
          <w10:wrap type="none"/>
        </v:group>
      </w:pict>
    </w:r>
    <w:r>
      <w:rPr/>
      <w:pict>
        <v:shape style="position:absolute;margin-left:315.920013pt;margin-top:42.542484pt;width:195.75pt;height:11.65pt;mso-position-horizontal-relative:page;mso-position-vertical-relative:page;z-index:-1057984" type="#_x0000_t202" filled="false" stroked="false">
          <v:textbox inset="0,0,0,0">
            <w:txbxContent>
              <w:p>
                <w:pPr>
                  <w:pStyle w:val="BodyText"/>
                  <w:spacing w:line="216" w:lineRule="exact"/>
                  <w:ind w:left="20" w:right="0"/>
                  <w:jc w:val="left"/>
                </w:pPr>
                <w:r>
                  <w:rPr>
                    <w:spacing w:val="-3"/>
                  </w:rPr>
                  <w:t>北京合纵科技股份有限公司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23999pt;margin-top:55.579983pt;width:485pt;height:.1pt;mso-position-horizontal-relative:page;mso-position-vertical-relative:page;z-index:-1057912"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344.23999pt;margin-top:42.542484pt;width:195.8pt;height:11.65pt;mso-position-horizontal-relative:page;mso-position-vertical-relative:page;z-index:-1057888" type="#_x0000_t202" filled="false" stroked="false">
          <v:textbox inset="0,0,0,0">
            <w:txbxContent>
              <w:p>
                <w:pPr>
                  <w:pStyle w:val="BodyText"/>
                  <w:spacing w:line="216" w:lineRule="exact"/>
                  <w:ind w:left="20" w:right="0"/>
                  <w:jc w:val="left"/>
                </w:pPr>
                <w:r>
                  <w:rPr>
                    <w:spacing w:val="-3"/>
                  </w:rPr>
                  <w:t>北京合纵科技股份有限公司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spacing w:val="-3"/>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2"/>
      <w:ind w:left="153"/>
    </w:pPr>
    <w:rPr>
      <w:rFonts w:ascii="宋体" w:hAnsi="宋体" w:eastAsia="宋体"/>
      <w:b/>
      <w:bCs/>
      <w:sz w:val="24"/>
      <w:szCs w:val="24"/>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2"/>
      <w:ind w:left="2783"/>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ezong-tech.com/" TargetMode="External"/><Relationship Id="rId10" Type="http://schemas.openxmlformats.org/officeDocument/2006/relationships/hyperlink" Target="mailto:zhangshu@chinahezong.com" TargetMode="External"/><Relationship Id="rId11" Type="http://schemas.openxmlformats.org/officeDocument/2006/relationships/hyperlink" Target="mailto:wangping@chinahezong.com" TargetMode="External"/><Relationship Id="rId12" Type="http://schemas.openxmlformats.org/officeDocument/2006/relationships/hyperlink" Target="http://www.cninfo.com.cn/"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image" Target="media/image3.jpeg"/><Relationship Id="rId16" Type="http://schemas.openxmlformats.org/officeDocument/2006/relationships/header" Target="head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20"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北京合纵科技股份有限公司</dc:creator>
  <dc:title>北京合纵科技股份有限公司2019年年度报告全文</dc:title>
  <dcterms:created xsi:type="dcterms:W3CDTF">2020-05-19T06:56:32Z</dcterms:created>
  <dcterms:modified xsi:type="dcterms:W3CDTF">2020-05-19T06:56:32Z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Office Word 2007</vt:lpwstr>
  </property>
  <property fmtid="{D5CDD505-2E9C-101B-9397-08002B2CF9AE}" pid="4" name="LastSaved">
    <vt:filetime>2020-05-18T00:00:00Z</vt:filetime>
  </property>
</Properties>
</file>